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782C4" w14:textId="20E3BA66" w:rsidR="00402AE7" w:rsidRPr="001D4B5D" w:rsidRDefault="00402AE7">
      <w:pPr>
        <w:rPr>
          <w:rFonts w:ascii="Arial" w:hAnsi="Arial" w:cs="Arial"/>
          <w:b/>
          <w:bCs/>
          <w:sz w:val="22"/>
          <w:szCs w:val="22"/>
        </w:rPr>
      </w:pPr>
    </w:p>
    <w:p w14:paraId="54596CAD" w14:textId="6D79CB14" w:rsidR="00402AE7" w:rsidRPr="001D4B5D" w:rsidRDefault="00402AE7">
      <w:pPr>
        <w:rPr>
          <w:rFonts w:ascii="Arial" w:hAnsi="Arial" w:cs="Arial"/>
          <w:b/>
          <w:bCs/>
          <w:sz w:val="22"/>
          <w:szCs w:val="22"/>
        </w:rPr>
      </w:pPr>
    </w:p>
    <w:p w14:paraId="0D64C22C" w14:textId="77777777" w:rsidR="00046E1A" w:rsidRPr="001D4B5D" w:rsidRDefault="00046E1A" w:rsidP="00365D8E">
      <w:pPr>
        <w:spacing w:line="360" w:lineRule="auto"/>
        <w:rPr>
          <w:rFonts w:ascii="Arial" w:hAnsi="Arial" w:cs="Arial"/>
          <w:b/>
          <w:bCs/>
          <w:sz w:val="22"/>
          <w:szCs w:val="22"/>
        </w:rPr>
      </w:pPr>
    </w:p>
    <w:p w14:paraId="006D1509" w14:textId="77777777" w:rsidR="00046E1A" w:rsidRPr="001D4B5D" w:rsidRDefault="00046E1A" w:rsidP="00365D8E">
      <w:pPr>
        <w:spacing w:line="360" w:lineRule="auto"/>
        <w:rPr>
          <w:rFonts w:ascii="Arial" w:hAnsi="Arial" w:cs="Arial"/>
          <w:b/>
          <w:bCs/>
          <w:sz w:val="22"/>
          <w:szCs w:val="22"/>
        </w:rPr>
      </w:pPr>
    </w:p>
    <w:p w14:paraId="0FE176AA" w14:textId="32E62281" w:rsidR="00046E1A" w:rsidRPr="001D4B5D" w:rsidRDefault="00046E1A" w:rsidP="00365D8E">
      <w:pPr>
        <w:spacing w:line="360" w:lineRule="auto"/>
        <w:rPr>
          <w:rFonts w:ascii="Arial" w:hAnsi="Arial" w:cs="Arial"/>
          <w:b/>
          <w:bCs/>
          <w:sz w:val="22"/>
          <w:szCs w:val="22"/>
        </w:rPr>
      </w:pPr>
    </w:p>
    <w:p w14:paraId="19C882D5" w14:textId="41C68EEC" w:rsidR="00046E1A" w:rsidRPr="001D4B5D" w:rsidRDefault="00402AE7" w:rsidP="00365D8E">
      <w:pPr>
        <w:spacing w:line="360" w:lineRule="auto"/>
        <w:rPr>
          <w:rFonts w:ascii="Arial" w:hAnsi="Arial" w:cs="Arial"/>
          <w:b/>
          <w:bCs/>
          <w:sz w:val="22"/>
          <w:szCs w:val="22"/>
        </w:rPr>
      </w:pPr>
      <w:r w:rsidRPr="001D4B5D">
        <w:rPr>
          <w:rFonts w:ascii="Arial" w:hAnsi="Arial" w:cs="Arial"/>
          <w:noProof/>
          <w:sz w:val="22"/>
          <w:szCs w:val="22"/>
        </w:rPr>
        <w:drawing>
          <wp:anchor distT="0" distB="0" distL="114300" distR="114300" simplePos="0" relativeHeight="251658240" behindDoc="0" locked="0" layoutInCell="1" allowOverlap="1" wp14:anchorId="01B23BCE" wp14:editId="68103EAA">
            <wp:simplePos x="0" y="0"/>
            <wp:positionH relativeFrom="margin">
              <wp:align>left</wp:align>
            </wp:positionH>
            <wp:positionV relativeFrom="paragraph">
              <wp:posOffset>235081</wp:posOffset>
            </wp:positionV>
            <wp:extent cx="3855904" cy="1611158"/>
            <wp:effectExtent l="0" t="0" r="0" b="8255"/>
            <wp:wrapTopAndBottom/>
            <wp:docPr id="1513706408"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55904" cy="1611158"/>
                    </a:xfrm>
                    <a:prstGeom prst="rect">
                      <a:avLst/>
                    </a:prstGeom>
                    <a:noFill/>
                    <a:ln>
                      <a:noFill/>
                    </a:ln>
                  </pic:spPr>
                </pic:pic>
              </a:graphicData>
            </a:graphic>
          </wp:anchor>
        </w:drawing>
      </w:r>
    </w:p>
    <w:p w14:paraId="41DDFF3C" w14:textId="77777777" w:rsidR="00402AE7" w:rsidRPr="001D4B5D" w:rsidRDefault="00402AE7" w:rsidP="00402AE7">
      <w:pPr>
        <w:rPr>
          <w:rFonts w:ascii="Arial" w:hAnsi="Arial" w:cs="Arial"/>
          <w:sz w:val="22"/>
          <w:szCs w:val="22"/>
        </w:rPr>
      </w:pPr>
    </w:p>
    <w:p w14:paraId="0E520819" w14:textId="77777777" w:rsidR="00402AE7" w:rsidRPr="001D4B5D" w:rsidRDefault="00402AE7" w:rsidP="00402AE7">
      <w:pPr>
        <w:rPr>
          <w:rFonts w:ascii="Arial" w:hAnsi="Arial" w:cs="Arial"/>
          <w:sz w:val="22"/>
          <w:szCs w:val="22"/>
        </w:rPr>
      </w:pPr>
    </w:p>
    <w:p w14:paraId="258C0651" w14:textId="77777777" w:rsidR="00402AE7" w:rsidRPr="001D4B5D" w:rsidRDefault="00402AE7" w:rsidP="00402AE7">
      <w:pPr>
        <w:rPr>
          <w:rFonts w:ascii="Arial" w:hAnsi="Arial" w:cs="Arial"/>
          <w:sz w:val="22"/>
          <w:szCs w:val="22"/>
        </w:rPr>
      </w:pPr>
    </w:p>
    <w:p w14:paraId="4C321B38" w14:textId="77777777" w:rsidR="00F550EB" w:rsidRPr="0049037F" w:rsidRDefault="00F550EB" w:rsidP="00402AE7">
      <w:pPr>
        <w:rPr>
          <w:rFonts w:ascii="Arial" w:hAnsi="Arial" w:cs="Arial"/>
          <w:sz w:val="22"/>
          <w:szCs w:val="22"/>
        </w:rPr>
      </w:pPr>
    </w:p>
    <w:p w14:paraId="3AF6A9B1" w14:textId="7C0D4E91" w:rsidR="00402AE7" w:rsidRPr="0049037F" w:rsidRDefault="00402AE7" w:rsidP="00402AE7">
      <w:pPr>
        <w:rPr>
          <w:rFonts w:ascii="Arial" w:hAnsi="Arial" w:cs="Arial"/>
          <w:sz w:val="22"/>
          <w:szCs w:val="22"/>
        </w:rPr>
      </w:pPr>
      <w:r w:rsidRPr="0049037F">
        <w:rPr>
          <w:rFonts w:ascii="Arial" w:hAnsi="Arial" w:cs="Arial"/>
          <w:sz w:val="22"/>
          <w:szCs w:val="22"/>
        </w:rPr>
        <w:t>Name:</w:t>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t>Thelma Lipa</w:t>
      </w:r>
    </w:p>
    <w:p w14:paraId="23D8C3B8" w14:textId="663310ED" w:rsidR="00402AE7" w:rsidRPr="0049037F" w:rsidRDefault="00402AE7" w:rsidP="00402AE7">
      <w:pPr>
        <w:rPr>
          <w:rFonts w:ascii="Arial" w:hAnsi="Arial" w:cs="Arial"/>
          <w:sz w:val="22"/>
          <w:szCs w:val="22"/>
        </w:rPr>
      </w:pPr>
      <w:r w:rsidRPr="0049037F">
        <w:rPr>
          <w:rFonts w:ascii="Arial" w:hAnsi="Arial" w:cs="Arial"/>
          <w:sz w:val="22"/>
          <w:szCs w:val="22"/>
        </w:rPr>
        <w:t>Student ID:</w:t>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00C7450B" w:rsidRPr="0049037F">
        <w:rPr>
          <w:rFonts w:ascii="Arial" w:hAnsi="Arial" w:cs="Arial"/>
          <w:sz w:val="22"/>
          <w:szCs w:val="22"/>
        </w:rPr>
        <w:t>2527562</w:t>
      </w:r>
    </w:p>
    <w:p w14:paraId="4DD92A35" w14:textId="77777777" w:rsidR="00402AE7" w:rsidRPr="0049037F" w:rsidRDefault="00402AE7" w:rsidP="00402AE7">
      <w:pPr>
        <w:rPr>
          <w:rFonts w:ascii="Arial" w:hAnsi="Arial" w:cs="Arial"/>
          <w:sz w:val="22"/>
          <w:szCs w:val="22"/>
        </w:rPr>
      </w:pPr>
      <w:r w:rsidRPr="0049037F">
        <w:rPr>
          <w:rFonts w:ascii="Arial" w:hAnsi="Arial" w:cs="Arial"/>
          <w:sz w:val="22"/>
          <w:szCs w:val="22"/>
        </w:rPr>
        <w:t>Module:</w:t>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t>Introduction to Public Health</w:t>
      </w:r>
    </w:p>
    <w:p w14:paraId="1F350E38" w14:textId="56162B52" w:rsidR="00402AE7" w:rsidRPr="0049037F" w:rsidRDefault="00402AE7" w:rsidP="00402AE7">
      <w:pPr>
        <w:rPr>
          <w:rFonts w:ascii="Arial" w:hAnsi="Arial" w:cs="Arial"/>
          <w:sz w:val="22"/>
          <w:szCs w:val="22"/>
        </w:rPr>
      </w:pPr>
      <w:r w:rsidRPr="0049037F">
        <w:rPr>
          <w:rFonts w:ascii="Arial" w:hAnsi="Arial" w:cs="Arial"/>
          <w:sz w:val="22"/>
          <w:szCs w:val="22"/>
        </w:rPr>
        <w:t xml:space="preserve">Module code: </w:t>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00C7450B" w:rsidRPr="0049037F">
        <w:rPr>
          <w:rFonts w:ascii="Arial" w:hAnsi="Arial" w:cs="Arial"/>
          <w:sz w:val="22"/>
          <w:szCs w:val="22"/>
        </w:rPr>
        <w:t>LCHS4008</w:t>
      </w:r>
    </w:p>
    <w:p w14:paraId="516F4173" w14:textId="77777777" w:rsidR="00402AE7" w:rsidRPr="0049037F" w:rsidRDefault="00402AE7" w:rsidP="00402AE7">
      <w:pPr>
        <w:rPr>
          <w:rFonts w:ascii="Arial" w:hAnsi="Arial" w:cs="Arial"/>
          <w:sz w:val="22"/>
          <w:szCs w:val="22"/>
        </w:rPr>
      </w:pPr>
      <w:r w:rsidRPr="0049037F">
        <w:rPr>
          <w:rFonts w:ascii="Arial" w:hAnsi="Arial" w:cs="Arial"/>
          <w:sz w:val="22"/>
          <w:szCs w:val="22"/>
        </w:rPr>
        <w:t xml:space="preserve">Lecturer: </w:t>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t>Dr Patronella Ganza</w:t>
      </w:r>
    </w:p>
    <w:p w14:paraId="342EC114" w14:textId="77777777" w:rsidR="00402AE7" w:rsidRPr="0049037F" w:rsidRDefault="00402AE7" w:rsidP="00402AE7">
      <w:pPr>
        <w:rPr>
          <w:rFonts w:ascii="Arial" w:hAnsi="Arial" w:cs="Arial"/>
          <w:sz w:val="22"/>
          <w:szCs w:val="22"/>
        </w:rPr>
      </w:pPr>
      <w:r w:rsidRPr="0049037F">
        <w:rPr>
          <w:rFonts w:ascii="Arial" w:hAnsi="Arial" w:cs="Arial"/>
          <w:sz w:val="22"/>
          <w:szCs w:val="22"/>
        </w:rPr>
        <w:t xml:space="preserve">Submission date: </w:t>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t>August 18, 2026</w:t>
      </w:r>
    </w:p>
    <w:p w14:paraId="196F287F" w14:textId="77777777" w:rsidR="00046E1A" w:rsidRPr="0049037F" w:rsidRDefault="00046E1A" w:rsidP="00365D8E">
      <w:pPr>
        <w:spacing w:line="360" w:lineRule="auto"/>
        <w:rPr>
          <w:rFonts w:ascii="Arial" w:hAnsi="Arial" w:cs="Arial"/>
          <w:sz w:val="22"/>
          <w:szCs w:val="22"/>
        </w:rPr>
      </w:pPr>
    </w:p>
    <w:p w14:paraId="3F5B3142" w14:textId="77777777" w:rsidR="00046E1A" w:rsidRPr="0049037F" w:rsidRDefault="00046E1A" w:rsidP="00365D8E">
      <w:pPr>
        <w:spacing w:line="360" w:lineRule="auto"/>
        <w:rPr>
          <w:rFonts w:ascii="Arial" w:hAnsi="Arial" w:cs="Arial"/>
          <w:sz w:val="22"/>
          <w:szCs w:val="22"/>
        </w:rPr>
      </w:pPr>
    </w:p>
    <w:p w14:paraId="71B97750" w14:textId="77777777" w:rsidR="00046E1A" w:rsidRPr="0049037F" w:rsidRDefault="00046E1A" w:rsidP="00365D8E">
      <w:pPr>
        <w:spacing w:line="360" w:lineRule="auto"/>
        <w:rPr>
          <w:rFonts w:ascii="Arial" w:hAnsi="Arial" w:cs="Arial"/>
          <w:sz w:val="22"/>
          <w:szCs w:val="22"/>
        </w:rPr>
      </w:pPr>
    </w:p>
    <w:p w14:paraId="27804DE8" w14:textId="77777777" w:rsidR="00046E1A" w:rsidRPr="0049037F" w:rsidRDefault="00046E1A" w:rsidP="00365D8E">
      <w:pPr>
        <w:spacing w:line="360" w:lineRule="auto"/>
        <w:rPr>
          <w:rFonts w:ascii="Arial" w:hAnsi="Arial" w:cs="Arial"/>
          <w:sz w:val="22"/>
          <w:szCs w:val="22"/>
        </w:rPr>
      </w:pPr>
    </w:p>
    <w:p w14:paraId="67277582" w14:textId="77777777" w:rsidR="00046E1A" w:rsidRPr="0049037F" w:rsidRDefault="00046E1A" w:rsidP="00365D8E">
      <w:pPr>
        <w:spacing w:line="360" w:lineRule="auto"/>
        <w:rPr>
          <w:rFonts w:ascii="Arial" w:hAnsi="Arial" w:cs="Arial"/>
          <w:sz w:val="22"/>
          <w:szCs w:val="22"/>
        </w:rPr>
      </w:pPr>
    </w:p>
    <w:p w14:paraId="2EB0C5DD" w14:textId="77777777" w:rsidR="00046E1A" w:rsidRPr="0049037F" w:rsidRDefault="00046E1A" w:rsidP="00365D8E">
      <w:pPr>
        <w:spacing w:line="360" w:lineRule="auto"/>
        <w:rPr>
          <w:rFonts w:ascii="Arial" w:hAnsi="Arial" w:cs="Arial"/>
          <w:sz w:val="22"/>
          <w:szCs w:val="22"/>
        </w:rPr>
      </w:pPr>
    </w:p>
    <w:p w14:paraId="713DF466" w14:textId="0A2975C5" w:rsidR="00046E1A" w:rsidRPr="0049037F" w:rsidRDefault="00402AE7" w:rsidP="00365D8E">
      <w:pPr>
        <w:spacing w:line="360" w:lineRule="auto"/>
        <w:rPr>
          <w:rFonts w:ascii="Arial" w:hAnsi="Arial" w:cs="Arial"/>
          <w:sz w:val="22"/>
          <w:szCs w:val="22"/>
        </w:rPr>
      </w:pPr>
      <w:r w:rsidRPr="0049037F">
        <w:rPr>
          <w:rFonts w:ascii="Arial" w:hAnsi="Arial" w:cs="Arial"/>
          <w:sz w:val="22"/>
          <w:szCs w:val="22"/>
        </w:rPr>
        <w:lastRenderedPageBreak/>
        <w:t>TABLE OF CONTENT</w:t>
      </w:r>
    </w:p>
    <w:p w14:paraId="1D113D75" w14:textId="77777777" w:rsidR="00402AE7" w:rsidRPr="0049037F" w:rsidRDefault="00402AE7" w:rsidP="00365D8E">
      <w:pPr>
        <w:spacing w:line="360" w:lineRule="auto"/>
        <w:rPr>
          <w:rFonts w:ascii="Arial" w:hAnsi="Arial" w:cs="Arial"/>
          <w:sz w:val="22"/>
          <w:szCs w:val="22"/>
        </w:rPr>
      </w:pPr>
    </w:p>
    <w:p w14:paraId="2C9C4AC6" w14:textId="6647F557" w:rsidR="00402AE7" w:rsidRPr="0049037F" w:rsidRDefault="00402AE7" w:rsidP="00402AE7">
      <w:pPr>
        <w:rPr>
          <w:rFonts w:ascii="Arial" w:hAnsi="Arial" w:cs="Arial"/>
          <w:sz w:val="22"/>
          <w:szCs w:val="22"/>
        </w:rPr>
      </w:pPr>
      <w:r w:rsidRPr="0049037F">
        <w:rPr>
          <w:rFonts w:ascii="Arial" w:hAnsi="Arial" w:cs="Arial"/>
          <w:sz w:val="22"/>
          <w:szCs w:val="22"/>
        </w:rPr>
        <w:t>Cover</w:t>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00F550EB" w:rsidRPr="0049037F">
        <w:rPr>
          <w:rFonts w:ascii="Arial" w:hAnsi="Arial" w:cs="Arial"/>
          <w:sz w:val="22"/>
          <w:szCs w:val="22"/>
        </w:rPr>
        <w:tab/>
      </w:r>
      <w:r w:rsidRPr="0049037F">
        <w:rPr>
          <w:rFonts w:ascii="Arial" w:hAnsi="Arial" w:cs="Arial"/>
          <w:sz w:val="22"/>
          <w:szCs w:val="22"/>
        </w:rPr>
        <w:t>..............................................1</w:t>
      </w:r>
    </w:p>
    <w:p w14:paraId="02ED472E" w14:textId="719BF47A" w:rsidR="00402AE7" w:rsidRPr="0049037F" w:rsidRDefault="00402AE7" w:rsidP="00402AE7">
      <w:pPr>
        <w:rPr>
          <w:rFonts w:ascii="Arial" w:hAnsi="Arial" w:cs="Arial"/>
          <w:sz w:val="22"/>
          <w:szCs w:val="22"/>
        </w:rPr>
      </w:pPr>
      <w:r w:rsidRPr="0049037F">
        <w:rPr>
          <w:rFonts w:ascii="Arial" w:hAnsi="Arial" w:cs="Arial"/>
          <w:sz w:val="22"/>
          <w:szCs w:val="22"/>
        </w:rPr>
        <w:t>Introduction</w:t>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00F550EB" w:rsidRPr="0049037F">
        <w:rPr>
          <w:rFonts w:ascii="Arial" w:hAnsi="Arial" w:cs="Arial"/>
          <w:sz w:val="22"/>
          <w:szCs w:val="22"/>
        </w:rPr>
        <w:tab/>
      </w:r>
      <w:r w:rsidRPr="0049037F">
        <w:rPr>
          <w:rFonts w:ascii="Arial" w:hAnsi="Arial" w:cs="Arial"/>
          <w:sz w:val="22"/>
          <w:szCs w:val="22"/>
        </w:rPr>
        <w:t>..............................................3</w:t>
      </w:r>
    </w:p>
    <w:p w14:paraId="63D05A7E" w14:textId="06FEDF6A" w:rsidR="00402AE7" w:rsidRPr="0049037F" w:rsidRDefault="00402AE7" w:rsidP="00402AE7">
      <w:pPr>
        <w:spacing w:line="360" w:lineRule="auto"/>
        <w:rPr>
          <w:rFonts w:ascii="Arial" w:hAnsi="Arial" w:cs="Arial"/>
          <w:sz w:val="22"/>
          <w:szCs w:val="22"/>
        </w:rPr>
      </w:pPr>
      <w:r w:rsidRPr="0049037F">
        <w:rPr>
          <w:rFonts w:ascii="Arial" w:hAnsi="Arial" w:cs="Arial"/>
          <w:sz w:val="22"/>
          <w:szCs w:val="22"/>
        </w:rPr>
        <w:t xml:space="preserve">Measure and </w:t>
      </w:r>
      <w:proofErr w:type="gramStart"/>
      <w:r w:rsidRPr="0049037F">
        <w:rPr>
          <w:rFonts w:ascii="Arial" w:hAnsi="Arial" w:cs="Arial"/>
          <w:sz w:val="22"/>
          <w:szCs w:val="22"/>
        </w:rPr>
        <w:t>Monitor</w:t>
      </w:r>
      <w:proofErr w:type="gramEnd"/>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00F550EB" w:rsidRPr="0049037F">
        <w:rPr>
          <w:rFonts w:ascii="Arial" w:hAnsi="Arial" w:cs="Arial"/>
          <w:sz w:val="22"/>
          <w:szCs w:val="22"/>
        </w:rPr>
        <w:tab/>
      </w:r>
      <w:r w:rsidRPr="0049037F">
        <w:rPr>
          <w:rFonts w:ascii="Arial" w:hAnsi="Arial" w:cs="Arial"/>
          <w:sz w:val="22"/>
          <w:szCs w:val="22"/>
        </w:rPr>
        <w:t>..............................................3</w:t>
      </w:r>
    </w:p>
    <w:p w14:paraId="4B2C891D" w14:textId="5433FEA4" w:rsidR="00402AE7" w:rsidRPr="0049037F" w:rsidRDefault="001D4B5D" w:rsidP="001D4B5D">
      <w:pPr>
        <w:spacing w:line="360" w:lineRule="auto"/>
        <w:rPr>
          <w:rFonts w:ascii="Arial" w:hAnsi="Arial" w:cs="Arial"/>
          <w:b/>
          <w:bCs/>
          <w:sz w:val="22"/>
          <w:szCs w:val="22"/>
        </w:rPr>
      </w:pPr>
      <w:r w:rsidRPr="0049037F">
        <w:rPr>
          <w:rFonts w:ascii="Arial" w:hAnsi="Arial" w:cs="Arial"/>
          <w:sz w:val="22"/>
          <w:szCs w:val="22"/>
        </w:rPr>
        <w:t>How T1DM is Controlled</w:t>
      </w:r>
      <w:r w:rsidR="00402AE7" w:rsidRPr="0049037F">
        <w:rPr>
          <w:rFonts w:ascii="Arial" w:hAnsi="Arial" w:cs="Arial"/>
          <w:sz w:val="22"/>
          <w:szCs w:val="22"/>
        </w:rPr>
        <w:tab/>
      </w:r>
      <w:r w:rsidR="00402AE7" w:rsidRPr="0049037F">
        <w:rPr>
          <w:rFonts w:ascii="Arial" w:hAnsi="Arial" w:cs="Arial"/>
          <w:sz w:val="22"/>
          <w:szCs w:val="22"/>
        </w:rPr>
        <w:tab/>
      </w:r>
      <w:r w:rsidR="00402AE7" w:rsidRPr="0049037F">
        <w:rPr>
          <w:rFonts w:ascii="Arial" w:hAnsi="Arial" w:cs="Arial"/>
          <w:sz w:val="22"/>
          <w:szCs w:val="22"/>
        </w:rPr>
        <w:tab/>
      </w:r>
      <w:r w:rsidR="00402AE7" w:rsidRPr="0049037F">
        <w:rPr>
          <w:rFonts w:ascii="Arial" w:hAnsi="Arial" w:cs="Arial"/>
          <w:sz w:val="22"/>
          <w:szCs w:val="22"/>
        </w:rPr>
        <w:tab/>
      </w:r>
      <w:r w:rsidR="00402AE7" w:rsidRPr="0049037F">
        <w:rPr>
          <w:rFonts w:ascii="Arial" w:hAnsi="Arial" w:cs="Arial"/>
          <w:sz w:val="22"/>
          <w:szCs w:val="22"/>
        </w:rPr>
        <w:tab/>
        <w:t>..............................................4</w:t>
      </w:r>
    </w:p>
    <w:p w14:paraId="0694F940" w14:textId="676B7E04" w:rsidR="00402AE7" w:rsidRPr="0049037F" w:rsidRDefault="00402AE7" w:rsidP="00402AE7">
      <w:pPr>
        <w:rPr>
          <w:rFonts w:ascii="Arial" w:hAnsi="Arial" w:cs="Arial"/>
          <w:sz w:val="22"/>
          <w:szCs w:val="22"/>
        </w:rPr>
      </w:pPr>
      <w:r w:rsidRPr="0049037F">
        <w:rPr>
          <w:rFonts w:ascii="Arial" w:hAnsi="Arial" w:cs="Arial"/>
          <w:sz w:val="22"/>
          <w:szCs w:val="22"/>
        </w:rPr>
        <w:t>The impact of</w:t>
      </w:r>
      <w:r w:rsidR="00F550EB" w:rsidRPr="0049037F">
        <w:rPr>
          <w:rFonts w:ascii="Arial" w:hAnsi="Arial" w:cs="Arial"/>
          <w:sz w:val="22"/>
          <w:szCs w:val="22"/>
        </w:rPr>
        <w:t xml:space="preserve"> T1DM on people in the Community</w:t>
      </w:r>
      <w:r w:rsidRPr="0049037F">
        <w:rPr>
          <w:rFonts w:ascii="Arial" w:hAnsi="Arial" w:cs="Arial"/>
          <w:sz w:val="22"/>
          <w:szCs w:val="22"/>
        </w:rPr>
        <w:tab/>
      </w:r>
      <w:r w:rsidRPr="0049037F">
        <w:rPr>
          <w:rFonts w:ascii="Arial" w:hAnsi="Arial" w:cs="Arial"/>
          <w:sz w:val="22"/>
          <w:szCs w:val="22"/>
        </w:rPr>
        <w:tab/>
      </w:r>
      <w:r w:rsidR="00D04D00">
        <w:rPr>
          <w:rFonts w:ascii="Arial" w:hAnsi="Arial" w:cs="Arial"/>
          <w:sz w:val="22"/>
          <w:szCs w:val="22"/>
        </w:rPr>
        <w:t>………………………...</w:t>
      </w:r>
      <w:r w:rsidRPr="0049037F">
        <w:rPr>
          <w:rFonts w:ascii="Arial" w:hAnsi="Arial" w:cs="Arial"/>
          <w:sz w:val="22"/>
          <w:szCs w:val="22"/>
        </w:rPr>
        <w:t>...........</w:t>
      </w:r>
      <w:r w:rsidR="00F550EB" w:rsidRPr="0049037F">
        <w:rPr>
          <w:rFonts w:ascii="Arial" w:hAnsi="Arial" w:cs="Arial"/>
          <w:sz w:val="22"/>
          <w:szCs w:val="22"/>
        </w:rPr>
        <w:t>5</w:t>
      </w:r>
    </w:p>
    <w:p w14:paraId="1C2ACC51" w14:textId="3D459737" w:rsidR="00402AE7" w:rsidRPr="0049037F" w:rsidRDefault="00402AE7" w:rsidP="00402AE7">
      <w:pPr>
        <w:rPr>
          <w:rFonts w:ascii="Arial" w:hAnsi="Arial" w:cs="Arial"/>
          <w:sz w:val="22"/>
          <w:szCs w:val="22"/>
        </w:rPr>
      </w:pPr>
      <w:r w:rsidRPr="0049037F">
        <w:rPr>
          <w:rFonts w:ascii="Arial" w:hAnsi="Arial" w:cs="Arial"/>
          <w:sz w:val="22"/>
          <w:szCs w:val="22"/>
        </w:rPr>
        <w:t>Health and Social Care support within the community</w:t>
      </w:r>
      <w:r w:rsidRPr="0049037F">
        <w:rPr>
          <w:rFonts w:ascii="Arial" w:hAnsi="Arial" w:cs="Arial"/>
          <w:sz w:val="22"/>
          <w:szCs w:val="22"/>
        </w:rPr>
        <w:tab/>
      </w:r>
      <w:r w:rsidR="00D04D00">
        <w:rPr>
          <w:rFonts w:ascii="Arial" w:hAnsi="Arial" w:cs="Arial"/>
          <w:sz w:val="22"/>
          <w:szCs w:val="22"/>
        </w:rPr>
        <w:t>………………………...</w:t>
      </w:r>
      <w:r w:rsidRPr="0049037F">
        <w:rPr>
          <w:rFonts w:ascii="Arial" w:hAnsi="Arial" w:cs="Arial"/>
          <w:sz w:val="22"/>
          <w:szCs w:val="22"/>
        </w:rPr>
        <w:t>...........</w:t>
      </w:r>
      <w:r w:rsidR="001D4B5D" w:rsidRPr="0049037F">
        <w:rPr>
          <w:rFonts w:ascii="Arial" w:hAnsi="Arial" w:cs="Arial"/>
          <w:sz w:val="22"/>
          <w:szCs w:val="22"/>
        </w:rPr>
        <w:t>6</w:t>
      </w:r>
    </w:p>
    <w:p w14:paraId="30ECFE84" w14:textId="23FE7D2E" w:rsidR="00402AE7" w:rsidRPr="0049037F" w:rsidRDefault="00402AE7" w:rsidP="00402AE7">
      <w:pPr>
        <w:rPr>
          <w:rFonts w:ascii="Arial" w:hAnsi="Arial" w:cs="Arial"/>
          <w:sz w:val="22"/>
          <w:szCs w:val="22"/>
        </w:rPr>
      </w:pPr>
      <w:r w:rsidRPr="0049037F">
        <w:rPr>
          <w:rFonts w:ascii="Arial" w:hAnsi="Arial" w:cs="Arial"/>
          <w:sz w:val="22"/>
          <w:szCs w:val="22"/>
        </w:rPr>
        <w:t>Conclusion</w:t>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00F550EB" w:rsidRPr="0049037F">
        <w:rPr>
          <w:rFonts w:ascii="Arial" w:hAnsi="Arial" w:cs="Arial"/>
          <w:sz w:val="22"/>
          <w:szCs w:val="22"/>
        </w:rPr>
        <w:tab/>
      </w:r>
      <w:r w:rsidRPr="0049037F">
        <w:rPr>
          <w:rFonts w:ascii="Arial" w:hAnsi="Arial" w:cs="Arial"/>
          <w:sz w:val="22"/>
          <w:szCs w:val="22"/>
        </w:rPr>
        <w:t>..............................................</w:t>
      </w:r>
      <w:r w:rsidR="001D4B5D" w:rsidRPr="0049037F">
        <w:rPr>
          <w:rFonts w:ascii="Arial" w:hAnsi="Arial" w:cs="Arial"/>
          <w:sz w:val="22"/>
          <w:szCs w:val="22"/>
        </w:rPr>
        <w:t>7</w:t>
      </w:r>
    </w:p>
    <w:p w14:paraId="0EECE58C" w14:textId="479CA89F" w:rsidR="00402AE7" w:rsidRPr="0049037F" w:rsidRDefault="00402AE7" w:rsidP="00402AE7">
      <w:pPr>
        <w:rPr>
          <w:rFonts w:ascii="Arial" w:hAnsi="Arial" w:cs="Arial"/>
          <w:sz w:val="22"/>
          <w:szCs w:val="22"/>
        </w:rPr>
      </w:pPr>
      <w:r w:rsidRPr="0049037F">
        <w:rPr>
          <w:rFonts w:ascii="Arial" w:hAnsi="Arial" w:cs="Arial"/>
          <w:sz w:val="22"/>
          <w:szCs w:val="22"/>
        </w:rPr>
        <w:t>References</w:t>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Pr="0049037F">
        <w:rPr>
          <w:rFonts w:ascii="Arial" w:hAnsi="Arial" w:cs="Arial"/>
          <w:sz w:val="22"/>
          <w:szCs w:val="22"/>
        </w:rPr>
        <w:tab/>
      </w:r>
      <w:r w:rsidR="00F550EB" w:rsidRPr="0049037F">
        <w:rPr>
          <w:rFonts w:ascii="Arial" w:hAnsi="Arial" w:cs="Arial"/>
          <w:sz w:val="22"/>
          <w:szCs w:val="22"/>
        </w:rPr>
        <w:tab/>
      </w:r>
      <w:r w:rsidRPr="0049037F">
        <w:rPr>
          <w:rFonts w:ascii="Arial" w:hAnsi="Arial" w:cs="Arial"/>
          <w:sz w:val="22"/>
          <w:szCs w:val="22"/>
        </w:rPr>
        <w:tab/>
        <w:t>..............................................</w:t>
      </w:r>
      <w:r w:rsidR="00D04D00">
        <w:rPr>
          <w:rFonts w:ascii="Arial" w:hAnsi="Arial" w:cs="Arial"/>
          <w:sz w:val="22"/>
          <w:szCs w:val="22"/>
        </w:rPr>
        <w:t>.</w:t>
      </w:r>
      <w:r w:rsidR="005C37C9">
        <w:rPr>
          <w:rFonts w:ascii="Arial" w:hAnsi="Arial" w:cs="Arial"/>
          <w:sz w:val="22"/>
          <w:szCs w:val="22"/>
        </w:rPr>
        <w:t>7</w:t>
      </w:r>
    </w:p>
    <w:p w14:paraId="67F487F1" w14:textId="77777777" w:rsidR="00402AE7" w:rsidRPr="0049037F" w:rsidRDefault="00402AE7" w:rsidP="00365D8E">
      <w:pPr>
        <w:spacing w:line="360" w:lineRule="auto"/>
        <w:rPr>
          <w:rFonts w:ascii="Arial" w:hAnsi="Arial" w:cs="Arial"/>
          <w:sz w:val="22"/>
          <w:szCs w:val="22"/>
        </w:rPr>
      </w:pPr>
    </w:p>
    <w:p w14:paraId="260C64E2" w14:textId="77777777" w:rsidR="00402AE7" w:rsidRPr="0049037F" w:rsidRDefault="00402AE7" w:rsidP="00365D8E">
      <w:pPr>
        <w:spacing w:line="360" w:lineRule="auto"/>
        <w:rPr>
          <w:rFonts w:ascii="Arial" w:hAnsi="Arial" w:cs="Arial"/>
          <w:sz w:val="22"/>
          <w:szCs w:val="22"/>
        </w:rPr>
      </w:pPr>
    </w:p>
    <w:p w14:paraId="077E00CB" w14:textId="77777777" w:rsidR="00402AE7" w:rsidRPr="0049037F" w:rsidRDefault="00402AE7" w:rsidP="00365D8E">
      <w:pPr>
        <w:spacing w:line="360" w:lineRule="auto"/>
        <w:rPr>
          <w:rFonts w:ascii="Arial" w:hAnsi="Arial" w:cs="Arial"/>
          <w:sz w:val="22"/>
          <w:szCs w:val="22"/>
        </w:rPr>
      </w:pPr>
    </w:p>
    <w:p w14:paraId="48394006" w14:textId="77777777" w:rsidR="00402AE7" w:rsidRPr="0049037F" w:rsidRDefault="00402AE7" w:rsidP="00365D8E">
      <w:pPr>
        <w:spacing w:line="360" w:lineRule="auto"/>
        <w:rPr>
          <w:rFonts w:ascii="Arial" w:hAnsi="Arial" w:cs="Arial"/>
          <w:sz w:val="22"/>
          <w:szCs w:val="22"/>
        </w:rPr>
      </w:pPr>
    </w:p>
    <w:p w14:paraId="35C4CEB3" w14:textId="77777777" w:rsidR="00402AE7" w:rsidRPr="0049037F" w:rsidRDefault="00402AE7" w:rsidP="00365D8E">
      <w:pPr>
        <w:spacing w:line="360" w:lineRule="auto"/>
        <w:rPr>
          <w:rFonts w:ascii="Arial" w:hAnsi="Arial" w:cs="Arial"/>
          <w:sz w:val="22"/>
          <w:szCs w:val="22"/>
        </w:rPr>
      </w:pPr>
    </w:p>
    <w:p w14:paraId="12426A3F" w14:textId="77777777" w:rsidR="00402AE7" w:rsidRPr="0049037F" w:rsidRDefault="00402AE7" w:rsidP="00365D8E">
      <w:pPr>
        <w:spacing w:line="360" w:lineRule="auto"/>
        <w:rPr>
          <w:rFonts w:ascii="Arial" w:hAnsi="Arial" w:cs="Arial"/>
          <w:sz w:val="22"/>
          <w:szCs w:val="22"/>
        </w:rPr>
      </w:pPr>
    </w:p>
    <w:p w14:paraId="2F8BF378" w14:textId="77777777" w:rsidR="00402AE7" w:rsidRPr="0049037F" w:rsidRDefault="00402AE7" w:rsidP="00365D8E">
      <w:pPr>
        <w:spacing w:line="360" w:lineRule="auto"/>
        <w:rPr>
          <w:rFonts w:ascii="Arial" w:hAnsi="Arial" w:cs="Arial"/>
          <w:sz w:val="22"/>
          <w:szCs w:val="22"/>
        </w:rPr>
      </w:pPr>
    </w:p>
    <w:p w14:paraId="794C6D21" w14:textId="77777777" w:rsidR="00402AE7" w:rsidRPr="0049037F" w:rsidRDefault="00402AE7" w:rsidP="00365D8E">
      <w:pPr>
        <w:spacing w:line="360" w:lineRule="auto"/>
        <w:rPr>
          <w:rFonts w:ascii="Arial" w:hAnsi="Arial" w:cs="Arial"/>
          <w:sz w:val="22"/>
          <w:szCs w:val="22"/>
        </w:rPr>
      </w:pPr>
    </w:p>
    <w:p w14:paraId="14002B01" w14:textId="77777777" w:rsidR="00402AE7" w:rsidRPr="0049037F" w:rsidRDefault="00402AE7" w:rsidP="00365D8E">
      <w:pPr>
        <w:spacing w:line="360" w:lineRule="auto"/>
        <w:rPr>
          <w:rFonts w:ascii="Arial" w:hAnsi="Arial" w:cs="Arial"/>
          <w:sz w:val="22"/>
          <w:szCs w:val="22"/>
        </w:rPr>
      </w:pPr>
    </w:p>
    <w:p w14:paraId="43C8956B" w14:textId="77777777" w:rsidR="00402AE7" w:rsidRPr="0049037F" w:rsidRDefault="00402AE7" w:rsidP="00365D8E">
      <w:pPr>
        <w:spacing w:line="360" w:lineRule="auto"/>
        <w:rPr>
          <w:rFonts w:ascii="Arial" w:hAnsi="Arial" w:cs="Arial"/>
          <w:sz w:val="22"/>
          <w:szCs w:val="22"/>
        </w:rPr>
      </w:pPr>
    </w:p>
    <w:p w14:paraId="38820559" w14:textId="77777777" w:rsidR="00402AE7" w:rsidRPr="0049037F" w:rsidRDefault="00402AE7" w:rsidP="00365D8E">
      <w:pPr>
        <w:spacing w:line="360" w:lineRule="auto"/>
        <w:rPr>
          <w:rFonts w:ascii="Arial" w:hAnsi="Arial" w:cs="Arial"/>
          <w:sz w:val="22"/>
          <w:szCs w:val="22"/>
        </w:rPr>
      </w:pPr>
    </w:p>
    <w:p w14:paraId="093629C2" w14:textId="77777777" w:rsidR="00402AE7" w:rsidRPr="0049037F" w:rsidRDefault="00402AE7" w:rsidP="00365D8E">
      <w:pPr>
        <w:spacing w:line="360" w:lineRule="auto"/>
        <w:rPr>
          <w:rFonts w:ascii="Arial" w:hAnsi="Arial" w:cs="Arial"/>
          <w:sz w:val="22"/>
          <w:szCs w:val="22"/>
        </w:rPr>
      </w:pPr>
    </w:p>
    <w:p w14:paraId="7C9AB679" w14:textId="77777777" w:rsidR="00402AE7" w:rsidRPr="0049037F" w:rsidRDefault="00402AE7" w:rsidP="00365D8E">
      <w:pPr>
        <w:spacing w:line="360" w:lineRule="auto"/>
        <w:rPr>
          <w:rFonts w:ascii="Arial" w:hAnsi="Arial" w:cs="Arial"/>
          <w:sz w:val="22"/>
          <w:szCs w:val="22"/>
        </w:rPr>
      </w:pPr>
    </w:p>
    <w:p w14:paraId="5A240CE9" w14:textId="77777777" w:rsidR="00046E1A" w:rsidRPr="0049037F" w:rsidRDefault="00046E1A" w:rsidP="00365D8E">
      <w:pPr>
        <w:spacing w:line="360" w:lineRule="auto"/>
        <w:rPr>
          <w:rFonts w:ascii="Arial" w:hAnsi="Arial" w:cs="Arial"/>
          <w:sz w:val="22"/>
          <w:szCs w:val="22"/>
        </w:rPr>
      </w:pPr>
    </w:p>
    <w:p w14:paraId="6038CA0C" w14:textId="77777777" w:rsidR="001D4B5D" w:rsidRPr="0049037F" w:rsidRDefault="001D4B5D" w:rsidP="00402AE7">
      <w:pPr>
        <w:spacing w:line="360" w:lineRule="auto"/>
        <w:jc w:val="center"/>
        <w:rPr>
          <w:rFonts w:ascii="Arial" w:hAnsi="Arial" w:cs="Arial"/>
          <w:b/>
          <w:bCs/>
          <w:sz w:val="22"/>
          <w:szCs w:val="22"/>
        </w:rPr>
      </w:pPr>
    </w:p>
    <w:p w14:paraId="6CE52214" w14:textId="77777777" w:rsidR="00402AE7" w:rsidRPr="0049037F" w:rsidRDefault="00402AE7" w:rsidP="00365D8E">
      <w:pPr>
        <w:spacing w:line="360" w:lineRule="auto"/>
        <w:rPr>
          <w:rFonts w:ascii="Arial" w:hAnsi="Arial" w:cs="Arial"/>
          <w:b/>
          <w:bCs/>
          <w:sz w:val="22"/>
          <w:szCs w:val="22"/>
        </w:rPr>
      </w:pPr>
    </w:p>
    <w:p w14:paraId="06F0601E" w14:textId="17DF7FF6" w:rsidR="00814640" w:rsidRPr="005C37C9" w:rsidRDefault="005C37C9" w:rsidP="0049037F">
      <w:pPr>
        <w:spacing w:line="360" w:lineRule="auto"/>
        <w:jc w:val="both"/>
        <w:rPr>
          <w:rFonts w:ascii="Arial" w:hAnsi="Arial" w:cs="Arial"/>
          <w:b/>
          <w:bCs/>
          <w:sz w:val="22"/>
          <w:szCs w:val="22"/>
        </w:rPr>
      </w:pPr>
      <w:r w:rsidRPr="005C37C9">
        <w:rPr>
          <w:rFonts w:ascii="Arial" w:hAnsi="Arial" w:cs="Arial"/>
          <w:b/>
          <w:bCs/>
          <w:sz w:val="22"/>
          <w:szCs w:val="22"/>
        </w:rPr>
        <w:t>INTRODUCTION</w:t>
      </w:r>
    </w:p>
    <w:p w14:paraId="2FEAC951" w14:textId="76EBEAD7" w:rsidR="00814640" w:rsidRPr="0049037F" w:rsidRDefault="00622058" w:rsidP="0049037F">
      <w:pPr>
        <w:spacing w:line="360" w:lineRule="auto"/>
        <w:jc w:val="both"/>
        <w:rPr>
          <w:rFonts w:ascii="Arial" w:hAnsi="Arial" w:cs="Arial"/>
          <w:sz w:val="22"/>
          <w:szCs w:val="22"/>
        </w:rPr>
      </w:pPr>
      <w:r w:rsidRPr="0049037F">
        <w:rPr>
          <w:rFonts w:ascii="Arial" w:hAnsi="Arial" w:cs="Arial"/>
          <w:sz w:val="22"/>
          <w:szCs w:val="22"/>
        </w:rPr>
        <w:t>Type 1 Diabetes Mellitus (T1DM) is a chronic autoimmune illness in which the immune system incorrectly damages insulin-producing beta cells in the pancreas. As a result, the body is unable to manufacture enough insulin, necessitating lifelong insulin replacement medication to maintain blood glucose levels (Atkinson et al., 2021). Unlike Type 2 diabetes, T1DM is not largely caused by lifestyle factors and can occur at any age, but it is more typically diagnosed in childhood and adolescents (DiMeglio et al., 2018). Common symptoms include excessive thirst, frequent urination, unexplained weight loss, increased hunger, weariness, and blurred vision. According to the International Diabetes Federation, over nine million people worldwide suffer from T1DM, including around 400,000 in the United Kingdom (International Diabetes Federation, 2025; Diabetes UK, 2024). Effective monitoring, treatment, and support are consequently critical for reducing problems and improving long-term quality of life.</w:t>
      </w:r>
    </w:p>
    <w:p w14:paraId="51FAF8A2" w14:textId="77777777" w:rsidR="00622058" w:rsidRPr="0049037F" w:rsidRDefault="00622058" w:rsidP="0049037F">
      <w:pPr>
        <w:spacing w:line="360" w:lineRule="auto"/>
        <w:jc w:val="both"/>
        <w:rPr>
          <w:rFonts w:ascii="Arial" w:hAnsi="Arial" w:cs="Arial"/>
          <w:sz w:val="22"/>
          <w:szCs w:val="22"/>
        </w:rPr>
      </w:pPr>
    </w:p>
    <w:p w14:paraId="6D672B87" w14:textId="1A66C24A" w:rsidR="00814640" w:rsidRPr="005C37C9" w:rsidRDefault="005C37C9" w:rsidP="0049037F">
      <w:pPr>
        <w:spacing w:line="360" w:lineRule="auto"/>
        <w:jc w:val="both"/>
        <w:rPr>
          <w:rFonts w:ascii="Arial" w:hAnsi="Arial" w:cs="Arial"/>
          <w:b/>
          <w:bCs/>
          <w:sz w:val="22"/>
          <w:szCs w:val="22"/>
        </w:rPr>
      </w:pPr>
      <w:r w:rsidRPr="005C37C9">
        <w:rPr>
          <w:rFonts w:ascii="Arial" w:hAnsi="Arial" w:cs="Arial"/>
          <w:b/>
          <w:bCs/>
          <w:sz w:val="22"/>
          <w:szCs w:val="22"/>
        </w:rPr>
        <w:t>MEASURE AND MONITOR TYPE 1 DIABETES MELLITUS</w:t>
      </w:r>
    </w:p>
    <w:p w14:paraId="70BAE17A" w14:textId="77777777" w:rsidR="0049037F" w:rsidRDefault="00622058" w:rsidP="0049037F">
      <w:pPr>
        <w:spacing w:line="360" w:lineRule="auto"/>
        <w:jc w:val="both"/>
        <w:rPr>
          <w:rFonts w:ascii="Arial" w:hAnsi="Arial" w:cs="Arial"/>
          <w:sz w:val="22"/>
          <w:szCs w:val="22"/>
          <w:lang w:val="en-GB"/>
        </w:rPr>
      </w:pPr>
      <w:r w:rsidRPr="0049037F">
        <w:rPr>
          <w:rFonts w:ascii="Arial" w:hAnsi="Arial" w:cs="Arial"/>
          <w:sz w:val="22"/>
          <w:szCs w:val="22"/>
          <w:lang w:val="en-GB"/>
        </w:rPr>
        <w:t xml:space="preserve">Type 1 diabetes mellitus (T1DM) necessitates ongoing monitoring to assess blood glucose management, detect changes in health status, and limit the risk of short- and long-term consequences. Healthcare professionals employ a variety of methods to evaluate and manage the condition, including blood glucose tests, glycated haemoglobin (HbA1c), continuous glucose monitoring (CGM), and risk assessment for diabetic complications. </w:t>
      </w:r>
      <w:r w:rsidRPr="0049037F">
        <w:rPr>
          <w:rFonts w:ascii="Arial" w:hAnsi="Arial" w:cs="Arial"/>
          <w:sz w:val="22"/>
          <w:szCs w:val="22"/>
          <w:lang w:val="en-GB"/>
        </w:rPr>
        <w:br/>
        <w:t>Blood glucose monitoring is an important approach for determining current glucose levels. People with T1DM can use a blood glucose meter to assess capillary blood glucose by drawing a little blood sample from their finger. Regular testing can help people understand how their glucose levels change and make informed decisions about insulin, food, and physical exercise (NICE, 2022). However, blood glucose monitoring provides information about glucose levels at a certain point in</w:t>
      </w:r>
      <w:r w:rsidR="0049037F">
        <w:rPr>
          <w:rFonts w:ascii="Arial" w:hAnsi="Arial" w:cs="Arial"/>
          <w:sz w:val="22"/>
          <w:szCs w:val="22"/>
          <w:lang w:val="en-GB"/>
        </w:rPr>
        <w:t xml:space="preserve"> </w:t>
      </w:r>
      <w:r w:rsidRPr="0049037F">
        <w:rPr>
          <w:rFonts w:ascii="Arial" w:hAnsi="Arial" w:cs="Arial"/>
          <w:sz w:val="22"/>
          <w:szCs w:val="22"/>
          <w:lang w:val="en-GB"/>
        </w:rPr>
        <w:t xml:space="preserve">time rather than continuous variations. </w:t>
      </w:r>
    </w:p>
    <w:p w14:paraId="41D9DF84" w14:textId="77777777" w:rsidR="0049037F" w:rsidRDefault="00622058" w:rsidP="0049037F">
      <w:pPr>
        <w:spacing w:line="360" w:lineRule="auto"/>
        <w:jc w:val="both"/>
        <w:rPr>
          <w:rFonts w:ascii="Arial" w:hAnsi="Arial" w:cs="Arial"/>
          <w:sz w:val="22"/>
          <w:szCs w:val="22"/>
          <w:lang w:val="en-GB"/>
        </w:rPr>
      </w:pPr>
      <w:r w:rsidRPr="0049037F">
        <w:rPr>
          <w:rFonts w:ascii="Arial" w:hAnsi="Arial" w:cs="Arial"/>
          <w:sz w:val="22"/>
          <w:szCs w:val="22"/>
          <w:lang w:val="en-GB"/>
        </w:rPr>
        <w:t xml:space="preserve">HbA1c is another important method used to evaluate long-term blood glucose control. It provides an estimate of average blood glucose levels over two to three months and is widely used to determine whether diabetes management is meeting recommended targets (NICE, 2022). HbA1c levels can thus assist healthcare professionals in assessing treatment and determining the need for modifications in diabetes management. </w:t>
      </w:r>
    </w:p>
    <w:p w14:paraId="50BB7C96" w14:textId="470F5E6B" w:rsidR="00622058" w:rsidRPr="0049037F" w:rsidRDefault="00622058" w:rsidP="0049037F">
      <w:pPr>
        <w:spacing w:line="360" w:lineRule="auto"/>
        <w:jc w:val="both"/>
        <w:rPr>
          <w:rFonts w:ascii="Arial" w:hAnsi="Arial" w:cs="Arial"/>
          <w:sz w:val="22"/>
          <w:szCs w:val="22"/>
          <w:lang w:val="en-GB"/>
        </w:rPr>
      </w:pPr>
      <w:r w:rsidRPr="0049037F">
        <w:rPr>
          <w:rFonts w:ascii="Arial" w:hAnsi="Arial" w:cs="Arial"/>
          <w:sz w:val="22"/>
          <w:szCs w:val="22"/>
          <w:lang w:val="en-GB"/>
        </w:rPr>
        <w:lastRenderedPageBreak/>
        <w:t>CGM devices provide more detailed data by continuously detecting glucose levels throughout the day and ni</w:t>
      </w:r>
      <w:r w:rsidR="00C74763">
        <w:rPr>
          <w:rFonts w:ascii="Arial" w:hAnsi="Arial" w:cs="Arial"/>
          <w:sz w:val="22"/>
          <w:szCs w:val="22"/>
          <w:lang w:val="en-GB"/>
        </w:rPr>
        <w:t>ght.</w:t>
      </w:r>
      <w:r w:rsidRPr="0049037F">
        <w:rPr>
          <w:rFonts w:ascii="Arial" w:hAnsi="Arial" w:cs="Arial"/>
          <w:sz w:val="22"/>
          <w:szCs w:val="22"/>
          <w:lang w:val="en-GB"/>
        </w:rPr>
        <w:t xml:space="preserve"> They can detect patterns, trends, and periods of high or low glucose that may not be identified by routine finger-prick tests. CGM can therefore aid enhance self-management and lower the risk of </w:t>
      </w:r>
      <w:r w:rsidR="00C74763" w:rsidRPr="0049037F">
        <w:rPr>
          <w:rFonts w:ascii="Arial" w:hAnsi="Arial" w:cs="Arial"/>
          <w:sz w:val="22"/>
          <w:szCs w:val="22"/>
          <w:lang w:val="en-GB"/>
        </w:rPr>
        <w:t>hypoglycaemia</w:t>
      </w:r>
      <w:r w:rsidRPr="0049037F">
        <w:rPr>
          <w:rFonts w:ascii="Arial" w:hAnsi="Arial" w:cs="Arial"/>
          <w:sz w:val="22"/>
          <w:szCs w:val="22"/>
          <w:lang w:val="en-GB"/>
        </w:rPr>
        <w:t xml:space="preserve"> (NICE, 2022). In addition, monitoring T1DM entails looking for consequences such kidney disease, eye disease, nerve damage, and cardiovascular risk. Regular examinations, such as blood pressure, renal function, urine albumin, and retinal screening, can help detect issues early on (NICE, 2022). Overall, integrating glucose readings, HbA1c, CGM, and routine complication screening allows for a more comprehensive approach to T1DM monitoring and long-term therapy.</w:t>
      </w:r>
    </w:p>
    <w:p w14:paraId="7F8427A7" w14:textId="0DCFB7EE" w:rsidR="00814640" w:rsidRPr="0049037F" w:rsidRDefault="00814640" w:rsidP="0049037F">
      <w:pPr>
        <w:spacing w:line="360" w:lineRule="auto"/>
        <w:jc w:val="both"/>
        <w:rPr>
          <w:rFonts w:ascii="Arial" w:hAnsi="Arial" w:cs="Arial"/>
          <w:sz w:val="22"/>
          <w:szCs w:val="22"/>
        </w:rPr>
      </w:pPr>
    </w:p>
    <w:p w14:paraId="0BF2280F" w14:textId="4FAC1A37" w:rsidR="00814640" w:rsidRPr="005C37C9" w:rsidRDefault="005C37C9" w:rsidP="0049037F">
      <w:pPr>
        <w:spacing w:line="360" w:lineRule="auto"/>
        <w:jc w:val="both"/>
        <w:rPr>
          <w:rFonts w:ascii="Arial" w:hAnsi="Arial" w:cs="Arial"/>
          <w:b/>
          <w:bCs/>
          <w:sz w:val="22"/>
          <w:szCs w:val="22"/>
        </w:rPr>
      </w:pPr>
      <w:r w:rsidRPr="005C37C9">
        <w:rPr>
          <w:rFonts w:ascii="Arial" w:hAnsi="Arial" w:cs="Arial"/>
          <w:b/>
          <w:bCs/>
          <w:sz w:val="22"/>
          <w:szCs w:val="22"/>
        </w:rPr>
        <w:t>HOW TYPE 1 DIABETES MELLITUS IS CONTROLLED</w:t>
      </w:r>
    </w:p>
    <w:p w14:paraId="650654C4" w14:textId="47E7AF74" w:rsidR="00895EA2" w:rsidRPr="0049037F" w:rsidRDefault="00895EA2" w:rsidP="0049037F">
      <w:pPr>
        <w:spacing w:line="360" w:lineRule="auto"/>
        <w:jc w:val="both"/>
        <w:rPr>
          <w:rFonts w:ascii="Arial" w:hAnsi="Arial" w:cs="Arial"/>
          <w:sz w:val="22"/>
          <w:szCs w:val="22"/>
          <w:lang w:val="en-US"/>
        </w:rPr>
      </w:pPr>
      <w:r w:rsidRPr="0049037F">
        <w:rPr>
          <w:rFonts w:ascii="Arial" w:hAnsi="Arial" w:cs="Arial"/>
          <w:sz w:val="22"/>
          <w:szCs w:val="22"/>
          <w:lang w:val="en-US"/>
        </w:rPr>
        <w:t xml:space="preserve">Type 1 diabetes mellitus (T1DM) is a lifelong illness in which the pancreas produces little to no insulin. Because insulin is required to control blood glucose levels, effective management entails a mix of insulin medication, blood glucose monitoring, good food, physical activity, and regular healthcare assistance. The primary goal is to keep blood glucose levels within an acceptable range while </w:t>
      </w:r>
      <w:r w:rsidR="00C74763" w:rsidRPr="0049037F">
        <w:rPr>
          <w:rFonts w:ascii="Arial" w:hAnsi="Arial" w:cs="Arial"/>
          <w:sz w:val="22"/>
          <w:szCs w:val="22"/>
          <w:lang w:val="en-US"/>
        </w:rPr>
        <w:t>minimizing</w:t>
      </w:r>
      <w:r w:rsidRPr="0049037F">
        <w:rPr>
          <w:rFonts w:ascii="Arial" w:hAnsi="Arial" w:cs="Arial"/>
          <w:sz w:val="22"/>
          <w:szCs w:val="22"/>
          <w:lang w:val="en-US"/>
        </w:rPr>
        <w:t xml:space="preserve"> the risk of problems.</w:t>
      </w:r>
    </w:p>
    <w:p w14:paraId="3EEEC07D" w14:textId="0270375A" w:rsidR="00895EA2" w:rsidRPr="0049037F" w:rsidRDefault="00895EA2" w:rsidP="0049037F">
      <w:pPr>
        <w:spacing w:line="360" w:lineRule="auto"/>
        <w:jc w:val="both"/>
        <w:rPr>
          <w:rFonts w:ascii="Arial" w:hAnsi="Arial" w:cs="Arial"/>
          <w:sz w:val="22"/>
          <w:szCs w:val="22"/>
          <w:lang w:val="en-US"/>
        </w:rPr>
      </w:pPr>
      <w:r w:rsidRPr="0049037F">
        <w:rPr>
          <w:rFonts w:ascii="Arial" w:hAnsi="Arial" w:cs="Arial"/>
          <w:sz w:val="22"/>
          <w:szCs w:val="22"/>
          <w:lang w:val="en-US"/>
        </w:rPr>
        <w:t xml:space="preserve">Insulin therapy is the major approach for managing T1DM. People with T1DM require insulin replacement since their bodies are unable to create enough insulin naturally. Insulin may be administered through multiple daily injections or an insulin pump. Treatment is tailored to </w:t>
      </w:r>
      <w:r w:rsidR="00C74763" w:rsidRPr="0049037F">
        <w:rPr>
          <w:rFonts w:ascii="Arial" w:hAnsi="Arial" w:cs="Arial"/>
          <w:sz w:val="22"/>
          <w:szCs w:val="22"/>
          <w:lang w:val="en-US"/>
        </w:rPr>
        <w:t>everyone’s</w:t>
      </w:r>
      <w:r w:rsidRPr="0049037F">
        <w:rPr>
          <w:rFonts w:ascii="Arial" w:hAnsi="Arial" w:cs="Arial"/>
          <w:sz w:val="22"/>
          <w:szCs w:val="22"/>
          <w:lang w:val="en-US"/>
        </w:rPr>
        <w:t xml:space="preserve"> blood glucose levels, dietary intake, physical activity, and demands (NICE, 2022). Appropriate insulin control can help prevent hyperglycemia and lower the risk of diabetic ketoacidosis (DKA).</w:t>
      </w:r>
    </w:p>
    <w:p w14:paraId="685B5AB8" w14:textId="77777777" w:rsidR="00895EA2" w:rsidRPr="0049037F" w:rsidRDefault="00895EA2" w:rsidP="0049037F">
      <w:pPr>
        <w:spacing w:line="360" w:lineRule="auto"/>
        <w:jc w:val="both"/>
        <w:rPr>
          <w:rFonts w:ascii="Arial" w:hAnsi="Arial" w:cs="Arial"/>
          <w:sz w:val="22"/>
          <w:szCs w:val="22"/>
          <w:lang w:val="en-US"/>
        </w:rPr>
      </w:pPr>
      <w:r w:rsidRPr="0049037F">
        <w:rPr>
          <w:rFonts w:ascii="Arial" w:hAnsi="Arial" w:cs="Arial"/>
          <w:sz w:val="22"/>
          <w:szCs w:val="22"/>
          <w:lang w:val="en-US"/>
        </w:rPr>
        <w:t xml:space="preserve">Blood glucose levels should be monitored on a regular basis to help </w:t>
      </w:r>
      <w:proofErr w:type="gramStart"/>
      <w:r w:rsidRPr="0049037F">
        <w:rPr>
          <w:rFonts w:ascii="Arial" w:hAnsi="Arial" w:cs="Arial"/>
          <w:sz w:val="22"/>
          <w:szCs w:val="22"/>
          <w:lang w:val="en-US"/>
        </w:rPr>
        <w:t>in</w:t>
      </w:r>
      <w:proofErr w:type="gramEnd"/>
      <w:r w:rsidRPr="0049037F">
        <w:rPr>
          <w:rFonts w:ascii="Arial" w:hAnsi="Arial" w:cs="Arial"/>
          <w:sz w:val="22"/>
          <w:szCs w:val="22"/>
          <w:lang w:val="en-US"/>
        </w:rPr>
        <w:t xml:space="preserve"> diabetes management. Finger-prick blood glucose testing and continuous glucose monitoring (CGM) enable people to detect high or low glucose levels and change their insulin prescription accordingly. CGM can also send alarms when glucose levels exceed the individual's desired range (NICE, 2022).</w:t>
      </w:r>
    </w:p>
    <w:p w14:paraId="13B4207C" w14:textId="672E0FDA" w:rsidR="00895EA2" w:rsidRPr="0049037F" w:rsidRDefault="00895EA2" w:rsidP="0049037F">
      <w:pPr>
        <w:spacing w:line="360" w:lineRule="auto"/>
        <w:jc w:val="both"/>
        <w:rPr>
          <w:rFonts w:ascii="Arial" w:hAnsi="Arial" w:cs="Arial"/>
          <w:sz w:val="22"/>
          <w:szCs w:val="22"/>
          <w:lang w:val="en-US"/>
        </w:rPr>
      </w:pPr>
      <w:r w:rsidRPr="0049037F">
        <w:rPr>
          <w:rFonts w:ascii="Arial" w:hAnsi="Arial" w:cs="Arial"/>
          <w:sz w:val="22"/>
          <w:szCs w:val="22"/>
          <w:lang w:val="en-US"/>
        </w:rPr>
        <w:t xml:space="preserve">A healthy diet and frequent physical activity are important aspects of diabetes control. Individuals should understand how carbohydrate intake affects blood glucose levels and adjust insulin doses accordingly. Physical activity can benefit general health and may affect insulin </w:t>
      </w:r>
      <w:r w:rsidR="00C74763" w:rsidRPr="0049037F">
        <w:rPr>
          <w:rFonts w:ascii="Arial" w:hAnsi="Arial" w:cs="Arial"/>
          <w:sz w:val="22"/>
          <w:szCs w:val="22"/>
          <w:lang w:val="en-US"/>
        </w:rPr>
        <w:t>requirements;</w:t>
      </w:r>
      <w:r w:rsidRPr="0049037F">
        <w:rPr>
          <w:rFonts w:ascii="Arial" w:hAnsi="Arial" w:cs="Arial"/>
          <w:sz w:val="22"/>
          <w:szCs w:val="22"/>
          <w:lang w:val="en-US"/>
        </w:rPr>
        <w:t xml:space="preserve"> </w:t>
      </w:r>
      <w:r w:rsidR="00C74763" w:rsidRPr="0049037F">
        <w:rPr>
          <w:rFonts w:ascii="Arial" w:hAnsi="Arial" w:cs="Arial"/>
          <w:sz w:val="22"/>
          <w:szCs w:val="22"/>
          <w:lang w:val="en-US"/>
        </w:rPr>
        <w:t>therefore,</w:t>
      </w:r>
      <w:r w:rsidRPr="0049037F">
        <w:rPr>
          <w:rFonts w:ascii="Arial" w:hAnsi="Arial" w:cs="Arial"/>
          <w:sz w:val="22"/>
          <w:szCs w:val="22"/>
          <w:lang w:val="en-US"/>
        </w:rPr>
        <w:t xml:space="preserve"> proper monitoring is essential before and after exercise.</w:t>
      </w:r>
    </w:p>
    <w:p w14:paraId="1A640A0E" w14:textId="05F6816C" w:rsidR="00904025" w:rsidRPr="0049037F" w:rsidRDefault="00895EA2" w:rsidP="0049037F">
      <w:pPr>
        <w:spacing w:line="360" w:lineRule="auto"/>
        <w:jc w:val="both"/>
        <w:rPr>
          <w:rFonts w:ascii="Arial" w:hAnsi="Arial" w:cs="Arial"/>
          <w:sz w:val="22"/>
          <w:szCs w:val="22"/>
          <w:lang w:val="en-US"/>
        </w:rPr>
      </w:pPr>
      <w:r w:rsidRPr="0049037F">
        <w:rPr>
          <w:rFonts w:ascii="Arial" w:hAnsi="Arial" w:cs="Arial"/>
          <w:sz w:val="22"/>
          <w:szCs w:val="22"/>
          <w:lang w:val="en-US"/>
        </w:rPr>
        <w:lastRenderedPageBreak/>
        <w:t xml:space="preserve">Education and frequent medical checkups are also necessary. Diabetes education teaches people how to administer insulin, monitor their glucose levels, eat properly, and </w:t>
      </w:r>
      <w:r w:rsidR="00C74763" w:rsidRPr="0049037F">
        <w:rPr>
          <w:rFonts w:ascii="Arial" w:hAnsi="Arial" w:cs="Arial"/>
          <w:sz w:val="22"/>
          <w:szCs w:val="22"/>
          <w:lang w:val="en-US"/>
        </w:rPr>
        <w:t>recognize</w:t>
      </w:r>
      <w:r w:rsidRPr="0049037F">
        <w:rPr>
          <w:rFonts w:ascii="Arial" w:hAnsi="Arial" w:cs="Arial"/>
          <w:sz w:val="22"/>
          <w:szCs w:val="22"/>
          <w:lang w:val="en-US"/>
        </w:rPr>
        <w:t xml:space="preserve"> hypoglycemia and DKA. Regular evaluations enable healthcare providers to evaluate </w:t>
      </w:r>
      <w:r w:rsidR="00C74763" w:rsidRPr="0049037F">
        <w:rPr>
          <w:rFonts w:ascii="Arial" w:hAnsi="Arial" w:cs="Arial"/>
          <w:sz w:val="22"/>
          <w:szCs w:val="22"/>
          <w:lang w:val="en-US"/>
        </w:rPr>
        <w:t>glycemic</w:t>
      </w:r>
      <w:r w:rsidRPr="0049037F">
        <w:rPr>
          <w:rFonts w:ascii="Arial" w:hAnsi="Arial" w:cs="Arial"/>
          <w:sz w:val="22"/>
          <w:szCs w:val="22"/>
          <w:lang w:val="en-US"/>
        </w:rPr>
        <w:t xml:space="preserve"> control and identify any problems. Overall, effective T1DM management necessitates lifelong self-management assisted by healthcare specialists, with treatment tailored to the individual's requirements and circumstances.</w:t>
      </w:r>
    </w:p>
    <w:p w14:paraId="3E0F11E3" w14:textId="77777777" w:rsidR="00895EA2" w:rsidRPr="0049037F" w:rsidRDefault="00895EA2" w:rsidP="0049037F">
      <w:pPr>
        <w:spacing w:line="360" w:lineRule="auto"/>
        <w:jc w:val="both"/>
        <w:rPr>
          <w:rFonts w:ascii="Arial" w:hAnsi="Arial" w:cs="Arial"/>
          <w:sz w:val="22"/>
          <w:szCs w:val="22"/>
        </w:rPr>
      </w:pPr>
    </w:p>
    <w:p w14:paraId="0CBE24DB" w14:textId="50D72B7F" w:rsidR="00814640" w:rsidRPr="005C37C9" w:rsidRDefault="005C37C9" w:rsidP="0049037F">
      <w:pPr>
        <w:spacing w:line="360" w:lineRule="auto"/>
        <w:jc w:val="both"/>
        <w:rPr>
          <w:rFonts w:ascii="Arial" w:hAnsi="Arial" w:cs="Arial"/>
          <w:b/>
          <w:bCs/>
          <w:sz w:val="22"/>
          <w:szCs w:val="22"/>
        </w:rPr>
      </w:pPr>
      <w:r w:rsidRPr="005C37C9">
        <w:rPr>
          <w:rFonts w:ascii="Arial" w:hAnsi="Arial" w:cs="Arial"/>
          <w:b/>
          <w:bCs/>
          <w:sz w:val="22"/>
          <w:szCs w:val="22"/>
        </w:rPr>
        <w:t>THE IMPACT OF TYPE 1 DIABETES MELLITUS ON PEOPLE IN THE COMMUNITY</w:t>
      </w:r>
    </w:p>
    <w:p w14:paraId="669D7CDC" w14:textId="77777777" w:rsidR="0049037F" w:rsidRPr="0049037F" w:rsidRDefault="0049037F" w:rsidP="0049037F">
      <w:pPr>
        <w:spacing w:line="360" w:lineRule="auto"/>
        <w:jc w:val="both"/>
        <w:rPr>
          <w:rFonts w:ascii="Arial" w:hAnsi="Arial" w:cs="Arial"/>
          <w:sz w:val="22"/>
          <w:szCs w:val="22"/>
          <w:lang w:val="en-US"/>
        </w:rPr>
      </w:pPr>
      <w:bookmarkStart w:id="0" w:name="_Hlk237069689"/>
      <w:r w:rsidRPr="0049037F">
        <w:rPr>
          <w:rFonts w:ascii="Arial" w:hAnsi="Arial" w:cs="Arial"/>
          <w:sz w:val="22"/>
          <w:szCs w:val="22"/>
          <w:lang w:val="en-US"/>
        </w:rPr>
        <w:t>Type 1 diabetes mellitus (T1DM) can have serious physical, psychological, social, and financial ramifications for individuals in the community. Although good therapy can help people live more active lives, the condition must be managed for the rest of their lives, which can have an impact on daily activities, independence, and overall quality of life.</w:t>
      </w:r>
    </w:p>
    <w:p w14:paraId="42CBFC2F" w14:textId="2850E26C" w:rsidR="0049037F" w:rsidRPr="0049037F" w:rsidRDefault="0049037F" w:rsidP="0049037F">
      <w:pPr>
        <w:spacing w:line="360" w:lineRule="auto"/>
        <w:jc w:val="both"/>
        <w:rPr>
          <w:rFonts w:ascii="Arial" w:hAnsi="Arial" w:cs="Arial"/>
          <w:sz w:val="22"/>
          <w:szCs w:val="22"/>
          <w:lang w:val="en-US"/>
        </w:rPr>
      </w:pPr>
      <w:r w:rsidRPr="0049037F">
        <w:rPr>
          <w:rFonts w:ascii="Arial" w:hAnsi="Arial" w:cs="Arial"/>
          <w:sz w:val="22"/>
          <w:szCs w:val="22"/>
          <w:lang w:val="en-US"/>
        </w:rPr>
        <w:t xml:space="preserve">Physically, patients with T1DM have both short- and long-term difficulties. Poor blood glucose regulation can lead to hypoglycemia, which can cause sweating, confusion, dizziness, and, in severe cases, loss of consciousness. Persistent hyperglycemia, on the other hand, can raise the risk of kidney, eye, nerve, and cardiovascular issues (NICE, 2022). Additional healthcare, therapy, and community assistance may be required </w:t>
      </w:r>
      <w:r w:rsidR="00C74763" w:rsidRPr="0049037F">
        <w:rPr>
          <w:rFonts w:ascii="Arial" w:hAnsi="Arial" w:cs="Arial"/>
          <w:sz w:val="22"/>
          <w:szCs w:val="22"/>
          <w:lang w:val="en-US"/>
        </w:rPr>
        <w:t>because of</w:t>
      </w:r>
      <w:r w:rsidRPr="0049037F">
        <w:rPr>
          <w:rFonts w:ascii="Arial" w:hAnsi="Arial" w:cs="Arial"/>
          <w:sz w:val="22"/>
          <w:szCs w:val="22"/>
          <w:lang w:val="en-US"/>
        </w:rPr>
        <w:t xml:space="preserve"> these consequences.</w:t>
      </w:r>
    </w:p>
    <w:p w14:paraId="26965F02" w14:textId="77777777" w:rsidR="0049037F" w:rsidRPr="0049037F" w:rsidRDefault="0049037F" w:rsidP="0049037F">
      <w:pPr>
        <w:spacing w:line="360" w:lineRule="auto"/>
        <w:jc w:val="both"/>
        <w:rPr>
          <w:rFonts w:ascii="Arial" w:hAnsi="Arial" w:cs="Arial"/>
          <w:sz w:val="22"/>
          <w:szCs w:val="22"/>
          <w:lang w:val="en-US"/>
        </w:rPr>
      </w:pPr>
      <w:r w:rsidRPr="0049037F">
        <w:rPr>
          <w:rFonts w:ascii="Arial" w:hAnsi="Arial" w:cs="Arial"/>
          <w:sz w:val="22"/>
          <w:szCs w:val="22"/>
          <w:lang w:val="en-US"/>
        </w:rPr>
        <w:t>T1DM can potentially have psychological effects. The need to constantly monitor blood glucose, administer insulin, and regulate food and physical exercise can add a significant daily load. Some people may experience anxiety, stress, or diabetes-related distress, especially if they are concerned about hypoglycemia or keeping glucose levels within the acceptable range. These problems can have an impact on emotional well-being and quality of life (Diabetes UK, 2024).</w:t>
      </w:r>
    </w:p>
    <w:p w14:paraId="71C79196" w14:textId="77777777" w:rsidR="0049037F" w:rsidRPr="0049037F" w:rsidRDefault="0049037F" w:rsidP="0049037F">
      <w:pPr>
        <w:spacing w:line="360" w:lineRule="auto"/>
        <w:jc w:val="both"/>
        <w:rPr>
          <w:rFonts w:ascii="Arial" w:hAnsi="Arial" w:cs="Arial"/>
          <w:sz w:val="22"/>
          <w:szCs w:val="22"/>
          <w:lang w:val="en-US"/>
        </w:rPr>
      </w:pPr>
      <w:r w:rsidRPr="0049037F">
        <w:rPr>
          <w:rFonts w:ascii="Arial" w:hAnsi="Arial" w:cs="Arial"/>
          <w:sz w:val="22"/>
          <w:szCs w:val="22"/>
          <w:lang w:val="en-US"/>
        </w:rPr>
        <w:t>Socially, diabetes management can have an impact on education, work, relationships, and community participation. Individuals with diabetes may need to plan meals, carry insulin and glucose monitoring equipment, and keep their diabetes in mind when travelling or partaking in physical activities. Young individuals may also struggle with social acceptance or feel unlike their classmates.</w:t>
      </w:r>
    </w:p>
    <w:p w14:paraId="2962B791" w14:textId="2E9CAD05" w:rsidR="00904025" w:rsidRPr="00944F3D" w:rsidRDefault="0049037F" w:rsidP="0049037F">
      <w:pPr>
        <w:spacing w:line="360" w:lineRule="auto"/>
        <w:jc w:val="both"/>
        <w:rPr>
          <w:rFonts w:ascii="Arial" w:hAnsi="Arial" w:cs="Arial"/>
          <w:sz w:val="22"/>
          <w:szCs w:val="22"/>
          <w:lang w:val="en-US"/>
        </w:rPr>
      </w:pPr>
      <w:r w:rsidRPr="0049037F">
        <w:rPr>
          <w:rFonts w:ascii="Arial" w:hAnsi="Arial" w:cs="Arial"/>
          <w:sz w:val="22"/>
          <w:szCs w:val="22"/>
          <w:lang w:val="en-US"/>
        </w:rPr>
        <w:t xml:space="preserve">Individuals, families, and the community </w:t>
      </w:r>
      <w:r w:rsidR="00C74763" w:rsidRPr="0049037F">
        <w:rPr>
          <w:rFonts w:ascii="Arial" w:hAnsi="Arial" w:cs="Arial"/>
          <w:sz w:val="22"/>
          <w:szCs w:val="22"/>
          <w:lang w:val="en-US"/>
        </w:rPr>
        <w:t>may</w:t>
      </w:r>
      <w:r w:rsidRPr="0049037F">
        <w:rPr>
          <w:rFonts w:ascii="Arial" w:hAnsi="Arial" w:cs="Arial"/>
          <w:sz w:val="22"/>
          <w:szCs w:val="22"/>
          <w:lang w:val="en-US"/>
        </w:rPr>
        <w:t xml:space="preserve"> face economic implications. Diabetes equipment, treatment, transportation to healthcare visits, and time away from work or school can all be costly. Diabetes problems can raise demand for primary care, specialist services, and </w:t>
      </w:r>
      <w:r w:rsidR="00C74763" w:rsidRPr="0049037F">
        <w:rPr>
          <w:rFonts w:ascii="Arial" w:hAnsi="Arial" w:cs="Arial"/>
          <w:sz w:val="22"/>
          <w:szCs w:val="22"/>
          <w:lang w:val="en-US"/>
        </w:rPr>
        <w:t>hospitalization</w:t>
      </w:r>
      <w:r w:rsidRPr="0049037F">
        <w:rPr>
          <w:rFonts w:ascii="Arial" w:hAnsi="Arial" w:cs="Arial"/>
          <w:sz w:val="22"/>
          <w:szCs w:val="22"/>
          <w:lang w:val="en-US"/>
        </w:rPr>
        <w:t xml:space="preserve"> in the broader health and social care system. Thus, comprehensive diabetes education, self-</w:t>
      </w:r>
      <w:r w:rsidRPr="0049037F">
        <w:rPr>
          <w:rFonts w:ascii="Arial" w:hAnsi="Arial" w:cs="Arial"/>
          <w:sz w:val="22"/>
          <w:szCs w:val="22"/>
          <w:lang w:val="en-US"/>
        </w:rPr>
        <w:lastRenderedPageBreak/>
        <w:t>management assistance, and accessible community healthcare are critical for decreasing complications and enhancing quality of life.</w:t>
      </w:r>
    </w:p>
    <w:bookmarkEnd w:id="0"/>
    <w:p w14:paraId="62217AC8" w14:textId="77777777" w:rsidR="00944F3D" w:rsidRDefault="00944F3D" w:rsidP="0049037F">
      <w:pPr>
        <w:spacing w:line="360" w:lineRule="auto"/>
        <w:jc w:val="both"/>
        <w:rPr>
          <w:rFonts w:ascii="Arial" w:hAnsi="Arial" w:cs="Arial"/>
          <w:b/>
          <w:bCs/>
          <w:sz w:val="22"/>
          <w:szCs w:val="22"/>
        </w:rPr>
      </w:pPr>
    </w:p>
    <w:p w14:paraId="77057968" w14:textId="490F118F" w:rsidR="00814640" w:rsidRPr="005C37C9" w:rsidRDefault="005C37C9" w:rsidP="0049037F">
      <w:pPr>
        <w:spacing w:line="360" w:lineRule="auto"/>
        <w:jc w:val="both"/>
        <w:rPr>
          <w:rFonts w:ascii="Arial" w:hAnsi="Arial" w:cs="Arial"/>
          <w:b/>
          <w:bCs/>
          <w:sz w:val="22"/>
          <w:szCs w:val="22"/>
        </w:rPr>
      </w:pPr>
      <w:r w:rsidRPr="005C37C9">
        <w:rPr>
          <w:rFonts w:ascii="Arial" w:hAnsi="Arial" w:cs="Arial"/>
          <w:b/>
          <w:bCs/>
          <w:sz w:val="22"/>
          <w:szCs w:val="22"/>
        </w:rPr>
        <w:t>HEALTH AND SOCIAL CARE SUPPORT SERVICES REQUIRED TO MEET INDIVIDUAL NEEDS</w:t>
      </w:r>
    </w:p>
    <w:p w14:paraId="1782C6ED" w14:textId="77777777" w:rsidR="0049037F" w:rsidRPr="0049037F" w:rsidRDefault="0049037F" w:rsidP="0049037F">
      <w:pPr>
        <w:spacing w:line="360" w:lineRule="auto"/>
        <w:jc w:val="both"/>
        <w:rPr>
          <w:rFonts w:ascii="Arial" w:hAnsi="Arial" w:cs="Arial"/>
          <w:sz w:val="22"/>
          <w:szCs w:val="22"/>
          <w:lang w:val="en-US"/>
        </w:rPr>
      </w:pPr>
      <w:r w:rsidRPr="0049037F">
        <w:rPr>
          <w:rFonts w:ascii="Arial" w:hAnsi="Arial" w:cs="Arial"/>
          <w:sz w:val="22"/>
          <w:szCs w:val="22"/>
          <w:lang w:val="en-US"/>
        </w:rPr>
        <w:t>People with Type 1 diabetes mellitus (T1DM) require a wide range of health and social care services to meet their specific physical, psychological, and social needs. Because T1DM requires lifelong management, coordinated care is essential to assisting individuals in maintaining acceptable blood glucose levels, avoiding problems, and achieving a good quality of life.</w:t>
      </w:r>
    </w:p>
    <w:p w14:paraId="0F16237B" w14:textId="478736DF" w:rsidR="0049037F" w:rsidRPr="0049037F" w:rsidRDefault="0049037F" w:rsidP="0049037F">
      <w:pPr>
        <w:spacing w:line="360" w:lineRule="auto"/>
        <w:jc w:val="both"/>
        <w:rPr>
          <w:rFonts w:ascii="Arial" w:hAnsi="Arial" w:cs="Arial"/>
          <w:sz w:val="22"/>
          <w:szCs w:val="22"/>
          <w:lang w:val="en-US"/>
        </w:rPr>
      </w:pPr>
      <w:r w:rsidRPr="0049037F">
        <w:rPr>
          <w:rFonts w:ascii="Arial" w:hAnsi="Arial" w:cs="Arial"/>
          <w:sz w:val="22"/>
          <w:szCs w:val="22"/>
          <w:lang w:val="en-US"/>
        </w:rPr>
        <w:t xml:space="preserve">Primary healthcare services, which include general practitioners (GPs) and practice nurses, offer ongoing monitoring and assistance. They can check blood glucose control, blood pressure, medication, and overall health, determining when additional specialist evaluation is warranted. Specialist diabetes teams, which include diabetologists, diabetes specialist nurses, and dietitians, offer additional </w:t>
      </w:r>
      <w:r w:rsidR="00C74763" w:rsidRPr="0049037F">
        <w:rPr>
          <w:rFonts w:ascii="Arial" w:hAnsi="Arial" w:cs="Arial"/>
          <w:sz w:val="22"/>
          <w:szCs w:val="22"/>
          <w:lang w:val="en-US"/>
        </w:rPr>
        <w:t>specialized</w:t>
      </w:r>
      <w:r w:rsidRPr="0049037F">
        <w:rPr>
          <w:rFonts w:ascii="Arial" w:hAnsi="Arial" w:cs="Arial"/>
          <w:sz w:val="22"/>
          <w:szCs w:val="22"/>
          <w:lang w:val="en-US"/>
        </w:rPr>
        <w:t xml:space="preserve"> assistance with insulin control, nutrition, glucose monitoring, and self-management (NICE, 2022).</w:t>
      </w:r>
    </w:p>
    <w:p w14:paraId="5F5BCDB2" w14:textId="060D2B20" w:rsidR="0049037F" w:rsidRPr="0049037F" w:rsidRDefault="00C74763" w:rsidP="0049037F">
      <w:pPr>
        <w:spacing w:line="360" w:lineRule="auto"/>
        <w:jc w:val="both"/>
        <w:rPr>
          <w:rFonts w:ascii="Arial" w:hAnsi="Arial" w:cs="Arial"/>
          <w:sz w:val="22"/>
          <w:szCs w:val="22"/>
          <w:lang w:val="en-US"/>
        </w:rPr>
      </w:pPr>
      <w:r w:rsidRPr="0049037F">
        <w:rPr>
          <w:rFonts w:ascii="Arial" w:hAnsi="Arial" w:cs="Arial"/>
          <w:sz w:val="22"/>
          <w:szCs w:val="22"/>
          <w:lang w:val="en-US"/>
        </w:rPr>
        <w:t>Education with diabetes</w:t>
      </w:r>
      <w:r w:rsidR="0049037F" w:rsidRPr="0049037F">
        <w:rPr>
          <w:rFonts w:ascii="Arial" w:hAnsi="Arial" w:cs="Arial"/>
          <w:sz w:val="22"/>
          <w:szCs w:val="22"/>
          <w:lang w:val="en-US"/>
        </w:rPr>
        <w:t xml:space="preserve"> is very important since people require knowledge and practical skills to manage their condition on their own. Structured education can assist people comprehend insulin administration, carbohydrate intake, blood glucose monitoring, physical activity, and the diagnosis and treatment of hypoglycemia. Continuous glucose monitoring (CGM) and other diabetes technologies may also be supplied when clinically indicated to aid in effective self-management (NICE, 2022).</w:t>
      </w:r>
    </w:p>
    <w:p w14:paraId="5FEEFF5A" w14:textId="36F210B0" w:rsidR="0049037F" w:rsidRPr="0049037F" w:rsidRDefault="0049037F" w:rsidP="0049037F">
      <w:pPr>
        <w:spacing w:line="360" w:lineRule="auto"/>
        <w:jc w:val="both"/>
        <w:rPr>
          <w:rFonts w:ascii="Arial" w:hAnsi="Arial" w:cs="Arial"/>
          <w:sz w:val="22"/>
          <w:szCs w:val="22"/>
          <w:lang w:val="en-US"/>
        </w:rPr>
      </w:pPr>
      <w:r w:rsidRPr="0049037F">
        <w:rPr>
          <w:rFonts w:ascii="Arial" w:hAnsi="Arial" w:cs="Arial"/>
          <w:sz w:val="22"/>
          <w:szCs w:val="22"/>
          <w:lang w:val="en-US"/>
        </w:rPr>
        <w:t>Psychological support is another vital service because living with T1DM can cause emotional and mental strain. Counselling, psychological services, and diabetes teams can all assist people in dealing with diabetes-related stress, anxiety, and self-management issues. Support should be tailored to the individual's choices, circumstances, and abilities to manage their disease.</w:t>
      </w:r>
    </w:p>
    <w:p w14:paraId="6EC709CB" w14:textId="77777777" w:rsidR="0049037F" w:rsidRPr="0049037F" w:rsidRDefault="0049037F" w:rsidP="0049037F">
      <w:pPr>
        <w:spacing w:line="360" w:lineRule="auto"/>
        <w:jc w:val="both"/>
        <w:rPr>
          <w:rFonts w:ascii="Arial" w:hAnsi="Arial" w:cs="Arial"/>
          <w:sz w:val="22"/>
          <w:szCs w:val="22"/>
          <w:lang w:val="en-US"/>
        </w:rPr>
      </w:pPr>
      <w:r w:rsidRPr="0049037F">
        <w:rPr>
          <w:rFonts w:ascii="Arial" w:hAnsi="Arial" w:cs="Arial"/>
          <w:sz w:val="22"/>
          <w:szCs w:val="22"/>
          <w:lang w:val="en-US"/>
        </w:rPr>
        <w:t>Other services may be required if diabetes interferes with an individual's everyday functioning or creates complications. Podiatry services, for example, can help those who are at risk of foot troubles, whereas ophthalmology services can evaluate and treat diabetes-related vision issues. Social care services may also give practical assistance when an individual struggles with independence or everyday routines.</w:t>
      </w:r>
    </w:p>
    <w:p w14:paraId="61FB26A6" w14:textId="7B1D47A3" w:rsidR="00904025" w:rsidRPr="0049037F" w:rsidRDefault="0049037F" w:rsidP="0049037F">
      <w:pPr>
        <w:spacing w:line="360" w:lineRule="auto"/>
        <w:jc w:val="both"/>
        <w:rPr>
          <w:rFonts w:ascii="Arial" w:hAnsi="Arial" w:cs="Arial"/>
          <w:sz w:val="22"/>
          <w:szCs w:val="22"/>
        </w:rPr>
      </w:pPr>
      <w:r w:rsidRPr="0049037F">
        <w:rPr>
          <w:rFonts w:ascii="Arial" w:hAnsi="Arial" w:cs="Arial"/>
          <w:sz w:val="22"/>
          <w:szCs w:val="22"/>
          <w:lang w:val="en-US"/>
        </w:rPr>
        <w:lastRenderedPageBreak/>
        <w:t>Effective communication and collaboration among health and social care providers are required to ensure that care is coordinated and person-</w:t>
      </w:r>
      <w:r w:rsidR="00C74763" w:rsidRPr="0049037F">
        <w:rPr>
          <w:rFonts w:ascii="Arial" w:hAnsi="Arial" w:cs="Arial"/>
          <w:sz w:val="22"/>
          <w:szCs w:val="22"/>
          <w:lang w:val="en-US"/>
        </w:rPr>
        <w:t>centered</w:t>
      </w:r>
      <w:r w:rsidRPr="0049037F">
        <w:rPr>
          <w:rFonts w:ascii="Arial" w:hAnsi="Arial" w:cs="Arial"/>
          <w:sz w:val="22"/>
          <w:szCs w:val="22"/>
          <w:lang w:val="en-US"/>
        </w:rPr>
        <w:t>. Overall, a multidisciplinary approach allows services to adapt to individuals' changing requirements while fostering independence, safety, and long-term well-being.</w:t>
      </w:r>
    </w:p>
    <w:p w14:paraId="200978BB" w14:textId="77777777" w:rsidR="00944F3D" w:rsidRDefault="00944F3D" w:rsidP="0049037F">
      <w:pPr>
        <w:spacing w:line="360" w:lineRule="auto"/>
        <w:jc w:val="both"/>
        <w:rPr>
          <w:rFonts w:ascii="Arial" w:hAnsi="Arial" w:cs="Arial"/>
          <w:b/>
          <w:bCs/>
          <w:sz w:val="22"/>
          <w:szCs w:val="22"/>
        </w:rPr>
      </w:pPr>
    </w:p>
    <w:p w14:paraId="0093CCA8" w14:textId="397030B6" w:rsidR="00814640" w:rsidRPr="005C37C9" w:rsidRDefault="005C37C9" w:rsidP="0049037F">
      <w:pPr>
        <w:spacing w:line="360" w:lineRule="auto"/>
        <w:jc w:val="both"/>
        <w:rPr>
          <w:rFonts w:ascii="Arial" w:hAnsi="Arial" w:cs="Arial"/>
          <w:b/>
          <w:bCs/>
          <w:sz w:val="22"/>
          <w:szCs w:val="22"/>
        </w:rPr>
      </w:pPr>
      <w:r w:rsidRPr="005C37C9">
        <w:rPr>
          <w:rFonts w:ascii="Arial" w:hAnsi="Arial" w:cs="Arial"/>
          <w:b/>
          <w:bCs/>
          <w:sz w:val="22"/>
          <w:szCs w:val="22"/>
        </w:rPr>
        <w:t>CONCLUSION</w:t>
      </w:r>
    </w:p>
    <w:p w14:paraId="37151CD1" w14:textId="7A1739C5" w:rsidR="0049037F" w:rsidRPr="0049037F" w:rsidRDefault="0049037F" w:rsidP="0049037F">
      <w:pPr>
        <w:spacing w:line="360" w:lineRule="auto"/>
        <w:jc w:val="both"/>
        <w:rPr>
          <w:rFonts w:ascii="Arial" w:hAnsi="Arial" w:cs="Arial"/>
          <w:sz w:val="22"/>
          <w:szCs w:val="22"/>
        </w:rPr>
      </w:pPr>
      <w:r w:rsidRPr="0049037F">
        <w:rPr>
          <w:rFonts w:ascii="Arial" w:hAnsi="Arial" w:cs="Arial"/>
          <w:sz w:val="22"/>
          <w:szCs w:val="22"/>
        </w:rPr>
        <w:t xml:space="preserve">Type 1 Diabetes Mellitus is a lifelong autoimmune disorder that necessitates constant monitoring, appropriate insulin administration, and aggressive self-management to reduce the risk of acute and chronic consequences. Various monitoring approaches, including as HbA1c testing, self-monitoring of blood glucose, continuous glucose monitoring, and routine screening for problems, all help to improve </w:t>
      </w:r>
      <w:r w:rsidR="00C74763" w:rsidRPr="0049037F">
        <w:rPr>
          <w:rFonts w:ascii="Arial" w:hAnsi="Arial" w:cs="Arial"/>
          <w:sz w:val="22"/>
          <w:szCs w:val="22"/>
        </w:rPr>
        <w:t>glycemic</w:t>
      </w:r>
      <w:r w:rsidRPr="0049037F">
        <w:rPr>
          <w:rFonts w:ascii="Arial" w:hAnsi="Arial" w:cs="Arial"/>
          <w:sz w:val="22"/>
          <w:szCs w:val="22"/>
        </w:rPr>
        <w:t xml:space="preserve"> management and enhance clinical decision-making. Healthy lifestyle choices, systematic diabetes education, and insulin medication adherence are all essential for successful control. Beyond its medical implications, T1DM can have an impact on an individual's physical health, mental well-being, education, work, and social participation, </w:t>
      </w:r>
      <w:r w:rsidR="00C74763" w:rsidRPr="0049037F">
        <w:rPr>
          <w:rFonts w:ascii="Arial" w:hAnsi="Arial" w:cs="Arial"/>
          <w:sz w:val="22"/>
          <w:szCs w:val="22"/>
        </w:rPr>
        <w:t>emphasizing</w:t>
      </w:r>
      <w:r w:rsidRPr="0049037F">
        <w:rPr>
          <w:rFonts w:ascii="Arial" w:hAnsi="Arial" w:cs="Arial"/>
          <w:sz w:val="22"/>
          <w:szCs w:val="22"/>
        </w:rPr>
        <w:t xml:space="preserve"> the importance of complete assistance. A multidisciplinary strategy combining healthcare experts, community </w:t>
      </w:r>
      <w:r w:rsidR="00C74763" w:rsidRPr="0049037F">
        <w:rPr>
          <w:rFonts w:ascii="Arial" w:hAnsi="Arial" w:cs="Arial"/>
          <w:sz w:val="22"/>
          <w:szCs w:val="22"/>
        </w:rPr>
        <w:t>organizations</w:t>
      </w:r>
      <w:r w:rsidRPr="0049037F">
        <w:rPr>
          <w:rFonts w:ascii="Arial" w:hAnsi="Arial" w:cs="Arial"/>
          <w:sz w:val="22"/>
          <w:szCs w:val="22"/>
        </w:rPr>
        <w:t>, and family members is required to help patients effectively manage their disease and maintain independence. Individuals with T1DM can improve their health outcomes and retain a higher quality of life by receiving early intervention, regular monitoring, and person-</w:t>
      </w:r>
      <w:r w:rsidR="00C74763" w:rsidRPr="0049037F">
        <w:rPr>
          <w:rFonts w:ascii="Arial" w:hAnsi="Arial" w:cs="Arial"/>
          <w:sz w:val="22"/>
          <w:szCs w:val="22"/>
        </w:rPr>
        <w:t>centered</w:t>
      </w:r>
      <w:r w:rsidRPr="0049037F">
        <w:rPr>
          <w:rFonts w:ascii="Arial" w:hAnsi="Arial" w:cs="Arial"/>
          <w:sz w:val="22"/>
          <w:szCs w:val="22"/>
        </w:rPr>
        <w:t xml:space="preserve"> care.</w:t>
      </w:r>
    </w:p>
    <w:p w14:paraId="14E44749" w14:textId="77777777" w:rsidR="0049037F" w:rsidRDefault="0049037F" w:rsidP="0049037F">
      <w:pPr>
        <w:spacing w:line="360" w:lineRule="auto"/>
        <w:jc w:val="both"/>
        <w:rPr>
          <w:rFonts w:ascii="Arial" w:hAnsi="Arial" w:cs="Arial"/>
          <w:sz w:val="22"/>
          <w:szCs w:val="22"/>
        </w:rPr>
      </w:pPr>
    </w:p>
    <w:p w14:paraId="72EC55A3" w14:textId="3B02151B" w:rsidR="00365D8E" w:rsidRPr="005C37C9" w:rsidRDefault="005C37C9" w:rsidP="0049037F">
      <w:pPr>
        <w:spacing w:line="360" w:lineRule="auto"/>
        <w:jc w:val="both"/>
        <w:rPr>
          <w:rFonts w:ascii="Arial" w:hAnsi="Arial" w:cs="Arial"/>
          <w:b/>
          <w:bCs/>
          <w:sz w:val="22"/>
          <w:szCs w:val="22"/>
        </w:rPr>
      </w:pPr>
      <w:r w:rsidRPr="005C37C9">
        <w:rPr>
          <w:rFonts w:ascii="Arial" w:hAnsi="Arial" w:cs="Arial"/>
          <w:b/>
          <w:bCs/>
          <w:sz w:val="22"/>
          <w:szCs w:val="22"/>
        </w:rPr>
        <w:t>REFERENCES:</w:t>
      </w:r>
    </w:p>
    <w:p w14:paraId="0FFAE8DC" w14:textId="098DACFC" w:rsidR="00BF3EA9" w:rsidRPr="0049037F" w:rsidRDefault="00BF3EA9" w:rsidP="0049037F">
      <w:pPr>
        <w:spacing w:line="360" w:lineRule="auto"/>
        <w:jc w:val="both"/>
        <w:rPr>
          <w:rFonts w:ascii="Arial" w:hAnsi="Arial" w:cs="Arial"/>
          <w:sz w:val="22"/>
          <w:szCs w:val="22"/>
          <w:lang w:val="en-US"/>
        </w:rPr>
      </w:pPr>
      <w:r w:rsidRPr="0049037F">
        <w:rPr>
          <w:rFonts w:ascii="Arial" w:hAnsi="Arial" w:cs="Arial"/>
          <w:sz w:val="22"/>
          <w:szCs w:val="22"/>
          <w:lang w:val="en-US"/>
        </w:rPr>
        <w:t xml:space="preserve">Atkinson, M.A., Roep, B.O., </w:t>
      </w:r>
      <w:proofErr w:type="spellStart"/>
      <w:r w:rsidRPr="0049037F">
        <w:rPr>
          <w:rFonts w:ascii="Arial" w:hAnsi="Arial" w:cs="Arial"/>
          <w:sz w:val="22"/>
          <w:szCs w:val="22"/>
          <w:lang w:val="en-US"/>
        </w:rPr>
        <w:t>Posgai</w:t>
      </w:r>
      <w:proofErr w:type="spellEnd"/>
      <w:r w:rsidRPr="0049037F">
        <w:rPr>
          <w:rFonts w:ascii="Arial" w:hAnsi="Arial" w:cs="Arial"/>
          <w:sz w:val="22"/>
          <w:szCs w:val="22"/>
          <w:lang w:val="en-US"/>
        </w:rPr>
        <w:t xml:space="preserve">, A., Wheeler, D.C.S. and </w:t>
      </w:r>
      <w:proofErr w:type="spellStart"/>
      <w:r w:rsidRPr="0049037F">
        <w:rPr>
          <w:rFonts w:ascii="Arial" w:hAnsi="Arial" w:cs="Arial"/>
          <w:sz w:val="22"/>
          <w:szCs w:val="22"/>
          <w:lang w:val="en-US"/>
        </w:rPr>
        <w:t>Peakman</w:t>
      </w:r>
      <w:proofErr w:type="spellEnd"/>
      <w:r w:rsidRPr="0049037F">
        <w:rPr>
          <w:rFonts w:ascii="Arial" w:hAnsi="Arial" w:cs="Arial"/>
          <w:sz w:val="22"/>
          <w:szCs w:val="22"/>
          <w:lang w:val="en-US"/>
        </w:rPr>
        <w:t xml:space="preserve">, M. (2021) ‘The challenge of modulating β-cell autoimmunity in type 1 diabetes’, </w:t>
      </w:r>
      <w:r w:rsidRPr="0049037F">
        <w:rPr>
          <w:rFonts w:ascii="Arial" w:hAnsi="Arial" w:cs="Arial"/>
          <w:i/>
          <w:iCs/>
          <w:sz w:val="22"/>
          <w:szCs w:val="22"/>
          <w:lang w:val="en-US"/>
        </w:rPr>
        <w:t>The Lancet Diabetes &amp; Endocrinology</w:t>
      </w:r>
      <w:r w:rsidRPr="0049037F">
        <w:rPr>
          <w:rFonts w:ascii="Arial" w:hAnsi="Arial" w:cs="Arial"/>
          <w:sz w:val="22"/>
          <w:szCs w:val="22"/>
          <w:lang w:val="en-US"/>
        </w:rPr>
        <w:t xml:space="preserve">, 9(7), pp. 487–496. Available at: </w:t>
      </w:r>
      <w:hyperlink r:id="rId8" w:history="1">
        <w:r w:rsidRPr="0049037F">
          <w:rPr>
            <w:rStyle w:val="Hyperlink"/>
            <w:rFonts w:ascii="Arial" w:hAnsi="Arial" w:cs="Arial"/>
            <w:sz w:val="22"/>
            <w:szCs w:val="22"/>
            <w:lang w:val="en-US"/>
          </w:rPr>
          <w:t>https://doi.org/10.1016/S2213-8587(21)00119-9</w:t>
        </w:r>
      </w:hyperlink>
      <w:r w:rsidRPr="0049037F">
        <w:rPr>
          <w:rFonts w:ascii="Arial" w:hAnsi="Arial" w:cs="Arial"/>
          <w:sz w:val="22"/>
          <w:szCs w:val="22"/>
          <w:lang w:val="en-US"/>
        </w:rPr>
        <w:t xml:space="preserve"> (Accessed: </w:t>
      </w:r>
      <w:r w:rsidR="00AE0447" w:rsidRPr="0049037F">
        <w:rPr>
          <w:rFonts w:ascii="Arial" w:hAnsi="Arial" w:cs="Arial"/>
          <w:sz w:val="22"/>
          <w:szCs w:val="22"/>
          <w:lang w:val="en-US"/>
        </w:rPr>
        <w:t>24 June</w:t>
      </w:r>
      <w:r w:rsidRPr="0049037F">
        <w:rPr>
          <w:rFonts w:ascii="Arial" w:hAnsi="Arial" w:cs="Arial"/>
          <w:sz w:val="22"/>
          <w:szCs w:val="22"/>
          <w:lang w:val="en-US"/>
        </w:rPr>
        <w:t xml:space="preserve"> 2026).</w:t>
      </w:r>
    </w:p>
    <w:p w14:paraId="12396C72" w14:textId="2F56D552" w:rsidR="00AE0447" w:rsidRPr="0049037F" w:rsidRDefault="00AE0447" w:rsidP="0049037F">
      <w:pPr>
        <w:spacing w:line="360" w:lineRule="auto"/>
        <w:jc w:val="both"/>
        <w:rPr>
          <w:rFonts w:ascii="Arial" w:hAnsi="Arial" w:cs="Arial"/>
          <w:sz w:val="22"/>
          <w:szCs w:val="22"/>
          <w:lang w:val="en-US"/>
        </w:rPr>
      </w:pPr>
      <w:r w:rsidRPr="0049037F">
        <w:rPr>
          <w:rFonts w:ascii="Arial" w:hAnsi="Arial" w:cs="Arial"/>
          <w:sz w:val="22"/>
          <w:szCs w:val="22"/>
        </w:rPr>
        <w:t xml:space="preserve">Office for Health Improvement and Disparities (OHID) (2026) Diabetes profile update: April 2026. GOV.UK. Available at: </w:t>
      </w:r>
      <w:hyperlink r:id="rId9" w:tgtFrame="_blank" w:history="1">
        <w:r w:rsidRPr="0049037F">
          <w:rPr>
            <w:rStyle w:val="Hyperlink"/>
            <w:rFonts w:ascii="Arial" w:hAnsi="Arial" w:cs="Arial"/>
            <w:sz w:val="22"/>
            <w:szCs w:val="22"/>
          </w:rPr>
          <w:t>https://www.gov.uk/government/statistics/diabetes-profile-update-april-2026</w:t>
        </w:r>
      </w:hyperlink>
      <w:r w:rsidRPr="0049037F">
        <w:rPr>
          <w:rFonts w:ascii="Arial" w:hAnsi="Arial" w:cs="Arial"/>
          <w:sz w:val="22"/>
          <w:szCs w:val="22"/>
        </w:rPr>
        <w:t xml:space="preserve"> (Accessed: 19 July 2026).</w:t>
      </w:r>
    </w:p>
    <w:p w14:paraId="794F1384" w14:textId="05884BD3" w:rsidR="00BF3EA9" w:rsidRPr="0049037F" w:rsidRDefault="00BF3EA9" w:rsidP="0049037F">
      <w:pPr>
        <w:spacing w:line="360" w:lineRule="auto"/>
        <w:jc w:val="both"/>
        <w:rPr>
          <w:rFonts w:ascii="Arial" w:hAnsi="Arial" w:cs="Arial"/>
          <w:sz w:val="22"/>
          <w:szCs w:val="22"/>
          <w:lang w:val="en-US"/>
        </w:rPr>
      </w:pPr>
      <w:r w:rsidRPr="0049037F">
        <w:rPr>
          <w:rFonts w:ascii="Arial" w:hAnsi="Arial" w:cs="Arial"/>
          <w:sz w:val="22"/>
          <w:szCs w:val="22"/>
        </w:rPr>
        <w:t xml:space="preserve">NHS (2024) </w:t>
      </w:r>
      <w:r w:rsidRPr="0049037F">
        <w:rPr>
          <w:rFonts w:ascii="Arial" w:hAnsi="Arial" w:cs="Arial"/>
          <w:i/>
          <w:iCs/>
          <w:sz w:val="22"/>
          <w:szCs w:val="22"/>
        </w:rPr>
        <w:t>What is type 1 diabetes?</w:t>
      </w:r>
      <w:r w:rsidRPr="0049037F">
        <w:rPr>
          <w:rFonts w:ascii="Arial" w:hAnsi="Arial" w:cs="Arial"/>
          <w:sz w:val="22"/>
          <w:szCs w:val="22"/>
        </w:rPr>
        <w:t xml:space="preserve"> Available at: </w:t>
      </w:r>
      <w:hyperlink r:id="rId10" w:history="1">
        <w:r w:rsidRPr="0049037F">
          <w:rPr>
            <w:rStyle w:val="Hyperlink"/>
            <w:rFonts w:ascii="Arial" w:hAnsi="Arial" w:cs="Arial"/>
            <w:sz w:val="22"/>
            <w:szCs w:val="22"/>
          </w:rPr>
          <w:t>https://www.nhs.uk/conditions/type-1-diabetes/what-is-type-1-diabetes/</w:t>
        </w:r>
      </w:hyperlink>
      <w:r w:rsidRPr="0049037F">
        <w:rPr>
          <w:rFonts w:ascii="Arial" w:hAnsi="Arial" w:cs="Arial"/>
          <w:sz w:val="22"/>
          <w:szCs w:val="22"/>
        </w:rPr>
        <w:t xml:space="preserve"> (Accessed: </w:t>
      </w:r>
      <w:r w:rsidR="00AE0447" w:rsidRPr="0049037F">
        <w:rPr>
          <w:rFonts w:ascii="Arial" w:hAnsi="Arial" w:cs="Arial"/>
          <w:sz w:val="22"/>
          <w:szCs w:val="22"/>
        </w:rPr>
        <w:t>14 July</w:t>
      </w:r>
      <w:r w:rsidRPr="0049037F">
        <w:rPr>
          <w:rFonts w:ascii="Arial" w:hAnsi="Arial" w:cs="Arial"/>
          <w:sz w:val="22"/>
          <w:szCs w:val="22"/>
        </w:rPr>
        <w:t xml:space="preserve"> 2026).</w:t>
      </w:r>
    </w:p>
    <w:p w14:paraId="135A5488" w14:textId="77777777" w:rsidR="00944F3D" w:rsidRDefault="00BF3EA9" w:rsidP="0049037F">
      <w:pPr>
        <w:spacing w:line="360" w:lineRule="auto"/>
        <w:jc w:val="both"/>
        <w:rPr>
          <w:rFonts w:ascii="Arial" w:hAnsi="Arial" w:cs="Arial"/>
          <w:sz w:val="22"/>
          <w:szCs w:val="22"/>
          <w:lang w:val="en-US"/>
        </w:rPr>
      </w:pPr>
      <w:r w:rsidRPr="0049037F">
        <w:rPr>
          <w:rFonts w:ascii="Arial" w:hAnsi="Arial" w:cs="Arial"/>
          <w:sz w:val="22"/>
          <w:szCs w:val="22"/>
          <w:lang w:val="en-US"/>
        </w:rPr>
        <w:lastRenderedPageBreak/>
        <w:t xml:space="preserve">Diabetes UK (2024) </w:t>
      </w:r>
      <w:r w:rsidRPr="0049037F">
        <w:rPr>
          <w:rFonts w:ascii="Arial" w:hAnsi="Arial" w:cs="Arial"/>
          <w:i/>
          <w:iCs/>
          <w:sz w:val="22"/>
          <w:szCs w:val="22"/>
          <w:lang w:val="en-US"/>
        </w:rPr>
        <w:t>Diabetes and diabetes statistics</w:t>
      </w:r>
      <w:r w:rsidRPr="0049037F">
        <w:rPr>
          <w:rFonts w:ascii="Arial" w:hAnsi="Arial" w:cs="Arial"/>
          <w:sz w:val="22"/>
          <w:szCs w:val="22"/>
          <w:lang w:val="en-US"/>
        </w:rPr>
        <w:t>. Available at:</w:t>
      </w:r>
    </w:p>
    <w:p w14:paraId="27C3F87F" w14:textId="03D99469" w:rsidR="00BF3EA9" w:rsidRPr="0049037F" w:rsidRDefault="00944F3D" w:rsidP="0049037F">
      <w:pPr>
        <w:spacing w:line="360" w:lineRule="auto"/>
        <w:jc w:val="both"/>
        <w:rPr>
          <w:rFonts w:ascii="Arial" w:hAnsi="Arial" w:cs="Arial"/>
          <w:sz w:val="22"/>
          <w:szCs w:val="22"/>
          <w:lang w:val="en-US"/>
        </w:rPr>
      </w:pPr>
      <w:hyperlink r:id="rId11" w:history="1">
        <w:r w:rsidRPr="003B13A5">
          <w:rPr>
            <w:rStyle w:val="Hyperlink"/>
            <w:rFonts w:ascii="Arial" w:hAnsi="Arial" w:cs="Arial"/>
            <w:sz w:val="22"/>
            <w:szCs w:val="22"/>
            <w:lang w:val="en-US"/>
          </w:rPr>
          <w:t>https://www.diabetes.org.uk/about-diabetes/what-is-diabetes/diabetes-statistics</w:t>
        </w:r>
      </w:hyperlink>
      <w:r w:rsidR="00BF3EA9" w:rsidRPr="0049037F">
        <w:rPr>
          <w:rFonts w:ascii="Arial" w:hAnsi="Arial" w:cs="Arial"/>
          <w:sz w:val="22"/>
          <w:szCs w:val="22"/>
          <w:lang w:val="en-US"/>
        </w:rPr>
        <w:t xml:space="preserve"> (Accessed: </w:t>
      </w:r>
      <w:r w:rsidR="00AE0447" w:rsidRPr="0049037F">
        <w:rPr>
          <w:rFonts w:ascii="Arial" w:hAnsi="Arial" w:cs="Arial"/>
          <w:sz w:val="22"/>
          <w:szCs w:val="22"/>
          <w:lang w:val="en-US"/>
        </w:rPr>
        <w:t>25 June</w:t>
      </w:r>
      <w:r w:rsidR="00BF3EA9" w:rsidRPr="0049037F">
        <w:rPr>
          <w:rFonts w:ascii="Arial" w:hAnsi="Arial" w:cs="Arial"/>
          <w:sz w:val="22"/>
          <w:szCs w:val="22"/>
          <w:lang w:val="en-US"/>
        </w:rPr>
        <w:t xml:space="preserve"> 2026).</w:t>
      </w:r>
    </w:p>
    <w:p w14:paraId="1B2F1687" w14:textId="2E9C1377" w:rsidR="00BF3EA9" w:rsidRPr="0049037F" w:rsidRDefault="00BF3EA9" w:rsidP="0049037F">
      <w:pPr>
        <w:spacing w:line="360" w:lineRule="auto"/>
        <w:jc w:val="both"/>
        <w:rPr>
          <w:rFonts w:ascii="Arial" w:hAnsi="Arial" w:cs="Arial"/>
          <w:sz w:val="22"/>
          <w:szCs w:val="22"/>
          <w:lang w:val="en-US"/>
        </w:rPr>
      </w:pPr>
      <w:r w:rsidRPr="0049037F">
        <w:rPr>
          <w:rFonts w:ascii="Arial" w:hAnsi="Arial" w:cs="Arial"/>
          <w:sz w:val="22"/>
          <w:szCs w:val="22"/>
          <w:lang w:val="en-US"/>
        </w:rPr>
        <w:t xml:space="preserve">International Diabetes Federation (2025) </w:t>
      </w:r>
      <w:r w:rsidRPr="0049037F">
        <w:rPr>
          <w:rFonts w:ascii="Arial" w:hAnsi="Arial" w:cs="Arial"/>
          <w:i/>
          <w:iCs/>
          <w:sz w:val="22"/>
          <w:szCs w:val="22"/>
          <w:lang w:val="en-US"/>
        </w:rPr>
        <w:t>IDF Diabetes Atlas</w:t>
      </w:r>
      <w:r w:rsidRPr="0049037F">
        <w:rPr>
          <w:rFonts w:ascii="Arial" w:hAnsi="Arial" w:cs="Arial"/>
          <w:sz w:val="22"/>
          <w:szCs w:val="22"/>
          <w:lang w:val="en-US"/>
        </w:rPr>
        <w:t xml:space="preserve">. 11th </w:t>
      </w:r>
      <w:proofErr w:type="spellStart"/>
      <w:r w:rsidRPr="0049037F">
        <w:rPr>
          <w:rFonts w:ascii="Arial" w:hAnsi="Arial" w:cs="Arial"/>
          <w:sz w:val="22"/>
          <w:szCs w:val="22"/>
          <w:lang w:val="en-US"/>
        </w:rPr>
        <w:t>edn</w:t>
      </w:r>
      <w:proofErr w:type="spellEnd"/>
      <w:r w:rsidRPr="0049037F">
        <w:rPr>
          <w:rFonts w:ascii="Arial" w:hAnsi="Arial" w:cs="Arial"/>
          <w:sz w:val="22"/>
          <w:szCs w:val="22"/>
          <w:lang w:val="en-US"/>
        </w:rPr>
        <w:t xml:space="preserve">. Brussels: International Diabetes Federation. Available at: </w:t>
      </w:r>
      <w:hyperlink r:id="rId12" w:history="1">
        <w:r w:rsidRPr="0049037F">
          <w:rPr>
            <w:rStyle w:val="Hyperlink"/>
            <w:rFonts w:ascii="Arial" w:hAnsi="Arial" w:cs="Arial"/>
            <w:sz w:val="22"/>
            <w:szCs w:val="22"/>
            <w:lang w:val="en-US"/>
          </w:rPr>
          <w:t>https://diabetesatlas.org/</w:t>
        </w:r>
      </w:hyperlink>
      <w:r w:rsidRPr="0049037F">
        <w:rPr>
          <w:rFonts w:ascii="Arial" w:hAnsi="Arial" w:cs="Arial"/>
          <w:sz w:val="22"/>
          <w:szCs w:val="22"/>
          <w:lang w:val="en-US"/>
        </w:rPr>
        <w:t xml:space="preserve"> (Accessed: </w:t>
      </w:r>
      <w:r w:rsidR="00AE0447" w:rsidRPr="0049037F">
        <w:rPr>
          <w:rFonts w:ascii="Arial" w:hAnsi="Arial" w:cs="Arial"/>
          <w:sz w:val="22"/>
          <w:szCs w:val="22"/>
          <w:lang w:val="en-US"/>
        </w:rPr>
        <w:t>19 July</w:t>
      </w:r>
      <w:r w:rsidRPr="0049037F">
        <w:rPr>
          <w:rFonts w:ascii="Arial" w:hAnsi="Arial" w:cs="Arial"/>
          <w:sz w:val="22"/>
          <w:szCs w:val="22"/>
          <w:lang w:val="en-US"/>
        </w:rPr>
        <w:t xml:space="preserve"> 2026).</w:t>
      </w:r>
    </w:p>
    <w:p w14:paraId="787FFA61" w14:textId="2A5570E8" w:rsidR="00BF3EA9" w:rsidRPr="0049037F" w:rsidRDefault="00BF3EA9" w:rsidP="0049037F">
      <w:pPr>
        <w:spacing w:line="360" w:lineRule="auto"/>
        <w:jc w:val="both"/>
        <w:rPr>
          <w:rFonts w:ascii="Arial" w:hAnsi="Arial" w:cs="Arial"/>
          <w:sz w:val="22"/>
          <w:szCs w:val="22"/>
          <w:lang w:val="en-US"/>
        </w:rPr>
      </w:pPr>
      <w:r w:rsidRPr="0049037F">
        <w:rPr>
          <w:rFonts w:ascii="Arial" w:hAnsi="Arial" w:cs="Arial"/>
          <w:sz w:val="22"/>
          <w:szCs w:val="22"/>
          <w:lang w:val="en-US"/>
        </w:rPr>
        <w:t xml:space="preserve">National Institute for Health and Care Excellence (NICE) (2015) </w:t>
      </w:r>
      <w:r w:rsidRPr="0049037F">
        <w:rPr>
          <w:rFonts w:ascii="Arial" w:hAnsi="Arial" w:cs="Arial"/>
          <w:i/>
          <w:iCs/>
          <w:sz w:val="22"/>
          <w:szCs w:val="22"/>
          <w:lang w:val="en-US"/>
        </w:rPr>
        <w:t>Type 1 diabetes in adults: diagnosis and management (NG17)</w:t>
      </w:r>
      <w:r w:rsidRPr="0049037F">
        <w:rPr>
          <w:rFonts w:ascii="Arial" w:hAnsi="Arial" w:cs="Arial"/>
          <w:sz w:val="22"/>
          <w:szCs w:val="22"/>
          <w:lang w:val="en-US"/>
        </w:rPr>
        <w:t>. Updated 17 August 2022. Available at:</w:t>
      </w:r>
      <w:r w:rsidR="00944F3D">
        <w:rPr>
          <w:rFonts w:ascii="Arial" w:hAnsi="Arial" w:cs="Arial"/>
          <w:sz w:val="22"/>
          <w:szCs w:val="22"/>
          <w:lang w:val="en-US"/>
        </w:rPr>
        <w:t xml:space="preserve"> </w:t>
      </w:r>
      <w:hyperlink r:id="rId13" w:history="1">
        <w:r w:rsidR="00944F3D" w:rsidRPr="003B13A5">
          <w:rPr>
            <w:rStyle w:val="Hyperlink"/>
            <w:rFonts w:ascii="Arial" w:hAnsi="Arial" w:cs="Arial"/>
            <w:sz w:val="22"/>
            <w:szCs w:val="22"/>
            <w:lang w:val="en-US"/>
          </w:rPr>
          <w:t>https://www.nice.org.uk/guidance/ng17</w:t>
        </w:r>
      </w:hyperlink>
      <w:r w:rsidRPr="0049037F">
        <w:rPr>
          <w:rFonts w:ascii="Arial" w:hAnsi="Arial" w:cs="Arial"/>
          <w:sz w:val="22"/>
          <w:szCs w:val="22"/>
          <w:lang w:val="en-US"/>
        </w:rPr>
        <w:t xml:space="preserve"> (Accessed: 8 August 2026).</w:t>
      </w:r>
    </w:p>
    <w:p w14:paraId="60B54410" w14:textId="00F23709" w:rsidR="00BF3EA9" w:rsidRPr="0049037F" w:rsidRDefault="00BF3EA9" w:rsidP="0049037F">
      <w:pPr>
        <w:spacing w:line="360" w:lineRule="auto"/>
        <w:jc w:val="both"/>
        <w:rPr>
          <w:rFonts w:ascii="Arial" w:hAnsi="Arial" w:cs="Arial"/>
          <w:sz w:val="22"/>
          <w:szCs w:val="22"/>
          <w:lang w:val="en-US"/>
        </w:rPr>
      </w:pPr>
      <w:r w:rsidRPr="0049037F">
        <w:rPr>
          <w:rFonts w:ascii="Arial" w:hAnsi="Arial" w:cs="Arial"/>
          <w:sz w:val="22"/>
          <w:szCs w:val="22"/>
          <w:lang w:val="en-US"/>
        </w:rPr>
        <w:t xml:space="preserve">National Institute for Health and Care Excellence (NICE) (2015) </w:t>
      </w:r>
      <w:r w:rsidRPr="0049037F">
        <w:rPr>
          <w:rFonts w:ascii="Arial" w:hAnsi="Arial" w:cs="Arial"/>
          <w:i/>
          <w:iCs/>
          <w:sz w:val="22"/>
          <w:szCs w:val="22"/>
          <w:lang w:val="en-US"/>
        </w:rPr>
        <w:t>Diabetes (type 1 and type 2) in children and young people: diagnosis and management (NG18)</w:t>
      </w:r>
      <w:r w:rsidRPr="0049037F">
        <w:rPr>
          <w:rFonts w:ascii="Arial" w:hAnsi="Arial" w:cs="Arial"/>
          <w:sz w:val="22"/>
          <w:szCs w:val="22"/>
          <w:lang w:val="en-US"/>
        </w:rPr>
        <w:t xml:space="preserve">. Updated 11 May 2023. Available at: </w:t>
      </w:r>
      <w:hyperlink r:id="rId14" w:history="1">
        <w:r w:rsidRPr="0049037F">
          <w:rPr>
            <w:rStyle w:val="Hyperlink"/>
            <w:rFonts w:ascii="Arial" w:hAnsi="Arial" w:cs="Arial"/>
            <w:sz w:val="22"/>
            <w:szCs w:val="22"/>
            <w:lang w:val="en-US"/>
          </w:rPr>
          <w:t>https://www.nice.org.uk/guidance/ng18</w:t>
        </w:r>
      </w:hyperlink>
      <w:r w:rsidRPr="0049037F">
        <w:rPr>
          <w:rFonts w:ascii="Arial" w:hAnsi="Arial" w:cs="Arial"/>
          <w:sz w:val="22"/>
          <w:szCs w:val="22"/>
          <w:lang w:val="en-US"/>
        </w:rPr>
        <w:t xml:space="preserve"> (Accessed: </w:t>
      </w:r>
      <w:r w:rsidR="00AE0447" w:rsidRPr="0049037F">
        <w:rPr>
          <w:rFonts w:ascii="Arial" w:hAnsi="Arial" w:cs="Arial"/>
          <w:sz w:val="22"/>
          <w:szCs w:val="22"/>
          <w:lang w:val="en-US"/>
        </w:rPr>
        <w:t>4</w:t>
      </w:r>
      <w:r w:rsidRPr="0049037F">
        <w:rPr>
          <w:rFonts w:ascii="Arial" w:hAnsi="Arial" w:cs="Arial"/>
          <w:sz w:val="22"/>
          <w:szCs w:val="22"/>
          <w:lang w:val="en-US"/>
        </w:rPr>
        <w:t xml:space="preserve"> August 2026).</w:t>
      </w:r>
    </w:p>
    <w:p w14:paraId="77A0E614" w14:textId="77777777" w:rsidR="00BF3EA9" w:rsidRPr="0049037F" w:rsidRDefault="00BF3EA9" w:rsidP="0049037F">
      <w:pPr>
        <w:spacing w:line="360" w:lineRule="auto"/>
        <w:jc w:val="both"/>
        <w:rPr>
          <w:rFonts w:ascii="Arial" w:hAnsi="Arial" w:cs="Arial"/>
          <w:b/>
          <w:bCs/>
          <w:sz w:val="22"/>
          <w:szCs w:val="22"/>
        </w:rPr>
      </w:pPr>
    </w:p>
    <w:sectPr w:rsidR="00BF3EA9" w:rsidRPr="0049037F" w:rsidSect="00402AE7">
      <w:footerReference w:type="default" r:id="rId15"/>
      <w:pgSz w:w="12240" w:h="15840"/>
      <w:pgMar w:top="135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81492" w14:textId="77777777" w:rsidR="00656ADD" w:rsidRDefault="00656ADD" w:rsidP="00F550EB">
      <w:pPr>
        <w:spacing w:after="0" w:line="240" w:lineRule="auto"/>
      </w:pPr>
      <w:r>
        <w:separator/>
      </w:r>
    </w:p>
  </w:endnote>
  <w:endnote w:type="continuationSeparator" w:id="0">
    <w:p w14:paraId="22C8A0CC" w14:textId="77777777" w:rsidR="00656ADD" w:rsidRDefault="00656ADD" w:rsidP="00F550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0971491"/>
      <w:docPartObj>
        <w:docPartGallery w:val="Page Numbers (Bottom of Page)"/>
        <w:docPartUnique/>
      </w:docPartObj>
    </w:sdtPr>
    <w:sdtEndPr>
      <w:rPr>
        <w:noProof/>
      </w:rPr>
    </w:sdtEndPr>
    <w:sdtContent>
      <w:p w14:paraId="694F5561" w14:textId="3D1E8519" w:rsidR="00F550EB" w:rsidRDefault="00F550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9CF936" w14:textId="77777777" w:rsidR="00F550EB" w:rsidRDefault="00F550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A3C0E" w14:textId="77777777" w:rsidR="00656ADD" w:rsidRDefault="00656ADD" w:rsidP="00F550EB">
      <w:pPr>
        <w:spacing w:after="0" w:line="240" w:lineRule="auto"/>
      </w:pPr>
      <w:r>
        <w:separator/>
      </w:r>
    </w:p>
  </w:footnote>
  <w:footnote w:type="continuationSeparator" w:id="0">
    <w:p w14:paraId="789561F9" w14:textId="77777777" w:rsidR="00656ADD" w:rsidRDefault="00656ADD" w:rsidP="00F550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020D89"/>
    <w:multiLevelType w:val="hybridMultilevel"/>
    <w:tmpl w:val="EC366C7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16cid:durableId="821972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E1A"/>
    <w:rsid w:val="00046E1A"/>
    <w:rsid w:val="000B29B3"/>
    <w:rsid w:val="000E2E3F"/>
    <w:rsid w:val="00141F65"/>
    <w:rsid w:val="001D4B5D"/>
    <w:rsid w:val="00221930"/>
    <w:rsid w:val="002F535E"/>
    <w:rsid w:val="00365D8E"/>
    <w:rsid w:val="00402AE7"/>
    <w:rsid w:val="004056C4"/>
    <w:rsid w:val="0049037F"/>
    <w:rsid w:val="0049322E"/>
    <w:rsid w:val="0058518E"/>
    <w:rsid w:val="005C37C9"/>
    <w:rsid w:val="00622058"/>
    <w:rsid w:val="00656ADD"/>
    <w:rsid w:val="00716587"/>
    <w:rsid w:val="00814640"/>
    <w:rsid w:val="00895EA2"/>
    <w:rsid w:val="008B14B1"/>
    <w:rsid w:val="008D2FDD"/>
    <w:rsid w:val="008D38CA"/>
    <w:rsid w:val="00904025"/>
    <w:rsid w:val="00944F3D"/>
    <w:rsid w:val="00A43E96"/>
    <w:rsid w:val="00A76BDE"/>
    <w:rsid w:val="00AE0447"/>
    <w:rsid w:val="00BF3EA9"/>
    <w:rsid w:val="00C7450B"/>
    <w:rsid w:val="00C74763"/>
    <w:rsid w:val="00D04D00"/>
    <w:rsid w:val="00DD324E"/>
    <w:rsid w:val="00DE269C"/>
    <w:rsid w:val="00F550EB"/>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301E7"/>
  <w15:chartTrackingRefBased/>
  <w15:docId w15:val="{9BCB9F26-B0E6-464A-8DDB-0AAE8F2E9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B5D"/>
  </w:style>
  <w:style w:type="paragraph" w:styleId="Heading1">
    <w:name w:val="heading 1"/>
    <w:basedOn w:val="Normal"/>
    <w:next w:val="Normal"/>
    <w:link w:val="Heading1Char"/>
    <w:uiPriority w:val="9"/>
    <w:qFormat/>
    <w:rsid w:val="00046E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6E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6E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6E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6E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6E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6E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6E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6E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6E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6E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6E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6E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6E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6E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6E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6E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6E1A"/>
    <w:rPr>
      <w:rFonts w:eastAsiaTheme="majorEastAsia" w:cstheme="majorBidi"/>
      <w:color w:val="272727" w:themeColor="text1" w:themeTint="D8"/>
    </w:rPr>
  </w:style>
  <w:style w:type="paragraph" w:styleId="Title">
    <w:name w:val="Title"/>
    <w:basedOn w:val="Normal"/>
    <w:next w:val="Normal"/>
    <w:link w:val="TitleChar"/>
    <w:uiPriority w:val="10"/>
    <w:qFormat/>
    <w:rsid w:val="00046E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6E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6E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6E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6E1A"/>
    <w:pPr>
      <w:spacing w:before="160"/>
      <w:jc w:val="center"/>
    </w:pPr>
    <w:rPr>
      <w:i/>
      <w:iCs/>
      <w:color w:val="404040" w:themeColor="text1" w:themeTint="BF"/>
    </w:rPr>
  </w:style>
  <w:style w:type="character" w:customStyle="1" w:styleId="QuoteChar">
    <w:name w:val="Quote Char"/>
    <w:basedOn w:val="DefaultParagraphFont"/>
    <w:link w:val="Quote"/>
    <w:uiPriority w:val="29"/>
    <w:rsid w:val="00046E1A"/>
    <w:rPr>
      <w:i/>
      <w:iCs/>
      <w:color w:val="404040" w:themeColor="text1" w:themeTint="BF"/>
    </w:rPr>
  </w:style>
  <w:style w:type="paragraph" w:styleId="ListParagraph">
    <w:name w:val="List Paragraph"/>
    <w:basedOn w:val="Normal"/>
    <w:uiPriority w:val="34"/>
    <w:qFormat/>
    <w:rsid w:val="00046E1A"/>
    <w:pPr>
      <w:ind w:left="720"/>
      <w:contextualSpacing/>
    </w:pPr>
  </w:style>
  <w:style w:type="character" w:styleId="IntenseEmphasis">
    <w:name w:val="Intense Emphasis"/>
    <w:basedOn w:val="DefaultParagraphFont"/>
    <w:uiPriority w:val="21"/>
    <w:qFormat/>
    <w:rsid w:val="00046E1A"/>
    <w:rPr>
      <w:i/>
      <w:iCs/>
      <w:color w:val="0F4761" w:themeColor="accent1" w:themeShade="BF"/>
    </w:rPr>
  </w:style>
  <w:style w:type="paragraph" w:styleId="IntenseQuote">
    <w:name w:val="Intense Quote"/>
    <w:basedOn w:val="Normal"/>
    <w:next w:val="Normal"/>
    <w:link w:val="IntenseQuoteChar"/>
    <w:uiPriority w:val="30"/>
    <w:qFormat/>
    <w:rsid w:val="00046E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6E1A"/>
    <w:rPr>
      <w:i/>
      <w:iCs/>
      <w:color w:val="0F4761" w:themeColor="accent1" w:themeShade="BF"/>
    </w:rPr>
  </w:style>
  <w:style w:type="character" w:styleId="IntenseReference">
    <w:name w:val="Intense Reference"/>
    <w:basedOn w:val="DefaultParagraphFont"/>
    <w:uiPriority w:val="32"/>
    <w:qFormat/>
    <w:rsid w:val="00046E1A"/>
    <w:rPr>
      <w:b/>
      <w:bCs/>
      <w:smallCaps/>
      <w:color w:val="0F4761" w:themeColor="accent1" w:themeShade="BF"/>
      <w:spacing w:val="5"/>
    </w:rPr>
  </w:style>
  <w:style w:type="character" w:styleId="Hyperlink">
    <w:name w:val="Hyperlink"/>
    <w:basedOn w:val="DefaultParagraphFont"/>
    <w:uiPriority w:val="99"/>
    <w:unhideWhenUsed/>
    <w:rsid w:val="00365D8E"/>
    <w:rPr>
      <w:color w:val="467886" w:themeColor="hyperlink"/>
      <w:u w:val="single"/>
    </w:rPr>
  </w:style>
  <w:style w:type="character" w:styleId="UnresolvedMention">
    <w:name w:val="Unresolved Mention"/>
    <w:basedOn w:val="DefaultParagraphFont"/>
    <w:uiPriority w:val="99"/>
    <w:semiHidden/>
    <w:unhideWhenUsed/>
    <w:rsid w:val="00365D8E"/>
    <w:rPr>
      <w:color w:val="605E5C"/>
      <w:shd w:val="clear" w:color="auto" w:fill="E1DFDD"/>
    </w:rPr>
  </w:style>
  <w:style w:type="paragraph" w:styleId="Header">
    <w:name w:val="header"/>
    <w:basedOn w:val="Normal"/>
    <w:link w:val="HeaderChar"/>
    <w:uiPriority w:val="99"/>
    <w:unhideWhenUsed/>
    <w:rsid w:val="00F550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50EB"/>
  </w:style>
  <w:style w:type="paragraph" w:styleId="Footer">
    <w:name w:val="footer"/>
    <w:basedOn w:val="Normal"/>
    <w:link w:val="FooterChar"/>
    <w:uiPriority w:val="99"/>
    <w:unhideWhenUsed/>
    <w:rsid w:val="00F550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50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S2213-8587(21)00119-9" TargetMode="External"/><Relationship Id="rId13" Type="http://schemas.openxmlformats.org/officeDocument/2006/relationships/hyperlink" Target="https://www.nice.org.uk/guidance/ng17"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iabetesatlas.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abetes.org.uk/about-diabetes/what-is-diabetes/diabetes-statistic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nhs.uk/conditions/type-1-diabetes/what-is-type-1-diabetes/" TargetMode="External"/><Relationship Id="rId4" Type="http://schemas.openxmlformats.org/officeDocument/2006/relationships/webSettings" Target="webSettings.xml"/><Relationship Id="rId9" Type="http://schemas.openxmlformats.org/officeDocument/2006/relationships/hyperlink" Target="https://www.gov.uk/government/statistics/diabetes-profile-update-april-2026" TargetMode="External"/><Relationship Id="rId14" Type="http://schemas.openxmlformats.org/officeDocument/2006/relationships/hyperlink" Target="https://www.nice.org.uk/guidance/ng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2110</Words>
  <Characters>12031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Lipa</dc:creator>
  <cp:keywords/>
  <dc:description/>
  <cp:lastModifiedBy>Thelma Laylo Lipa (2527562)</cp:lastModifiedBy>
  <cp:revision>2</cp:revision>
  <dcterms:created xsi:type="dcterms:W3CDTF">2026-08-15T10:02:00Z</dcterms:created>
  <dcterms:modified xsi:type="dcterms:W3CDTF">2026-08-15T10:02:00Z</dcterms:modified>
</cp:coreProperties>
</file>