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5FB0C" w14:textId="77777777" w:rsidR="0018145E" w:rsidRPr="00D64134" w:rsidRDefault="0018145E" w:rsidP="0018145E">
      <w:pPr>
        <w:jc w:val="center"/>
        <w:rPr>
          <w:rFonts w:ascii="Times New Roman" w:hAnsi="Times New Roman" w:cs="Times New Roman"/>
          <w:sz w:val="56"/>
          <w:szCs w:val="56"/>
        </w:rPr>
      </w:pPr>
      <w:r w:rsidRPr="00D64134">
        <w:rPr>
          <w:rFonts w:ascii="Times New Roman" w:hAnsi="Times New Roman" w:cs="Times New Roman"/>
          <w:sz w:val="56"/>
          <w:szCs w:val="56"/>
        </w:rPr>
        <w:t>Student name: Gabriel Zoita</w:t>
      </w:r>
    </w:p>
    <w:p w14:paraId="1128B322" w14:textId="171D05B7" w:rsidR="0098118C" w:rsidRDefault="0018145E" w:rsidP="0018145E">
      <w:pPr>
        <w:jc w:val="center"/>
        <w:rPr>
          <w:rFonts w:ascii="Times New Roman" w:hAnsi="Times New Roman" w:cs="Times New Roman"/>
          <w:sz w:val="56"/>
          <w:szCs w:val="56"/>
        </w:rPr>
      </w:pPr>
      <w:r w:rsidRPr="00D64134">
        <w:rPr>
          <w:rFonts w:ascii="Times New Roman" w:hAnsi="Times New Roman" w:cs="Times New Roman"/>
          <w:sz w:val="56"/>
          <w:szCs w:val="56"/>
        </w:rPr>
        <w:t>Student ID: 2330865</w:t>
      </w:r>
    </w:p>
    <w:p w14:paraId="73EBBFF8" w14:textId="77777777" w:rsidR="0018145E" w:rsidRDefault="0018145E" w:rsidP="0018145E">
      <w:pPr>
        <w:jc w:val="center"/>
        <w:rPr>
          <w:rFonts w:ascii="Times New Roman" w:hAnsi="Times New Roman" w:cs="Times New Roman"/>
          <w:sz w:val="56"/>
          <w:szCs w:val="56"/>
        </w:rPr>
      </w:pPr>
    </w:p>
    <w:p w14:paraId="001C6930" w14:textId="77777777" w:rsidR="0018145E" w:rsidRDefault="0018145E" w:rsidP="0018145E">
      <w:pPr>
        <w:jc w:val="center"/>
        <w:rPr>
          <w:rFonts w:ascii="Times New Roman" w:hAnsi="Times New Roman" w:cs="Times New Roman"/>
          <w:sz w:val="56"/>
          <w:szCs w:val="56"/>
        </w:rPr>
      </w:pPr>
    </w:p>
    <w:p w14:paraId="4B5A5016" w14:textId="77777777" w:rsidR="0018145E" w:rsidRDefault="0018145E" w:rsidP="0018145E">
      <w:pPr>
        <w:jc w:val="center"/>
        <w:rPr>
          <w:rFonts w:ascii="Times New Roman" w:hAnsi="Times New Roman" w:cs="Times New Roman"/>
          <w:sz w:val="56"/>
          <w:szCs w:val="56"/>
        </w:rPr>
      </w:pPr>
    </w:p>
    <w:p w14:paraId="5E7DC729" w14:textId="77777777" w:rsidR="0018145E" w:rsidRDefault="0018145E" w:rsidP="0018145E">
      <w:pPr>
        <w:jc w:val="center"/>
        <w:rPr>
          <w:rFonts w:ascii="Times New Roman" w:hAnsi="Times New Roman" w:cs="Times New Roman"/>
          <w:sz w:val="56"/>
          <w:szCs w:val="56"/>
        </w:rPr>
      </w:pPr>
    </w:p>
    <w:p w14:paraId="484A24A6" w14:textId="77777777" w:rsidR="0018145E" w:rsidRDefault="0018145E" w:rsidP="0018145E">
      <w:pPr>
        <w:jc w:val="center"/>
        <w:rPr>
          <w:rFonts w:ascii="Times New Roman" w:hAnsi="Times New Roman" w:cs="Times New Roman"/>
          <w:sz w:val="56"/>
          <w:szCs w:val="56"/>
        </w:rPr>
      </w:pPr>
    </w:p>
    <w:p w14:paraId="6E6379A2" w14:textId="77777777" w:rsidR="0018145E" w:rsidRDefault="0018145E" w:rsidP="0018145E">
      <w:pPr>
        <w:jc w:val="center"/>
        <w:rPr>
          <w:rFonts w:ascii="Times New Roman" w:hAnsi="Times New Roman" w:cs="Times New Roman"/>
          <w:sz w:val="56"/>
          <w:szCs w:val="56"/>
        </w:rPr>
      </w:pPr>
    </w:p>
    <w:p w14:paraId="6292E26A" w14:textId="77777777" w:rsidR="0018145E" w:rsidRDefault="0018145E" w:rsidP="0018145E">
      <w:pPr>
        <w:jc w:val="center"/>
        <w:rPr>
          <w:rFonts w:ascii="Times New Roman" w:hAnsi="Times New Roman" w:cs="Times New Roman"/>
          <w:sz w:val="56"/>
          <w:szCs w:val="56"/>
        </w:rPr>
      </w:pPr>
    </w:p>
    <w:p w14:paraId="31E1297B" w14:textId="77777777" w:rsidR="0018145E" w:rsidRDefault="0018145E" w:rsidP="0018145E">
      <w:pPr>
        <w:jc w:val="center"/>
        <w:rPr>
          <w:rFonts w:ascii="Times New Roman" w:hAnsi="Times New Roman" w:cs="Times New Roman"/>
          <w:sz w:val="56"/>
          <w:szCs w:val="56"/>
        </w:rPr>
      </w:pPr>
    </w:p>
    <w:p w14:paraId="1498923C" w14:textId="77777777" w:rsidR="0018145E" w:rsidRDefault="0018145E" w:rsidP="0018145E">
      <w:pPr>
        <w:jc w:val="center"/>
        <w:rPr>
          <w:rFonts w:ascii="Times New Roman" w:hAnsi="Times New Roman" w:cs="Times New Roman"/>
          <w:sz w:val="56"/>
          <w:szCs w:val="56"/>
        </w:rPr>
      </w:pPr>
    </w:p>
    <w:p w14:paraId="6BB0119C" w14:textId="77777777" w:rsidR="0018145E" w:rsidRDefault="0018145E" w:rsidP="0018145E">
      <w:pPr>
        <w:jc w:val="center"/>
        <w:rPr>
          <w:rFonts w:ascii="Times New Roman" w:hAnsi="Times New Roman" w:cs="Times New Roman"/>
          <w:sz w:val="56"/>
          <w:szCs w:val="56"/>
        </w:rPr>
      </w:pPr>
    </w:p>
    <w:p w14:paraId="16A359CC" w14:textId="77777777" w:rsidR="0018145E" w:rsidRDefault="0018145E" w:rsidP="0018145E">
      <w:pPr>
        <w:jc w:val="center"/>
        <w:rPr>
          <w:rFonts w:ascii="Times New Roman" w:hAnsi="Times New Roman" w:cs="Times New Roman"/>
          <w:sz w:val="56"/>
          <w:szCs w:val="56"/>
        </w:rPr>
      </w:pPr>
    </w:p>
    <w:p w14:paraId="2D6B0E84" w14:textId="77777777" w:rsidR="0018145E" w:rsidRDefault="0018145E" w:rsidP="0018145E">
      <w:pPr>
        <w:jc w:val="center"/>
        <w:rPr>
          <w:rFonts w:ascii="Times New Roman" w:hAnsi="Times New Roman" w:cs="Times New Roman"/>
          <w:sz w:val="56"/>
          <w:szCs w:val="56"/>
        </w:rPr>
      </w:pPr>
    </w:p>
    <w:p w14:paraId="72415910" w14:textId="77777777" w:rsidR="0018145E" w:rsidRDefault="0018145E" w:rsidP="0018145E">
      <w:pPr>
        <w:jc w:val="center"/>
        <w:rPr>
          <w:rFonts w:ascii="Times New Roman" w:hAnsi="Times New Roman" w:cs="Times New Roman"/>
          <w:sz w:val="56"/>
          <w:szCs w:val="56"/>
        </w:rPr>
      </w:pPr>
    </w:p>
    <w:p w14:paraId="1115B980" w14:textId="77777777" w:rsidR="0018145E" w:rsidRDefault="0018145E" w:rsidP="0018145E">
      <w:pPr>
        <w:jc w:val="center"/>
        <w:rPr>
          <w:rFonts w:ascii="Times New Roman" w:hAnsi="Times New Roman" w:cs="Times New Roman"/>
          <w:sz w:val="56"/>
          <w:szCs w:val="56"/>
        </w:rPr>
      </w:pPr>
    </w:p>
    <w:p w14:paraId="11CE4C2E" w14:textId="77777777" w:rsidR="0018145E" w:rsidRPr="0018145E" w:rsidRDefault="0018145E" w:rsidP="0018145E">
      <w:pPr>
        <w:pStyle w:val="Listparagraf"/>
        <w:numPr>
          <w:ilvl w:val="0"/>
          <w:numId w:val="1"/>
        </w:numPr>
        <w:spacing w:after="240" w:line="360" w:lineRule="auto"/>
        <w:ind w:firstLine="709"/>
        <w:rPr>
          <w:rFonts w:ascii="Times New Roman" w:eastAsia="Times New Roman" w:hAnsi="Times New Roman" w:cs="Times New Roman"/>
          <w:kern w:val="0"/>
          <w:sz w:val="24"/>
          <w:szCs w:val="24"/>
          <w:lang w:eastAsia="ro-RO"/>
          <w14:ligatures w14:val="none"/>
        </w:rPr>
      </w:pPr>
      <w:r w:rsidRPr="007509EE">
        <w:rPr>
          <w:rFonts w:ascii="Times New Roman" w:eastAsia="Times New Roman" w:hAnsi="Times New Roman" w:cs="Times New Roman"/>
          <w:kern w:val="0"/>
          <w:sz w:val="24"/>
          <w:szCs w:val="24"/>
          <w:lang w:eastAsia="ro-RO"/>
          <w14:ligatures w14:val="none"/>
        </w:rPr>
        <w:lastRenderedPageBreak/>
        <w:t>Introduction</w:t>
      </w:r>
    </w:p>
    <w:p w14:paraId="44A64576"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Es</w:t>
      </w:r>
      <w:r w:rsidRPr="0018145E">
        <w:rPr>
          <w:rFonts w:ascii="Times New Roman" w:eastAsia="Times New Roman" w:hAnsi="Times New Roman" w:cs="Times New Roman"/>
          <w:kern w:val="0"/>
          <w:sz w:val="24"/>
          <w:szCs w:val="24"/>
          <w:lang w:eastAsia="ro-RO"/>
          <w14:ligatures w14:val="none"/>
        </w:rPr>
        <w:t>tablished in 1971 in Seattle, Starbucks has transformed into one of the most prominent coffeehouse brands globally. The company is distinguished for its high-quality coffee and inviting, community-focused atmosphere, significantly influencing global coffee culture (Kotler and Keller, 2016). Starbucks inaugurated its inaugural store in the United Kingdom in 1998 and has subsequently expanded to encompass hundreds of locations. Notwithstanding its esteemed reputation for quality, Starbucks encounters various internal and external challenges within the UK market, such as volatile economic conditions, regulatory modifications, increasing competition, and evolving consumer preferences.</w:t>
      </w:r>
    </w:p>
    <w:p w14:paraId="21A172C5"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In 2023, Starbucks is navigating an environment characterised by post-Brexit uncertainties, increased focus on sustainability, and escalating competition from independent coffee shops (Barney, 1991). This report analyses the elements influencing Starbucks in the UK, utilising strategic frameworks acquired in this module. This study utilises the SWOT framework and resource-based perspectives for internal analysis, alongside PESTLE and Porter’s Five Forces for external evaluation, to elucidate the primary challenges and opportunities confronting Starbucks. This analysis ultimately offers a foundation for two actionable recommendations that can assist Starbucks in maintaining its competitive advantage in the UK market.</w:t>
      </w:r>
    </w:p>
    <w:p w14:paraId="4FF6BC06"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2.Findings</w:t>
      </w:r>
    </w:p>
    <w:p w14:paraId="4624D059"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2.1 Internal analysis</w:t>
      </w:r>
    </w:p>
    <w:p w14:paraId="0D398D19"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SWOT Analysis</w:t>
      </w:r>
    </w:p>
    <w:p w14:paraId="74ED6E1D"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A SWOT (Strengths, Weaknesses, Opportunities, and Threats) analysis is an essential instrument for comprehending a company's internal strengths and weaknesses in conjunction with external opportunities and threats (Johnson et al., 2008).</w:t>
      </w:r>
    </w:p>
    <w:p w14:paraId="4B9DD487"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Strengths</w:t>
      </w:r>
      <w:r w:rsidRPr="0018145E">
        <w:rPr>
          <w:rFonts w:ascii="Times New Roman" w:eastAsia="Times New Roman" w:hAnsi="Times New Roman" w:cs="Times New Roman"/>
          <w:kern w:val="0"/>
          <w:sz w:val="24"/>
          <w:szCs w:val="24"/>
          <w:lang w:eastAsia="ro-RO"/>
          <w14:ligatures w14:val="none"/>
        </w:rPr>
        <w:t xml:space="preserve"> </w:t>
      </w:r>
    </w:p>
    <w:p w14:paraId="54B253AC"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 xml:space="preserve">Starbucks enjoys substantial brand equity, developed through consistent product quality and a welcoming in-store atmosphere. The company's global scale provides </w:t>
      </w:r>
      <w:r w:rsidRPr="0018145E">
        <w:rPr>
          <w:rFonts w:ascii="Times New Roman" w:eastAsia="Times New Roman" w:hAnsi="Times New Roman" w:cs="Times New Roman"/>
          <w:kern w:val="0"/>
          <w:sz w:val="24"/>
          <w:szCs w:val="24"/>
          <w:lang w:eastAsia="ro-RO"/>
          <w14:ligatures w14:val="none"/>
        </w:rPr>
        <w:lastRenderedPageBreak/>
        <w:t>leverage in procurement, enhances supply chain efficiency, and enables investment in digital innovations (Grant, 2016). Furthermore, Starbucks' dedication to corporate social responsibility—exemplified by investments in farmer support centres and the implementation of recyclable packaging—enhances customer loyalty and distinguishes the brand in a saturated market.</w:t>
      </w:r>
    </w:p>
    <w:p w14:paraId="41096715"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Weaknesses</w:t>
      </w:r>
      <w:r w:rsidRPr="0018145E">
        <w:rPr>
          <w:rFonts w:ascii="Times New Roman" w:eastAsia="Times New Roman" w:hAnsi="Times New Roman" w:cs="Times New Roman"/>
          <w:kern w:val="0"/>
          <w:sz w:val="24"/>
          <w:szCs w:val="24"/>
          <w:lang w:eastAsia="ro-RO"/>
          <w14:ligatures w14:val="none"/>
        </w:rPr>
        <w:t xml:space="preserve"> </w:t>
      </w:r>
    </w:p>
    <w:p w14:paraId="0B26727B"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Starbucks' premium positioning enhances its brand but also subjects the company to risks during economic downturns. Certain consumers may perceive its products as excessively priced, opting for more affordable alternatives when disposable incomes decline (Kotler and Keller, 2016). Moreover, Starbucks has intermittently faced scrutiny concerning its tax practices in the UK, potentially damaging its reputation for ethical behaviour. Elevated operational expenses associated with leasing prime retail locations reduce profit margins and constrain flexibility.</w:t>
      </w:r>
    </w:p>
    <w:p w14:paraId="2BD4CCD9"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Opportunities</w:t>
      </w:r>
    </w:p>
    <w:p w14:paraId="56C88295"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The health and wellness trends in the UK present substantial opportunities for Starbucks to enhance its menu with low-calorie, plant-based, and ethically sourced offerings. By incorporating local preferences—such as dairy substitutes and region-specific beverage combinations—Starbucks can attract niche markets, including vegan and environmentally aware consumers. Technological innovation provides further opportunities for expansion. Investing in mobile ordering, loyalty programs, and data analytics can enhance customer experiences and improve operational efficiency (Grant, 2016).</w:t>
      </w:r>
    </w:p>
    <w:p w14:paraId="3891F4AE"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Threats</w:t>
      </w:r>
    </w:p>
    <w:p w14:paraId="0B66A669"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A significant threat arises from the increasing proliferation of independent speciality coffee shops that address evolving consumer preferences for authenticity, locality, and artisanal quality (Porter, 1980). Moreover, external economic shocks and a decrease in consumer confidence may diminish expenditures on premium beverages. Regulatory measures concerning environmental sustainability and ethical sourcing, although consistent with Starbucks' mission, necessitate continuous capital to adhere to changing standards.</w:t>
      </w:r>
    </w:p>
    <w:p w14:paraId="629A3964"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lastRenderedPageBreak/>
        <w:t>Resource-Based View (RBV)</w:t>
      </w:r>
    </w:p>
    <w:p w14:paraId="557ED21F" w14:textId="414A8341"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The resource-based view (RBV) posits that a firm's enduring competitive advantage derives from its distinctive resources and capabilities (Barney, 1991). The significant intangible assets of Starbucks—brand equity, corporate culture, and customer loyalty—are especially valuable. The company's sophisticated supply chain systems and retail proficiency further enhance its unique competencies. Nonetheless, sustaining these advantages necessitates ongoing investment in training, product innovation, and store renovation to ensure a uniform customer experience. The inability to develop these resources may disadvantage the company relative to smaller, nimble competitors capable of swift innovation in the niche coffee market.</w:t>
      </w:r>
    </w:p>
    <w:p w14:paraId="65E30DFD" w14:textId="2C02998D"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2.2 External analysis</w:t>
      </w:r>
    </w:p>
    <w:p w14:paraId="68C3CDA7"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PESTLE Analysis</w:t>
      </w:r>
      <w:r w:rsidRPr="0018145E">
        <w:rPr>
          <w:rFonts w:ascii="Times New Roman" w:eastAsia="Times New Roman" w:hAnsi="Times New Roman" w:cs="Times New Roman"/>
          <w:kern w:val="0"/>
          <w:sz w:val="24"/>
          <w:szCs w:val="24"/>
          <w:lang w:eastAsia="ro-RO"/>
          <w14:ligatures w14:val="none"/>
        </w:rPr>
        <w:br/>
        <w:t>The PESTLE framework (Political, Economic, Social, Technological, Legal, and Environmental) facilitates the evaluation of the macro-environment in which Starbucks functions in the UK (Johnson et al., 2008).</w:t>
      </w:r>
    </w:p>
    <w:p w14:paraId="674D6FC8"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Po</w:t>
      </w:r>
      <w:r w:rsidRPr="0018145E">
        <w:rPr>
          <w:rFonts w:ascii="Times New Roman" w:eastAsia="Times New Roman" w:hAnsi="Times New Roman" w:cs="Times New Roman"/>
          <w:kern w:val="0"/>
          <w:sz w:val="24"/>
          <w:szCs w:val="24"/>
          <w:lang w:eastAsia="ro-RO"/>
          <w14:ligatures w14:val="none"/>
        </w:rPr>
        <w:t xml:space="preserve">litical </w:t>
      </w:r>
      <w:r>
        <w:rPr>
          <w:rFonts w:ascii="Times New Roman" w:eastAsia="Times New Roman" w:hAnsi="Times New Roman" w:cs="Times New Roman"/>
          <w:kern w:val="0"/>
          <w:sz w:val="24"/>
          <w:szCs w:val="24"/>
          <w:lang w:eastAsia="ro-RO"/>
          <w14:ligatures w14:val="none"/>
        </w:rPr>
        <w:t>Factors</w:t>
      </w:r>
    </w:p>
    <w:p w14:paraId="7EF8C4BF"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The United Kingdom's exit from the European Union has resulted in enduring impacts on supply chain expenses, import duties, and workforce mobility (UK Government, 2023). Starbucks, procuring a substantial quantity of its coffee beans internationally, may encounter prospective tariffs or logistical challenges. Furthermore, modifications to immigration legislation can influence the accessibility of proficient baristas and store managers, especially in metropolitan areas with a significant density of Starbucks locations.</w:t>
      </w:r>
    </w:p>
    <w:p w14:paraId="3D6F8B39"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 xml:space="preserve">Economic </w:t>
      </w:r>
      <w:r>
        <w:rPr>
          <w:rFonts w:ascii="Times New Roman" w:eastAsia="Times New Roman" w:hAnsi="Times New Roman" w:cs="Times New Roman"/>
          <w:kern w:val="0"/>
          <w:sz w:val="24"/>
          <w:szCs w:val="24"/>
          <w:lang w:eastAsia="ro-RO"/>
          <w14:ligatures w14:val="none"/>
        </w:rPr>
        <w:t>factors</w:t>
      </w:r>
    </w:p>
    <w:p w14:paraId="4C5A3BC0"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 xml:space="preserve">The UK coffee market is resilient; however, increasing inflation, possible interest rate increases, and overall economic instability may affect consumer expenditure. Premium coffee may be regarded as a non-essential expenditure if household budgets constrict (Kotler and Keller, 2016). Moreover, currency volatility affects import expenses, </w:t>
      </w:r>
      <w:r w:rsidRPr="0018145E">
        <w:rPr>
          <w:rFonts w:ascii="Times New Roman" w:eastAsia="Times New Roman" w:hAnsi="Times New Roman" w:cs="Times New Roman"/>
          <w:kern w:val="0"/>
          <w:sz w:val="24"/>
          <w:szCs w:val="24"/>
          <w:lang w:eastAsia="ro-RO"/>
          <w14:ligatures w14:val="none"/>
        </w:rPr>
        <w:lastRenderedPageBreak/>
        <w:t>frequently increasing the cost of raw materials. Starbucks must modify pricing and optimise operations to sustain profitability and attractiveness in this volatile environment.</w:t>
      </w:r>
    </w:p>
    <w:p w14:paraId="28476795"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Soc</w:t>
      </w:r>
      <w:r>
        <w:rPr>
          <w:rFonts w:ascii="Times New Roman" w:eastAsia="Times New Roman" w:hAnsi="Times New Roman" w:cs="Times New Roman"/>
          <w:kern w:val="0"/>
          <w:sz w:val="24"/>
          <w:szCs w:val="24"/>
          <w:lang w:eastAsia="ro-RO"/>
          <w14:ligatures w14:val="none"/>
        </w:rPr>
        <w:t>ial factors</w:t>
      </w:r>
    </w:p>
    <w:p w14:paraId="1252BD38"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Social trends in the UK are increasingly orientated towards health awareness, convenience, and ethical consumption. An increasing number of individuals are investigating plant-based diets and expressing concern regarding the carbon footprint of their daily purchases (Barney, 1991). Consequently, there is an increasing inclination towards transparent supply chains and recyclable packaging. Starbucks can leverage these preferences by enhancing its ethical sourcing practices, prioritising sustainable store operations, and advocating for locally pertinent offerings.</w:t>
      </w:r>
    </w:p>
    <w:p w14:paraId="13F64F7F"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 xml:space="preserve">Technological </w:t>
      </w:r>
      <w:r>
        <w:rPr>
          <w:rFonts w:ascii="Times New Roman" w:eastAsia="Times New Roman" w:hAnsi="Times New Roman" w:cs="Times New Roman"/>
          <w:kern w:val="0"/>
          <w:sz w:val="24"/>
          <w:szCs w:val="24"/>
          <w:lang w:eastAsia="ro-RO"/>
          <w14:ligatures w14:val="none"/>
        </w:rPr>
        <w:t>factors</w:t>
      </w:r>
    </w:p>
    <w:p w14:paraId="2B26A7BA"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Technology assumes an increasingly pivotal role in customer experience. Starbucks utilises mobile applications for ordering and payment, promoting a seamless experience and the accumulation of loyalty points (Grant, 2016). The firm can enhance its utilisation of data analytics to analyse consumer behaviour, optimise store layouts, and customise promotions. Technological automation in production and delivery may decrease labour expenses and enhance service efficiency; however, these changes must be reconciled with preserving the human-centric atmosphere for which Starbucks is renowned.</w:t>
      </w:r>
    </w:p>
    <w:p w14:paraId="6C115088"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Legal factors</w:t>
      </w:r>
    </w:p>
    <w:p w14:paraId="5E8A561B"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Adherence to food safety regulations and data protection standards is essential for Starbucks' operations. Any violation of UK data protection legislation, especially considering Starbucks' digital presence, may lead to legal and reputational consequences. Moreover, increased regulations regarding environmental standards may necessitate modifications in sourcing and waste disposal procedures. Compliance with changing labour laws, including minimum wage modifications and employee welfare regulations, is essential for the company's reputation and talent retention.</w:t>
      </w:r>
    </w:p>
    <w:p w14:paraId="7393CAAC"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Environment factors</w:t>
      </w:r>
    </w:p>
    <w:p w14:paraId="46E8B233" w14:textId="1B68B171"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lastRenderedPageBreak/>
        <w:t>The public and regulatory focus on sustainability has significantly increased in the UK, affecting various aspects such as packaging selections and energy consumption in stores (Johnson et al., 2008). Starbucks' sustainability pledges, including the reduction of single-use plastics and collaboration with environmental initiatives, are crucial for fulfilling consumer expectations. Nonetheless, the company must consistently evaluate the impact of climate change on coffee cultivation areas, as variable weather conditions may result in supply deficits and increased bean prices.</w:t>
      </w:r>
    </w:p>
    <w:p w14:paraId="43868280"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3.Conclusion</w:t>
      </w:r>
    </w:p>
    <w:p w14:paraId="6FBCE920" w14:textId="77777777"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Starbucks' prospects in the UK are influenced by a blend of internal and external factors. Internally, the company capitalises on its established brand identity, robust supply chain, and dedication to product innovation; however, it must confront the perception of being costly or overly prevalent in certain areas. Ongoing investment in employee training and corporate culture can enable Starbucks to preserve its unique service quality.</w:t>
      </w:r>
    </w:p>
    <w:p w14:paraId="27F37BF6" w14:textId="795C9494"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t>Starbucks faces the repercussions of Brexit, a transition towards environmentally conscious consumer habits, and intense rivalry from both established chains and niche independents. The PESTLE analysis highlights the impact of political, economic, and social changes on Starbucks' cost structure, product offerings, and brand positioning. Simultaneously, Porter’s Five Forces underscores significant competition and the necessity for Starbucks to enhance its product offerings and pricing strategies. Maintaining global brand consistency while allowing for local adaptability is crucial for the company to differentiate itself in the increasingly competitive UK coffee market.</w:t>
      </w:r>
    </w:p>
    <w:p w14:paraId="7919560E" w14:textId="4F94A841" w:rsid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4.Recommendations</w:t>
      </w:r>
      <w:r w:rsidRPr="0018145E">
        <w:rPr>
          <w:rFonts w:ascii="Times New Roman" w:eastAsia="Times New Roman" w:hAnsi="Times New Roman" w:cs="Times New Roman"/>
          <w:kern w:val="0"/>
          <w:sz w:val="24"/>
          <w:szCs w:val="24"/>
          <w:lang w:eastAsia="ro-RO"/>
          <w14:ligatures w14:val="none"/>
        </w:rPr>
        <w:t xml:space="preserve"> </w:t>
      </w:r>
    </w:p>
    <w:p w14:paraId="3C024369" w14:textId="77777777" w:rsidR="007509EE" w:rsidRDefault="007509EE" w:rsidP="007509E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7509EE">
        <w:rPr>
          <w:rFonts w:ascii="Times New Roman" w:eastAsia="Times New Roman" w:hAnsi="Times New Roman" w:cs="Times New Roman"/>
          <w:kern w:val="0"/>
          <w:sz w:val="24"/>
          <w:szCs w:val="24"/>
          <w:lang w:eastAsia="ro-RO"/>
          <w14:ligatures w14:val="none"/>
        </w:rPr>
        <w:t>Enhance Localised Product Offerings and Community Involvement</w:t>
      </w:r>
      <w:r w:rsidRPr="007509EE">
        <w:rPr>
          <w:rFonts w:ascii="Times New Roman" w:eastAsia="Times New Roman" w:hAnsi="Times New Roman" w:cs="Times New Roman"/>
          <w:kern w:val="0"/>
          <w:sz w:val="24"/>
          <w:szCs w:val="24"/>
          <w:lang w:eastAsia="ro-RO"/>
          <w14:ligatures w14:val="none"/>
        </w:rPr>
        <w:br/>
        <w:t xml:space="preserve">Starbucks ought to further distinguish its UK locations by optimising its product offerings and strengthening local community connections. Implementing region-specific beverages and menu items—such as distinctive tea infusions or snacks customised to local preferences—can entice customers in search of authentic experiences. Partnering with local suppliers or artisans can enhance Starbucks' local credibility and mitigate certain supply chain complexities associated with importation. Moreover, community-oriented initiatives like local events or collaborations with charities can strengthen a sense of </w:t>
      </w:r>
      <w:r w:rsidRPr="007509EE">
        <w:rPr>
          <w:rFonts w:ascii="Times New Roman" w:eastAsia="Times New Roman" w:hAnsi="Times New Roman" w:cs="Times New Roman"/>
          <w:kern w:val="0"/>
          <w:sz w:val="24"/>
          <w:szCs w:val="24"/>
          <w:lang w:eastAsia="ro-RO"/>
          <w14:ligatures w14:val="none"/>
        </w:rPr>
        <w:lastRenderedPageBreak/>
        <w:t>belonging and loyalty. These measures respond to the competitive challenge posed by independent cafés by incorporating an aspect of local authenticity into the Starbucks experience (Kotler and Keller, 2016).</w:t>
      </w:r>
    </w:p>
    <w:p w14:paraId="07B26D9B" w14:textId="77777777" w:rsidR="007509EE" w:rsidRDefault="007509EE" w:rsidP="007509E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7509EE">
        <w:rPr>
          <w:rFonts w:ascii="Times New Roman" w:eastAsia="Times New Roman" w:hAnsi="Times New Roman" w:cs="Times New Roman"/>
          <w:kern w:val="0"/>
          <w:sz w:val="24"/>
          <w:szCs w:val="24"/>
          <w:lang w:eastAsia="ro-RO"/>
          <w14:ligatures w14:val="none"/>
        </w:rPr>
        <w:t>Augment Sustainability Commitments and Digital Solutions</w:t>
      </w:r>
    </w:p>
    <w:p w14:paraId="20ACA722" w14:textId="77777777" w:rsidR="007509EE" w:rsidRDefault="007509EE" w:rsidP="007509E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7509EE">
        <w:rPr>
          <w:rFonts w:ascii="Times New Roman" w:eastAsia="Times New Roman" w:hAnsi="Times New Roman" w:cs="Times New Roman"/>
          <w:kern w:val="0"/>
          <w:sz w:val="24"/>
          <w:szCs w:val="24"/>
          <w:lang w:eastAsia="ro-RO"/>
          <w14:ligatures w14:val="none"/>
        </w:rPr>
        <w:t>Given the increasing focus on responsible consumption, Starbucks ought to enhance its sustainability initiatives. This encompasses expediting the implementation of compostable or reusable packaging, investing in renewable energy sources for operational purposes, and prolonging incentives for customers who utilise their own cups. By collaborating with coffee farmers to improve environmental practices, Starbucks can ensure supply chain resilience while fulfilling customer demands for ethically sourced products (Barney, 1991).</w:t>
      </w:r>
    </w:p>
    <w:p w14:paraId="60E56038" w14:textId="4EAB6774" w:rsidR="007509EE" w:rsidRPr="007509EE" w:rsidRDefault="007509EE" w:rsidP="007509E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7509EE">
        <w:rPr>
          <w:rFonts w:ascii="Times New Roman" w:eastAsia="Times New Roman" w:hAnsi="Times New Roman" w:cs="Times New Roman"/>
          <w:kern w:val="0"/>
          <w:sz w:val="24"/>
          <w:szCs w:val="24"/>
          <w:lang w:eastAsia="ro-RO"/>
          <w14:ligatures w14:val="none"/>
        </w:rPr>
        <w:t>Simultaneously, Starbucks can persist in enhancing its digital ecosystem. Improved mobile ordering, loyalty incentives, and data-informed insights can customise marketing and optimise operations (Grant, 2016). In-app functionalities, such as nutrition monitoring or sustainability impact dashboards, may further captivate health-conscious and environmentally aware consumers. By integrating sustainability with innovative digital solutions, Starbucks can enhance its brand reputation and long-term profitability in the UK market.</w:t>
      </w:r>
    </w:p>
    <w:p w14:paraId="6689D555"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70AC8E71"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33A82D09"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545253E3"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5CA948B8"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6B26984C"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166AECE7"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20E33D75" w14:textId="77777777" w:rsidR="00816F6A" w:rsidRDefault="00816F6A"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3D2EB234" w14:textId="4BB412D2" w:rsid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lastRenderedPageBreak/>
        <w:t>References:</w:t>
      </w:r>
    </w:p>
    <w:p w14:paraId="14AEC15A" w14:textId="77777777" w:rsidR="00816F6A" w:rsidRP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816F6A">
        <w:rPr>
          <w:rFonts w:ascii="Times New Roman" w:eastAsia="Times New Roman" w:hAnsi="Times New Roman" w:cs="Times New Roman"/>
          <w:kern w:val="0"/>
          <w:sz w:val="24"/>
          <w:szCs w:val="24"/>
          <w:lang w:eastAsia="ro-RO"/>
          <w14:ligatures w14:val="none"/>
        </w:rPr>
        <w:t>Barney, J. (1991) ‘Firm resources and sustained competitive advantage’, Journal of Management, 17(1), pp. 99–120.</w:t>
      </w:r>
    </w:p>
    <w:p w14:paraId="0F3C4681" w14:textId="77777777" w:rsidR="00816F6A" w:rsidRP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816F6A">
        <w:rPr>
          <w:rFonts w:ascii="Times New Roman" w:eastAsia="Times New Roman" w:hAnsi="Times New Roman" w:cs="Times New Roman"/>
          <w:kern w:val="0"/>
          <w:sz w:val="24"/>
          <w:szCs w:val="24"/>
          <w:lang w:eastAsia="ro-RO"/>
          <w14:ligatures w14:val="none"/>
        </w:rPr>
        <w:t>Grant, R.M. (2016) Contemporary Strategy Analysis. 9th edn. Chichester: John Wiley &amp; Sons.</w:t>
      </w:r>
    </w:p>
    <w:p w14:paraId="16698E2B" w14:textId="77777777" w:rsidR="00816F6A" w:rsidRP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816F6A">
        <w:rPr>
          <w:rFonts w:ascii="Times New Roman" w:eastAsia="Times New Roman" w:hAnsi="Times New Roman" w:cs="Times New Roman"/>
          <w:kern w:val="0"/>
          <w:sz w:val="24"/>
          <w:szCs w:val="24"/>
          <w:lang w:eastAsia="ro-RO"/>
          <w14:ligatures w14:val="none"/>
        </w:rPr>
        <w:t>Johnson, G., Whittington, R. and Scholes, K. (2008) Exploring Corporate Strategy. 8th edn. Harlow: Prentice Hall.</w:t>
      </w:r>
    </w:p>
    <w:p w14:paraId="6A7FD026" w14:textId="77777777" w:rsidR="00816F6A" w:rsidRP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816F6A">
        <w:rPr>
          <w:rFonts w:ascii="Times New Roman" w:eastAsia="Times New Roman" w:hAnsi="Times New Roman" w:cs="Times New Roman"/>
          <w:kern w:val="0"/>
          <w:sz w:val="24"/>
          <w:szCs w:val="24"/>
          <w:lang w:eastAsia="ro-RO"/>
          <w14:ligatures w14:val="none"/>
        </w:rPr>
        <w:t>Kotler, P. and Keller, K. (2016) Marketing Management. 15th edn. Harlow: Pearson.</w:t>
      </w:r>
    </w:p>
    <w:p w14:paraId="44613B6A" w14:textId="77777777" w:rsidR="00816F6A" w:rsidRP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816F6A">
        <w:rPr>
          <w:rFonts w:ascii="Times New Roman" w:eastAsia="Times New Roman" w:hAnsi="Times New Roman" w:cs="Times New Roman"/>
          <w:kern w:val="0"/>
          <w:sz w:val="24"/>
          <w:szCs w:val="24"/>
          <w:lang w:eastAsia="ro-RO"/>
          <w14:ligatures w14:val="none"/>
        </w:rPr>
        <w:t>Porter, M.E. (1980) Competitive Strategy: Techniques for Analyzing Industries and Competitors. New York: Free Press.</w:t>
      </w:r>
    </w:p>
    <w:p w14:paraId="613123C7" w14:textId="4CD870D0" w:rsidR="00816F6A" w:rsidRP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816F6A">
        <w:rPr>
          <w:rFonts w:ascii="Times New Roman" w:eastAsia="Times New Roman" w:hAnsi="Times New Roman" w:cs="Times New Roman"/>
          <w:kern w:val="0"/>
          <w:sz w:val="24"/>
          <w:szCs w:val="24"/>
          <w:lang w:eastAsia="ro-RO"/>
          <w14:ligatures w14:val="none"/>
        </w:rPr>
        <w:t xml:space="preserve">UK Government (2023) Post-Brexit Trade and Economic Update. Available at: https://www.gov.uk </w:t>
      </w:r>
    </w:p>
    <w:p w14:paraId="5BC4C986" w14:textId="77777777" w:rsidR="00816F6A"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61EC9244" w14:textId="77777777" w:rsidR="00816F6A" w:rsidRPr="0018145E" w:rsidRDefault="00816F6A" w:rsidP="00816F6A">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166E3681" w14:textId="77777777" w:rsidR="0018145E" w:rsidRP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1494EB80" w14:textId="68093015" w:rsidR="0018145E" w:rsidRP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br/>
      </w:r>
    </w:p>
    <w:p w14:paraId="10D37727" w14:textId="77777777" w:rsidR="0018145E" w:rsidRP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p>
    <w:p w14:paraId="0602A5D9" w14:textId="4FB3F758" w:rsidR="0018145E" w:rsidRPr="0018145E" w:rsidRDefault="0018145E" w:rsidP="0018145E">
      <w:pPr>
        <w:spacing w:after="240" w:line="360" w:lineRule="auto"/>
        <w:ind w:left="360" w:firstLine="709"/>
        <w:rPr>
          <w:rFonts w:ascii="Times New Roman" w:eastAsia="Times New Roman" w:hAnsi="Times New Roman" w:cs="Times New Roman"/>
          <w:kern w:val="0"/>
          <w:sz w:val="24"/>
          <w:szCs w:val="24"/>
          <w:lang w:eastAsia="ro-RO"/>
          <w14:ligatures w14:val="none"/>
        </w:rPr>
      </w:pPr>
      <w:r w:rsidRPr="0018145E">
        <w:rPr>
          <w:rFonts w:ascii="Times New Roman" w:eastAsia="Times New Roman" w:hAnsi="Times New Roman" w:cs="Times New Roman"/>
          <w:kern w:val="0"/>
          <w:sz w:val="24"/>
          <w:szCs w:val="24"/>
          <w:lang w:eastAsia="ro-RO"/>
          <w14:ligatures w14:val="none"/>
        </w:rPr>
        <w:br/>
      </w:r>
    </w:p>
    <w:p w14:paraId="7A500061" w14:textId="77777777" w:rsidR="0018145E" w:rsidRDefault="0018145E" w:rsidP="0018145E">
      <w:pPr>
        <w:pStyle w:val="Listparagraf"/>
        <w:ind w:left="792"/>
      </w:pPr>
    </w:p>
    <w:sectPr w:rsidR="0018145E">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1CD29" w14:textId="77777777" w:rsidR="00404A7F" w:rsidRDefault="00404A7F" w:rsidP="0018145E">
      <w:pPr>
        <w:spacing w:after="0" w:line="240" w:lineRule="auto"/>
      </w:pPr>
      <w:r>
        <w:separator/>
      </w:r>
    </w:p>
  </w:endnote>
  <w:endnote w:type="continuationSeparator" w:id="0">
    <w:p w14:paraId="45F36FCE" w14:textId="77777777" w:rsidR="00404A7F" w:rsidRDefault="00404A7F" w:rsidP="00181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773297"/>
      <w:docPartObj>
        <w:docPartGallery w:val="Page Numbers (Bottom of Page)"/>
        <w:docPartUnique/>
      </w:docPartObj>
    </w:sdtPr>
    <w:sdtContent>
      <w:p w14:paraId="131AB36E" w14:textId="0ED4A116" w:rsidR="0018145E" w:rsidRDefault="0018145E">
        <w:pPr>
          <w:pStyle w:val="Subsol"/>
          <w:jc w:val="center"/>
        </w:pPr>
        <w:r>
          <w:fldChar w:fldCharType="begin"/>
        </w:r>
        <w:r>
          <w:instrText>PAGE   \* MERGEFORMAT</w:instrText>
        </w:r>
        <w:r>
          <w:fldChar w:fldCharType="separate"/>
        </w:r>
        <w:r>
          <w:t>2</w:t>
        </w:r>
        <w:r>
          <w:fldChar w:fldCharType="end"/>
        </w:r>
      </w:p>
    </w:sdtContent>
  </w:sdt>
  <w:p w14:paraId="509AAF2C" w14:textId="77777777" w:rsidR="0018145E" w:rsidRDefault="0018145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17E30" w14:textId="77777777" w:rsidR="00404A7F" w:rsidRDefault="00404A7F" w:rsidP="0018145E">
      <w:pPr>
        <w:spacing w:after="0" w:line="240" w:lineRule="auto"/>
      </w:pPr>
      <w:r>
        <w:separator/>
      </w:r>
    </w:p>
  </w:footnote>
  <w:footnote w:type="continuationSeparator" w:id="0">
    <w:p w14:paraId="14A50944" w14:textId="77777777" w:rsidR="00404A7F" w:rsidRDefault="00404A7F" w:rsidP="00181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D781" w14:textId="6F09F21E" w:rsidR="0018145E" w:rsidRDefault="0018145E">
    <w:pPr>
      <w:pStyle w:val="Antet"/>
    </w:pPr>
    <w:r>
      <w:rPr>
        <w:noProof/>
      </w:rPr>
      <w:drawing>
        <wp:inline distT="0" distB="0" distL="0" distR="0" wp14:anchorId="36BD43DC" wp14:editId="4DC7D2DD">
          <wp:extent cx="1165860" cy="4572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65860" cy="457200"/>
                  </a:xfrm>
                  <a:prstGeom prst="rect">
                    <a:avLst/>
                  </a:prstGeom>
                  <a:noFill/>
                  <a:ln>
                    <a:noFill/>
                  </a:ln>
                </pic:spPr>
              </pic:pic>
            </a:graphicData>
          </a:graphic>
        </wp:inline>
      </w:drawing>
    </w:r>
  </w:p>
  <w:p w14:paraId="4558D6B4" w14:textId="77777777" w:rsidR="0018145E" w:rsidRDefault="0018145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0BEF"/>
    <w:multiLevelType w:val="hybridMultilevel"/>
    <w:tmpl w:val="F1D89176"/>
    <w:lvl w:ilvl="0" w:tplc="F0384A00">
      <w:start w:val="1"/>
      <w:numFmt w:val="decimal"/>
      <w:lvlText w:val="%1."/>
      <w:lvlJc w:val="left"/>
      <w:pPr>
        <w:ind w:left="792" w:hanging="432"/>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334188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811"/>
    <w:rsid w:val="000428AA"/>
    <w:rsid w:val="000C225E"/>
    <w:rsid w:val="0018145E"/>
    <w:rsid w:val="002E345A"/>
    <w:rsid w:val="00404A7F"/>
    <w:rsid w:val="00427933"/>
    <w:rsid w:val="00505773"/>
    <w:rsid w:val="005938DF"/>
    <w:rsid w:val="00674955"/>
    <w:rsid w:val="006C2811"/>
    <w:rsid w:val="007509EE"/>
    <w:rsid w:val="00816F6A"/>
    <w:rsid w:val="0098118C"/>
    <w:rsid w:val="00A175F4"/>
    <w:rsid w:val="00D850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35028"/>
  <w15:chartTrackingRefBased/>
  <w15:docId w15:val="{6327C4C9-6940-4E51-9228-AF1AC9CC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45E"/>
  </w:style>
  <w:style w:type="paragraph" w:styleId="Titlu1">
    <w:name w:val="heading 1"/>
    <w:basedOn w:val="Normal"/>
    <w:next w:val="Normal"/>
    <w:link w:val="Titlu1Caracter"/>
    <w:uiPriority w:val="9"/>
    <w:qFormat/>
    <w:rsid w:val="006C28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6C28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C281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C281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C281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C281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C281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C281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C281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C281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C281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C281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C281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C281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C281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C281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C281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C2811"/>
    <w:rPr>
      <w:rFonts w:eastAsiaTheme="majorEastAsia" w:cstheme="majorBidi"/>
      <w:color w:val="272727" w:themeColor="text1" w:themeTint="D8"/>
    </w:rPr>
  </w:style>
  <w:style w:type="paragraph" w:styleId="Titlu">
    <w:name w:val="Title"/>
    <w:basedOn w:val="Normal"/>
    <w:next w:val="Normal"/>
    <w:link w:val="TitluCaracter"/>
    <w:uiPriority w:val="10"/>
    <w:qFormat/>
    <w:rsid w:val="006C28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C281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C281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C281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C281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C2811"/>
    <w:rPr>
      <w:i/>
      <w:iCs/>
      <w:color w:val="404040" w:themeColor="text1" w:themeTint="BF"/>
    </w:rPr>
  </w:style>
  <w:style w:type="paragraph" w:styleId="Listparagraf">
    <w:name w:val="List Paragraph"/>
    <w:basedOn w:val="Normal"/>
    <w:uiPriority w:val="34"/>
    <w:qFormat/>
    <w:rsid w:val="006C2811"/>
    <w:pPr>
      <w:ind w:left="720"/>
      <w:contextualSpacing/>
    </w:pPr>
  </w:style>
  <w:style w:type="character" w:styleId="Accentuareintens">
    <w:name w:val="Intense Emphasis"/>
    <w:basedOn w:val="Fontdeparagrafimplicit"/>
    <w:uiPriority w:val="21"/>
    <w:qFormat/>
    <w:rsid w:val="006C2811"/>
    <w:rPr>
      <w:i/>
      <w:iCs/>
      <w:color w:val="0F4761" w:themeColor="accent1" w:themeShade="BF"/>
    </w:rPr>
  </w:style>
  <w:style w:type="paragraph" w:styleId="Citatintens">
    <w:name w:val="Intense Quote"/>
    <w:basedOn w:val="Normal"/>
    <w:next w:val="Normal"/>
    <w:link w:val="CitatintensCaracter"/>
    <w:uiPriority w:val="30"/>
    <w:qFormat/>
    <w:rsid w:val="006C28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C2811"/>
    <w:rPr>
      <w:i/>
      <w:iCs/>
      <w:color w:val="0F4761" w:themeColor="accent1" w:themeShade="BF"/>
    </w:rPr>
  </w:style>
  <w:style w:type="character" w:styleId="Referireintens">
    <w:name w:val="Intense Reference"/>
    <w:basedOn w:val="Fontdeparagrafimplicit"/>
    <w:uiPriority w:val="32"/>
    <w:qFormat/>
    <w:rsid w:val="006C2811"/>
    <w:rPr>
      <w:b/>
      <w:bCs/>
      <w:smallCaps/>
      <w:color w:val="0F4761" w:themeColor="accent1" w:themeShade="BF"/>
      <w:spacing w:val="5"/>
    </w:rPr>
  </w:style>
  <w:style w:type="paragraph" w:styleId="Antet">
    <w:name w:val="header"/>
    <w:basedOn w:val="Normal"/>
    <w:link w:val="AntetCaracter"/>
    <w:uiPriority w:val="99"/>
    <w:unhideWhenUsed/>
    <w:rsid w:val="0018145E"/>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18145E"/>
  </w:style>
  <w:style w:type="paragraph" w:styleId="Subsol">
    <w:name w:val="footer"/>
    <w:basedOn w:val="Normal"/>
    <w:link w:val="SubsolCaracter"/>
    <w:uiPriority w:val="99"/>
    <w:unhideWhenUsed/>
    <w:rsid w:val="0018145E"/>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18145E"/>
  </w:style>
  <w:style w:type="character" w:styleId="Hyperlink">
    <w:name w:val="Hyperlink"/>
    <w:basedOn w:val="Fontdeparagrafimplicit"/>
    <w:uiPriority w:val="99"/>
    <w:unhideWhenUsed/>
    <w:rsid w:val="00816F6A"/>
    <w:rPr>
      <w:color w:val="467886" w:themeColor="hyperlink"/>
      <w:u w:val="single"/>
    </w:rPr>
  </w:style>
  <w:style w:type="character" w:styleId="MeniuneNerezolvat">
    <w:name w:val="Unresolved Mention"/>
    <w:basedOn w:val="Fontdeparagrafimplicit"/>
    <w:uiPriority w:val="99"/>
    <w:semiHidden/>
    <w:unhideWhenUsed/>
    <w:rsid w:val="00816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32008">
      <w:bodyDiv w:val="1"/>
      <w:marLeft w:val="0"/>
      <w:marRight w:val="0"/>
      <w:marTop w:val="0"/>
      <w:marBottom w:val="0"/>
      <w:divBdr>
        <w:top w:val="none" w:sz="0" w:space="0" w:color="auto"/>
        <w:left w:val="none" w:sz="0" w:space="0" w:color="auto"/>
        <w:bottom w:val="none" w:sz="0" w:space="0" w:color="auto"/>
        <w:right w:val="none" w:sz="0" w:space="0" w:color="auto"/>
      </w:divBdr>
    </w:div>
    <w:div w:id="339624611">
      <w:bodyDiv w:val="1"/>
      <w:marLeft w:val="0"/>
      <w:marRight w:val="0"/>
      <w:marTop w:val="0"/>
      <w:marBottom w:val="0"/>
      <w:divBdr>
        <w:top w:val="none" w:sz="0" w:space="0" w:color="auto"/>
        <w:left w:val="none" w:sz="0" w:space="0" w:color="auto"/>
        <w:bottom w:val="none" w:sz="0" w:space="0" w:color="auto"/>
        <w:right w:val="none" w:sz="0" w:space="0" w:color="auto"/>
      </w:divBdr>
    </w:div>
    <w:div w:id="578291414">
      <w:bodyDiv w:val="1"/>
      <w:marLeft w:val="0"/>
      <w:marRight w:val="0"/>
      <w:marTop w:val="0"/>
      <w:marBottom w:val="0"/>
      <w:divBdr>
        <w:top w:val="none" w:sz="0" w:space="0" w:color="auto"/>
        <w:left w:val="none" w:sz="0" w:space="0" w:color="auto"/>
        <w:bottom w:val="none" w:sz="0" w:space="0" w:color="auto"/>
        <w:right w:val="none" w:sz="0" w:space="0" w:color="auto"/>
      </w:divBdr>
    </w:div>
    <w:div w:id="709257193">
      <w:bodyDiv w:val="1"/>
      <w:marLeft w:val="0"/>
      <w:marRight w:val="0"/>
      <w:marTop w:val="0"/>
      <w:marBottom w:val="0"/>
      <w:divBdr>
        <w:top w:val="none" w:sz="0" w:space="0" w:color="auto"/>
        <w:left w:val="none" w:sz="0" w:space="0" w:color="auto"/>
        <w:bottom w:val="none" w:sz="0" w:space="0" w:color="auto"/>
        <w:right w:val="none" w:sz="0" w:space="0" w:color="auto"/>
      </w:divBdr>
    </w:div>
    <w:div w:id="971711422">
      <w:bodyDiv w:val="1"/>
      <w:marLeft w:val="0"/>
      <w:marRight w:val="0"/>
      <w:marTop w:val="0"/>
      <w:marBottom w:val="0"/>
      <w:divBdr>
        <w:top w:val="none" w:sz="0" w:space="0" w:color="auto"/>
        <w:left w:val="none" w:sz="0" w:space="0" w:color="auto"/>
        <w:bottom w:val="none" w:sz="0" w:space="0" w:color="auto"/>
        <w:right w:val="none" w:sz="0" w:space="0" w:color="auto"/>
      </w:divBdr>
    </w:div>
    <w:div w:id="1222210942">
      <w:bodyDiv w:val="1"/>
      <w:marLeft w:val="0"/>
      <w:marRight w:val="0"/>
      <w:marTop w:val="0"/>
      <w:marBottom w:val="0"/>
      <w:divBdr>
        <w:top w:val="none" w:sz="0" w:space="0" w:color="auto"/>
        <w:left w:val="none" w:sz="0" w:space="0" w:color="auto"/>
        <w:bottom w:val="none" w:sz="0" w:space="0" w:color="auto"/>
        <w:right w:val="none" w:sz="0" w:space="0" w:color="auto"/>
      </w:divBdr>
    </w:div>
    <w:div w:id="1238829368">
      <w:bodyDiv w:val="1"/>
      <w:marLeft w:val="0"/>
      <w:marRight w:val="0"/>
      <w:marTop w:val="0"/>
      <w:marBottom w:val="0"/>
      <w:divBdr>
        <w:top w:val="none" w:sz="0" w:space="0" w:color="auto"/>
        <w:left w:val="none" w:sz="0" w:space="0" w:color="auto"/>
        <w:bottom w:val="none" w:sz="0" w:space="0" w:color="auto"/>
        <w:right w:val="none" w:sz="0" w:space="0" w:color="auto"/>
      </w:divBdr>
    </w:div>
    <w:div w:id="1428886954">
      <w:bodyDiv w:val="1"/>
      <w:marLeft w:val="0"/>
      <w:marRight w:val="0"/>
      <w:marTop w:val="0"/>
      <w:marBottom w:val="0"/>
      <w:divBdr>
        <w:top w:val="none" w:sz="0" w:space="0" w:color="auto"/>
        <w:left w:val="none" w:sz="0" w:space="0" w:color="auto"/>
        <w:bottom w:val="none" w:sz="0" w:space="0" w:color="auto"/>
        <w:right w:val="none" w:sz="0" w:space="0" w:color="auto"/>
      </w:divBdr>
    </w:div>
    <w:div w:id="1846742810">
      <w:bodyDiv w:val="1"/>
      <w:marLeft w:val="0"/>
      <w:marRight w:val="0"/>
      <w:marTop w:val="0"/>
      <w:marBottom w:val="0"/>
      <w:divBdr>
        <w:top w:val="none" w:sz="0" w:space="0" w:color="auto"/>
        <w:left w:val="none" w:sz="0" w:space="0" w:color="auto"/>
        <w:bottom w:val="none" w:sz="0" w:space="0" w:color="auto"/>
        <w:right w:val="none" w:sz="0" w:space="0" w:color="auto"/>
      </w:divBdr>
    </w:div>
    <w:div w:id="1920090740">
      <w:bodyDiv w:val="1"/>
      <w:marLeft w:val="0"/>
      <w:marRight w:val="0"/>
      <w:marTop w:val="0"/>
      <w:marBottom w:val="0"/>
      <w:divBdr>
        <w:top w:val="none" w:sz="0" w:space="0" w:color="auto"/>
        <w:left w:val="none" w:sz="0" w:space="0" w:color="auto"/>
        <w:bottom w:val="none" w:sz="0" w:space="0" w:color="auto"/>
        <w:right w:val="none" w:sz="0" w:space="0" w:color="auto"/>
      </w:divBdr>
    </w:div>
    <w:div w:id="1954633348">
      <w:bodyDiv w:val="1"/>
      <w:marLeft w:val="0"/>
      <w:marRight w:val="0"/>
      <w:marTop w:val="0"/>
      <w:marBottom w:val="0"/>
      <w:divBdr>
        <w:top w:val="none" w:sz="0" w:space="0" w:color="auto"/>
        <w:left w:val="none" w:sz="0" w:space="0" w:color="auto"/>
        <w:bottom w:val="none" w:sz="0" w:space="0" w:color="auto"/>
        <w:right w:val="none" w:sz="0" w:space="0" w:color="auto"/>
      </w:divBdr>
    </w:div>
    <w:div w:id="2111730033">
      <w:bodyDiv w:val="1"/>
      <w:marLeft w:val="0"/>
      <w:marRight w:val="0"/>
      <w:marTop w:val="0"/>
      <w:marBottom w:val="0"/>
      <w:divBdr>
        <w:top w:val="none" w:sz="0" w:space="0" w:color="auto"/>
        <w:left w:val="none" w:sz="0" w:space="0" w:color="auto"/>
        <w:bottom w:val="none" w:sz="0" w:space="0" w:color="auto"/>
        <w:right w:val="none" w:sz="0" w:space="0" w:color="auto"/>
      </w:divBdr>
    </w:div>
    <w:div w:id="214291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1802</Words>
  <Characters>10457</Characters>
  <Application>Microsoft Office Word</Application>
  <DocSecurity>0</DocSecurity>
  <Lines>87</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Costea</dc:creator>
  <cp:keywords/>
  <dc:description/>
  <cp:lastModifiedBy>Andreea Costea</cp:lastModifiedBy>
  <cp:revision>6</cp:revision>
  <dcterms:created xsi:type="dcterms:W3CDTF">2025-02-22T14:23:00Z</dcterms:created>
  <dcterms:modified xsi:type="dcterms:W3CDTF">2025-02-22T14:45:00Z</dcterms:modified>
</cp:coreProperties>
</file>