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6FB" w:rsidRDefault="00E633C8">
      <w:pPr>
        <w:rPr>
          <w:rFonts w:ascii="Arial" w:hAnsi="Arial" w:cs="Arial"/>
          <w:sz w:val="28"/>
          <w:szCs w:val="28"/>
          <w:u w:val="single"/>
        </w:rPr>
      </w:pPr>
      <w:r w:rsidRPr="00E633C8">
        <w:rPr>
          <w:rFonts w:ascii="Arial" w:hAnsi="Arial" w:cs="Arial"/>
          <w:sz w:val="28"/>
          <w:szCs w:val="28"/>
          <w:u w:val="single"/>
        </w:rPr>
        <w:t>Salt, Consider Its Importance in the Ancient World</w:t>
      </w:r>
    </w:p>
    <w:p w:rsidR="006646A1" w:rsidRPr="00E633C8" w:rsidRDefault="006646A1">
      <w:pPr>
        <w:rPr>
          <w:rFonts w:ascii="Arial" w:hAnsi="Arial" w:cs="Arial"/>
          <w:sz w:val="28"/>
          <w:szCs w:val="28"/>
          <w:u w:val="single"/>
        </w:rPr>
      </w:pPr>
    </w:p>
    <w:p w:rsidR="003B3AEE" w:rsidRDefault="00C046B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Salt was highly valued</w:t>
      </w:r>
      <w:r w:rsidR="00B21EF5">
        <w:rPr>
          <w:rFonts w:ascii="Arial" w:hAnsi="Arial" w:cs="Arial"/>
          <w:sz w:val="28"/>
          <w:szCs w:val="28"/>
        </w:rPr>
        <w:t xml:space="preserve"> in the ancient world which</w:t>
      </w:r>
      <w:r w:rsidR="00AA4605">
        <w:rPr>
          <w:rFonts w:ascii="Arial" w:hAnsi="Arial" w:cs="Arial"/>
          <w:sz w:val="28"/>
          <w:szCs w:val="28"/>
        </w:rPr>
        <w:t xml:space="preserve"> the </w:t>
      </w:r>
      <w:r w:rsidR="00420D90">
        <w:rPr>
          <w:rFonts w:ascii="Arial" w:hAnsi="Arial" w:cs="Arial"/>
          <w:sz w:val="28"/>
          <w:szCs w:val="28"/>
        </w:rPr>
        <w:t>Romans</w:t>
      </w:r>
      <w:r>
        <w:rPr>
          <w:rFonts w:ascii="Arial" w:hAnsi="Arial" w:cs="Arial"/>
          <w:sz w:val="28"/>
          <w:szCs w:val="28"/>
        </w:rPr>
        <w:t xml:space="preserve"> considered it to be a vital commodity as a seaso</w:t>
      </w:r>
      <w:bookmarkStart w:id="0" w:name="_Hlk509225781"/>
      <w:r w:rsidR="00C73D50">
        <w:rPr>
          <w:rFonts w:ascii="Arial" w:hAnsi="Arial" w:cs="Arial"/>
          <w:sz w:val="28"/>
          <w:szCs w:val="28"/>
        </w:rPr>
        <w:t>ning and</w:t>
      </w:r>
      <w:r w:rsidR="0001485E">
        <w:rPr>
          <w:rFonts w:ascii="Arial" w:hAnsi="Arial" w:cs="Arial"/>
          <w:sz w:val="28"/>
          <w:szCs w:val="28"/>
        </w:rPr>
        <w:t xml:space="preserve"> preservative</w:t>
      </w:r>
      <w:r>
        <w:rPr>
          <w:rFonts w:ascii="Arial" w:hAnsi="Arial" w:cs="Arial"/>
          <w:sz w:val="28"/>
          <w:szCs w:val="28"/>
        </w:rPr>
        <w:t>.</w:t>
      </w:r>
      <w:bookmarkEnd w:id="0"/>
      <w:r w:rsidR="00410F50">
        <w:rPr>
          <w:rStyle w:val="FootnoteReference"/>
          <w:rFonts w:ascii="Arial" w:hAnsi="Arial" w:cs="Arial"/>
          <w:sz w:val="28"/>
          <w:szCs w:val="28"/>
        </w:rPr>
        <w:footnoteReference w:id="1"/>
      </w:r>
      <w:r w:rsidR="00B21EF5">
        <w:rPr>
          <w:rFonts w:ascii="Arial" w:hAnsi="Arial" w:cs="Arial"/>
          <w:sz w:val="28"/>
          <w:szCs w:val="28"/>
        </w:rPr>
        <w:t xml:space="preserve"> </w:t>
      </w:r>
      <w:r w:rsidR="003F6B83">
        <w:rPr>
          <w:rFonts w:ascii="Arial" w:hAnsi="Arial" w:cs="Arial"/>
          <w:sz w:val="28"/>
          <w:szCs w:val="28"/>
        </w:rPr>
        <w:t>The Romans recognised</w:t>
      </w:r>
      <w:r w:rsidR="00097511">
        <w:rPr>
          <w:rFonts w:ascii="Arial" w:hAnsi="Arial" w:cs="Arial"/>
          <w:sz w:val="28"/>
          <w:szCs w:val="28"/>
        </w:rPr>
        <w:t xml:space="preserve"> its importance as a trade commod</w:t>
      </w:r>
      <w:r w:rsidR="003F6B83">
        <w:rPr>
          <w:rFonts w:ascii="Arial" w:hAnsi="Arial" w:cs="Arial"/>
          <w:sz w:val="28"/>
          <w:szCs w:val="28"/>
        </w:rPr>
        <w:t>ity</w:t>
      </w:r>
      <w:r w:rsidR="001C12F2">
        <w:rPr>
          <w:rFonts w:ascii="Arial" w:hAnsi="Arial" w:cs="Arial"/>
          <w:sz w:val="28"/>
          <w:szCs w:val="28"/>
        </w:rPr>
        <w:t>.  S</w:t>
      </w:r>
      <w:r w:rsidR="00097511">
        <w:rPr>
          <w:rFonts w:ascii="Arial" w:hAnsi="Arial" w:cs="Arial"/>
          <w:sz w:val="28"/>
          <w:szCs w:val="28"/>
        </w:rPr>
        <w:t xml:space="preserve">alt production was controlled by the state and taxed </w:t>
      </w:r>
      <w:r w:rsidR="00470807">
        <w:rPr>
          <w:rFonts w:ascii="Arial" w:hAnsi="Arial" w:cs="Arial"/>
          <w:sz w:val="28"/>
          <w:szCs w:val="28"/>
        </w:rPr>
        <w:t>accordingly.</w:t>
      </w:r>
      <w:r w:rsidR="00470807">
        <w:rPr>
          <w:rStyle w:val="FootnoteReference"/>
          <w:rFonts w:ascii="Arial" w:hAnsi="Arial" w:cs="Arial"/>
          <w:sz w:val="28"/>
          <w:szCs w:val="28"/>
        </w:rPr>
        <w:footnoteReference w:id="2"/>
      </w:r>
      <w:r w:rsidR="00B21EF5">
        <w:rPr>
          <w:rFonts w:ascii="Arial" w:hAnsi="Arial" w:cs="Arial"/>
          <w:sz w:val="28"/>
          <w:szCs w:val="28"/>
        </w:rPr>
        <w:t xml:space="preserve">  </w:t>
      </w:r>
      <w:r w:rsidR="004155A2">
        <w:rPr>
          <w:rFonts w:ascii="Arial" w:hAnsi="Arial" w:cs="Arial"/>
          <w:sz w:val="28"/>
          <w:szCs w:val="28"/>
        </w:rPr>
        <w:t xml:space="preserve"> Rome’s close proximity to the salterns at</w:t>
      </w:r>
      <w:r w:rsidR="00FE62C3">
        <w:rPr>
          <w:rFonts w:ascii="Arial" w:hAnsi="Arial" w:cs="Arial"/>
          <w:sz w:val="28"/>
          <w:szCs w:val="28"/>
        </w:rPr>
        <w:t xml:space="preserve"> the mouth of the</w:t>
      </w:r>
      <w:r w:rsidR="00B04768">
        <w:rPr>
          <w:rFonts w:ascii="Arial" w:hAnsi="Arial" w:cs="Arial"/>
          <w:sz w:val="28"/>
          <w:szCs w:val="28"/>
        </w:rPr>
        <w:t xml:space="preserve"> Tiber was</w:t>
      </w:r>
      <w:r w:rsidR="004155A2">
        <w:rPr>
          <w:rFonts w:ascii="Arial" w:hAnsi="Arial" w:cs="Arial"/>
          <w:sz w:val="28"/>
          <w:szCs w:val="28"/>
        </w:rPr>
        <w:t xml:space="preserve"> a si</w:t>
      </w:r>
      <w:r w:rsidR="00C247B9">
        <w:rPr>
          <w:rFonts w:ascii="Arial" w:hAnsi="Arial" w:cs="Arial"/>
          <w:sz w:val="28"/>
          <w:szCs w:val="28"/>
        </w:rPr>
        <w:t>gnificant reason</w:t>
      </w:r>
      <w:r w:rsidR="004155A2">
        <w:rPr>
          <w:rFonts w:ascii="Arial" w:hAnsi="Arial" w:cs="Arial"/>
          <w:sz w:val="28"/>
          <w:szCs w:val="28"/>
        </w:rPr>
        <w:t xml:space="preserve"> it was such </w:t>
      </w:r>
      <w:r w:rsidR="00EC01DC">
        <w:rPr>
          <w:rFonts w:ascii="Arial" w:hAnsi="Arial" w:cs="Arial"/>
          <w:sz w:val="28"/>
          <w:szCs w:val="28"/>
        </w:rPr>
        <w:t>an important city to t</w:t>
      </w:r>
      <w:r w:rsidR="00C247B9">
        <w:rPr>
          <w:rFonts w:ascii="Arial" w:hAnsi="Arial" w:cs="Arial"/>
          <w:sz w:val="28"/>
          <w:szCs w:val="28"/>
        </w:rPr>
        <w:t xml:space="preserve">he </w:t>
      </w:r>
      <w:bookmarkStart w:id="4" w:name="_Hlk509228364"/>
      <w:r w:rsidR="00B21EF5">
        <w:rPr>
          <w:rFonts w:ascii="Arial" w:hAnsi="Arial" w:cs="Arial"/>
          <w:sz w:val="28"/>
          <w:szCs w:val="28"/>
        </w:rPr>
        <w:t>Romans and established as its capital</w:t>
      </w:r>
      <w:r w:rsidR="002F3416">
        <w:rPr>
          <w:rFonts w:ascii="Arial" w:hAnsi="Arial" w:cs="Arial"/>
          <w:sz w:val="28"/>
          <w:szCs w:val="28"/>
        </w:rPr>
        <w:t>.</w:t>
      </w:r>
      <w:r w:rsidR="00803125">
        <w:rPr>
          <w:rStyle w:val="FootnoteReference"/>
          <w:rFonts w:ascii="Arial" w:hAnsi="Arial" w:cs="Arial"/>
          <w:sz w:val="28"/>
          <w:szCs w:val="28"/>
        </w:rPr>
        <w:footnoteReference w:id="3"/>
      </w:r>
      <w:bookmarkEnd w:id="4"/>
      <w:r w:rsidR="002D045C">
        <w:rPr>
          <w:rFonts w:ascii="Arial" w:hAnsi="Arial" w:cs="Arial"/>
          <w:sz w:val="28"/>
          <w:szCs w:val="28"/>
        </w:rPr>
        <w:t xml:space="preserve">  </w:t>
      </w:r>
      <w:r w:rsidR="003B3AEE">
        <w:rPr>
          <w:rFonts w:ascii="Arial" w:hAnsi="Arial" w:cs="Arial"/>
          <w:sz w:val="28"/>
          <w:szCs w:val="28"/>
        </w:rPr>
        <w:t xml:space="preserve">As Rome took control of more territories </w:t>
      </w:r>
      <w:r w:rsidR="002D045C">
        <w:rPr>
          <w:rFonts w:ascii="Arial" w:hAnsi="Arial" w:cs="Arial"/>
          <w:sz w:val="28"/>
          <w:szCs w:val="28"/>
        </w:rPr>
        <w:t>it gained greater access to salt</w:t>
      </w:r>
      <w:bookmarkStart w:id="6" w:name="_Hlk509307028"/>
      <w:r w:rsidR="002F3416">
        <w:rPr>
          <w:rFonts w:ascii="Arial" w:hAnsi="Arial" w:cs="Arial"/>
          <w:sz w:val="28"/>
          <w:szCs w:val="28"/>
        </w:rPr>
        <w:t>.</w:t>
      </w:r>
      <w:r w:rsidR="002F3416">
        <w:rPr>
          <w:rStyle w:val="FootnoteReference"/>
          <w:rFonts w:ascii="Arial" w:hAnsi="Arial" w:cs="Arial"/>
          <w:sz w:val="28"/>
          <w:szCs w:val="28"/>
        </w:rPr>
        <w:footnoteReference w:id="4"/>
      </w:r>
      <w:bookmarkEnd w:id="6"/>
    </w:p>
    <w:p w:rsidR="00165EC1" w:rsidRDefault="004716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Salt was</w:t>
      </w:r>
      <w:r w:rsidR="00FE62C3">
        <w:rPr>
          <w:rFonts w:ascii="Arial" w:hAnsi="Arial" w:cs="Arial"/>
          <w:sz w:val="28"/>
          <w:szCs w:val="28"/>
        </w:rPr>
        <w:t xml:space="preserve"> used as a preservative</w:t>
      </w:r>
      <w:r w:rsidR="002F1CA5">
        <w:rPr>
          <w:rFonts w:ascii="Arial" w:hAnsi="Arial" w:cs="Arial"/>
          <w:sz w:val="28"/>
          <w:szCs w:val="28"/>
        </w:rPr>
        <w:t xml:space="preserve"> which allowed a longer shelf</w:t>
      </w:r>
      <w:r w:rsidR="007C4C43">
        <w:rPr>
          <w:rFonts w:ascii="Arial" w:hAnsi="Arial" w:cs="Arial"/>
          <w:sz w:val="28"/>
          <w:szCs w:val="28"/>
        </w:rPr>
        <w:t xml:space="preserve"> life for meat and fish</w:t>
      </w:r>
      <w:r w:rsidR="00AE5566">
        <w:rPr>
          <w:rFonts w:ascii="Arial" w:hAnsi="Arial" w:cs="Arial"/>
          <w:sz w:val="28"/>
          <w:szCs w:val="28"/>
        </w:rPr>
        <w:t xml:space="preserve">.  </w:t>
      </w:r>
      <w:r w:rsidR="00414C05">
        <w:rPr>
          <w:rFonts w:ascii="Arial" w:hAnsi="Arial" w:cs="Arial"/>
          <w:sz w:val="28"/>
          <w:szCs w:val="28"/>
        </w:rPr>
        <w:t>Pork and other meats were dry cured</w:t>
      </w:r>
      <w:r w:rsidR="002E42AF">
        <w:rPr>
          <w:rFonts w:ascii="Arial" w:hAnsi="Arial" w:cs="Arial"/>
          <w:sz w:val="28"/>
          <w:szCs w:val="28"/>
        </w:rPr>
        <w:t>, brined</w:t>
      </w:r>
      <w:r w:rsidR="00750C80">
        <w:rPr>
          <w:rFonts w:ascii="Arial" w:hAnsi="Arial" w:cs="Arial"/>
          <w:sz w:val="28"/>
          <w:szCs w:val="28"/>
        </w:rPr>
        <w:t xml:space="preserve"> or pickled.</w:t>
      </w:r>
      <w:r w:rsidR="00750C80">
        <w:rPr>
          <w:rStyle w:val="FootnoteReference"/>
          <w:rFonts w:ascii="Arial" w:hAnsi="Arial" w:cs="Arial"/>
          <w:sz w:val="28"/>
          <w:szCs w:val="28"/>
        </w:rPr>
        <w:footnoteReference w:id="5"/>
      </w:r>
      <w:r w:rsidR="002E42AF">
        <w:rPr>
          <w:rFonts w:ascii="Arial" w:hAnsi="Arial" w:cs="Arial"/>
          <w:sz w:val="28"/>
          <w:szCs w:val="28"/>
        </w:rPr>
        <w:t xml:space="preserve">  In Rome, due to its location fish would probably </w:t>
      </w:r>
      <w:r w:rsidR="00B04768">
        <w:rPr>
          <w:rFonts w:ascii="Arial" w:hAnsi="Arial" w:cs="Arial"/>
          <w:sz w:val="28"/>
          <w:szCs w:val="28"/>
        </w:rPr>
        <w:t xml:space="preserve">have </w:t>
      </w:r>
      <w:r w:rsidR="007C4C43">
        <w:rPr>
          <w:rFonts w:ascii="Arial" w:hAnsi="Arial" w:cs="Arial"/>
          <w:sz w:val="28"/>
          <w:szCs w:val="28"/>
        </w:rPr>
        <w:t>been dried or salted</w:t>
      </w:r>
      <w:r w:rsidR="009746FB">
        <w:rPr>
          <w:rFonts w:ascii="Arial" w:hAnsi="Arial" w:cs="Arial"/>
          <w:sz w:val="28"/>
          <w:szCs w:val="28"/>
        </w:rPr>
        <w:t>.</w:t>
      </w:r>
      <w:r w:rsidR="00105B5F">
        <w:rPr>
          <w:rStyle w:val="FootnoteReference"/>
          <w:rFonts w:ascii="Arial" w:hAnsi="Arial" w:cs="Arial"/>
          <w:sz w:val="28"/>
          <w:szCs w:val="28"/>
        </w:rPr>
        <w:footnoteReference w:id="6"/>
      </w:r>
      <w:r w:rsidR="002E42AF">
        <w:rPr>
          <w:rFonts w:ascii="Arial" w:hAnsi="Arial" w:cs="Arial"/>
          <w:sz w:val="28"/>
          <w:szCs w:val="28"/>
        </w:rPr>
        <w:t xml:space="preserve"> </w:t>
      </w:r>
    </w:p>
    <w:p w:rsidR="00A4498A" w:rsidRDefault="000103DA" w:rsidP="00A449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Garum</w:t>
      </w:r>
      <w:r w:rsidR="00476960">
        <w:rPr>
          <w:rFonts w:ascii="Arial" w:hAnsi="Arial" w:cs="Arial"/>
          <w:sz w:val="28"/>
          <w:szCs w:val="28"/>
        </w:rPr>
        <w:t xml:space="preserve"> a </w:t>
      </w:r>
      <w:r w:rsidR="00474270">
        <w:rPr>
          <w:rFonts w:ascii="Arial" w:hAnsi="Arial" w:cs="Arial"/>
          <w:sz w:val="28"/>
          <w:szCs w:val="28"/>
        </w:rPr>
        <w:t>fish sauce was also made using salt.  Its main ingredient was whole fish or parts of fish mixed with salt, the amount of salt used va</w:t>
      </w:r>
      <w:bookmarkStart w:id="7" w:name="_Hlk509315824"/>
      <w:r w:rsidR="00AA7587">
        <w:rPr>
          <w:rFonts w:ascii="Arial" w:hAnsi="Arial" w:cs="Arial"/>
          <w:sz w:val="28"/>
          <w:szCs w:val="28"/>
        </w:rPr>
        <w:t>ried from producer to producer.</w:t>
      </w:r>
      <w:r w:rsidR="009746FB">
        <w:rPr>
          <w:rStyle w:val="FootnoteReference"/>
          <w:rFonts w:ascii="Arial" w:hAnsi="Arial" w:cs="Arial"/>
          <w:sz w:val="28"/>
          <w:szCs w:val="28"/>
        </w:rPr>
        <w:footnoteReference w:id="7"/>
      </w:r>
      <w:r w:rsidR="00AA7587">
        <w:rPr>
          <w:rFonts w:ascii="Arial" w:hAnsi="Arial" w:cs="Arial"/>
          <w:sz w:val="28"/>
          <w:szCs w:val="28"/>
        </w:rPr>
        <w:t xml:space="preserve"> </w:t>
      </w:r>
      <w:r w:rsidR="00474270">
        <w:rPr>
          <w:rFonts w:ascii="Arial" w:hAnsi="Arial" w:cs="Arial"/>
          <w:sz w:val="28"/>
          <w:szCs w:val="28"/>
        </w:rPr>
        <w:t xml:space="preserve"> </w:t>
      </w:r>
      <w:bookmarkEnd w:id="7"/>
      <w:r w:rsidR="00474270">
        <w:rPr>
          <w:rFonts w:ascii="Arial" w:hAnsi="Arial" w:cs="Arial"/>
          <w:sz w:val="28"/>
          <w:szCs w:val="28"/>
        </w:rPr>
        <w:t>This mixture was then left to ferment in the sun for up to three months. The Garum was the clear liquid left at the top an</w:t>
      </w:r>
      <w:bookmarkStart w:id="10" w:name="_Hlk509316031"/>
      <w:r w:rsidR="00AA7587">
        <w:rPr>
          <w:rFonts w:ascii="Arial" w:hAnsi="Arial" w:cs="Arial"/>
          <w:sz w:val="28"/>
          <w:szCs w:val="28"/>
        </w:rPr>
        <w:t xml:space="preserve">d the sediment was called </w:t>
      </w:r>
      <w:proofErr w:type="spellStart"/>
      <w:r w:rsidR="00AA7587">
        <w:rPr>
          <w:rFonts w:ascii="Arial" w:hAnsi="Arial" w:cs="Arial"/>
          <w:sz w:val="28"/>
          <w:szCs w:val="28"/>
        </w:rPr>
        <w:t>allec</w:t>
      </w:r>
      <w:proofErr w:type="spellEnd"/>
      <w:r w:rsidR="00474270">
        <w:rPr>
          <w:rFonts w:ascii="Arial" w:hAnsi="Arial" w:cs="Arial"/>
          <w:sz w:val="28"/>
          <w:szCs w:val="28"/>
        </w:rPr>
        <w:t>.</w:t>
      </w:r>
      <w:r w:rsidR="00AA7587">
        <w:rPr>
          <w:rStyle w:val="FootnoteReference"/>
          <w:rFonts w:ascii="Arial" w:hAnsi="Arial" w:cs="Arial"/>
          <w:sz w:val="28"/>
          <w:szCs w:val="28"/>
        </w:rPr>
        <w:footnoteReference w:id="8"/>
      </w:r>
      <w:r w:rsidR="00474270">
        <w:rPr>
          <w:rFonts w:ascii="Arial" w:hAnsi="Arial" w:cs="Arial"/>
          <w:sz w:val="28"/>
          <w:szCs w:val="28"/>
        </w:rPr>
        <w:t xml:space="preserve">  </w:t>
      </w:r>
      <w:bookmarkEnd w:id="10"/>
      <w:r w:rsidR="00474270">
        <w:rPr>
          <w:rFonts w:ascii="Arial" w:hAnsi="Arial" w:cs="Arial"/>
          <w:sz w:val="28"/>
          <w:szCs w:val="28"/>
        </w:rPr>
        <w:t>The salt used in garum production prevented putrefaction which meant that it did not smell so bad</w:t>
      </w:r>
      <w:r w:rsidR="007C1792">
        <w:rPr>
          <w:rFonts w:ascii="Arial" w:hAnsi="Arial" w:cs="Arial"/>
          <w:sz w:val="28"/>
          <w:szCs w:val="28"/>
        </w:rPr>
        <w:t>.</w:t>
      </w:r>
      <w:r w:rsidR="00AA7587">
        <w:rPr>
          <w:rStyle w:val="FootnoteReference"/>
          <w:rFonts w:ascii="Arial" w:hAnsi="Arial" w:cs="Arial"/>
          <w:sz w:val="28"/>
          <w:szCs w:val="28"/>
        </w:rPr>
        <w:footnoteReference w:id="9"/>
      </w:r>
    </w:p>
    <w:p w:rsidR="00A4498A" w:rsidRDefault="00A4498A" w:rsidP="00A449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One of the oldest roads in Italy is the “Via </w:t>
      </w:r>
      <w:proofErr w:type="spellStart"/>
      <w:r>
        <w:rPr>
          <w:rFonts w:ascii="Arial" w:hAnsi="Arial" w:cs="Arial"/>
          <w:sz w:val="28"/>
          <w:szCs w:val="28"/>
        </w:rPr>
        <w:t>Salaria</w:t>
      </w:r>
      <w:proofErr w:type="spellEnd"/>
      <w:r>
        <w:rPr>
          <w:rFonts w:ascii="Arial" w:hAnsi="Arial" w:cs="Arial"/>
          <w:sz w:val="28"/>
          <w:szCs w:val="28"/>
        </w:rPr>
        <w:t xml:space="preserve">” or “Salt Route” in English.  This road was used to transport salt from the salt pans at </w:t>
      </w:r>
      <w:r>
        <w:rPr>
          <w:rFonts w:ascii="Arial" w:hAnsi="Arial" w:cs="Arial"/>
          <w:sz w:val="28"/>
          <w:szCs w:val="28"/>
        </w:rPr>
        <w:lastRenderedPageBreak/>
        <w:t>Ostia</w:t>
      </w:r>
      <w:r w:rsidR="00ED015B">
        <w:rPr>
          <w:rFonts w:ascii="Arial" w:hAnsi="Arial" w:cs="Arial"/>
          <w:sz w:val="28"/>
          <w:szCs w:val="28"/>
        </w:rPr>
        <w:t>.</w:t>
      </w:r>
      <w:r w:rsidR="00340872">
        <w:rPr>
          <w:rStyle w:val="FootnoteReference"/>
          <w:rFonts w:ascii="Arial" w:hAnsi="Arial" w:cs="Arial"/>
          <w:sz w:val="28"/>
          <w:szCs w:val="28"/>
        </w:rPr>
        <w:footnoteReference w:id="10"/>
      </w:r>
      <w:r>
        <w:rPr>
          <w:rFonts w:ascii="Arial" w:hAnsi="Arial" w:cs="Arial"/>
          <w:sz w:val="28"/>
          <w:szCs w:val="28"/>
        </w:rPr>
        <w:t xml:space="preserve">  Rome’s armies travelled with wago</w:t>
      </w:r>
      <w:r w:rsidR="00976F0B">
        <w:rPr>
          <w:rFonts w:ascii="Arial" w:hAnsi="Arial" w:cs="Arial"/>
          <w:sz w:val="28"/>
          <w:szCs w:val="28"/>
        </w:rPr>
        <w:t>ns of salt which</w:t>
      </w:r>
      <w:bookmarkStart w:id="12" w:name="_GoBack"/>
      <w:bookmarkEnd w:id="12"/>
      <w:r>
        <w:rPr>
          <w:rFonts w:ascii="Arial" w:hAnsi="Arial" w:cs="Arial"/>
          <w:sz w:val="28"/>
          <w:szCs w:val="28"/>
        </w:rPr>
        <w:t xml:space="preserve"> was essential to their daily needs.</w:t>
      </w:r>
      <w:r w:rsidR="004E017C">
        <w:rPr>
          <w:rStyle w:val="FootnoteReference"/>
          <w:rFonts w:ascii="Arial" w:hAnsi="Arial" w:cs="Arial"/>
          <w:sz w:val="28"/>
          <w:szCs w:val="28"/>
        </w:rPr>
        <w:footnoteReference w:id="11"/>
      </w:r>
      <w:bookmarkStart w:id="13" w:name="_Hlk509348588"/>
    </w:p>
    <w:bookmarkEnd w:id="13"/>
    <w:p w:rsidR="00C247B9" w:rsidRDefault="00DE00C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D74063">
        <w:rPr>
          <w:rFonts w:ascii="Arial" w:hAnsi="Arial" w:cs="Arial"/>
          <w:sz w:val="28"/>
          <w:szCs w:val="28"/>
        </w:rPr>
        <w:t xml:space="preserve">hen considering the importance of salt as a food stuff in the ancient world I believe it was essential for the Romans to have access to </w:t>
      </w:r>
      <w:r w:rsidR="003267ED">
        <w:rPr>
          <w:rFonts w:ascii="Arial" w:hAnsi="Arial" w:cs="Arial"/>
          <w:sz w:val="28"/>
          <w:szCs w:val="28"/>
        </w:rPr>
        <w:t xml:space="preserve">vast salt reserves.  In the first century AD </w:t>
      </w:r>
      <w:r w:rsidR="00B83F9C">
        <w:rPr>
          <w:rFonts w:ascii="Arial" w:hAnsi="Arial" w:cs="Arial"/>
          <w:sz w:val="28"/>
          <w:szCs w:val="28"/>
        </w:rPr>
        <w:t>s</w:t>
      </w:r>
      <w:r w:rsidR="003267ED">
        <w:rPr>
          <w:rFonts w:ascii="Arial" w:hAnsi="Arial" w:cs="Arial"/>
          <w:sz w:val="28"/>
          <w:szCs w:val="28"/>
        </w:rPr>
        <w:t>altworks along with vineyards, farm lands, olive orchards, pastures, forests and fisheries</w:t>
      </w:r>
      <w:r w:rsidR="00B83F9C">
        <w:rPr>
          <w:rFonts w:ascii="Arial" w:hAnsi="Arial" w:cs="Arial"/>
          <w:sz w:val="28"/>
          <w:szCs w:val="28"/>
        </w:rPr>
        <w:t xml:space="preserve"> were subject to a land tax whi</w:t>
      </w:r>
      <w:r w:rsidR="00F10EB6">
        <w:rPr>
          <w:rFonts w:ascii="Arial" w:hAnsi="Arial" w:cs="Arial"/>
          <w:sz w:val="28"/>
          <w:szCs w:val="28"/>
        </w:rPr>
        <w:t>ch brought revenue to Rome</w:t>
      </w:r>
      <w:r w:rsidR="00C007E9">
        <w:rPr>
          <w:rFonts w:ascii="Arial" w:hAnsi="Arial" w:cs="Arial"/>
          <w:sz w:val="28"/>
          <w:szCs w:val="28"/>
        </w:rPr>
        <w:t>.</w:t>
      </w:r>
      <w:r w:rsidR="00DF5829">
        <w:rPr>
          <w:rStyle w:val="FootnoteReference"/>
          <w:rFonts w:ascii="Arial" w:hAnsi="Arial" w:cs="Arial"/>
          <w:sz w:val="28"/>
          <w:szCs w:val="28"/>
        </w:rPr>
        <w:footnoteReference w:id="12"/>
      </w:r>
      <w:r w:rsidR="0015034D">
        <w:rPr>
          <w:rFonts w:ascii="Arial" w:hAnsi="Arial" w:cs="Arial"/>
          <w:sz w:val="28"/>
          <w:szCs w:val="28"/>
        </w:rPr>
        <w:t xml:space="preserve"> </w:t>
      </w:r>
      <w:r w:rsidR="00F10EB6">
        <w:rPr>
          <w:rFonts w:ascii="Arial" w:hAnsi="Arial" w:cs="Arial"/>
          <w:sz w:val="28"/>
          <w:szCs w:val="28"/>
        </w:rPr>
        <w:t xml:space="preserve"> Soldiers and officials were also paid a “</w:t>
      </w:r>
      <w:proofErr w:type="spellStart"/>
      <w:r w:rsidR="00F10EB6">
        <w:rPr>
          <w:rFonts w:ascii="Arial" w:hAnsi="Arial" w:cs="Arial"/>
          <w:sz w:val="28"/>
          <w:szCs w:val="28"/>
        </w:rPr>
        <w:t>salarium</w:t>
      </w:r>
      <w:proofErr w:type="spellEnd"/>
      <w:r w:rsidR="00F10EB6">
        <w:rPr>
          <w:rFonts w:ascii="Arial" w:hAnsi="Arial" w:cs="Arial"/>
          <w:sz w:val="28"/>
          <w:szCs w:val="28"/>
        </w:rPr>
        <w:t>” which means “</w:t>
      </w:r>
      <w:r w:rsidR="00F822E0">
        <w:rPr>
          <w:rFonts w:ascii="Arial" w:hAnsi="Arial" w:cs="Arial"/>
          <w:sz w:val="28"/>
          <w:szCs w:val="28"/>
        </w:rPr>
        <w:t>salt allowance</w:t>
      </w:r>
      <w:r w:rsidR="00F10EB6">
        <w:rPr>
          <w:rFonts w:ascii="Arial" w:hAnsi="Arial" w:cs="Arial"/>
          <w:sz w:val="28"/>
          <w:szCs w:val="28"/>
        </w:rPr>
        <w:t>”</w:t>
      </w:r>
      <w:bookmarkStart w:id="14" w:name="_Hlk509345642"/>
      <w:r w:rsidR="00F020F9">
        <w:rPr>
          <w:rFonts w:ascii="Arial" w:hAnsi="Arial" w:cs="Arial"/>
          <w:sz w:val="28"/>
          <w:szCs w:val="28"/>
        </w:rPr>
        <w:t>.</w:t>
      </w:r>
      <w:r w:rsidR="00C007E9">
        <w:rPr>
          <w:rStyle w:val="FootnoteReference"/>
          <w:rFonts w:ascii="Arial" w:hAnsi="Arial" w:cs="Arial"/>
          <w:sz w:val="28"/>
          <w:szCs w:val="28"/>
        </w:rPr>
        <w:footnoteReference w:id="13"/>
      </w:r>
      <w:r w:rsidR="00793F32">
        <w:rPr>
          <w:rFonts w:ascii="Arial" w:hAnsi="Arial" w:cs="Arial"/>
          <w:sz w:val="28"/>
          <w:szCs w:val="28"/>
        </w:rPr>
        <w:t xml:space="preserve"> </w:t>
      </w:r>
      <w:bookmarkEnd w:id="14"/>
      <w:r w:rsidR="00925C5E">
        <w:rPr>
          <w:rFonts w:ascii="Arial" w:hAnsi="Arial" w:cs="Arial"/>
          <w:sz w:val="28"/>
          <w:szCs w:val="28"/>
        </w:rPr>
        <w:t xml:space="preserve"> </w:t>
      </w:r>
      <w:r w:rsidR="00BC1A70">
        <w:rPr>
          <w:rFonts w:ascii="Arial" w:hAnsi="Arial" w:cs="Arial"/>
          <w:sz w:val="28"/>
          <w:szCs w:val="28"/>
        </w:rPr>
        <w:t>In fact, after the collapse of the Roman empire salt production reduced and this increased the</w:t>
      </w:r>
      <w:r w:rsidR="00FF0ED6">
        <w:rPr>
          <w:rFonts w:ascii="Arial" w:hAnsi="Arial" w:cs="Arial"/>
          <w:sz w:val="28"/>
          <w:szCs w:val="28"/>
        </w:rPr>
        <w:t xml:space="preserve"> market </w:t>
      </w:r>
      <w:r w:rsidR="00BC1A70">
        <w:rPr>
          <w:rFonts w:ascii="Arial" w:hAnsi="Arial" w:cs="Arial"/>
          <w:sz w:val="28"/>
          <w:szCs w:val="28"/>
        </w:rPr>
        <w:t>price of salt significantly</w:t>
      </w:r>
      <w:r w:rsidR="00925C5E">
        <w:rPr>
          <w:rFonts w:ascii="Arial" w:hAnsi="Arial" w:cs="Arial"/>
          <w:sz w:val="28"/>
          <w:szCs w:val="28"/>
        </w:rPr>
        <w:t>.</w:t>
      </w:r>
      <w:r w:rsidR="00660C34">
        <w:rPr>
          <w:rStyle w:val="FootnoteReference"/>
          <w:rFonts w:ascii="Arial" w:hAnsi="Arial" w:cs="Arial"/>
          <w:sz w:val="28"/>
          <w:szCs w:val="28"/>
        </w:rPr>
        <w:footnoteReference w:id="14"/>
      </w:r>
      <w:r w:rsidR="00BC1A70">
        <w:rPr>
          <w:rFonts w:ascii="Arial" w:hAnsi="Arial" w:cs="Arial"/>
          <w:sz w:val="28"/>
          <w:szCs w:val="28"/>
        </w:rPr>
        <w:t xml:space="preserve"> </w:t>
      </w:r>
      <w:r w:rsidR="00FF0ED6">
        <w:rPr>
          <w:rFonts w:ascii="Arial" w:hAnsi="Arial" w:cs="Arial"/>
          <w:sz w:val="28"/>
          <w:szCs w:val="28"/>
        </w:rPr>
        <w:t xml:space="preserve">    </w:t>
      </w:r>
    </w:p>
    <w:p w:rsidR="006646A1" w:rsidRDefault="006646A1">
      <w:pPr>
        <w:rPr>
          <w:rFonts w:ascii="Arial" w:hAnsi="Arial" w:cs="Arial"/>
          <w:sz w:val="28"/>
          <w:szCs w:val="28"/>
        </w:rPr>
      </w:pPr>
    </w:p>
    <w:p w:rsidR="0001485E" w:rsidRPr="006646A1" w:rsidRDefault="00130E4C">
      <w:pPr>
        <w:rPr>
          <w:rFonts w:ascii="Arial" w:hAnsi="Arial" w:cs="Arial"/>
          <w:sz w:val="28"/>
          <w:szCs w:val="28"/>
          <w:u w:val="single"/>
        </w:rPr>
      </w:pPr>
      <w:r w:rsidRPr="006646A1">
        <w:rPr>
          <w:rFonts w:ascii="Arial" w:hAnsi="Arial" w:cs="Arial"/>
          <w:sz w:val="28"/>
          <w:szCs w:val="28"/>
          <w:u w:val="single"/>
        </w:rPr>
        <w:t>Bibliography</w:t>
      </w:r>
    </w:p>
    <w:p w:rsidR="008D7B3C" w:rsidRDefault="0001485E">
      <w:r w:rsidRPr="0001485E">
        <w:rPr>
          <w:rFonts w:ascii="Arial" w:hAnsi="Arial" w:cs="Arial"/>
          <w:sz w:val="28"/>
          <w:szCs w:val="28"/>
        </w:rPr>
        <w:t xml:space="preserve">Thompson F.H, </w:t>
      </w:r>
      <w:r w:rsidRPr="0001485E">
        <w:rPr>
          <w:rFonts w:ascii="Arial" w:hAnsi="Arial" w:cs="Arial"/>
          <w:i/>
          <w:sz w:val="28"/>
          <w:szCs w:val="28"/>
        </w:rPr>
        <w:t>The Archaeology of Greek and Roman Slavery</w:t>
      </w:r>
      <w:r w:rsidRPr="0001485E">
        <w:rPr>
          <w:rFonts w:ascii="Arial" w:hAnsi="Arial" w:cs="Arial"/>
          <w:sz w:val="28"/>
          <w:szCs w:val="28"/>
        </w:rPr>
        <w:t xml:space="preserve"> (London: Duckworth, 2003</w:t>
      </w:r>
      <w:r>
        <w:rPr>
          <w:rFonts w:ascii="Arial" w:hAnsi="Arial" w:cs="Arial"/>
          <w:sz w:val="28"/>
          <w:szCs w:val="28"/>
        </w:rPr>
        <w:t>)</w:t>
      </w:r>
      <w:r w:rsidR="008D7B3C" w:rsidRPr="008D7B3C">
        <w:t xml:space="preserve"> </w:t>
      </w:r>
    </w:p>
    <w:p w:rsidR="00AA436E" w:rsidRDefault="008D7B3C">
      <w:pPr>
        <w:rPr>
          <w:rFonts w:ascii="Arial" w:hAnsi="Arial" w:cs="Arial"/>
          <w:sz w:val="28"/>
          <w:szCs w:val="28"/>
        </w:rPr>
      </w:pPr>
      <w:r w:rsidRPr="008D7B3C">
        <w:rPr>
          <w:rFonts w:ascii="Arial" w:hAnsi="Arial" w:cs="Arial"/>
          <w:sz w:val="28"/>
          <w:szCs w:val="28"/>
        </w:rPr>
        <w:t xml:space="preserve">Thurmond D.L, </w:t>
      </w:r>
      <w:r w:rsidRPr="008D7B3C">
        <w:rPr>
          <w:rFonts w:ascii="Arial" w:hAnsi="Arial" w:cs="Arial"/>
          <w:i/>
          <w:sz w:val="28"/>
          <w:szCs w:val="28"/>
        </w:rPr>
        <w:t>A Handbook of Food Processing in Classical Rome</w:t>
      </w:r>
      <w:r w:rsidRPr="008D7B3C">
        <w:rPr>
          <w:rFonts w:ascii="Arial" w:hAnsi="Arial" w:cs="Arial"/>
          <w:sz w:val="28"/>
          <w:szCs w:val="28"/>
        </w:rPr>
        <w:t xml:space="preserve"> (Leiden Boston: Brill, 2006) </w:t>
      </w:r>
    </w:p>
    <w:p w:rsidR="00722C1F" w:rsidRDefault="00AA436E" w:rsidP="00722C1F">
      <w:pPr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sz w:val="28"/>
          <w:szCs w:val="28"/>
        </w:rPr>
        <w:t>Curtis R.I</w:t>
      </w:r>
      <w:r w:rsidRPr="00AA436E">
        <w:rPr>
          <w:rFonts w:ascii="Arial" w:hAnsi="Arial" w:cs="Arial"/>
          <w:sz w:val="28"/>
          <w:szCs w:val="28"/>
        </w:rPr>
        <w:t xml:space="preserve">, </w:t>
      </w:r>
      <w:r w:rsidRPr="00AA436E">
        <w:rPr>
          <w:rFonts w:ascii="Arial" w:hAnsi="Arial" w:cs="Arial"/>
          <w:i/>
          <w:color w:val="32322F"/>
          <w:sz w:val="28"/>
          <w:szCs w:val="28"/>
        </w:rPr>
        <w:t>The Classical Journal, 1 February 1983, Vol.78(3), pp.232-240, In Defence of Garum</w:t>
      </w:r>
    </w:p>
    <w:p w:rsidR="00722C1F" w:rsidRDefault="00722C1F" w:rsidP="00722C1F">
      <w:pPr>
        <w:rPr>
          <w:rFonts w:ascii="Arial" w:hAnsi="Arial" w:cs="Arial"/>
          <w:color w:val="333333"/>
          <w:sz w:val="28"/>
          <w:szCs w:val="28"/>
        </w:rPr>
      </w:pPr>
      <w:bookmarkStart w:id="16" w:name="_Hlk509348761"/>
      <w:r w:rsidRPr="00722C1F">
        <w:rPr>
          <w:rStyle w:val="updated-short-citation"/>
          <w:rFonts w:ascii="Arial" w:hAnsi="Arial" w:cs="Arial"/>
          <w:color w:val="333333"/>
          <w:sz w:val="28"/>
          <w:szCs w:val="28"/>
          <w:bdr w:val="none" w:sz="0" w:space="0" w:color="auto" w:frame="1"/>
        </w:rPr>
        <w:t>Bryant V.M</w:t>
      </w:r>
      <w:r w:rsidRPr="00722C1F">
        <w:rPr>
          <w:rFonts w:ascii="Arial" w:hAnsi="Arial" w:cs="Arial"/>
          <w:color w:val="333333"/>
          <w:sz w:val="28"/>
          <w:szCs w:val="28"/>
        </w:rPr>
        <w:t>,</w:t>
      </w:r>
      <w:r w:rsidRPr="00722C1F">
        <w:rPr>
          <w:rStyle w:val="updated-short-citation"/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r w:rsidRPr="00722C1F">
        <w:rPr>
          <w:rStyle w:val="updated-short-citation"/>
          <w:rFonts w:ascii="Arial" w:hAnsi="Arial" w:cs="Arial"/>
          <w:i/>
          <w:color w:val="333333"/>
          <w:sz w:val="28"/>
          <w:szCs w:val="28"/>
          <w:bdr w:val="none" w:sz="0" w:space="0" w:color="auto" w:frame="1"/>
        </w:rPr>
        <w:t>Calliope, 10507086, Jan2012, Vol. 22, Issue 4</w:t>
      </w:r>
      <w:r>
        <w:rPr>
          <w:rStyle w:val="updated-short-citation"/>
          <w:rFonts w:ascii="Arial" w:hAnsi="Arial" w:cs="Arial"/>
          <w:i/>
          <w:color w:val="333333"/>
          <w:sz w:val="28"/>
          <w:szCs w:val="28"/>
          <w:bdr w:val="none" w:sz="0" w:space="0" w:color="auto" w:frame="1"/>
        </w:rPr>
        <w:t>,</w:t>
      </w:r>
      <w:r w:rsidRPr="00722C1F">
        <w:rPr>
          <w:rFonts w:ascii="Arial" w:hAnsi="Arial" w:cs="Arial"/>
          <w:i/>
          <w:color w:val="333333"/>
          <w:sz w:val="28"/>
          <w:szCs w:val="28"/>
        </w:rPr>
        <w:t xml:space="preserve"> Cum </w:t>
      </w:r>
      <w:proofErr w:type="spellStart"/>
      <w:r w:rsidRPr="00722C1F">
        <w:rPr>
          <w:rFonts w:ascii="Arial" w:hAnsi="Arial" w:cs="Arial"/>
          <w:i/>
          <w:color w:val="333333"/>
          <w:sz w:val="28"/>
          <w:szCs w:val="28"/>
        </w:rPr>
        <w:t>Grano</w:t>
      </w:r>
      <w:proofErr w:type="spellEnd"/>
      <w:r w:rsidRPr="00722C1F">
        <w:rPr>
          <w:rFonts w:ascii="Arial" w:hAnsi="Arial" w:cs="Arial"/>
          <w:i/>
          <w:color w:val="333333"/>
          <w:sz w:val="28"/>
          <w:szCs w:val="28"/>
        </w:rPr>
        <w:t xml:space="preserve"> </w:t>
      </w:r>
      <w:proofErr w:type="spellStart"/>
      <w:r w:rsidRPr="00722C1F">
        <w:rPr>
          <w:rFonts w:ascii="Arial" w:hAnsi="Arial" w:cs="Arial"/>
          <w:i/>
          <w:color w:val="333333"/>
          <w:sz w:val="28"/>
          <w:szCs w:val="28"/>
        </w:rPr>
        <w:t>Salis</w:t>
      </w:r>
      <w:proofErr w:type="spellEnd"/>
      <w:r w:rsidR="00BC54F2">
        <w:rPr>
          <w:rFonts w:ascii="Arial" w:hAnsi="Arial" w:cs="Arial"/>
          <w:color w:val="333333"/>
          <w:sz w:val="28"/>
          <w:szCs w:val="28"/>
        </w:rPr>
        <w:t xml:space="preserve"> </w:t>
      </w:r>
    </w:p>
    <w:p w:rsidR="00340872" w:rsidRDefault="00D46E92" w:rsidP="00340872">
      <w:pPr>
        <w:rPr>
          <w:i/>
        </w:rPr>
      </w:pPr>
      <w:r w:rsidRPr="00B83F9C">
        <w:rPr>
          <w:rFonts w:ascii="Arial" w:hAnsi="Arial" w:cs="Arial"/>
          <w:sz w:val="28"/>
          <w:szCs w:val="28"/>
        </w:rPr>
        <w:t>West</w:t>
      </w:r>
      <w:r>
        <w:rPr>
          <w:rFonts w:ascii="Arial" w:hAnsi="Arial" w:cs="Arial"/>
          <w:sz w:val="28"/>
          <w:szCs w:val="28"/>
        </w:rPr>
        <w:t xml:space="preserve"> L.C,</w:t>
      </w:r>
      <w:r w:rsidRPr="00B83F9C">
        <w:rPr>
          <w:rFonts w:ascii="Arial" w:hAnsi="Arial" w:cs="Arial"/>
          <w:sz w:val="28"/>
          <w:szCs w:val="28"/>
        </w:rPr>
        <w:t xml:space="preserve"> </w:t>
      </w:r>
      <w:r w:rsidRPr="00D46E92">
        <w:rPr>
          <w:rFonts w:ascii="Arial" w:hAnsi="Arial" w:cs="Arial"/>
          <w:i/>
          <w:sz w:val="28"/>
          <w:szCs w:val="28"/>
        </w:rPr>
        <w:t>The Classical Journal, Vol. 28, No. 2 (Nov,1932), pp. 96-106 The Economic Collapse of the Roman Empire</w:t>
      </w:r>
      <w:r w:rsidR="00340872" w:rsidRPr="00340872">
        <w:rPr>
          <w:i/>
        </w:rPr>
        <w:t xml:space="preserve"> </w:t>
      </w:r>
    </w:p>
    <w:p w:rsidR="00A70262" w:rsidRDefault="00A70262" w:rsidP="00340872">
      <w:pPr>
        <w:rPr>
          <w:rFonts w:ascii="Arial" w:hAnsi="Arial" w:cs="Arial"/>
          <w:i/>
          <w:sz w:val="28"/>
          <w:szCs w:val="28"/>
        </w:rPr>
      </w:pPr>
    </w:p>
    <w:p w:rsidR="00A70262" w:rsidRPr="00A70262" w:rsidRDefault="00A70262" w:rsidP="00340872">
      <w:pPr>
        <w:rPr>
          <w:rFonts w:ascii="Arial" w:hAnsi="Arial" w:cs="Arial"/>
          <w:i/>
          <w:sz w:val="28"/>
          <w:szCs w:val="28"/>
          <w:u w:val="single"/>
        </w:rPr>
      </w:pPr>
      <w:r w:rsidRPr="00A70262">
        <w:rPr>
          <w:rFonts w:ascii="Arial" w:hAnsi="Arial" w:cs="Arial"/>
          <w:sz w:val="28"/>
          <w:szCs w:val="28"/>
          <w:u w:val="single"/>
        </w:rPr>
        <w:t>Bibliography</w:t>
      </w:r>
    </w:p>
    <w:p w:rsidR="00340872" w:rsidRPr="00340872" w:rsidRDefault="00340872" w:rsidP="00340872">
      <w:pPr>
        <w:rPr>
          <w:rFonts w:ascii="Arial" w:hAnsi="Arial" w:cs="Arial"/>
          <w:i/>
          <w:sz w:val="28"/>
          <w:szCs w:val="28"/>
        </w:rPr>
      </w:pPr>
      <w:r w:rsidRPr="00340872">
        <w:rPr>
          <w:rFonts w:ascii="Arial" w:hAnsi="Arial" w:cs="Arial"/>
          <w:i/>
          <w:sz w:val="28"/>
          <w:szCs w:val="28"/>
        </w:rPr>
        <w:lastRenderedPageBreak/>
        <w:t>www.britannica.com:nd,</w:t>
      </w:r>
      <w:r w:rsidRPr="00340872">
        <w:rPr>
          <w:rFonts w:ascii="Arial" w:hAnsi="Arial" w:cs="Arial"/>
          <w:sz w:val="28"/>
          <w:szCs w:val="28"/>
        </w:rPr>
        <w:t xml:space="preserve"> [online] available: </w:t>
      </w:r>
      <w:hyperlink r:id="rId7" w:anchor="ref513197" w:history="1">
        <w:r w:rsidRPr="00340872">
          <w:rPr>
            <w:rStyle w:val="Hyperlink"/>
            <w:rFonts w:ascii="Arial" w:hAnsi="Arial" w:cs="Arial"/>
            <w:sz w:val="28"/>
            <w:szCs w:val="28"/>
          </w:rPr>
          <w:t>https://www.britannica.com/science/salt#ref513197</w:t>
        </w:r>
      </w:hyperlink>
    </w:p>
    <w:p w:rsidR="00340872" w:rsidRDefault="00340872" w:rsidP="00340872">
      <w:pPr>
        <w:rPr>
          <w:rFonts w:ascii="Arial" w:hAnsi="Arial" w:cs="Arial"/>
          <w:sz w:val="28"/>
          <w:szCs w:val="28"/>
        </w:rPr>
      </w:pPr>
      <w:bookmarkStart w:id="17" w:name="_Hlk509350511"/>
      <w:r>
        <w:rPr>
          <w:rFonts w:ascii="Arial" w:hAnsi="Arial" w:cs="Arial"/>
          <w:sz w:val="28"/>
          <w:szCs w:val="28"/>
        </w:rPr>
        <w:t xml:space="preserve">Ritz. E, </w:t>
      </w:r>
      <w:proofErr w:type="spellStart"/>
      <w:r w:rsidR="00824F3D" w:rsidRPr="00824F3D">
        <w:rPr>
          <w:rFonts w:ascii="Arial" w:hAnsi="Arial" w:cs="Arial"/>
          <w:i/>
          <w:sz w:val="28"/>
          <w:szCs w:val="28"/>
        </w:rPr>
        <w:t>Nephrol</w:t>
      </w:r>
      <w:proofErr w:type="spellEnd"/>
      <w:r w:rsidR="00824F3D" w:rsidRPr="00824F3D">
        <w:rPr>
          <w:rFonts w:ascii="Arial" w:hAnsi="Arial" w:cs="Arial"/>
          <w:i/>
          <w:sz w:val="28"/>
          <w:szCs w:val="28"/>
        </w:rPr>
        <w:t xml:space="preserve"> Dial Transplant (1996) 11: 969-97, </w:t>
      </w:r>
      <w:r w:rsidRPr="00824F3D">
        <w:rPr>
          <w:rFonts w:ascii="Arial" w:hAnsi="Arial" w:cs="Arial"/>
          <w:i/>
          <w:sz w:val="28"/>
          <w:szCs w:val="28"/>
        </w:rPr>
        <w:t>The history of salt—aspects of interest to the nephrologist</w:t>
      </w:r>
      <w:r w:rsidR="00824F3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</w:p>
    <w:bookmarkEnd w:id="17"/>
    <w:p w:rsidR="00D46E92" w:rsidRDefault="00D46E92" w:rsidP="00722C1F">
      <w:pPr>
        <w:rPr>
          <w:rFonts w:ascii="Arial" w:hAnsi="Arial" w:cs="Arial"/>
          <w:sz w:val="28"/>
          <w:szCs w:val="28"/>
        </w:rPr>
      </w:pPr>
    </w:p>
    <w:p w:rsidR="00340872" w:rsidRPr="00722C1F" w:rsidRDefault="00340872" w:rsidP="00722C1F">
      <w:pPr>
        <w:rPr>
          <w:rFonts w:ascii="Arial" w:hAnsi="Arial" w:cs="Arial"/>
          <w:sz w:val="28"/>
          <w:szCs w:val="28"/>
        </w:rPr>
      </w:pPr>
    </w:p>
    <w:bookmarkEnd w:id="16"/>
    <w:p w:rsidR="00130E4C" w:rsidRDefault="00130E4C">
      <w:pPr>
        <w:rPr>
          <w:rFonts w:ascii="Arial" w:hAnsi="Arial" w:cs="Arial"/>
          <w:i/>
          <w:color w:val="32322F"/>
          <w:sz w:val="28"/>
          <w:szCs w:val="28"/>
        </w:rPr>
      </w:pPr>
    </w:p>
    <w:p w:rsidR="00722C1F" w:rsidRPr="00AA436E" w:rsidRDefault="00722C1F">
      <w:pPr>
        <w:rPr>
          <w:rFonts w:ascii="Arial" w:hAnsi="Arial" w:cs="Arial"/>
          <w:sz w:val="28"/>
          <w:szCs w:val="28"/>
        </w:rPr>
      </w:pPr>
    </w:p>
    <w:p w:rsidR="00AA436E" w:rsidRPr="008D7B3C" w:rsidRDefault="00AA436E">
      <w:pPr>
        <w:rPr>
          <w:rFonts w:ascii="Arial" w:hAnsi="Arial" w:cs="Arial"/>
          <w:sz w:val="28"/>
          <w:szCs w:val="28"/>
        </w:rPr>
      </w:pPr>
    </w:p>
    <w:p w:rsidR="0001485E" w:rsidRDefault="0001485E">
      <w:pPr>
        <w:rPr>
          <w:rFonts w:ascii="Arial" w:hAnsi="Arial" w:cs="Arial"/>
          <w:sz w:val="28"/>
          <w:szCs w:val="28"/>
        </w:rPr>
      </w:pPr>
    </w:p>
    <w:p w:rsidR="00C247B9" w:rsidRDefault="00C247B9">
      <w:pPr>
        <w:rPr>
          <w:rFonts w:ascii="Arial" w:hAnsi="Arial" w:cs="Arial"/>
          <w:sz w:val="28"/>
          <w:szCs w:val="28"/>
        </w:rPr>
      </w:pPr>
    </w:p>
    <w:p w:rsidR="004155A2" w:rsidRDefault="004155A2">
      <w:pPr>
        <w:rPr>
          <w:rFonts w:ascii="Arial" w:hAnsi="Arial" w:cs="Arial"/>
          <w:sz w:val="28"/>
          <w:szCs w:val="28"/>
        </w:rPr>
      </w:pPr>
    </w:p>
    <w:p w:rsidR="00097511" w:rsidRPr="00BB5734" w:rsidRDefault="00097511">
      <w:pPr>
        <w:rPr>
          <w:rFonts w:ascii="Arial" w:hAnsi="Arial" w:cs="Arial"/>
          <w:sz w:val="28"/>
          <w:szCs w:val="28"/>
        </w:rPr>
      </w:pPr>
    </w:p>
    <w:sectPr w:rsidR="00097511" w:rsidRPr="00BB5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F3B" w:rsidRDefault="00501F3B" w:rsidP="00410F50">
      <w:pPr>
        <w:spacing w:after="0" w:line="240" w:lineRule="auto"/>
      </w:pPr>
      <w:r>
        <w:separator/>
      </w:r>
    </w:p>
  </w:endnote>
  <w:endnote w:type="continuationSeparator" w:id="0">
    <w:p w:rsidR="00501F3B" w:rsidRDefault="00501F3B" w:rsidP="00410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F3B" w:rsidRDefault="00501F3B" w:rsidP="00410F50">
      <w:pPr>
        <w:spacing w:after="0" w:line="240" w:lineRule="auto"/>
      </w:pPr>
      <w:r>
        <w:separator/>
      </w:r>
    </w:p>
  </w:footnote>
  <w:footnote w:type="continuationSeparator" w:id="0">
    <w:p w:rsidR="00501F3B" w:rsidRDefault="00501F3B" w:rsidP="00410F50">
      <w:pPr>
        <w:spacing w:after="0" w:line="240" w:lineRule="auto"/>
      </w:pPr>
      <w:r>
        <w:continuationSeparator/>
      </w:r>
    </w:p>
  </w:footnote>
  <w:footnote w:id="1">
    <w:p w:rsidR="00410F50" w:rsidRDefault="00410F50" w:rsidP="00410F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07624567"/>
      <w:bookmarkStart w:id="2" w:name="_Hlk509346169"/>
      <w:bookmarkStart w:id="3" w:name="_Hlk507633442"/>
      <w:r>
        <w:t xml:space="preserve">F.H Thompson, </w:t>
      </w:r>
      <w:r>
        <w:rPr>
          <w:i/>
        </w:rPr>
        <w:t>The Archaeology of Greek and Roman Slavery</w:t>
      </w:r>
      <w:r>
        <w:t xml:space="preserve"> (London: </w:t>
      </w:r>
      <w:r w:rsidR="0001485E">
        <w:t>Duckworth, 2003</w:t>
      </w:r>
      <w:r>
        <w:t>) p</w:t>
      </w:r>
      <w:bookmarkEnd w:id="1"/>
      <w:r w:rsidR="0001485E">
        <w:t>181</w:t>
      </w:r>
      <w:bookmarkEnd w:id="2"/>
    </w:p>
    <w:bookmarkEnd w:id="3"/>
    <w:p w:rsidR="00410F50" w:rsidRDefault="00410F50">
      <w:pPr>
        <w:pStyle w:val="FootnoteText"/>
      </w:pPr>
    </w:p>
  </w:footnote>
  <w:footnote w:id="2">
    <w:p w:rsidR="00470807" w:rsidRDefault="00470807" w:rsidP="00470807">
      <w:pPr>
        <w:pStyle w:val="FootnoteText"/>
      </w:pPr>
      <w:r>
        <w:rPr>
          <w:rStyle w:val="FootnoteReference"/>
        </w:rPr>
        <w:footnoteRef/>
      </w:r>
      <w:r>
        <w:t xml:space="preserve"> F.H Thompson, </w:t>
      </w:r>
      <w:r>
        <w:rPr>
          <w:i/>
        </w:rPr>
        <w:t>The Archaeology of Greek and Roman Slavery</w:t>
      </w:r>
      <w:r>
        <w:t xml:space="preserve"> (London: Duckworth, 2003) p181</w:t>
      </w:r>
    </w:p>
    <w:p w:rsidR="00470807" w:rsidRDefault="00470807">
      <w:pPr>
        <w:pStyle w:val="FootnoteText"/>
      </w:pPr>
    </w:p>
  </w:footnote>
  <w:footnote w:id="3">
    <w:p w:rsidR="00803125" w:rsidRDefault="008031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509347220"/>
      <w:r w:rsidR="00170479">
        <w:t xml:space="preserve">D.L Thurmond, </w:t>
      </w:r>
      <w:r w:rsidR="00170479" w:rsidRPr="00170479">
        <w:rPr>
          <w:i/>
        </w:rPr>
        <w:t>A Handbook of Food Processing in Classical Rome</w:t>
      </w:r>
      <w:r w:rsidR="00170479">
        <w:t xml:space="preserve"> (Leiden Boston: Brill, 2006) p236</w:t>
      </w:r>
      <w:bookmarkEnd w:id="5"/>
    </w:p>
    <w:p w:rsidR="002F3416" w:rsidRDefault="002F3416">
      <w:pPr>
        <w:pStyle w:val="FootnoteText"/>
      </w:pPr>
    </w:p>
  </w:footnote>
  <w:footnote w:id="4">
    <w:p w:rsidR="002F3416" w:rsidRDefault="002F3416">
      <w:pPr>
        <w:pStyle w:val="FootnoteText"/>
      </w:pPr>
      <w:r>
        <w:rPr>
          <w:rStyle w:val="FootnoteReference"/>
        </w:rPr>
        <w:footnoteRef/>
      </w:r>
      <w:r>
        <w:t xml:space="preserve"> D.L Thurmond, </w:t>
      </w:r>
      <w:r w:rsidRPr="00170479">
        <w:rPr>
          <w:i/>
        </w:rPr>
        <w:t>A Handbook of Food Processing in Classical Rome</w:t>
      </w:r>
      <w:r>
        <w:t xml:space="preserve"> (Leiden Boston: Brill, 2006) p236</w:t>
      </w:r>
    </w:p>
    <w:p w:rsidR="00750C80" w:rsidRDefault="00750C80">
      <w:pPr>
        <w:pStyle w:val="FootnoteText"/>
      </w:pPr>
    </w:p>
  </w:footnote>
  <w:footnote w:id="5">
    <w:p w:rsidR="00750C80" w:rsidRDefault="00750C80">
      <w:pPr>
        <w:pStyle w:val="FootnoteText"/>
      </w:pPr>
      <w:r>
        <w:rPr>
          <w:rStyle w:val="FootnoteReference"/>
        </w:rPr>
        <w:footnoteRef/>
      </w:r>
      <w:r>
        <w:t xml:space="preserve"> D.L Thurmond, </w:t>
      </w:r>
      <w:r w:rsidRPr="00170479">
        <w:rPr>
          <w:i/>
        </w:rPr>
        <w:t>A Handbook of Food Processing in Classical Rome</w:t>
      </w:r>
      <w:r>
        <w:t xml:space="preserve"> (Leiden Boston: Brill, 2006) p212</w:t>
      </w:r>
    </w:p>
    <w:p w:rsidR="00105B5F" w:rsidRDefault="00105B5F">
      <w:pPr>
        <w:pStyle w:val="FootnoteText"/>
      </w:pPr>
    </w:p>
  </w:footnote>
  <w:footnote w:id="6">
    <w:p w:rsidR="00105B5F" w:rsidRDefault="00105B5F">
      <w:pPr>
        <w:pStyle w:val="FootnoteText"/>
      </w:pPr>
      <w:r>
        <w:rPr>
          <w:rStyle w:val="FootnoteReference"/>
        </w:rPr>
        <w:footnoteRef/>
      </w:r>
      <w:r>
        <w:t xml:space="preserve"> D.L Thurmond, </w:t>
      </w:r>
      <w:r w:rsidRPr="00170479">
        <w:rPr>
          <w:i/>
        </w:rPr>
        <w:t>A Handbook of Food Processing in Classical Rome</w:t>
      </w:r>
      <w:r>
        <w:t xml:space="preserve"> (Leiden Boston: Brill, 2006) p222</w:t>
      </w:r>
    </w:p>
    <w:p w:rsidR="009746FB" w:rsidRDefault="009746FB">
      <w:pPr>
        <w:pStyle w:val="FootnoteText"/>
      </w:pPr>
    </w:p>
  </w:footnote>
  <w:footnote w:id="7">
    <w:p w:rsidR="009746FB" w:rsidRDefault="009746FB">
      <w:pPr>
        <w:pStyle w:val="FootnoteText"/>
        <w:rPr>
          <w:rFonts w:ascii="Calibri" w:hAnsi="Calibri" w:cs="Calibri"/>
          <w:i/>
          <w:color w:val="32322F"/>
        </w:rPr>
      </w:pPr>
      <w:r>
        <w:rPr>
          <w:rStyle w:val="FootnoteReference"/>
        </w:rPr>
        <w:footnoteRef/>
      </w:r>
      <w:bookmarkStart w:id="8" w:name="_Hlk509348204"/>
      <w:r>
        <w:t xml:space="preserve"> </w:t>
      </w:r>
      <w:bookmarkStart w:id="9" w:name="_Hlk509348352"/>
      <w:r w:rsidR="00AA436E">
        <w:t xml:space="preserve">R.I. Curtis, </w:t>
      </w:r>
      <w:r w:rsidR="00AA436E" w:rsidRPr="00AA436E">
        <w:rPr>
          <w:rFonts w:ascii="Calibri" w:hAnsi="Calibri" w:cs="Calibri"/>
          <w:i/>
          <w:color w:val="32322F"/>
        </w:rPr>
        <w:t>The Classical Journal, 1 February 1983, Vol.78(3), pp.232-240, In Defence of Garum</w:t>
      </w:r>
      <w:r w:rsidR="00AA436E">
        <w:rPr>
          <w:rFonts w:ascii="Calibri" w:hAnsi="Calibri" w:cs="Calibri"/>
          <w:i/>
          <w:color w:val="32322F"/>
        </w:rPr>
        <w:t>, p233</w:t>
      </w:r>
      <w:bookmarkEnd w:id="8"/>
      <w:bookmarkEnd w:id="9"/>
    </w:p>
    <w:p w:rsidR="00AA7587" w:rsidRDefault="00AA7587">
      <w:pPr>
        <w:pStyle w:val="FootnoteText"/>
      </w:pPr>
    </w:p>
  </w:footnote>
  <w:footnote w:id="8">
    <w:p w:rsidR="00AA7587" w:rsidRDefault="00AA7587">
      <w:pPr>
        <w:pStyle w:val="FootnoteText"/>
        <w:rPr>
          <w:rFonts w:ascii="Calibri" w:hAnsi="Calibri" w:cs="Calibri"/>
          <w:i/>
          <w:color w:val="32322F"/>
        </w:rPr>
      </w:pPr>
      <w:r>
        <w:rPr>
          <w:rStyle w:val="FootnoteReference"/>
        </w:rPr>
        <w:footnoteRef/>
      </w:r>
      <w:r>
        <w:t xml:space="preserve"> R.I. Curtis, </w:t>
      </w:r>
      <w:r w:rsidRPr="00AA436E">
        <w:rPr>
          <w:rFonts w:ascii="Calibri" w:hAnsi="Calibri" w:cs="Calibri"/>
          <w:i/>
          <w:color w:val="32322F"/>
        </w:rPr>
        <w:t>The Classical Journal, 1 February 1983, Vol.78(3), pp.232-240, In Defence of Garum</w:t>
      </w:r>
      <w:r>
        <w:rPr>
          <w:rFonts w:ascii="Calibri" w:hAnsi="Calibri" w:cs="Calibri"/>
          <w:i/>
          <w:color w:val="32322F"/>
        </w:rPr>
        <w:t>, p233</w:t>
      </w:r>
    </w:p>
    <w:p w:rsidR="00AA7587" w:rsidRDefault="00AA7587">
      <w:pPr>
        <w:pStyle w:val="FootnoteText"/>
      </w:pPr>
    </w:p>
  </w:footnote>
  <w:footnote w:id="9">
    <w:p w:rsidR="00AA7587" w:rsidRDefault="00AA7587">
      <w:pPr>
        <w:pStyle w:val="FootnoteText"/>
      </w:pPr>
      <w:r>
        <w:rPr>
          <w:rStyle w:val="FootnoteReference"/>
        </w:rPr>
        <w:footnoteRef/>
      </w:r>
      <w:r>
        <w:t xml:space="preserve"> R.I. Curtis, </w:t>
      </w:r>
      <w:r w:rsidRPr="00AA436E">
        <w:rPr>
          <w:rFonts w:ascii="Calibri" w:hAnsi="Calibri" w:cs="Calibri"/>
          <w:i/>
          <w:color w:val="32322F"/>
        </w:rPr>
        <w:t>The Classical Journal, 1 February 1983, Vol.78(3), pp.232-240, In Defence of Garum</w:t>
      </w:r>
      <w:r>
        <w:rPr>
          <w:rFonts w:ascii="Calibri" w:hAnsi="Calibri" w:cs="Calibri"/>
          <w:i/>
          <w:color w:val="32322F"/>
        </w:rPr>
        <w:t>, p233</w:t>
      </w:r>
    </w:p>
  </w:footnote>
  <w:footnote w:id="10">
    <w:p w:rsidR="00340872" w:rsidRDefault="003408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1" w:name="_Hlk509350178"/>
      <w:r w:rsidRPr="00340872">
        <w:rPr>
          <w:i/>
        </w:rPr>
        <w:t>www.britannica.com</w:t>
      </w:r>
      <w:r w:rsidRPr="00340872">
        <w:t xml:space="preserve"> </w:t>
      </w:r>
      <w:r>
        <w:t xml:space="preserve">[online] available: </w:t>
      </w:r>
      <w:hyperlink r:id="rId1" w:anchor="ref513197" w:history="1">
        <w:r w:rsidRPr="00156AD2">
          <w:rPr>
            <w:rStyle w:val="Hyperlink"/>
          </w:rPr>
          <w:t>https://www.britannica.com/science/salt#ref513197</w:t>
        </w:r>
      </w:hyperlink>
      <w:bookmarkEnd w:id="11"/>
    </w:p>
    <w:p w:rsidR="00340872" w:rsidRDefault="00340872">
      <w:pPr>
        <w:pStyle w:val="FootnoteText"/>
      </w:pPr>
    </w:p>
  </w:footnote>
  <w:footnote w:id="11">
    <w:p w:rsidR="004E017C" w:rsidRDefault="004E017C" w:rsidP="00660C34">
      <w:r>
        <w:rPr>
          <w:rStyle w:val="FootnoteReference"/>
        </w:rPr>
        <w:footnoteRef/>
      </w:r>
      <w:r>
        <w:t xml:space="preserve"> </w:t>
      </w:r>
      <w:r w:rsidR="00722C1F" w:rsidRPr="00722C1F">
        <w:rPr>
          <w:rFonts w:ascii="Calibri" w:hAnsi="Calibri" w:cs="Calibri"/>
          <w:sz w:val="20"/>
          <w:szCs w:val="20"/>
        </w:rPr>
        <w:t xml:space="preserve">V.M. </w:t>
      </w:r>
      <w:r w:rsidR="00722C1F" w:rsidRPr="00722C1F">
        <w:rPr>
          <w:rStyle w:val="updated-short-citation"/>
          <w:rFonts w:ascii="Calibri" w:hAnsi="Calibri" w:cs="Calibri"/>
          <w:color w:val="333333"/>
          <w:sz w:val="20"/>
          <w:szCs w:val="20"/>
          <w:bdr w:val="none" w:sz="0" w:space="0" w:color="auto" w:frame="1"/>
        </w:rPr>
        <w:t>Bryant</w:t>
      </w:r>
      <w:r w:rsidR="00722C1F" w:rsidRPr="00722C1F">
        <w:rPr>
          <w:rFonts w:ascii="Calibri" w:hAnsi="Calibri" w:cs="Calibri"/>
          <w:color w:val="333333"/>
          <w:sz w:val="20"/>
          <w:szCs w:val="20"/>
        </w:rPr>
        <w:t>,</w:t>
      </w:r>
      <w:r w:rsidR="00722C1F" w:rsidRPr="00722C1F">
        <w:rPr>
          <w:rStyle w:val="updated-short-citation"/>
          <w:rFonts w:ascii="Calibri" w:hAnsi="Calibri" w:cs="Calibri"/>
          <w:color w:val="333333"/>
          <w:sz w:val="20"/>
          <w:szCs w:val="20"/>
          <w:bdr w:val="none" w:sz="0" w:space="0" w:color="auto" w:frame="1"/>
        </w:rPr>
        <w:t xml:space="preserve"> </w:t>
      </w:r>
      <w:r w:rsidR="00722C1F" w:rsidRPr="00722C1F">
        <w:rPr>
          <w:rStyle w:val="updated-short-citation"/>
          <w:rFonts w:ascii="Calibri" w:hAnsi="Calibri" w:cs="Calibri"/>
          <w:i/>
          <w:color w:val="333333"/>
          <w:sz w:val="20"/>
          <w:szCs w:val="20"/>
          <w:bdr w:val="none" w:sz="0" w:space="0" w:color="auto" w:frame="1"/>
        </w:rPr>
        <w:t>Calliope, 10507086, Jan2012, Vol. 22, Issue 4</w:t>
      </w:r>
      <w:r w:rsidR="00722C1F" w:rsidRPr="00722C1F">
        <w:rPr>
          <w:rFonts w:ascii="Calibri" w:hAnsi="Calibri" w:cs="Calibri"/>
          <w:i/>
          <w:color w:val="333333"/>
          <w:sz w:val="20"/>
          <w:szCs w:val="20"/>
        </w:rPr>
        <w:t xml:space="preserve"> Cum </w:t>
      </w:r>
      <w:proofErr w:type="spellStart"/>
      <w:r w:rsidR="00722C1F" w:rsidRPr="00722C1F">
        <w:rPr>
          <w:rFonts w:ascii="Calibri" w:hAnsi="Calibri" w:cs="Calibri"/>
          <w:i/>
          <w:color w:val="333333"/>
          <w:sz w:val="20"/>
          <w:szCs w:val="20"/>
        </w:rPr>
        <w:t>Grano</w:t>
      </w:r>
      <w:proofErr w:type="spellEnd"/>
      <w:r w:rsidR="00722C1F" w:rsidRPr="00722C1F">
        <w:rPr>
          <w:rFonts w:ascii="Calibri" w:hAnsi="Calibri" w:cs="Calibri"/>
          <w:i/>
          <w:color w:val="333333"/>
          <w:sz w:val="20"/>
          <w:szCs w:val="20"/>
        </w:rPr>
        <w:t xml:space="preserve"> </w:t>
      </w:r>
      <w:proofErr w:type="spellStart"/>
      <w:r w:rsidR="00722C1F" w:rsidRPr="00722C1F">
        <w:rPr>
          <w:rFonts w:ascii="Calibri" w:hAnsi="Calibri" w:cs="Calibri"/>
          <w:i/>
          <w:color w:val="333333"/>
          <w:sz w:val="20"/>
          <w:szCs w:val="20"/>
        </w:rPr>
        <w:t>Salis</w:t>
      </w:r>
      <w:proofErr w:type="spellEnd"/>
      <w:r w:rsidR="00722C1F" w:rsidRPr="00722C1F">
        <w:rPr>
          <w:rFonts w:ascii="Calibri" w:hAnsi="Calibri" w:cs="Calibri"/>
          <w:color w:val="333333"/>
          <w:sz w:val="20"/>
          <w:szCs w:val="20"/>
        </w:rPr>
        <w:t>, p27</w:t>
      </w:r>
    </w:p>
  </w:footnote>
  <w:footnote w:id="12">
    <w:p w:rsidR="00DF5829" w:rsidRDefault="00DF5829" w:rsidP="00660C34">
      <w:r>
        <w:rPr>
          <w:rStyle w:val="FootnoteReference"/>
        </w:rPr>
        <w:footnoteRef/>
      </w:r>
      <w:r>
        <w:t xml:space="preserve"> </w:t>
      </w:r>
      <w:r w:rsidR="00BC54F2" w:rsidRPr="00BC54F2">
        <w:rPr>
          <w:rFonts w:ascii="Calibri" w:hAnsi="Calibri" w:cs="Calibri"/>
          <w:sz w:val="20"/>
          <w:szCs w:val="20"/>
        </w:rPr>
        <w:t>L.</w:t>
      </w:r>
      <w:proofErr w:type="gramStart"/>
      <w:r w:rsidR="00BC54F2" w:rsidRPr="00BC54F2">
        <w:rPr>
          <w:rFonts w:ascii="Calibri" w:hAnsi="Calibri" w:cs="Calibri"/>
          <w:sz w:val="20"/>
          <w:szCs w:val="20"/>
        </w:rPr>
        <w:t xml:space="preserve">C </w:t>
      </w:r>
      <w:r w:rsidR="00BC54F2">
        <w:rPr>
          <w:rFonts w:ascii="Calibri" w:hAnsi="Calibri" w:cs="Calibri"/>
          <w:sz w:val="20"/>
          <w:szCs w:val="20"/>
        </w:rPr>
        <w:t>.West</w:t>
      </w:r>
      <w:proofErr w:type="gramEnd"/>
      <w:r w:rsidR="00BC54F2">
        <w:rPr>
          <w:rFonts w:ascii="Calibri" w:hAnsi="Calibri" w:cs="Calibri"/>
          <w:sz w:val="20"/>
          <w:szCs w:val="20"/>
        </w:rPr>
        <w:t>,</w:t>
      </w:r>
      <w:r w:rsidR="00BC54F2" w:rsidRPr="00B83F9C">
        <w:rPr>
          <w:rFonts w:ascii="Arial" w:hAnsi="Arial" w:cs="Arial"/>
          <w:sz w:val="28"/>
          <w:szCs w:val="28"/>
        </w:rPr>
        <w:t xml:space="preserve"> </w:t>
      </w:r>
      <w:r w:rsidR="00BC54F2" w:rsidRPr="00BC54F2">
        <w:rPr>
          <w:rFonts w:ascii="Calibri" w:hAnsi="Calibri" w:cs="Calibri"/>
          <w:sz w:val="20"/>
          <w:szCs w:val="20"/>
        </w:rPr>
        <w:t>The Classical Journal, Vol. 28, No. 2 (Nov,1932), pp. 96-106 The Economic Collapse of the Roman Empire, p104</w:t>
      </w:r>
    </w:p>
  </w:footnote>
  <w:footnote w:id="13">
    <w:p w:rsidR="00C007E9" w:rsidRDefault="00C007E9" w:rsidP="00660C34">
      <w:r>
        <w:rPr>
          <w:rStyle w:val="FootnoteReference"/>
        </w:rPr>
        <w:footnoteRef/>
      </w:r>
      <w:r>
        <w:t xml:space="preserve"> </w:t>
      </w:r>
      <w:bookmarkStart w:id="15" w:name="_Hlk509350725"/>
      <w:r w:rsidR="00824F3D">
        <w:t xml:space="preserve">E. </w:t>
      </w:r>
      <w:r w:rsidR="00824F3D">
        <w:rPr>
          <w:rFonts w:ascii="Calibri" w:hAnsi="Calibri" w:cs="Calibri"/>
          <w:sz w:val="20"/>
          <w:szCs w:val="20"/>
        </w:rPr>
        <w:t>Ritz</w:t>
      </w:r>
      <w:r w:rsidR="00824F3D" w:rsidRPr="00824F3D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="00824F3D" w:rsidRPr="00824F3D">
        <w:rPr>
          <w:rFonts w:ascii="Calibri" w:hAnsi="Calibri" w:cs="Calibri"/>
          <w:i/>
          <w:sz w:val="20"/>
          <w:szCs w:val="20"/>
        </w:rPr>
        <w:t>Nephrol</w:t>
      </w:r>
      <w:proofErr w:type="spellEnd"/>
      <w:r w:rsidR="00824F3D" w:rsidRPr="00824F3D">
        <w:rPr>
          <w:rFonts w:ascii="Calibri" w:hAnsi="Calibri" w:cs="Calibri"/>
          <w:i/>
          <w:sz w:val="20"/>
          <w:szCs w:val="20"/>
        </w:rPr>
        <w:t xml:space="preserve"> Dial Transplant (1996) 11: 969-97, The history of salt—aspects of interest to the nephrologist</w:t>
      </w:r>
      <w:r w:rsidR="00824F3D">
        <w:rPr>
          <w:rFonts w:ascii="Arial" w:hAnsi="Arial" w:cs="Arial"/>
          <w:sz w:val="28"/>
          <w:szCs w:val="28"/>
        </w:rPr>
        <w:t xml:space="preserve">, </w:t>
      </w:r>
      <w:r w:rsidR="00824F3D" w:rsidRPr="00824F3D">
        <w:rPr>
          <w:rFonts w:ascii="Calibri" w:hAnsi="Calibri" w:cs="Calibri"/>
          <w:sz w:val="20"/>
          <w:szCs w:val="20"/>
        </w:rPr>
        <w:t>p969</w:t>
      </w:r>
      <w:bookmarkEnd w:id="15"/>
    </w:p>
  </w:footnote>
  <w:footnote w:id="14">
    <w:p w:rsidR="00660C34" w:rsidRDefault="00660C34">
      <w:pPr>
        <w:pStyle w:val="FootnoteText"/>
      </w:pPr>
      <w:r>
        <w:rPr>
          <w:rStyle w:val="FootnoteReference"/>
        </w:rPr>
        <w:footnoteRef/>
      </w:r>
      <w:r>
        <w:t xml:space="preserve"> E. </w:t>
      </w:r>
      <w:r>
        <w:rPr>
          <w:rFonts w:ascii="Calibri" w:hAnsi="Calibri" w:cs="Calibri"/>
        </w:rPr>
        <w:t>Ritz</w:t>
      </w:r>
      <w:r w:rsidRPr="00824F3D">
        <w:rPr>
          <w:rFonts w:ascii="Calibri" w:hAnsi="Calibri" w:cs="Calibri"/>
        </w:rPr>
        <w:t xml:space="preserve">, </w:t>
      </w:r>
      <w:proofErr w:type="spellStart"/>
      <w:r w:rsidRPr="00824F3D">
        <w:rPr>
          <w:rFonts w:ascii="Calibri" w:hAnsi="Calibri" w:cs="Calibri"/>
          <w:i/>
        </w:rPr>
        <w:t>Nephrol</w:t>
      </w:r>
      <w:proofErr w:type="spellEnd"/>
      <w:r w:rsidRPr="00824F3D">
        <w:rPr>
          <w:rFonts w:ascii="Calibri" w:hAnsi="Calibri" w:cs="Calibri"/>
          <w:i/>
        </w:rPr>
        <w:t xml:space="preserve"> Dial Transplant (1996) 11: 969-97</w:t>
      </w:r>
      <w:r>
        <w:rPr>
          <w:rFonts w:ascii="Calibri" w:hAnsi="Calibri" w:cs="Calibri"/>
          <w:i/>
        </w:rPr>
        <w:t>2</w:t>
      </w:r>
      <w:r w:rsidRPr="00824F3D">
        <w:rPr>
          <w:rFonts w:ascii="Calibri" w:hAnsi="Calibri" w:cs="Calibri"/>
          <w:i/>
        </w:rPr>
        <w:t>, The history of salt—aspects of interest to the nephrologist</w:t>
      </w:r>
      <w:r>
        <w:rPr>
          <w:rFonts w:ascii="Arial" w:hAnsi="Arial" w:cs="Arial"/>
          <w:sz w:val="28"/>
          <w:szCs w:val="28"/>
        </w:rPr>
        <w:t xml:space="preserve">, </w:t>
      </w:r>
      <w:r>
        <w:rPr>
          <w:rFonts w:ascii="Calibri" w:hAnsi="Calibri" w:cs="Calibri"/>
        </w:rPr>
        <w:t>p972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43B"/>
    <w:rsid w:val="000103DA"/>
    <w:rsid w:val="0001485E"/>
    <w:rsid w:val="00097511"/>
    <w:rsid w:val="00105B5F"/>
    <w:rsid w:val="00130E4C"/>
    <w:rsid w:val="0015034D"/>
    <w:rsid w:val="00165EC1"/>
    <w:rsid w:val="00170479"/>
    <w:rsid w:val="001C12F2"/>
    <w:rsid w:val="001E2B71"/>
    <w:rsid w:val="001E6689"/>
    <w:rsid w:val="00257A54"/>
    <w:rsid w:val="00276086"/>
    <w:rsid w:val="002D045C"/>
    <w:rsid w:val="002E42AF"/>
    <w:rsid w:val="002F1CA5"/>
    <w:rsid w:val="002F3416"/>
    <w:rsid w:val="003267ED"/>
    <w:rsid w:val="00340872"/>
    <w:rsid w:val="003B3AEE"/>
    <w:rsid w:val="003F6B83"/>
    <w:rsid w:val="00410F50"/>
    <w:rsid w:val="00414C05"/>
    <w:rsid w:val="004155A2"/>
    <w:rsid w:val="00420D90"/>
    <w:rsid w:val="00436108"/>
    <w:rsid w:val="0043620F"/>
    <w:rsid w:val="00470807"/>
    <w:rsid w:val="0047164A"/>
    <w:rsid w:val="00474270"/>
    <w:rsid w:val="00476960"/>
    <w:rsid w:val="004B2D1F"/>
    <w:rsid w:val="004E017C"/>
    <w:rsid w:val="00501F3B"/>
    <w:rsid w:val="005B3815"/>
    <w:rsid w:val="005F35F0"/>
    <w:rsid w:val="00660C34"/>
    <w:rsid w:val="006646A1"/>
    <w:rsid w:val="0067710E"/>
    <w:rsid w:val="006C4077"/>
    <w:rsid w:val="006D4E01"/>
    <w:rsid w:val="006D67AC"/>
    <w:rsid w:val="006F01EF"/>
    <w:rsid w:val="00722C1F"/>
    <w:rsid w:val="00750C80"/>
    <w:rsid w:val="00766B4C"/>
    <w:rsid w:val="00793F32"/>
    <w:rsid w:val="007C1792"/>
    <w:rsid w:val="007C4C43"/>
    <w:rsid w:val="007E326C"/>
    <w:rsid w:val="00803125"/>
    <w:rsid w:val="00816E8B"/>
    <w:rsid w:val="00824F3D"/>
    <w:rsid w:val="008D7B3C"/>
    <w:rsid w:val="00925C5E"/>
    <w:rsid w:val="0095773F"/>
    <w:rsid w:val="009746FB"/>
    <w:rsid w:val="00976F0B"/>
    <w:rsid w:val="00A4498A"/>
    <w:rsid w:val="00A70262"/>
    <w:rsid w:val="00AA436E"/>
    <w:rsid w:val="00AA4605"/>
    <w:rsid w:val="00AA7587"/>
    <w:rsid w:val="00AE5566"/>
    <w:rsid w:val="00B04768"/>
    <w:rsid w:val="00B21EF5"/>
    <w:rsid w:val="00B83F9C"/>
    <w:rsid w:val="00B9583D"/>
    <w:rsid w:val="00BB5734"/>
    <w:rsid w:val="00BC1A70"/>
    <w:rsid w:val="00BC54F2"/>
    <w:rsid w:val="00C007E9"/>
    <w:rsid w:val="00C046BF"/>
    <w:rsid w:val="00C247B9"/>
    <w:rsid w:val="00C44A1F"/>
    <w:rsid w:val="00C73D50"/>
    <w:rsid w:val="00D46E92"/>
    <w:rsid w:val="00D721C1"/>
    <w:rsid w:val="00D74063"/>
    <w:rsid w:val="00DE00CA"/>
    <w:rsid w:val="00DF5829"/>
    <w:rsid w:val="00E5543B"/>
    <w:rsid w:val="00E633C8"/>
    <w:rsid w:val="00EC01DC"/>
    <w:rsid w:val="00EC34AB"/>
    <w:rsid w:val="00ED015B"/>
    <w:rsid w:val="00F020F9"/>
    <w:rsid w:val="00F10EB6"/>
    <w:rsid w:val="00F46B07"/>
    <w:rsid w:val="00F822E0"/>
    <w:rsid w:val="00FE62C3"/>
    <w:rsid w:val="00FF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90710"/>
  <w15:chartTrackingRefBased/>
  <w15:docId w15:val="{D8587AFE-B4CF-4944-92EF-9791738D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pdated-short-citation">
    <w:name w:val="updated-short-citation"/>
    <w:basedOn w:val="DefaultParagraphFont"/>
    <w:rsid w:val="0095773F"/>
  </w:style>
  <w:style w:type="paragraph" w:styleId="FootnoteText">
    <w:name w:val="footnote text"/>
    <w:basedOn w:val="Normal"/>
    <w:link w:val="FootnoteTextChar"/>
    <w:uiPriority w:val="99"/>
    <w:semiHidden/>
    <w:unhideWhenUsed/>
    <w:rsid w:val="00410F5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0F5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0F5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A4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36E"/>
  </w:style>
  <w:style w:type="paragraph" w:styleId="Footer">
    <w:name w:val="footer"/>
    <w:basedOn w:val="Normal"/>
    <w:link w:val="FooterChar"/>
    <w:uiPriority w:val="99"/>
    <w:unhideWhenUsed/>
    <w:rsid w:val="00AA4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36E"/>
  </w:style>
  <w:style w:type="character" w:styleId="Hyperlink">
    <w:name w:val="Hyperlink"/>
    <w:basedOn w:val="DefaultParagraphFont"/>
    <w:uiPriority w:val="99"/>
    <w:unhideWhenUsed/>
    <w:rsid w:val="003408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087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itannica.com/science/sa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ritannica.com/science/sa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6498A-61B2-4C5B-9C95-3856DF46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3559</TotalTime>
  <Pages>3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Siancj</dc:creator>
  <cp:keywords/>
  <dc:description/>
  <cp:lastModifiedBy>Siancj</cp:lastModifiedBy>
  <cp:revision>61</cp:revision>
  <dcterms:created xsi:type="dcterms:W3CDTF">2018-03-16T16:36:00Z</dcterms:created>
  <dcterms:modified xsi:type="dcterms:W3CDTF">2018-03-21T09:48:00Z</dcterms:modified>
</cp:coreProperties>
</file>