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B277BBC" w14:textId="77777777" w:rsidR="000A2FAE" w:rsidRDefault="000A2FAE">
      <w:pPr>
        <w:spacing w:line="360" w:lineRule="auto"/>
        <w:jc w:val="center"/>
        <w:rPr>
          <w:rFonts w:ascii="Times New Roman" w:eastAsia="Times New Roman" w:hAnsi="Times New Roman" w:cs="Times New Roman"/>
          <w:b/>
          <w:sz w:val="32"/>
          <w:szCs w:val="32"/>
          <w:lang w:val="en-GB"/>
        </w:rPr>
      </w:pPr>
    </w:p>
    <w:p w14:paraId="5A2ACE3A" w14:textId="77777777" w:rsidR="000A2FAE" w:rsidRDefault="000A2FAE">
      <w:pPr>
        <w:spacing w:line="360" w:lineRule="auto"/>
        <w:jc w:val="center"/>
        <w:rPr>
          <w:rFonts w:ascii="Times New Roman" w:eastAsia="Times New Roman" w:hAnsi="Times New Roman" w:cs="Times New Roman"/>
          <w:b/>
          <w:sz w:val="32"/>
          <w:szCs w:val="32"/>
          <w:lang w:val="en-GB"/>
        </w:rPr>
      </w:pPr>
    </w:p>
    <w:p w14:paraId="3BDD4011" w14:textId="77777777" w:rsidR="000A2FAE" w:rsidRDefault="000A2FAE">
      <w:pPr>
        <w:spacing w:line="360" w:lineRule="auto"/>
        <w:jc w:val="center"/>
        <w:rPr>
          <w:rFonts w:ascii="Times New Roman" w:eastAsia="Times New Roman" w:hAnsi="Times New Roman" w:cs="Times New Roman"/>
          <w:b/>
          <w:sz w:val="32"/>
          <w:szCs w:val="32"/>
          <w:lang w:val="en-GB"/>
        </w:rPr>
      </w:pPr>
    </w:p>
    <w:p w14:paraId="52591245" w14:textId="77777777" w:rsidR="000A2FAE" w:rsidRDefault="000A2FAE">
      <w:pPr>
        <w:spacing w:line="360" w:lineRule="auto"/>
        <w:jc w:val="center"/>
        <w:rPr>
          <w:rFonts w:ascii="Times New Roman" w:eastAsia="Times New Roman" w:hAnsi="Times New Roman" w:cs="Times New Roman"/>
          <w:b/>
          <w:sz w:val="32"/>
          <w:szCs w:val="32"/>
          <w:lang w:val="en-GB"/>
        </w:rPr>
      </w:pPr>
    </w:p>
    <w:p w14:paraId="3DA7346D" w14:textId="77777777" w:rsidR="000A2FAE" w:rsidRDefault="000A2FAE">
      <w:pPr>
        <w:spacing w:line="360" w:lineRule="auto"/>
        <w:jc w:val="center"/>
        <w:rPr>
          <w:rFonts w:ascii="Times New Roman" w:eastAsia="Times New Roman" w:hAnsi="Times New Roman" w:cs="Times New Roman"/>
          <w:b/>
          <w:sz w:val="32"/>
          <w:szCs w:val="32"/>
          <w:lang w:val="en-GB"/>
        </w:rPr>
      </w:pPr>
    </w:p>
    <w:p w14:paraId="6E0770BF" w14:textId="77777777" w:rsidR="000A2FAE" w:rsidRDefault="000A2FAE">
      <w:pPr>
        <w:spacing w:line="360" w:lineRule="auto"/>
        <w:jc w:val="center"/>
        <w:rPr>
          <w:rFonts w:ascii="Times New Roman" w:eastAsia="Times New Roman" w:hAnsi="Times New Roman" w:cs="Times New Roman"/>
          <w:b/>
          <w:sz w:val="32"/>
          <w:szCs w:val="32"/>
          <w:lang w:val="en-GB"/>
        </w:rPr>
      </w:pPr>
    </w:p>
    <w:p w14:paraId="1712D4D0" w14:textId="77777777" w:rsidR="000A2FAE" w:rsidRDefault="000A2FAE">
      <w:pPr>
        <w:spacing w:line="360" w:lineRule="auto"/>
        <w:jc w:val="center"/>
        <w:rPr>
          <w:rFonts w:ascii="Times New Roman" w:eastAsia="Times New Roman" w:hAnsi="Times New Roman" w:cs="Times New Roman"/>
          <w:b/>
          <w:sz w:val="32"/>
          <w:szCs w:val="32"/>
          <w:lang w:val="en-GB"/>
        </w:rPr>
      </w:pPr>
    </w:p>
    <w:p w14:paraId="2CEEED9C" w14:textId="77777777" w:rsidR="000A2FAE" w:rsidRDefault="000A2FAE">
      <w:pPr>
        <w:spacing w:line="360" w:lineRule="auto"/>
        <w:jc w:val="center"/>
        <w:rPr>
          <w:rFonts w:ascii="Times New Roman" w:eastAsia="Times New Roman" w:hAnsi="Times New Roman" w:cs="Times New Roman"/>
          <w:b/>
          <w:sz w:val="32"/>
          <w:szCs w:val="32"/>
          <w:lang w:val="en-GB"/>
        </w:rPr>
      </w:pPr>
    </w:p>
    <w:p w14:paraId="53F8A27B" w14:textId="77777777" w:rsidR="000A2FAE" w:rsidRDefault="000A2FAE">
      <w:pPr>
        <w:spacing w:line="360" w:lineRule="auto"/>
        <w:jc w:val="center"/>
        <w:rPr>
          <w:rFonts w:ascii="Times New Roman" w:eastAsia="Times New Roman" w:hAnsi="Times New Roman" w:cs="Times New Roman"/>
          <w:b/>
          <w:sz w:val="32"/>
          <w:szCs w:val="32"/>
          <w:lang w:val="en-GB"/>
        </w:rPr>
      </w:pPr>
    </w:p>
    <w:p w14:paraId="00000001" w14:textId="487B5F98" w:rsidR="00174EE5" w:rsidRDefault="008F2800">
      <w:pPr>
        <w:spacing w:line="360" w:lineRule="auto"/>
        <w:jc w:val="center"/>
        <w:rPr>
          <w:rFonts w:ascii="Times New Roman" w:eastAsia="Times New Roman" w:hAnsi="Times New Roman" w:cs="Times New Roman"/>
          <w:b/>
          <w:sz w:val="32"/>
          <w:szCs w:val="32"/>
          <w:lang w:val="en-GB"/>
        </w:rPr>
      </w:pPr>
      <w:r w:rsidRPr="00074428">
        <w:rPr>
          <w:rFonts w:ascii="Times New Roman" w:eastAsia="Times New Roman" w:hAnsi="Times New Roman" w:cs="Times New Roman"/>
          <w:b/>
          <w:sz w:val="32"/>
          <w:szCs w:val="32"/>
          <w:lang w:val="en-GB"/>
        </w:rPr>
        <w:t>CRIMINAL LAW</w:t>
      </w:r>
      <w:r w:rsidR="00274709">
        <w:rPr>
          <w:rFonts w:ascii="Times New Roman" w:eastAsia="Times New Roman" w:hAnsi="Times New Roman" w:cs="Times New Roman"/>
          <w:b/>
          <w:sz w:val="32"/>
          <w:szCs w:val="32"/>
          <w:lang w:val="en-GB"/>
        </w:rPr>
        <w:t xml:space="preserve"> </w:t>
      </w:r>
    </w:p>
    <w:p w14:paraId="1E7FD54A" w14:textId="29263B52" w:rsidR="00274709" w:rsidRDefault="00274709" w:rsidP="00274709">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
    <w:p w14:paraId="39099ED2" w14:textId="3C47A35A" w:rsidR="00274709" w:rsidRDefault="00721AB1" w:rsidP="00274709">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Name:Lavinia Ghisoiu</w:t>
      </w:r>
    </w:p>
    <w:p w14:paraId="2F4C269E" w14:textId="1D047A96" w:rsidR="00721AB1" w:rsidRPr="00074428" w:rsidRDefault="001F769A" w:rsidP="00274709">
      <w:pPr>
        <w:spacing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Date:23/04</w:t>
      </w:r>
      <w:bookmarkStart w:id="0" w:name="_GoBack"/>
      <w:bookmarkEnd w:id="0"/>
      <w:r w:rsidR="00721AB1">
        <w:rPr>
          <w:rFonts w:ascii="Times New Roman" w:eastAsia="Times New Roman" w:hAnsi="Times New Roman" w:cs="Times New Roman"/>
          <w:b/>
          <w:sz w:val="32"/>
          <w:szCs w:val="32"/>
          <w:lang w:val="en-GB"/>
        </w:rPr>
        <w:t>/2023</w:t>
      </w:r>
    </w:p>
    <w:p w14:paraId="00000002" w14:textId="77777777" w:rsidR="00174EE5" w:rsidRPr="00074428" w:rsidRDefault="008F2800">
      <w:pPr>
        <w:spacing w:line="360" w:lineRule="auto"/>
        <w:jc w:val="center"/>
        <w:rPr>
          <w:rFonts w:ascii="Times New Roman" w:eastAsia="Times New Roman" w:hAnsi="Times New Roman" w:cs="Times New Roman"/>
          <w:b/>
          <w:sz w:val="32"/>
          <w:szCs w:val="32"/>
          <w:lang w:val="en-GB"/>
        </w:rPr>
      </w:pPr>
      <w:r w:rsidRPr="00074428">
        <w:rPr>
          <w:lang w:val="en-GB"/>
        </w:rPr>
        <w:br w:type="page"/>
      </w:r>
    </w:p>
    <w:bookmarkStart w:id="1" w:name="_ctdf66i62u1o" w:colFirst="0" w:colLast="0" w:displacedByCustomXml="next"/>
    <w:bookmarkEnd w:id="1" w:displacedByCustomXml="next"/>
    <w:sdt>
      <w:sdtPr>
        <w:rPr>
          <w:rFonts w:ascii="Arial" w:eastAsia="Arial" w:hAnsi="Arial" w:cs="Arial"/>
          <w:color w:val="auto"/>
          <w:sz w:val="22"/>
          <w:szCs w:val="22"/>
          <w:lang w:val="en-GB" w:eastAsia="en-IN"/>
        </w:rPr>
        <w:id w:val="-291435533"/>
        <w:docPartObj>
          <w:docPartGallery w:val="Table of Contents"/>
          <w:docPartUnique/>
        </w:docPartObj>
      </w:sdtPr>
      <w:sdtEndPr>
        <w:rPr>
          <w:b/>
          <w:bCs/>
          <w:noProof/>
        </w:rPr>
      </w:sdtEndPr>
      <w:sdtContent>
        <w:p w14:paraId="1FEE27BE" w14:textId="6432436B" w:rsidR="00376DDB" w:rsidRPr="00074428" w:rsidRDefault="00376DDB" w:rsidP="00376DDB">
          <w:pPr>
            <w:pStyle w:val="TOCHeading"/>
            <w:spacing w:line="360" w:lineRule="auto"/>
            <w:jc w:val="center"/>
            <w:rPr>
              <w:rFonts w:ascii="Times New Roman" w:hAnsi="Times New Roman" w:cs="Times New Roman"/>
              <w:b/>
              <w:color w:val="auto"/>
              <w:sz w:val="24"/>
              <w:szCs w:val="24"/>
              <w:lang w:val="en-GB"/>
            </w:rPr>
          </w:pPr>
          <w:r w:rsidRPr="00074428">
            <w:rPr>
              <w:rFonts w:ascii="Times New Roman" w:hAnsi="Times New Roman" w:cs="Times New Roman"/>
              <w:b/>
              <w:color w:val="auto"/>
              <w:sz w:val="24"/>
              <w:szCs w:val="24"/>
              <w:lang w:val="en-GB"/>
            </w:rPr>
            <w:t>Table of Contents</w:t>
          </w:r>
        </w:p>
        <w:p w14:paraId="5E7237B6" w14:textId="7A1C24E3" w:rsidR="00376DDB" w:rsidRPr="00074428" w:rsidRDefault="00376DDB" w:rsidP="00376DDB">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074428">
            <w:rPr>
              <w:rFonts w:ascii="Times New Roman" w:hAnsi="Times New Roman" w:cs="Times New Roman"/>
              <w:sz w:val="24"/>
              <w:szCs w:val="24"/>
              <w:lang w:val="en-GB"/>
            </w:rPr>
            <w:fldChar w:fldCharType="begin"/>
          </w:r>
          <w:r w:rsidRPr="00074428">
            <w:rPr>
              <w:rFonts w:ascii="Times New Roman" w:hAnsi="Times New Roman" w:cs="Times New Roman"/>
              <w:sz w:val="24"/>
              <w:szCs w:val="24"/>
              <w:lang w:val="en-GB"/>
            </w:rPr>
            <w:instrText xml:space="preserve"> TOC \o "1-3" \h \z \u </w:instrText>
          </w:r>
          <w:r w:rsidRPr="00074428">
            <w:rPr>
              <w:rFonts w:ascii="Times New Roman" w:hAnsi="Times New Roman" w:cs="Times New Roman"/>
              <w:sz w:val="24"/>
              <w:szCs w:val="24"/>
              <w:lang w:val="en-GB"/>
            </w:rPr>
            <w:fldChar w:fldCharType="separate"/>
          </w:r>
          <w:hyperlink w:anchor="_Toc123658585" w:history="1">
            <w:r w:rsidRPr="00074428">
              <w:rPr>
                <w:rStyle w:val="Hyperlink"/>
                <w:rFonts w:ascii="Times New Roman" w:hAnsi="Times New Roman" w:cs="Times New Roman"/>
                <w:noProof/>
                <w:color w:val="auto"/>
                <w:sz w:val="24"/>
                <w:szCs w:val="24"/>
                <w:lang w:val="en-GB"/>
              </w:rPr>
              <w:t>PART A</w:t>
            </w:r>
            <w:r w:rsidRPr="00074428">
              <w:rPr>
                <w:rFonts w:ascii="Times New Roman" w:hAnsi="Times New Roman" w:cs="Times New Roman"/>
                <w:noProof/>
                <w:webHidden/>
                <w:sz w:val="24"/>
                <w:szCs w:val="24"/>
                <w:lang w:val="en-GB"/>
              </w:rPr>
              <w:tab/>
            </w:r>
            <w:r w:rsidRPr="00074428">
              <w:rPr>
                <w:rFonts w:ascii="Times New Roman" w:hAnsi="Times New Roman" w:cs="Times New Roman"/>
                <w:noProof/>
                <w:webHidden/>
                <w:sz w:val="24"/>
                <w:szCs w:val="24"/>
                <w:lang w:val="en-GB"/>
              </w:rPr>
              <w:fldChar w:fldCharType="begin"/>
            </w:r>
            <w:r w:rsidRPr="00074428">
              <w:rPr>
                <w:rFonts w:ascii="Times New Roman" w:hAnsi="Times New Roman" w:cs="Times New Roman"/>
                <w:noProof/>
                <w:webHidden/>
                <w:sz w:val="24"/>
                <w:szCs w:val="24"/>
                <w:lang w:val="en-GB"/>
              </w:rPr>
              <w:instrText xml:space="preserve"> PAGEREF _Toc123658585 \h </w:instrText>
            </w:r>
            <w:r w:rsidRPr="00074428">
              <w:rPr>
                <w:rFonts w:ascii="Times New Roman" w:hAnsi="Times New Roman" w:cs="Times New Roman"/>
                <w:noProof/>
                <w:webHidden/>
                <w:sz w:val="24"/>
                <w:szCs w:val="24"/>
                <w:lang w:val="en-GB"/>
              </w:rPr>
            </w:r>
            <w:r w:rsidRPr="00074428">
              <w:rPr>
                <w:rFonts w:ascii="Times New Roman" w:hAnsi="Times New Roman" w:cs="Times New Roman"/>
                <w:noProof/>
                <w:webHidden/>
                <w:sz w:val="24"/>
                <w:szCs w:val="24"/>
                <w:lang w:val="en-GB"/>
              </w:rPr>
              <w:fldChar w:fldCharType="separate"/>
            </w:r>
            <w:r w:rsidRPr="00074428">
              <w:rPr>
                <w:rFonts w:ascii="Times New Roman" w:hAnsi="Times New Roman" w:cs="Times New Roman"/>
                <w:noProof/>
                <w:webHidden/>
                <w:sz w:val="24"/>
                <w:szCs w:val="24"/>
                <w:lang w:val="en-GB"/>
              </w:rPr>
              <w:t>3</w:t>
            </w:r>
            <w:r w:rsidRPr="00074428">
              <w:rPr>
                <w:rFonts w:ascii="Times New Roman" w:hAnsi="Times New Roman" w:cs="Times New Roman"/>
                <w:noProof/>
                <w:webHidden/>
                <w:sz w:val="24"/>
                <w:szCs w:val="24"/>
                <w:lang w:val="en-GB"/>
              </w:rPr>
              <w:fldChar w:fldCharType="end"/>
            </w:r>
          </w:hyperlink>
        </w:p>
        <w:p w14:paraId="5ED03A20" w14:textId="0D4500E6"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86" w:history="1">
            <w:r w:rsidR="00376DDB" w:rsidRPr="00074428">
              <w:rPr>
                <w:rStyle w:val="Hyperlink"/>
                <w:rFonts w:ascii="Times New Roman" w:hAnsi="Times New Roman" w:cs="Times New Roman"/>
                <w:noProof/>
                <w:color w:val="auto"/>
                <w:sz w:val="24"/>
                <w:szCs w:val="24"/>
                <w:lang w:val="en-GB"/>
              </w:rPr>
              <w:t>Introduction</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_Toc123658586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3</w:t>
            </w:r>
            <w:r w:rsidR="00376DDB" w:rsidRPr="00074428">
              <w:rPr>
                <w:rFonts w:ascii="Times New Roman" w:hAnsi="Times New Roman" w:cs="Times New Roman"/>
                <w:noProof/>
                <w:webHidden/>
                <w:sz w:val="24"/>
                <w:szCs w:val="24"/>
                <w:lang w:val="en-GB"/>
              </w:rPr>
              <w:fldChar w:fldCharType="end"/>
            </w:r>
          </w:hyperlink>
        </w:p>
        <w:p w14:paraId="7552C4E0" w14:textId="61060972"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87" w:history="1">
            <w:r w:rsidR="00376DDB" w:rsidRPr="00074428">
              <w:rPr>
                <w:rStyle w:val="Hyperlink"/>
                <w:rFonts w:ascii="Times New Roman" w:hAnsi="Times New Roman" w:cs="Times New Roman"/>
                <w:noProof/>
                <w:color w:val="auto"/>
                <w:sz w:val="24"/>
                <w:szCs w:val="24"/>
                <w:lang w:val="en-GB"/>
              </w:rPr>
              <w:t>Main Body</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_Toc123658587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3</w:t>
            </w:r>
            <w:r w:rsidR="00376DDB" w:rsidRPr="00074428">
              <w:rPr>
                <w:rFonts w:ascii="Times New Roman" w:hAnsi="Times New Roman" w:cs="Times New Roman"/>
                <w:noProof/>
                <w:webHidden/>
                <w:sz w:val="24"/>
                <w:szCs w:val="24"/>
                <w:lang w:val="en-GB"/>
              </w:rPr>
              <w:fldChar w:fldCharType="end"/>
            </w:r>
          </w:hyperlink>
        </w:p>
        <w:p w14:paraId="0357AAC2" w14:textId="605FCA80"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88" w:history="1">
            <w:r w:rsidR="00376DDB" w:rsidRPr="00074428">
              <w:rPr>
                <w:rStyle w:val="Hyperlink"/>
                <w:rFonts w:ascii="Times New Roman" w:hAnsi="Times New Roman" w:cs="Times New Roman"/>
                <w:noProof/>
                <w:color w:val="auto"/>
                <w:sz w:val="24"/>
                <w:szCs w:val="24"/>
                <w:lang w:val="en-GB"/>
              </w:rPr>
              <w:t>Conclusion</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_Toc123658588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4</w:t>
            </w:r>
            <w:r w:rsidR="00376DDB" w:rsidRPr="00074428">
              <w:rPr>
                <w:rFonts w:ascii="Times New Roman" w:hAnsi="Times New Roman" w:cs="Times New Roman"/>
                <w:noProof/>
                <w:webHidden/>
                <w:sz w:val="24"/>
                <w:szCs w:val="24"/>
                <w:lang w:val="en-GB"/>
              </w:rPr>
              <w:fldChar w:fldCharType="end"/>
            </w:r>
          </w:hyperlink>
        </w:p>
        <w:p w14:paraId="553E7ECF" w14:textId="7EBF7E33" w:rsidR="00376DDB" w:rsidRPr="00074428" w:rsidRDefault="009622F7" w:rsidP="00376DDB">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89" w:history="1">
            <w:r w:rsidR="00376DDB" w:rsidRPr="00074428">
              <w:rPr>
                <w:rStyle w:val="Hyperlink"/>
                <w:rFonts w:ascii="Times New Roman" w:hAnsi="Times New Roman" w:cs="Times New Roman"/>
                <w:noProof/>
                <w:color w:val="auto"/>
                <w:sz w:val="24"/>
                <w:szCs w:val="24"/>
                <w:lang w:val="en-GB"/>
              </w:rPr>
              <w:t>PART B</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_Toc123658589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6</w:t>
            </w:r>
            <w:r w:rsidR="00376DDB" w:rsidRPr="00074428">
              <w:rPr>
                <w:rFonts w:ascii="Times New Roman" w:hAnsi="Times New Roman" w:cs="Times New Roman"/>
                <w:noProof/>
                <w:webHidden/>
                <w:sz w:val="24"/>
                <w:szCs w:val="24"/>
                <w:lang w:val="en-GB"/>
              </w:rPr>
              <w:fldChar w:fldCharType="end"/>
            </w:r>
          </w:hyperlink>
        </w:p>
        <w:p w14:paraId="5993BD17" w14:textId="67C2BB76"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90" w:history="1">
            <w:r w:rsidR="00376DDB" w:rsidRPr="00074428">
              <w:rPr>
                <w:rStyle w:val="Hyperlink"/>
                <w:rFonts w:ascii="Times New Roman" w:hAnsi="Times New Roman" w:cs="Times New Roman"/>
                <w:noProof/>
                <w:color w:val="auto"/>
                <w:sz w:val="24"/>
                <w:szCs w:val="24"/>
                <w:lang w:val="en-GB"/>
              </w:rPr>
              <w:t>Introduction</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_Toc123658590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6</w:t>
            </w:r>
            <w:r w:rsidR="00376DDB" w:rsidRPr="00074428">
              <w:rPr>
                <w:rFonts w:ascii="Times New Roman" w:hAnsi="Times New Roman" w:cs="Times New Roman"/>
                <w:noProof/>
                <w:webHidden/>
                <w:sz w:val="24"/>
                <w:szCs w:val="24"/>
                <w:lang w:val="en-GB"/>
              </w:rPr>
              <w:fldChar w:fldCharType="end"/>
            </w:r>
          </w:hyperlink>
        </w:p>
        <w:p w14:paraId="13C9F8CB" w14:textId="1F11CD80"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91" w:history="1">
            <w:r w:rsidR="00376DDB" w:rsidRPr="00074428">
              <w:rPr>
                <w:rStyle w:val="Hyperlink"/>
                <w:rFonts w:ascii="Times New Roman" w:hAnsi="Times New Roman" w:cs="Times New Roman"/>
                <w:noProof/>
                <w:color w:val="auto"/>
                <w:sz w:val="24"/>
                <w:szCs w:val="24"/>
                <w:lang w:val="en-GB"/>
              </w:rPr>
              <w:t>Main Body</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_Toc123658591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6</w:t>
            </w:r>
            <w:r w:rsidR="00376DDB" w:rsidRPr="00074428">
              <w:rPr>
                <w:rFonts w:ascii="Times New Roman" w:hAnsi="Times New Roman" w:cs="Times New Roman"/>
                <w:noProof/>
                <w:webHidden/>
                <w:sz w:val="24"/>
                <w:szCs w:val="24"/>
                <w:lang w:val="en-GB"/>
              </w:rPr>
              <w:fldChar w:fldCharType="end"/>
            </w:r>
          </w:hyperlink>
        </w:p>
        <w:p w14:paraId="465A4AA1" w14:textId="21B73BFE"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92" w:history="1">
            <w:r w:rsidR="00376DDB" w:rsidRPr="00074428">
              <w:rPr>
                <w:rStyle w:val="Hyperlink"/>
                <w:rFonts w:ascii="Times New Roman" w:hAnsi="Times New Roman" w:cs="Times New Roman"/>
                <w:noProof/>
                <w:color w:val="auto"/>
                <w:sz w:val="24"/>
                <w:szCs w:val="24"/>
                <w:lang w:val="en-GB"/>
              </w:rPr>
              <w:t>Conclusion</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_Toc123658592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7</w:t>
            </w:r>
            <w:r w:rsidR="00376DDB" w:rsidRPr="00074428">
              <w:rPr>
                <w:rFonts w:ascii="Times New Roman" w:hAnsi="Times New Roman" w:cs="Times New Roman"/>
                <w:noProof/>
                <w:webHidden/>
                <w:sz w:val="24"/>
                <w:szCs w:val="24"/>
                <w:lang w:val="en-GB"/>
              </w:rPr>
              <w:fldChar w:fldCharType="end"/>
            </w:r>
          </w:hyperlink>
        </w:p>
        <w:p w14:paraId="10EDD5E3" w14:textId="1973C51C" w:rsidR="00376DDB" w:rsidRPr="00074428" w:rsidRDefault="009622F7" w:rsidP="00376DDB">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123658593" w:history="1">
            <w:r w:rsidR="00376DDB" w:rsidRPr="00074428">
              <w:rPr>
                <w:rStyle w:val="Hyperlink"/>
                <w:rFonts w:ascii="Times New Roman" w:hAnsi="Times New Roman" w:cs="Times New Roman"/>
                <w:noProof/>
                <w:color w:val="auto"/>
                <w:sz w:val="24"/>
                <w:szCs w:val="24"/>
                <w:lang w:val="en-GB"/>
              </w:rPr>
              <w:t>Reference List</w:t>
            </w:r>
            <w:r w:rsidR="00376DDB" w:rsidRPr="00074428">
              <w:rPr>
                <w:rFonts w:ascii="Times New Roman" w:hAnsi="Times New Roman" w:cs="Times New Roman"/>
                <w:noProof/>
                <w:webHidden/>
                <w:sz w:val="24"/>
                <w:szCs w:val="24"/>
                <w:lang w:val="en-GB"/>
              </w:rPr>
              <w:tab/>
            </w:r>
            <w:r w:rsidR="00376DDB" w:rsidRPr="00074428">
              <w:rPr>
                <w:rFonts w:ascii="Times New Roman" w:hAnsi="Times New Roman" w:cs="Times New Roman"/>
                <w:noProof/>
                <w:webHidden/>
                <w:sz w:val="24"/>
                <w:szCs w:val="24"/>
                <w:lang w:val="en-GB"/>
              </w:rPr>
              <w:fldChar w:fldCharType="begin"/>
            </w:r>
            <w:r w:rsidR="00376DDB" w:rsidRPr="00074428">
              <w:rPr>
                <w:rFonts w:ascii="Times New Roman" w:hAnsi="Times New Roman" w:cs="Times New Roman"/>
                <w:noProof/>
                <w:webHidden/>
                <w:sz w:val="24"/>
                <w:szCs w:val="24"/>
                <w:lang w:val="en-GB"/>
              </w:rPr>
              <w:instrText xml:space="preserve"> PAGEREF _Toc123658593 \h </w:instrText>
            </w:r>
            <w:r w:rsidR="00376DDB" w:rsidRPr="00074428">
              <w:rPr>
                <w:rFonts w:ascii="Times New Roman" w:hAnsi="Times New Roman" w:cs="Times New Roman"/>
                <w:noProof/>
                <w:webHidden/>
                <w:sz w:val="24"/>
                <w:szCs w:val="24"/>
                <w:lang w:val="en-GB"/>
              </w:rPr>
            </w:r>
            <w:r w:rsidR="00376DDB" w:rsidRPr="00074428">
              <w:rPr>
                <w:rFonts w:ascii="Times New Roman" w:hAnsi="Times New Roman" w:cs="Times New Roman"/>
                <w:noProof/>
                <w:webHidden/>
                <w:sz w:val="24"/>
                <w:szCs w:val="24"/>
                <w:lang w:val="en-GB"/>
              </w:rPr>
              <w:fldChar w:fldCharType="separate"/>
            </w:r>
            <w:r w:rsidR="00376DDB" w:rsidRPr="00074428">
              <w:rPr>
                <w:rFonts w:ascii="Times New Roman" w:hAnsi="Times New Roman" w:cs="Times New Roman"/>
                <w:noProof/>
                <w:webHidden/>
                <w:sz w:val="24"/>
                <w:szCs w:val="24"/>
                <w:lang w:val="en-GB"/>
              </w:rPr>
              <w:t>8</w:t>
            </w:r>
            <w:r w:rsidR="00376DDB" w:rsidRPr="00074428">
              <w:rPr>
                <w:rFonts w:ascii="Times New Roman" w:hAnsi="Times New Roman" w:cs="Times New Roman"/>
                <w:noProof/>
                <w:webHidden/>
                <w:sz w:val="24"/>
                <w:szCs w:val="24"/>
                <w:lang w:val="en-GB"/>
              </w:rPr>
              <w:fldChar w:fldCharType="end"/>
            </w:r>
          </w:hyperlink>
        </w:p>
        <w:p w14:paraId="0E77599A" w14:textId="6D0E7382" w:rsidR="00376DDB" w:rsidRPr="00074428" w:rsidRDefault="00376DDB" w:rsidP="00376DDB">
          <w:pPr>
            <w:spacing w:line="360" w:lineRule="auto"/>
            <w:jc w:val="both"/>
            <w:rPr>
              <w:lang w:val="en-GB"/>
            </w:rPr>
          </w:pPr>
          <w:r w:rsidRPr="00074428">
            <w:rPr>
              <w:rFonts w:ascii="Times New Roman" w:hAnsi="Times New Roman" w:cs="Times New Roman"/>
              <w:b/>
              <w:bCs/>
              <w:noProof/>
              <w:sz w:val="24"/>
              <w:szCs w:val="24"/>
              <w:lang w:val="en-GB"/>
            </w:rPr>
            <w:fldChar w:fldCharType="end"/>
          </w:r>
        </w:p>
      </w:sdtContent>
    </w:sdt>
    <w:p w14:paraId="038A788A" w14:textId="77777777" w:rsidR="00376DDB" w:rsidRPr="00074428" w:rsidRDefault="00376DDB">
      <w:pPr>
        <w:rPr>
          <w:rFonts w:ascii="Times New Roman" w:eastAsia="Times New Roman" w:hAnsi="Times New Roman" w:cs="Times New Roman"/>
          <w:b/>
          <w:sz w:val="24"/>
          <w:szCs w:val="24"/>
          <w:lang w:val="en-GB"/>
        </w:rPr>
      </w:pPr>
      <w:r w:rsidRPr="00074428">
        <w:rPr>
          <w:lang w:val="en-GB"/>
        </w:rPr>
        <w:br w:type="page"/>
      </w:r>
    </w:p>
    <w:p w14:paraId="00000003" w14:textId="3BB400AB" w:rsidR="00174EE5" w:rsidRPr="001F769A" w:rsidRDefault="008F2800">
      <w:pPr>
        <w:pStyle w:val="Heading1"/>
        <w:rPr>
          <w:lang w:val="en-GB"/>
        </w:rPr>
      </w:pPr>
      <w:bookmarkStart w:id="2" w:name="_Toc123658585"/>
      <w:r w:rsidRPr="001F769A">
        <w:rPr>
          <w:lang w:val="en-GB"/>
        </w:rPr>
        <w:lastRenderedPageBreak/>
        <w:t>PART A</w:t>
      </w:r>
      <w:bookmarkEnd w:id="2"/>
    </w:p>
    <w:p w14:paraId="00000004" w14:textId="77777777" w:rsidR="00174EE5" w:rsidRPr="001F769A" w:rsidRDefault="008F2800">
      <w:pPr>
        <w:pStyle w:val="Heading2"/>
        <w:rPr>
          <w:lang w:val="en-GB"/>
        </w:rPr>
      </w:pPr>
      <w:bookmarkStart w:id="3" w:name="_yuwjsjo46br7" w:colFirst="0" w:colLast="0"/>
      <w:bookmarkStart w:id="4" w:name="_Toc123658586"/>
      <w:bookmarkEnd w:id="3"/>
      <w:r w:rsidRPr="001F769A">
        <w:rPr>
          <w:lang w:val="en-GB"/>
        </w:rPr>
        <w:t>Introduction</w:t>
      </w:r>
      <w:bookmarkEnd w:id="4"/>
    </w:p>
    <w:p w14:paraId="5E9810A2" w14:textId="77777777" w:rsidR="001F769A" w:rsidRDefault="008F2800">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 xml:space="preserve">Criminal Law is referred to as the body of law that is related to crime and defines criminal offences which are perceived as harmful and threatening in terms of endangering property (Pratt and Miao, 2019). One of the main objectives of the criminal law of the UK is associated with identifying, acknowledging, punishing, and educating the greater community in accordance with the consequences of the criminal offences that have occurred under the actions of the “Criminal Justice System” (CJS). In this context, three main purposes of criminal law have been recognised which include “Retribution, Deterrence, Incapacitation” (Legislation, 2023). The aim of this present assignment is to focus on the different criminal offences in accordance with the given scenario in order to understand the actions of the CJS on criminal offences. </w:t>
      </w:r>
    </w:p>
    <w:p w14:paraId="00000005" w14:textId="0AC2F172" w:rsidR="00174EE5" w:rsidRPr="001F769A" w:rsidRDefault="008F2800">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 xml:space="preserve">     </w:t>
      </w:r>
    </w:p>
    <w:p w14:paraId="00000006" w14:textId="77777777" w:rsidR="00174EE5" w:rsidRPr="001F769A" w:rsidRDefault="008F2800">
      <w:pPr>
        <w:pStyle w:val="Heading2"/>
        <w:rPr>
          <w:lang w:val="en-GB"/>
        </w:rPr>
      </w:pPr>
      <w:bookmarkStart w:id="5" w:name="_7o10rzqqgcdg" w:colFirst="0" w:colLast="0"/>
      <w:bookmarkStart w:id="6" w:name="_Toc123658587"/>
      <w:bookmarkEnd w:id="5"/>
      <w:r w:rsidRPr="001F769A">
        <w:rPr>
          <w:lang w:val="en-GB"/>
        </w:rPr>
        <w:t>Main Body</w:t>
      </w:r>
      <w:bookmarkEnd w:id="6"/>
    </w:p>
    <w:p w14:paraId="7DDDDB3F" w14:textId="485286E4" w:rsidR="00BD5628" w:rsidRPr="001F769A" w:rsidRDefault="008F2800" w:rsidP="00BD5628">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 xml:space="preserve">“Theft Act 1986” is referred to as an “Act of the Parliament” of the UK that has been introduced in order to identify the intention of obtaining property by deception as a criminal offence (Legislation, </w:t>
      </w:r>
      <w:r w:rsidR="001F769A" w:rsidRPr="001F769A">
        <w:rPr>
          <w:rFonts w:ascii="Times New Roman" w:eastAsia="Times New Roman" w:hAnsi="Times New Roman" w:cs="Times New Roman"/>
          <w:sz w:val="24"/>
          <w:szCs w:val="24"/>
          <w:lang w:val="en-GB"/>
        </w:rPr>
        <w:t>2023). In this context, S</w:t>
      </w:r>
      <w:r w:rsidRPr="001F769A">
        <w:rPr>
          <w:rFonts w:ascii="Times New Roman" w:eastAsia="Times New Roman" w:hAnsi="Times New Roman" w:cs="Times New Roman"/>
          <w:sz w:val="24"/>
          <w:szCs w:val="24"/>
          <w:lang w:val="en-GB"/>
        </w:rPr>
        <w:t>1(1) of the “Theft Act 1986” states that if a person is guilty of deception, then it has been identified as a criminal offence with the actual intention of permanently depriving others of obtaining the property (CPS, 2022). In accordance with the given scenario, it has been observed that Ronan being a successful business owner, flaunts his expensive clothes and jewellery in front of others. In this context, Ronan has bought a new pair of “Bucci Trainers” that has caught the eyes of Hadley who had an intention of stealing the trainers in order to teach Ronan a lesson.</w:t>
      </w:r>
      <w:r w:rsidR="00BD5628" w:rsidRPr="001F769A">
        <w:rPr>
          <w:rFonts w:ascii="Times New Roman" w:eastAsia="Times New Roman" w:hAnsi="Times New Roman" w:cs="Times New Roman"/>
          <w:sz w:val="24"/>
          <w:szCs w:val="24"/>
          <w:lang w:val="en-GB"/>
        </w:rPr>
        <w:t>Even though Hadley did not succeed in stealing the trainers, he still broke into Ronan's house and stole the wat</w:t>
      </w:r>
      <w:r w:rsidR="00BD5628" w:rsidRPr="001F769A">
        <w:rPr>
          <w:rFonts w:ascii="Times New Roman" w:eastAsia="Times New Roman" w:hAnsi="Times New Roman" w:cs="Times New Roman"/>
          <w:sz w:val="24"/>
          <w:szCs w:val="24"/>
          <w:lang w:val="en-GB"/>
        </w:rPr>
        <w:t>ch, which is a serious offence.</w:t>
      </w:r>
    </w:p>
    <w:p w14:paraId="1D6A2BD3" w14:textId="48446A46" w:rsidR="00BD5628" w:rsidRPr="001F769A" w:rsidRDefault="00BD5628" w:rsidP="00BD5628">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It is important to emphasize that breaking into someone's property and stealing is never an acceptable behavior. Hadley's actions can be classified as burglary under S.91(a) of the Theft Act 1968, as he entered Ronan's house with the intention to steal. His subsequent theft of the "Kolex" watch further confirms his criminal intent and makes</w:t>
      </w:r>
      <w:r w:rsidRPr="001F769A">
        <w:rPr>
          <w:rFonts w:ascii="Times New Roman" w:eastAsia="Times New Roman" w:hAnsi="Times New Roman" w:cs="Times New Roman"/>
          <w:sz w:val="24"/>
          <w:szCs w:val="24"/>
          <w:lang w:val="en-GB"/>
        </w:rPr>
        <w:t xml:space="preserve"> his actions punishable by law.</w:t>
      </w:r>
    </w:p>
    <w:p w14:paraId="040B6842" w14:textId="77777777" w:rsidR="00BD5628" w:rsidRPr="001F769A" w:rsidRDefault="00BD5628" w:rsidP="00BD5628">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It is important to note that burglary is a serious crime that can result in significant penalties, including imprisonment, fines, and a criminal record. It is never acceptable to break into someone's property with the intention to steal or commit any other offense, regardless of</w:t>
      </w:r>
      <w:r w:rsidRPr="001F769A">
        <w:rPr>
          <w:rFonts w:ascii="Times New Roman" w:eastAsia="Times New Roman" w:hAnsi="Times New Roman" w:cs="Times New Roman"/>
          <w:sz w:val="24"/>
          <w:szCs w:val="24"/>
          <w:lang w:val="en-GB"/>
        </w:rPr>
        <w:t xml:space="preserve"> the motivation behind the act.</w:t>
      </w:r>
    </w:p>
    <w:p w14:paraId="10ADDAE7" w14:textId="7FEF3A7D" w:rsidR="00BD5628" w:rsidRPr="001F769A" w:rsidRDefault="00BD5628" w:rsidP="00BD5628">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lastRenderedPageBreak/>
        <w:t xml:space="preserve">    </w:t>
      </w:r>
      <w:r w:rsidRPr="001F769A">
        <w:rPr>
          <w:rFonts w:ascii="Times New Roman" w:eastAsia="Times New Roman" w:hAnsi="Times New Roman" w:cs="Times New Roman"/>
          <w:sz w:val="24"/>
          <w:szCs w:val="24"/>
          <w:lang w:val="en-GB"/>
        </w:rPr>
        <w:t>The actus reus element in this case is the physical act of entering a building as a trespasser, which is a necessary component of the offense. This means that the individual must have entered the building without permission or authority to do so.</w:t>
      </w:r>
    </w:p>
    <w:p w14:paraId="184BFC4F" w14:textId="17A3B903" w:rsidR="00BD5628" w:rsidRPr="001F769A" w:rsidRDefault="00BD5628" w:rsidP="00BD5628">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 xml:space="preserve">   </w:t>
      </w:r>
      <w:r w:rsidRPr="001F769A">
        <w:rPr>
          <w:rFonts w:ascii="Times New Roman" w:eastAsia="Times New Roman" w:hAnsi="Times New Roman" w:cs="Times New Roman"/>
          <w:sz w:val="24"/>
          <w:szCs w:val="24"/>
          <w:lang w:val="en-GB"/>
        </w:rPr>
        <w:t>The mens rea element, on the other hand, is the intention to steal. The individual must have entered the building with the intent to commit theft, which can be established through evidence such as tools for breaking and entering, a history of theft or burglary, or verbal statements indicating an intention to steal.</w:t>
      </w:r>
    </w:p>
    <w:p w14:paraId="00000007" w14:textId="5E50238A" w:rsidR="00174EE5" w:rsidRPr="001F769A" w:rsidRDefault="001F769A" w:rsidP="00BD5628">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Under S</w:t>
      </w:r>
      <w:r w:rsidR="00BD5628" w:rsidRPr="001F769A">
        <w:rPr>
          <w:rFonts w:ascii="Times New Roman" w:eastAsia="Times New Roman" w:hAnsi="Times New Roman" w:cs="Times New Roman"/>
          <w:sz w:val="24"/>
          <w:szCs w:val="24"/>
          <w:lang w:val="en-GB"/>
        </w:rPr>
        <w:t>9(1)(b) of the Theft Act 1986, the combination of actus reus and mens rea elements of entering a building as a trespasser with the intention to steal constitutes a criminal offense of theft. This offense is punishable under the law and can result in imprisonment, fines, and other penalties.</w:t>
      </w:r>
    </w:p>
    <w:p w14:paraId="44FA3674" w14:textId="583757FA" w:rsidR="00CF4C0B" w:rsidRPr="001F769A" w:rsidRDefault="00CF4C0B" w:rsidP="00CF4C0B">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The offence in this scenario is Arson, c</w:t>
      </w:r>
      <w:r w:rsidR="001F769A" w:rsidRPr="001F769A">
        <w:rPr>
          <w:rFonts w:ascii="Times New Roman" w:eastAsia="Times New Roman" w:hAnsi="Times New Roman" w:cs="Times New Roman"/>
          <w:sz w:val="24"/>
          <w:szCs w:val="24"/>
          <w:lang w:val="en-GB"/>
        </w:rPr>
        <w:t>ontrary to S</w:t>
      </w:r>
      <w:r w:rsidRPr="001F769A">
        <w:rPr>
          <w:rFonts w:ascii="Times New Roman" w:eastAsia="Times New Roman" w:hAnsi="Times New Roman" w:cs="Times New Roman"/>
          <w:sz w:val="24"/>
          <w:szCs w:val="24"/>
          <w:lang w:val="en-GB"/>
        </w:rPr>
        <w:t xml:space="preserve">1(3) of the </w:t>
      </w:r>
      <w:r w:rsidRPr="001F769A">
        <w:rPr>
          <w:rFonts w:ascii="Times New Roman" w:eastAsia="Times New Roman" w:hAnsi="Times New Roman" w:cs="Times New Roman"/>
          <w:sz w:val="24"/>
          <w:szCs w:val="24"/>
          <w:lang w:val="en-GB"/>
        </w:rPr>
        <w:t>“</w:t>
      </w:r>
      <w:r w:rsidRPr="001F769A">
        <w:rPr>
          <w:rFonts w:ascii="Times New Roman" w:eastAsia="Times New Roman" w:hAnsi="Times New Roman" w:cs="Times New Roman"/>
          <w:sz w:val="24"/>
          <w:szCs w:val="24"/>
          <w:lang w:val="en-GB"/>
        </w:rPr>
        <w:t>Criminal Damage Act 1971</w:t>
      </w:r>
      <w:r w:rsidRPr="001F769A">
        <w:rPr>
          <w:rFonts w:ascii="Times New Roman" w:eastAsia="Times New Roman" w:hAnsi="Times New Roman" w:cs="Times New Roman"/>
          <w:sz w:val="24"/>
          <w:szCs w:val="24"/>
          <w:lang w:val="en-GB"/>
        </w:rPr>
        <w:t>”</w:t>
      </w:r>
      <w:r w:rsidRPr="001F769A">
        <w:rPr>
          <w:rFonts w:ascii="Times New Roman" w:eastAsia="Times New Roman" w:hAnsi="Times New Roman" w:cs="Times New Roman"/>
          <w:sz w:val="24"/>
          <w:szCs w:val="24"/>
          <w:lang w:val="en-GB"/>
        </w:rPr>
        <w:t>. Hadley set fire to the bin in Ronan's dressing room, which qualifies as "damaging or destroying property by fire"</w:t>
      </w:r>
      <w:r w:rsidRPr="001F769A">
        <w:rPr>
          <w:rFonts w:ascii="Times New Roman" w:eastAsia="Times New Roman" w:hAnsi="Times New Roman" w:cs="Times New Roman"/>
          <w:sz w:val="24"/>
          <w:szCs w:val="24"/>
          <w:lang w:val="en-GB"/>
        </w:rPr>
        <w:t xml:space="preserve"> under the definition of arson.</w:t>
      </w:r>
    </w:p>
    <w:p w14:paraId="1D4DEEDA" w14:textId="37785C5A" w:rsidR="00CF4C0B" w:rsidRPr="001F769A" w:rsidRDefault="001F769A" w:rsidP="00CF4C0B">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S</w:t>
      </w:r>
      <w:r w:rsidR="00CF4C0B" w:rsidRPr="001F769A">
        <w:rPr>
          <w:rFonts w:ascii="Times New Roman" w:eastAsia="Times New Roman" w:hAnsi="Times New Roman" w:cs="Times New Roman"/>
          <w:sz w:val="24"/>
          <w:szCs w:val="24"/>
          <w:lang w:val="en-GB"/>
        </w:rPr>
        <w:t xml:space="preserve">1(1) of the </w:t>
      </w:r>
      <w:r w:rsidR="00CF4C0B" w:rsidRPr="001F769A">
        <w:rPr>
          <w:rFonts w:ascii="Times New Roman" w:eastAsia="Times New Roman" w:hAnsi="Times New Roman" w:cs="Times New Roman"/>
          <w:sz w:val="24"/>
          <w:szCs w:val="24"/>
          <w:lang w:val="en-GB"/>
        </w:rPr>
        <w:t>“</w:t>
      </w:r>
      <w:r w:rsidR="00CF4C0B" w:rsidRPr="001F769A">
        <w:rPr>
          <w:rFonts w:ascii="Times New Roman" w:eastAsia="Times New Roman" w:hAnsi="Times New Roman" w:cs="Times New Roman"/>
          <w:sz w:val="24"/>
          <w:szCs w:val="24"/>
          <w:lang w:val="en-GB"/>
        </w:rPr>
        <w:t>Criminal Damage Act 1971</w:t>
      </w:r>
      <w:r w:rsidR="00CF4C0B" w:rsidRPr="001F769A">
        <w:rPr>
          <w:rFonts w:ascii="Times New Roman" w:eastAsia="Times New Roman" w:hAnsi="Times New Roman" w:cs="Times New Roman"/>
          <w:sz w:val="24"/>
          <w:szCs w:val="24"/>
          <w:lang w:val="en-GB"/>
        </w:rPr>
        <w:t>”</w:t>
      </w:r>
      <w:r w:rsidR="00CF4C0B" w:rsidRPr="001F769A">
        <w:rPr>
          <w:rFonts w:ascii="Times New Roman" w:eastAsia="Times New Roman" w:hAnsi="Times New Roman" w:cs="Times New Roman"/>
          <w:sz w:val="24"/>
          <w:szCs w:val="24"/>
          <w:lang w:val="en-GB"/>
        </w:rPr>
        <w:t xml:space="preserve"> establishes the actus reus of the offense of damaging property, which occurs when a person intentionally or recklessly destroys or damages property belonging to another without lawful excuse. The mens rea of the offense is established by the intention or recklessness of the in</w:t>
      </w:r>
      <w:r w:rsidR="00CF4C0B" w:rsidRPr="001F769A">
        <w:rPr>
          <w:rFonts w:ascii="Times New Roman" w:eastAsia="Times New Roman" w:hAnsi="Times New Roman" w:cs="Times New Roman"/>
          <w:sz w:val="24"/>
          <w:szCs w:val="24"/>
          <w:lang w:val="en-GB"/>
        </w:rPr>
        <w:t>dividual in causing the damage.</w:t>
      </w:r>
    </w:p>
    <w:p w14:paraId="542AF444" w14:textId="615EA20C" w:rsidR="00CF4C0B" w:rsidRPr="001F769A" w:rsidRDefault="00CF4C0B" w:rsidP="00CF4C0B">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In this case, Hadley intentionally set fire to Ronan's bin, causing damage to the property. His intention was to teach Ronan a lesson, but this does not qualify as a lawful ex</w:t>
      </w:r>
      <w:r w:rsidRPr="001F769A">
        <w:rPr>
          <w:rFonts w:ascii="Times New Roman" w:eastAsia="Times New Roman" w:hAnsi="Times New Roman" w:cs="Times New Roman"/>
          <w:sz w:val="24"/>
          <w:szCs w:val="24"/>
          <w:lang w:val="en-GB"/>
        </w:rPr>
        <w:t>cuse for damaging the property.</w:t>
      </w:r>
    </w:p>
    <w:p w14:paraId="00000009" w14:textId="21013CF5" w:rsidR="00174EE5" w:rsidRPr="001F769A" w:rsidRDefault="00CF4C0B" w:rsidP="00CF4C0B">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Therefore, Hadley's actions a</w:t>
      </w:r>
      <w:r w:rsidR="001F769A" w:rsidRPr="001F769A">
        <w:rPr>
          <w:rFonts w:ascii="Times New Roman" w:eastAsia="Times New Roman" w:hAnsi="Times New Roman" w:cs="Times New Roman"/>
          <w:sz w:val="24"/>
          <w:szCs w:val="24"/>
          <w:lang w:val="en-GB"/>
        </w:rPr>
        <w:t>re a clear violation of S</w:t>
      </w:r>
      <w:r w:rsidRPr="001F769A">
        <w:rPr>
          <w:rFonts w:ascii="Times New Roman" w:eastAsia="Times New Roman" w:hAnsi="Times New Roman" w:cs="Times New Roman"/>
          <w:sz w:val="24"/>
          <w:szCs w:val="24"/>
          <w:lang w:val="en-GB"/>
        </w:rPr>
        <w:t>1(1) of the Criminal Damage Act 1971 and constitute the</w:t>
      </w:r>
      <w:r w:rsidR="001F769A" w:rsidRPr="001F769A">
        <w:rPr>
          <w:rFonts w:ascii="Times New Roman" w:eastAsia="Times New Roman" w:hAnsi="Times New Roman" w:cs="Times New Roman"/>
          <w:sz w:val="24"/>
          <w:szCs w:val="24"/>
          <w:lang w:val="en-GB"/>
        </w:rPr>
        <w:t xml:space="preserve"> offence of arson under S</w:t>
      </w:r>
      <w:r w:rsidRPr="001F769A">
        <w:rPr>
          <w:rFonts w:ascii="Times New Roman" w:eastAsia="Times New Roman" w:hAnsi="Times New Roman" w:cs="Times New Roman"/>
          <w:sz w:val="24"/>
          <w:szCs w:val="24"/>
          <w:lang w:val="en-GB"/>
        </w:rPr>
        <w:t>1(3) of the Act. The offense is punishable under the law and can result in imprisonment, fines, and other penalties.</w:t>
      </w:r>
      <w:r w:rsidR="008F2800" w:rsidRPr="001F769A">
        <w:rPr>
          <w:rFonts w:ascii="Times New Roman" w:eastAsia="Times New Roman" w:hAnsi="Times New Roman" w:cs="Times New Roman"/>
          <w:sz w:val="24"/>
          <w:szCs w:val="24"/>
          <w:lang w:val="en-GB"/>
        </w:rPr>
        <w:t>The case law that is related to both “Theft Act 1986” and “Criminal Damage Act 1971” is “Moir v Williams [1892]”. According to the respective case law, inadequate damages caused to an individual should be either refused or granted on the basis of the verdicts as well as the sound judic</w:t>
      </w:r>
      <w:r w:rsidRPr="001F769A">
        <w:rPr>
          <w:rFonts w:ascii="Times New Roman" w:eastAsia="Times New Roman" w:hAnsi="Times New Roman" w:cs="Times New Roman"/>
          <w:sz w:val="24"/>
          <w:szCs w:val="24"/>
          <w:lang w:val="en-GB"/>
        </w:rPr>
        <w:t>ial decision of the trial court</w:t>
      </w:r>
      <w:r w:rsidR="008F2800" w:rsidRPr="001F769A">
        <w:rPr>
          <w:rFonts w:ascii="Times New Roman" w:eastAsia="Times New Roman" w:hAnsi="Times New Roman" w:cs="Times New Roman"/>
          <w:sz w:val="24"/>
          <w:szCs w:val="24"/>
          <w:lang w:val="en-GB"/>
        </w:rPr>
        <w:t xml:space="preserve">. </w:t>
      </w:r>
    </w:p>
    <w:p w14:paraId="79141CBB" w14:textId="4F928D38" w:rsidR="00CF4C0B" w:rsidRDefault="00CF4C0B" w:rsidP="00CF4C0B">
      <w:pPr>
        <w:spacing w:line="360" w:lineRule="auto"/>
        <w:jc w:val="both"/>
        <w:rPr>
          <w:rFonts w:ascii="Times New Roman" w:eastAsia="Times New Roman" w:hAnsi="Times New Roman" w:cs="Times New Roman"/>
          <w:sz w:val="24"/>
          <w:szCs w:val="24"/>
          <w:lang w:val="en-GB"/>
        </w:rPr>
      </w:pPr>
      <w:r w:rsidRPr="001F769A">
        <w:rPr>
          <w:rFonts w:ascii="Times New Roman" w:eastAsia="Times New Roman" w:hAnsi="Times New Roman" w:cs="Times New Roman"/>
          <w:sz w:val="24"/>
          <w:szCs w:val="24"/>
          <w:lang w:val="en-GB"/>
        </w:rPr>
        <w:t xml:space="preserve">Hadley is likely to be charged with two criminal offences: theft under the Theft Act 1986 and arson under the </w:t>
      </w:r>
      <w:r w:rsidR="001F769A" w:rsidRPr="001F769A">
        <w:rPr>
          <w:rFonts w:ascii="Times New Roman" w:eastAsia="Times New Roman" w:hAnsi="Times New Roman" w:cs="Times New Roman"/>
          <w:sz w:val="24"/>
          <w:szCs w:val="24"/>
          <w:lang w:val="en-GB"/>
        </w:rPr>
        <w:t>“</w:t>
      </w:r>
      <w:r w:rsidRPr="001F769A">
        <w:rPr>
          <w:rFonts w:ascii="Times New Roman" w:eastAsia="Times New Roman" w:hAnsi="Times New Roman" w:cs="Times New Roman"/>
          <w:sz w:val="24"/>
          <w:szCs w:val="24"/>
          <w:lang w:val="en-GB"/>
        </w:rPr>
        <w:t>Criminal Damage Act 1971</w:t>
      </w:r>
      <w:r w:rsidR="001F769A" w:rsidRPr="001F769A">
        <w:rPr>
          <w:rFonts w:ascii="Times New Roman" w:eastAsia="Times New Roman" w:hAnsi="Times New Roman" w:cs="Times New Roman"/>
          <w:sz w:val="24"/>
          <w:szCs w:val="24"/>
          <w:lang w:val="en-GB"/>
        </w:rPr>
        <w:t>”</w:t>
      </w:r>
      <w:r w:rsidRPr="001F769A">
        <w:rPr>
          <w:rFonts w:ascii="Times New Roman" w:eastAsia="Times New Roman" w:hAnsi="Times New Roman" w:cs="Times New Roman"/>
          <w:sz w:val="24"/>
          <w:szCs w:val="24"/>
          <w:lang w:val="en-GB"/>
        </w:rPr>
        <w:t xml:space="preserve">. Hadley's intention was to steal Ronan's limited edition “Bucci trainers” , but he was unable to find them and instead stole a “Kolex watch”. This intention to steal, coupled with his unauthorized entry into Ronan's property, makes him </w:t>
      </w:r>
      <w:r w:rsidRPr="001F769A">
        <w:rPr>
          <w:rFonts w:ascii="Times New Roman" w:eastAsia="Times New Roman" w:hAnsi="Times New Roman" w:cs="Times New Roman"/>
          <w:sz w:val="24"/>
          <w:szCs w:val="24"/>
          <w:lang w:val="en-GB"/>
        </w:rPr>
        <w:lastRenderedPageBreak/>
        <w:t>criminally liable under the Theft Act. Moreover, Hadley tried to damage Ronan's property by setting fire to the bin in his dressing room, which is a criminal offence under the “Criminal Damage Act”. The context for Hadley's actions was his disapproval of Ronan's habit of flaunting his wealth through his clothes and possessions, but that does not excuse his criminal behaviour.</w:t>
      </w:r>
    </w:p>
    <w:p w14:paraId="73B546AD" w14:textId="77777777" w:rsidR="001F769A" w:rsidRPr="001F769A" w:rsidRDefault="001F769A" w:rsidP="00CF4C0B">
      <w:pPr>
        <w:spacing w:line="360" w:lineRule="auto"/>
        <w:jc w:val="both"/>
        <w:rPr>
          <w:rFonts w:ascii="Times New Roman" w:eastAsia="Times New Roman" w:hAnsi="Times New Roman" w:cs="Times New Roman"/>
          <w:sz w:val="24"/>
          <w:szCs w:val="24"/>
          <w:lang w:val="en-GB"/>
        </w:rPr>
      </w:pPr>
    </w:p>
    <w:p w14:paraId="0000000B" w14:textId="77777777" w:rsidR="00174EE5" w:rsidRPr="001F769A" w:rsidRDefault="008F2800">
      <w:pPr>
        <w:pStyle w:val="Heading2"/>
        <w:rPr>
          <w:lang w:val="en-GB"/>
        </w:rPr>
      </w:pPr>
      <w:bookmarkStart w:id="7" w:name="_8bzkwj1kydb5" w:colFirst="0" w:colLast="0"/>
      <w:bookmarkStart w:id="8" w:name="_Toc123658588"/>
      <w:bookmarkEnd w:id="7"/>
      <w:r w:rsidRPr="001F769A">
        <w:rPr>
          <w:lang w:val="en-GB"/>
        </w:rPr>
        <w:t>Conclusion</w:t>
      </w:r>
      <w:bookmarkEnd w:id="8"/>
    </w:p>
    <w:p w14:paraId="0000000F" w14:textId="37D1E8B1" w:rsidR="00174EE5" w:rsidRPr="001F769A" w:rsidRDefault="00CF4C0B">
      <w:pPr>
        <w:spacing w:line="360" w:lineRule="auto"/>
        <w:jc w:val="both"/>
        <w:rPr>
          <w:rFonts w:ascii="Times New Roman" w:eastAsia="Times New Roman" w:hAnsi="Times New Roman" w:cs="Times New Roman"/>
          <w:b/>
          <w:sz w:val="24"/>
          <w:szCs w:val="24"/>
          <w:lang w:val="en-GB"/>
        </w:rPr>
      </w:pPr>
      <w:bookmarkStart w:id="9" w:name="_g6fqk4y4so5t" w:colFirst="0" w:colLast="0"/>
      <w:bookmarkEnd w:id="9"/>
      <w:r w:rsidRPr="001F769A">
        <w:rPr>
          <w:rFonts w:ascii="Times New Roman" w:hAnsi="Times New Roman" w:cs="Times New Roman"/>
          <w:sz w:val="24"/>
          <w:szCs w:val="24"/>
          <w:lang w:val="en-GB"/>
        </w:rPr>
        <w:t xml:space="preserve">    Based on the above findings, it can be concluded that criminal law is legislation enacted by parliament to address criminal offenses that are deemed threatening and harmful. In the case of Ronan and Hadley, Hadley, as the main suspect, is liable to be charged with both the "Theft Act 1986" and the "Criminal Damage Act 1971." This is due to the fact that Hadley had the intention to steal Ronan's limited edition "Bucci Trainers" and attempted to damage Ronan's dressing room by setting it on fire. Therefore, Hadley will face the consequences of both theft and damage offenses under the "Criminal Justice System."</w:t>
      </w:r>
      <w:r w:rsidR="008F2800" w:rsidRPr="001F769A">
        <w:rPr>
          <w:rFonts w:ascii="Times New Roman" w:hAnsi="Times New Roman" w:cs="Times New Roman"/>
          <w:sz w:val="24"/>
          <w:szCs w:val="24"/>
          <w:lang w:val="en-GB"/>
        </w:rPr>
        <w:br w:type="page"/>
      </w:r>
    </w:p>
    <w:p w14:paraId="00000010" w14:textId="77777777" w:rsidR="00174EE5" w:rsidRDefault="008F2800">
      <w:pPr>
        <w:pStyle w:val="Heading1"/>
        <w:rPr>
          <w:lang w:val="en-GB"/>
        </w:rPr>
      </w:pPr>
      <w:bookmarkStart w:id="10" w:name="_rp05qoalp74" w:colFirst="0" w:colLast="0"/>
      <w:bookmarkStart w:id="11" w:name="_Toc123658589"/>
      <w:bookmarkEnd w:id="10"/>
      <w:r w:rsidRPr="00074428">
        <w:rPr>
          <w:lang w:val="en-GB"/>
        </w:rPr>
        <w:lastRenderedPageBreak/>
        <w:t>PART B</w:t>
      </w:r>
      <w:bookmarkEnd w:id="11"/>
    </w:p>
    <w:p w14:paraId="0C6557C2" w14:textId="77777777" w:rsidR="001F769A" w:rsidRPr="001F769A" w:rsidRDefault="001F769A" w:rsidP="001F769A">
      <w:pPr>
        <w:rPr>
          <w:lang w:val="en-GB"/>
        </w:rPr>
      </w:pPr>
    </w:p>
    <w:p w14:paraId="00000011" w14:textId="77777777" w:rsidR="00174EE5" w:rsidRPr="00074428" w:rsidRDefault="008F2800">
      <w:pPr>
        <w:pStyle w:val="Heading2"/>
        <w:rPr>
          <w:lang w:val="en-GB"/>
        </w:rPr>
      </w:pPr>
      <w:bookmarkStart w:id="12" w:name="_9jyxryuzm97l" w:colFirst="0" w:colLast="0"/>
      <w:bookmarkStart w:id="13" w:name="_Toc123658590"/>
      <w:bookmarkEnd w:id="12"/>
      <w:r w:rsidRPr="00074428">
        <w:rPr>
          <w:lang w:val="en-GB"/>
        </w:rPr>
        <w:t>Introduction</w:t>
      </w:r>
      <w:bookmarkEnd w:id="13"/>
    </w:p>
    <w:p w14:paraId="00000012" w14:textId="213D4FC4" w:rsidR="00174EE5" w:rsidRDefault="001F769A">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008F2800" w:rsidRPr="00074428">
        <w:rPr>
          <w:rFonts w:ascii="Times New Roman" w:eastAsia="Times New Roman" w:hAnsi="Times New Roman" w:cs="Times New Roman"/>
          <w:sz w:val="24"/>
          <w:szCs w:val="24"/>
          <w:lang w:val="en-GB"/>
        </w:rPr>
        <w:t>Automatism can be referred to as a part of criminal law that is defined as an involuntary act by a person. In this context, automatism which is associated with the involuntary act states that when a person commits an act without being aware of the nature of the situation, the state is known as sane automatism (Beran, 2020). On the other hand, intoxication is considered to be not self-induced and thus, can be used in accordance with defence related to sane automatism. Thus, u</w:t>
      </w:r>
      <w:r>
        <w:rPr>
          <w:rFonts w:ascii="Times New Roman" w:eastAsia="Times New Roman" w:hAnsi="Times New Roman" w:cs="Times New Roman"/>
          <w:sz w:val="24"/>
          <w:szCs w:val="24"/>
          <w:lang w:val="en-GB"/>
        </w:rPr>
        <w:t>nder s</w:t>
      </w:r>
      <w:r w:rsidR="00074428">
        <w:rPr>
          <w:rFonts w:ascii="Times New Roman" w:eastAsia="Times New Roman" w:hAnsi="Times New Roman" w:cs="Times New Roman"/>
          <w:sz w:val="24"/>
          <w:szCs w:val="24"/>
          <w:lang w:val="en-GB"/>
        </w:rPr>
        <w:t xml:space="preserve">428 (G) of the “Crimes Act”, </w:t>
      </w:r>
      <w:r w:rsidR="008F2800" w:rsidRPr="00074428">
        <w:rPr>
          <w:rFonts w:ascii="Times New Roman" w:eastAsia="Times New Roman" w:hAnsi="Times New Roman" w:cs="Times New Roman"/>
          <w:sz w:val="24"/>
          <w:szCs w:val="24"/>
          <w:lang w:val="en-GB"/>
        </w:rPr>
        <w:t xml:space="preserve">the defendant who has used sane automatism as self-defence, will not be criminally responsible for the defence that has occurred in order to protect oneself (Sullivan, 2020). The aim of this assignment is to focus on the aspects of intoxication and automatism in order to understand the different aspects of the Person Act 1861.   </w:t>
      </w:r>
    </w:p>
    <w:p w14:paraId="26E45929" w14:textId="77777777" w:rsidR="001F769A" w:rsidRPr="00074428" w:rsidRDefault="001F769A">
      <w:pPr>
        <w:spacing w:line="360" w:lineRule="auto"/>
        <w:jc w:val="both"/>
        <w:rPr>
          <w:rFonts w:ascii="Times New Roman" w:eastAsia="Times New Roman" w:hAnsi="Times New Roman" w:cs="Times New Roman"/>
          <w:sz w:val="24"/>
          <w:szCs w:val="24"/>
          <w:lang w:val="en-GB"/>
        </w:rPr>
      </w:pPr>
    </w:p>
    <w:p w14:paraId="00000013" w14:textId="77777777" w:rsidR="00174EE5" w:rsidRPr="00074428" w:rsidRDefault="008F2800">
      <w:pPr>
        <w:pStyle w:val="Heading2"/>
        <w:rPr>
          <w:lang w:val="en-GB"/>
        </w:rPr>
      </w:pPr>
      <w:bookmarkStart w:id="14" w:name="_6oredi3fjq1f" w:colFirst="0" w:colLast="0"/>
      <w:bookmarkStart w:id="15" w:name="_Toc123658591"/>
      <w:bookmarkEnd w:id="14"/>
      <w:r w:rsidRPr="00074428">
        <w:rPr>
          <w:lang w:val="en-GB"/>
        </w:rPr>
        <w:t>Main Body</w:t>
      </w:r>
      <w:bookmarkEnd w:id="15"/>
    </w:p>
    <w:p w14:paraId="2CF1FDC2" w14:textId="30DE9FF5" w:rsidR="00A849EE" w:rsidRPr="00A849EE" w:rsidRDefault="008F2800" w:rsidP="00A849EE">
      <w:pPr>
        <w:spacing w:line="360" w:lineRule="auto"/>
        <w:jc w:val="both"/>
        <w:rPr>
          <w:rFonts w:ascii="Times New Roman" w:eastAsia="Times New Roman" w:hAnsi="Times New Roman" w:cs="Times New Roman"/>
          <w:sz w:val="24"/>
          <w:szCs w:val="24"/>
          <w:lang w:val="en-GB"/>
        </w:rPr>
      </w:pPr>
      <w:r w:rsidRPr="00074428">
        <w:rPr>
          <w:rFonts w:ascii="Times New Roman" w:eastAsia="Times New Roman" w:hAnsi="Times New Roman" w:cs="Times New Roman"/>
          <w:sz w:val="24"/>
          <w:szCs w:val="24"/>
          <w:lang w:val="en-GB"/>
        </w:rPr>
        <w:t xml:space="preserve">   </w:t>
      </w:r>
      <w:r w:rsidR="00A849EE" w:rsidRPr="00A849EE">
        <w:rPr>
          <w:rFonts w:ascii="Times New Roman" w:eastAsia="Times New Roman" w:hAnsi="Times New Roman" w:cs="Times New Roman"/>
          <w:sz w:val="24"/>
          <w:szCs w:val="24"/>
          <w:lang w:val="en-GB"/>
        </w:rPr>
        <w:t>Automatism refers to a legal principle where a person's actions are considered involuntary when they are in a state of impaired consciousness or unconsciousness. This can also include involuntary movements of the limbs, as noted by Sgrò et al. (2019). In the given scenario, Freya has a history of epilepsy but has not experienced any seizures for the past ten years. She and Nicky consumed alcohol before Freya had a seizure and punched Mike in the face. This suggests that Freya was not in control of her actions during the seizure, and she may be able to rel</w:t>
      </w:r>
      <w:r w:rsidR="00A849EE">
        <w:rPr>
          <w:rFonts w:ascii="Times New Roman" w:eastAsia="Times New Roman" w:hAnsi="Times New Roman" w:cs="Times New Roman"/>
          <w:sz w:val="24"/>
          <w:szCs w:val="24"/>
          <w:lang w:val="en-GB"/>
        </w:rPr>
        <w:t>y on the defence of automatism.</w:t>
      </w:r>
    </w:p>
    <w:p w14:paraId="64ABF28C" w14:textId="10E38B6F" w:rsidR="00A849EE" w:rsidRPr="00A849EE" w:rsidRDefault="00A849EE" w:rsidP="00A849E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A849EE">
        <w:rPr>
          <w:rFonts w:ascii="Times New Roman" w:eastAsia="Times New Roman" w:hAnsi="Times New Roman" w:cs="Times New Roman"/>
          <w:sz w:val="24"/>
          <w:szCs w:val="24"/>
          <w:lang w:val="en-GB"/>
        </w:rPr>
        <w:t>However, automatism can only be used as a defence if the loss of control was not self-induced. Freya consumed a significant amount of alcohol before having the seizure, and therefore her loss of control could be argued to be self-induced, meaning she cannot rel</w:t>
      </w:r>
      <w:r>
        <w:rPr>
          <w:rFonts w:ascii="Times New Roman" w:eastAsia="Times New Roman" w:hAnsi="Times New Roman" w:cs="Times New Roman"/>
          <w:sz w:val="24"/>
          <w:szCs w:val="24"/>
          <w:lang w:val="en-GB"/>
        </w:rPr>
        <w:t>y on the defence of automatism.</w:t>
      </w:r>
    </w:p>
    <w:p w14:paraId="0A26C194" w14:textId="06BAD551" w:rsidR="00A849EE" w:rsidRPr="00A849EE" w:rsidRDefault="00A849EE" w:rsidP="00A849E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A849EE">
        <w:rPr>
          <w:rFonts w:ascii="Times New Roman" w:eastAsia="Times New Roman" w:hAnsi="Times New Roman" w:cs="Times New Roman"/>
          <w:sz w:val="24"/>
          <w:szCs w:val="24"/>
          <w:lang w:val="en-GB"/>
        </w:rPr>
        <w:t>The defence of intoxication is not a complete defence but can be us</w:t>
      </w:r>
      <w:r>
        <w:rPr>
          <w:rFonts w:ascii="Times New Roman" w:eastAsia="Times New Roman" w:hAnsi="Times New Roman" w:cs="Times New Roman"/>
          <w:sz w:val="24"/>
          <w:szCs w:val="24"/>
          <w:lang w:val="en-GB"/>
        </w:rPr>
        <w:t>ed to reduce charges. I</w:t>
      </w:r>
      <w:r w:rsidRPr="00A849EE">
        <w:rPr>
          <w:rFonts w:ascii="Times New Roman" w:eastAsia="Times New Roman" w:hAnsi="Times New Roman" w:cs="Times New Roman"/>
          <w:sz w:val="24"/>
          <w:szCs w:val="24"/>
          <w:lang w:val="en-GB"/>
        </w:rPr>
        <w:t>t is not applicable in this case, as Freya's actions were caused b</w:t>
      </w:r>
      <w:r>
        <w:rPr>
          <w:rFonts w:ascii="Times New Roman" w:eastAsia="Times New Roman" w:hAnsi="Times New Roman" w:cs="Times New Roman"/>
          <w:sz w:val="24"/>
          <w:szCs w:val="24"/>
          <w:lang w:val="en-GB"/>
        </w:rPr>
        <w:t>y the seizure, not the alcohol.</w:t>
      </w:r>
    </w:p>
    <w:p w14:paraId="6CEE3538" w14:textId="578C0C60" w:rsidR="00A849EE" w:rsidRDefault="00A849EE" w:rsidP="00A849E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A849EE">
        <w:rPr>
          <w:rFonts w:ascii="Times New Roman" w:eastAsia="Times New Roman" w:hAnsi="Times New Roman" w:cs="Times New Roman"/>
          <w:sz w:val="24"/>
          <w:szCs w:val="24"/>
          <w:lang w:val="en-GB"/>
        </w:rPr>
        <w:t xml:space="preserve">In </w:t>
      </w:r>
      <w:r>
        <w:rPr>
          <w:rFonts w:ascii="Times New Roman" w:eastAsia="Times New Roman" w:hAnsi="Times New Roman" w:cs="Times New Roman"/>
          <w:sz w:val="24"/>
          <w:szCs w:val="24"/>
          <w:lang w:val="en-GB"/>
        </w:rPr>
        <w:t>“</w:t>
      </w:r>
      <w:r w:rsidRPr="00A849EE">
        <w:rPr>
          <w:rFonts w:ascii="Times New Roman" w:eastAsia="Times New Roman" w:hAnsi="Times New Roman" w:cs="Times New Roman"/>
          <w:sz w:val="24"/>
          <w:szCs w:val="24"/>
          <w:lang w:val="en-GB"/>
        </w:rPr>
        <w:t>R v Bailey (1983) 2 AC 95</w:t>
      </w:r>
      <w:r>
        <w:rPr>
          <w:rFonts w:ascii="Times New Roman" w:eastAsia="Times New Roman" w:hAnsi="Times New Roman" w:cs="Times New Roman"/>
          <w:sz w:val="24"/>
          <w:szCs w:val="24"/>
          <w:lang w:val="en-GB"/>
        </w:rPr>
        <w:t>”</w:t>
      </w:r>
      <w:r w:rsidRPr="00A849EE">
        <w:rPr>
          <w:rFonts w:ascii="Times New Roman" w:eastAsia="Times New Roman" w:hAnsi="Times New Roman" w:cs="Times New Roman"/>
          <w:sz w:val="24"/>
          <w:szCs w:val="24"/>
          <w:lang w:val="en-GB"/>
        </w:rPr>
        <w:t>, it was established that if the defendant voluntarily consumed drugs or alcohol, knowing that it might trigger their epileptic fits, they cannot rely on the defence of automatism. Therefore, as Freya's loss of control was self-induced by alcohol consumption, she cannot rel</w:t>
      </w:r>
      <w:r>
        <w:rPr>
          <w:rFonts w:ascii="Times New Roman" w:eastAsia="Times New Roman" w:hAnsi="Times New Roman" w:cs="Times New Roman"/>
          <w:sz w:val="24"/>
          <w:szCs w:val="24"/>
          <w:lang w:val="en-GB"/>
        </w:rPr>
        <w:t>y on the defence of automatism.</w:t>
      </w:r>
    </w:p>
    <w:p w14:paraId="0AFD10F9" w14:textId="097C8D20" w:rsidR="00A849EE" w:rsidRPr="00A849EE" w:rsidRDefault="00A849EE" w:rsidP="00A849E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 </w:t>
      </w:r>
      <w:r w:rsidRPr="00A849EE">
        <w:rPr>
          <w:rFonts w:ascii="Times New Roman" w:eastAsia="Times New Roman" w:hAnsi="Times New Roman" w:cs="Times New Roman"/>
          <w:sz w:val="24"/>
          <w:szCs w:val="24"/>
          <w:lang w:val="en-GB"/>
        </w:rPr>
        <w:t>The case law of Watmore v Jenkins [1962] 2 QB 572 demonstrates that a person is not criminally responsible for dangerous driving during a hypoglycaemic episode. This suggests that the patient should be acquitted on the grounds of sane automatism and the in</w:t>
      </w:r>
      <w:r>
        <w:rPr>
          <w:rFonts w:ascii="Times New Roman" w:eastAsia="Times New Roman" w:hAnsi="Times New Roman" w:cs="Times New Roman"/>
          <w:sz w:val="24"/>
          <w:szCs w:val="24"/>
          <w:lang w:val="en-GB"/>
        </w:rPr>
        <w:t>voluntary control of the limbs.</w:t>
      </w:r>
    </w:p>
    <w:p w14:paraId="4829CBD3" w14:textId="77777777" w:rsidR="001F769A" w:rsidRDefault="00A849EE" w:rsidP="00A849E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A849EE">
        <w:rPr>
          <w:rFonts w:ascii="Times New Roman" w:eastAsia="Times New Roman" w:hAnsi="Times New Roman" w:cs="Times New Roman"/>
          <w:sz w:val="24"/>
          <w:szCs w:val="24"/>
          <w:lang w:val="en-GB"/>
        </w:rPr>
        <w:t>In the given scenario, Freya may be able to rely on the defences of automatism and intoxication, as her epileptic seizure caused the involuntary action of punching Mike. This is known as "Sane Automatism." She is charged under section 47 of the Offences Against the Person Act 1861, which requires proof of intentional and reckless assault that causes bodily harm to the victim. Considering Freya's history of epilepsy and frequent episodes of seizures, it can be argued that her movement of the limbs was involuntary and thus could not be controlled.</w:t>
      </w:r>
    </w:p>
    <w:p w14:paraId="00000016" w14:textId="067D2B48" w:rsidR="00174EE5" w:rsidRPr="00074428" w:rsidRDefault="008F2800" w:rsidP="00A849EE">
      <w:pPr>
        <w:spacing w:line="360" w:lineRule="auto"/>
        <w:jc w:val="both"/>
        <w:rPr>
          <w:rFonts w:ascii="Times New Roman" w:eastAsia="Times New Roman" w:hAnsi="Times New Roman" w:cs="Times New Roman"/>
          <w:sz w:val="24"/>
          <w:szCs w:val="24"/>
          <w:lang w:val="en-GB"/>
        </w:rPr>
      </w:pPr>
      <w:r w:rsidRPr="00074428">
        <w:rPr>
          <w:rFonts w:ascii="Times New Roman" w:eastAsia="Times New Roman" w:hAnsi="Times New Roman" w:cs="Times New Roman"/>
          <w:sz w:val="24"/>
          <w:szCs w:val="24"/>
          <w:lang w:val="en-GB"/>
        </w:rPr>
        <w:t xml:space="preserve">               </w:t>
      </w:r>
    </w:p>
    <w:p w14:paraId="00000017" w14:textId="77777777" w:rsidR="00174EE5" w:rsidRPr="00074428" w:rsidRDefault="008F2800">
      <w:pPr>
        <w:pStyle w:val="Heading2"/>
        <w:rPr>
          <w:lang w:val="en-GB"/>
        </w:rPr>
      </w:pPr>
      <w:bookmarkStart w:id="16" w:name="_jofbj8m63drz" w:colFirst="0" w:colLast="0"/>
      <w:bookmarkStart w:id="17" w:name="_Toc123658592"/>
      <w:bookmarkEnd w:id="16"/>
      <w:r w:rsidRPr="00074428">
        <w:rPr>
          <w:lang w:val="en-GB"/>
        </w:rPr>
        <w:t>Conclusion</w:t>
      </w:r>
      <w:bookmarkEnd w:id="17"/>
    </w:p>
    <w:p w14:paraId="00000019" w14:textId="4504AE26" w:rsidR="00174EE5" w:rsidRPr="00074428" w:rsidRDefault="001F769A">
      <w:pPr>
        <w:spacing w:line="360" w:lineRule="auto"/>
        <w:jc w:val="both"/>
        <w:rPr>
          <w:rFonts w:ascii="Times New Roman" w:eastAsia="Times New Roman" w:hAnsi="Times New Roman" w:cs="Times New Roman"/>
          <w:b/>
          <w:sz w:val="24"/>
          <w:szCs w:val="24"/>
          <w:lang w:val="en-GB"/>
        </w:rPr>
      </w:pPr>
      <w:r>
        <w:rPr>
          <w:lang w:val="en-GB"/>
        </w:rPr>
        <w:t>I</w:t>
      </w:r>
      <w:r w:rsidRPr="001F769A">
        <w:rPr>
          <w:lang w:val="en-GB"/>
        </w:rPr>
        <w:t>t can be concluded that intoxication and automatism are closely linked aspects of criminal law, which relieve defendants of criminal responsibility when their actions are involuntary. This condition is also known as "sane automatism". In the given scenario, Freya, who was intoxicated, punched Mike and has been charged under Section 47 of the "Offences Against the Person Act 1861". However, it can be argued that Freya can rely on the defenses of intoxication and automatism, as her actions were not under her control due to her epileptic seizures.</w:t>
      </w:r>
      <w:r w:rsidR="008F2800" w:rsidRPr="00074428">
        <w:rPr>
          <w:lang w:val="en-GB"/>
        </w:rPr>
        <w:br w:type="page"/>
      </w:r>
    </w:p>
    <w:p w14:paraId="0000001A" w14:textId="20ACC0AF" w:rsidR="00174EE5" w:rsidRDefault="008F2800">
      <w:pPr>
        <w:pStyle w:val="Heading2"/>
        <w:rPr>
          <w:lang w:val="en-GB"/>
        </w:rPr>
      </w:pPr>
      <w:bookmarkStart w:id="18" w:name="_y12tddu1pp3u" w:colFirst="0" w:colLast="0"/>
      <w:bookmarkStart w:id="19" w:name="_Toc123658593"/>
      <w:bookmarkEnd w:id="18"/>
      <w:r w:rsidRPr="00074428">
        <w:rPr>
          <w:lang w:val="en-GB"/>
        </w:rPr>
        <w:lastRenderedPageBreak/>
        <w:t>Reference List</w:t>
      </w:r>
      <w:bookmarkEnd w:id="19"/>
    </w:p>
    <w:p w14:paraId="0649B8A1" w14:textId="77777777" w:rsidR="001F769A"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Beran, R.G., 2020. Automatism–A case of reality testing. Forensic Science International: Mind and Law, 1, p.100019. </w:t>
      </w:r>
    </w:p>
    <w:p w14:paraId="4F36E0F3" w14:textId="553CB002"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CPS, 2022. </w:t>
      </w:r>
      <w:r w:rsidRPr="00D910B3">
        <w:rPr>
          <w:rFonts w:ascii="Times New Roman" w:hAnsi="Times New Roman" w:cs="Times New Roman"/>
          <w:i/>
          <w:sz w:val="24"/>
          <w:lang w:val="en-US"/>
        </w:rPr>
        <w:t>Criminal Damage</w:t>
      </w:r>
      <w:r w:rsidRPr="00D910B3">
        <w:rPr>
          <w:rFonts w:ascii="Times New Roman" w:hAnsi="Times New Roman" w:cs="Times New Roman"/>
          <w:sz w:val="24"/>
          <w:lang w:val="en-US"/>
        </w:rPr>
        <w:t xml:space="preserve">. Available at: </w:t>
      </w:r>
      <w:hyperlink r:id="rId8" w:anchor=":~:text=Section%201(1)%20CDA%201971,be%20guilty%20of%20an%20offence" w:history="1">
        <w:r w:rsidRPr="00D910B3">
          <w:rPr>
            <w:rStyle w:val="Hyperlink"/>
            <w:rFonts w:ascii="Times New Roman" w:hAnsi="Times New Roman" w:cs="Times New Roman"/>
            <w:color w:val="auto"/>
            <w:sz w:val="24"/>
            <w:u w:val="none"/>
            <w:lang w:val="en-US"/>
          </w:rPr>
          <w:t>https://www.cps.gov.uk/legal-guidance/criminal-damage#:~:text=Section%201(1)%20CDA%201971,be%20guilty%20of%20an%20offence</w:t>
        </w:r>
      </w:hyperlink>
      <w:r w:rsidRPr="00D910B3">
        <w:rPr>
          <w:rFonts w:ascii="Times New Roman" w:hAnsi="Times New Roman" w:cs="Times New Roman"/>
          <w:sz w:val="24"/>
          <w:lang w:val="en-US"/>
        </w:rPr>
        <w:t>.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0760A552"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CPS, 2022. </w:t>
      </w:r>
      <w:r w:rsidRPr="00D910B3">
        <w:rPr>
          <w:rFonts w:ascii="Times New Roman" w:hAnsi="Times New Roman" w:cs="Times New Roman"/>
          <w:i/>
          <w:sz w:val="24"/>
          <w:lang w:val="en-US"/>
        </w:rPr>
        <w:t>Theft Act Offences</w:t>
      </w:r>
      <w:r w:rsidRPr="00D910B3">
        <w:rPr>
          <w:rFonts w:ascii="Times New Roman" w:hAnsi="Times New Roman" w:cs="Times New Roman"/>
          <w:sz w:val="24"/>
          <w:lang w:val="en-US"/>
        </w:rPr>
        <w:t xml:space="preserve">. Available at: </w:t>
      </w:r>
      <w:hyperlink r:id="rId9" w:history="1">
        <w:r w:rsidRPr="00D910B3">
          <w:rPr>
            <w:rStyle w:val="Hyperlink"/>
            <w:rFonts w:ascii="Times New Roman" w:hAnsi="Times New Roman" w:cs="Times New Roman"/>
            <w:color w:val="auto"/>
            <w:sz w:val="24"/>
            <w:u w:val="none"/>
            <w:lang w:val="en-US"/>
          </w:rPr>
          <w:t>https://www.cps.gov.uk/legal-guidance/theft-act-offences</w:t>
        </w:r>
      </w:hyperlink>
      <w:r w:rsidRPr="00D910B3">
        <w:rPr>
          <w:rFonts w:ascii="Times New Roman" w:hAnsi="Times New Roman" w:cs="Times New Roman"/>
          <w:sz w:val="24"/>
          <w:lang w:val="en-US"/>
        </w:rPr>
        <w:t xml:space="preserve">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21B2E281"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Legislation, 2023. </w:t>
      </w:r>
      <w:r w:rsidRPr="00D910B3">
        <w:rPr>
          <w:rFonts w:ascii="Times New Roman" w:hAnsi="Times New Roman" w:cs="Times New Roman"/>
          <w:i/>
          <w:sz w:val="24"/>
          <w:lang w:val="en-US"/>
        </w:rPr>
        <w:t>Criminal Damage Act 1971</w:t>
      </w:r>
      <w:r w:rsidRPr="00D910B3">
        <w:rPr>
          <w:rFonts w:ascii="Times New Roman" w:hAnsi="Times New Roman" w:cs="Times New Roman"/>
          <w:sz w:val="24"/>
          <w:lang w:val="en-US"/>
        </w:rPr>
        <w:t xml:space="preserve">. Available at: </w:t>
      </w:r>
      <w:hyperlink r:id="rId10" w:history="1">
        <w:r w:rsidRPr="00D910B3">
          <w:rPr>
            <w:rStyle w:val="Hyperlink"/>
            <w:rFonts w:ascii="Times New Roman" w:hAnsi="Times New Roman" w:cs="Times New Roman"/>
            <w:color w:val="auto"/>
            <w:sz w:val="24"/>
            <w:u w:val="none"/>
            <w:lang w:val="en-US"/>
          </w:rPr>
          <w:t>https://www.legislation.gov.uk/ukpga/1971/48/section/1</w:t>
        </w:r>
      </w:hyperlink>
      <w:r w:rsidRPr="00D910B3">
        <w:rPr>
          <w:rFonts w:ascii="Times New Roman" w:hAnsi="Times New Roman" w:cs="Times New Roman"/>
          <w:sz w:val="24"/>
          <w:lang w:val="en-US"/>
        </w:rPr>
        <w:t xml:space="preserve">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66A82CAD"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Legislation, 2023. </w:t>
      </w:r>
      <w:r w:rsidRPr="00D910B3">
        <w:rPr>
          <w:rFonts w:ascii="Times New Roman" w:hAnsi="Times New Roman" w:cs="Times New Roman"/>
          <w:i/>
          <w:sz w:val="24"/>
          <w:lang w:val="en-US"/>
        </w:rPr>
        <w:t>Criminal Law Act 1977</w:t>
      </w:r>
      <w:r w:rsidRPr="00D910B3">
        <w:rPr>
          <w:rFonts w:ascii="Times New Roman" w:hAnsi="Times New Roman" w:cs="Times New Roman"/>
          <w:sz w:val="24"/>
          <w:lang w:val="en-US"/>
        </w:rPr>
        <w:t xml:space="preserve">. Available at: </w:t>
      </w:r>
      <w:hyperlink r:id="rId11" w:history="1">
        <w:r w:rsidRPr="00D910B3">
          <w:rPr>
            <w:rStyle w:val="Hyperlink"/>
            <w:rFonts w:ascii="Times New Roman" w:hAnsi="Times New Roman" w:cs="Times New Roman"/>
            <w:color w:val="auto"/>
            <w:sz w:val="24"/>
            <w:u w:val="none"/>
            <w:lang w:val="en-US"/>
          </w:rPr>
          <w:t>https://www.legislation.gov.uk/ukpga/1977/45</w:t>
        </w:r>
      </w:hyperlink>
      <w:r w:rsidRPr="00D910B3">
        <w:rPr>
          <w:rFonts w:ascii="Times New Roman" w:hAnsi="Times New Roman" w:cs="Times New Roman"/>
          <w:sz w:val="24"/>
          <w:lang w:val="en-US"/>
        </w:rPr>
        <w:t xml:space="preserve">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5CC6E36E"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Legislation, 2023. </w:t>
      </w:r>
      <w:r w:rsidRPr="00D910B3">
        <w:rPr>
          <w:rFonts w:ascii="Times New Roman" w:hAnsi="Times New Roman" w:cs="Times New Roman"/>
          <w:i/>
          <w:sz w:val="24"/>
          <w:lang w:val="en-US"/>
        </w:rPr>
        <w:t>Offences against the Person Act 1861</w:t>
      </w:r>
      <w:r w:rsidRPr="00D910B3">
        <w:rPr>
          <w:rFonts w:ascii="Times New Roman" w:hAnsi="Times New Roman" w:cs="Times New Roman"/>
          <w:sz w:val="24"/>
          <w:lang w:val="en-US"/>
        </w:rPr>
        <w:t xml:space="preserve">. Available at: </w:t>
      </w:r>
      <w:hyperlink r:id="rId12" w:history="1">
        <w:r w:rsidRPr="00D910B3">
          <w:rPr>
            <w:rStyle w:val="Hyperlink"/>
            <w:rFonts w:ascii="Times New Roman" w:hAnsi="Times New Roman" w:cs="Times New Roman"/>
            <w:color w:val="auto"/>
            <w:sz w:val="24"/>
            <w:u w:val="none"/>
            <w:lang w:val="en-US"/>
          </w:rPr>
          <w:t>https://www.legislation.gov.uk/ukpga/Vict/24-25/100/contents</w:t>
        </w:r>
      </w:hyperlink>
      <w:r w:rsidRPr="00D910B3">
        <w:rPr>
          <w:rFonts w:ascii="Times New Roman" w:hAnsi="Times New Roman" w:cs="Times New Roman"/>
          <w:sz w:val="24"/>
          <w:lang w:val="en-US"/>
        </w:rPr>
        <w:t xml:space="preserve">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550FD318"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Legislation, 2023. </w:t>
      </w:r>
      <w:r w:rsidRPr="00D910B3">
        <w:rPr>
          <w:rFonts w:ascii="Times New Roman" w:hAnsi="Times New Roman" w:cs="Times New Roman"/>
          <w:i/>
          <w:sz w:val="24"/>
          <w:lang w:val="en-US"/>
        </w:rPr>
        <w:t>Theft Act 1968</w:t>
      </w:r>
      <w:r w:rsidRPr="00D910B3">
        <w:rPr>
          <w:rFonts w:ascii="Times New Roman" w:hAnsi="Times New Roman" w:cs="Times New Roman"/>
          <w:sz w:val="24"/>
          <w:lang w:val="en-US"/>
        </w:rPr>
        <w:t xml:space="preserve">. Available at: </w:t>
      </w:r>
      <w:hyperlink r:id="rId13" w:history="1">
        <w:r w:rsidRPr="00D910B3">
          <w:rPr>
            <w:rStyle w:val="Hyperlink"/>
            <w:rFonts w:ascii="Times New Roman" w:hAnsi="Times New Roman" w:cs="Times New Roman"/>
            <w:color w:val="auto"/>
            <w:sz w:val="24"/>
            <w:u w:val="none"/>
            <w:lang w:val="en-US"/>
          </w:rPr>
          <w:t>https://www.legislation.gov.uk/ukpga/1968/60</w:t>
        </w:r>
      </w:hyperlink>
      <w:r w:rsidRPr="00D910B3">
        <w:rPr>
          <w:rFonts w:ascii="Times New Roman" w:hAnsi="Times New Roman" w:cs="Times New Roman"/>
          <w:sz w:val="24"/>
          <w:lang w:val="en-US"/>
        </w:rPr>
        <w:t xml:space="preserve">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5B221B48"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Moir v Williams [1892] 261 N.W. 12 [1892] 104</w:t>
      </w:r>
    </w:p>
    <w:p w14:paraId="467D71A6"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Pratt, J. and Miao, M., 2019. Risk, populism, and criminal Law. New Criminal law review, 22(4), pp.391-433. </w:t>
      </w:r>
    </w:p>
    <w:p w14:paraId="557DB4A3"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R Yacoub, A. and Briggs, B., 2021. Posttraumatic Stress Disorder (“PTSD”) Effect on a Defendant’s Action and State of Mind: The Future of Criminal Culpability. Becky, Posttraumatic Stress Disorder (“PTSD”) Effect on a Defendant’s Action and State of Mind: The Future of Criminal Culpability (December 23, 2021). </w:t>
      </w:r>
    </w:p>
    <w:p w14:paraId="5287A80E"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lastRenderedPageBreak/>
        <w:t xml:space="preserve">Sentencing Council, 2023. </w:t>
      </w:r>
      <w:r w:rsidRPr="00D910B3">
        <w:rPr>
          <w:rFonts w:ascii="Times New Roman" w:hAnsi="Times New Roman" w:cs="Times New Roman"/>
          <w:i/>
          <w:sz w:val="24"/>
          <w:lang w:val="en-US"/>
        </w:rPr>
        <w:t>Burglary Offences - Definitive Guideline</w:t>
      </w:r>
      <w:r w:rsidRPr="00D910B3">
        <w:rPr>
          <w:rFonts w:ascii="Times New Roman" w:hAnsi="Times New Roman" w:cs="Times New Roman"/>
          <w:sz w:val="24"/>
          <w:lang w:val="en-US"/>
        </w:rPr>
        <w:t xml:space="preserve">. Available at: </w:t>
      </w:r>
      <w:hyperlink r:id="rId14" w:history="1">
        <w:r w:rsidRPr="00D910B3">
          <w:rPr>
            <w:rStyle w:val="Hyperlink"/>
            <w:rFonts w:ascii="Times New Roman" w:hAnsi="Times New Roman" w:cs="Times New Roman"/>
            <w:color w:val="auto"/>
            <w:sz w:val="24"/>
            <w:u w:val="none"/>
            <w:lang w:val="en-US"/>
          </w:rPr>
          <w:t>https://www.sentencingcouncil.org.uk/wp-content/uploads/Burglary-definitive-guideline-Web.pdf</w:t>
        </w:r>
      </w:hyperlink>
      <w:r w:rsidRPr="00D910B3">
        <w:rPr>
          <w:rFonts w:ascii="Times New Roman" w:hAnsi="Times New Roman" w:cs="Times New Roman"/>
          <w:sz w:val="24"/>
          <w:lang w:val="en-US"/>
        </w:rPr>
        <w:t xml:space="preserve"> [Accessed on: 3</w:t>
      </w:r>
      <w:r w:rsidRPr="00D910B3">
        <w:rPr>
          <w:rFonts w:ascii="Times New Roman" w:hAnsi="Times New Roman" w:cs="Times New Roman"/>
          <w:sz w:val="24"/>
          <w:vertAlign w:val="superscript"/>
          <w:lang w:val="en-US"/>
        </w:rPr>
        <w:t>rd</w:t>
      </w:r>
      <w:r w:rsidRPr="00D910B3">
        <w:rPr>
          <w:rFonts w:ascii="Times New Roman" w:hAnsi="Times New Roman" w:cs="Times New Roman"/>
          <w:sz w:val="24"/>
          <w:lang w:val="en-US"/>
        </w:rPr>
        <w:t xml:space="preserve"> January 2023]</w:t>
      </w:r>
    </w:p>
    <w:p w14:paraId="39470EEE"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Sgrò, F., Olmo, G. and De Feo, V., 2019. Disorders of Consciousness: using the Perturbational Complexity Index to distinguish between voluntary and involuntary movements. </w:t>
      </w:r>
    </w:p>
    <w:p w14:paraId="7614A53D" w14:textId="77777777" w:rsidR="00435B23" w:rsidRPr="00D910B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Sullivan, W.C., 2020. ‘The Criminal Responsibility of the Alcoholic’, British Journal of Inebriety, 2, 1904–5, 48–53. In Healers discovering and treating addiction (pp. 280-284). Routledge. </w:t>
      </w:r>
    </w:p>
    <w:p w14:paraId="1E68BEF6" w14:textId="681D24B5" w:rsidR="00435B23" w:rsidRPr="00435B23" w:rsidRDefault="00435B23" w:rsidP="00435B23">
      <w:pPr>
        <w:spacing w:before="240" w:line="360" w:lineRule="auto"/>
        <w:jc w:val="both"/>
        <w:rPr>
          <w:rFonts w:ascii="Times New Roman" w:hAnsi="Times New Roman" w:cs="Times New Roman"/>
          <w:sz w:val="24"/>
          <w:lang w:val="en-US"/>
        </w:rPr>
      </w:pPr>
      <w:r w:rsidRPr="00D910B3">
        <w:rPr>
          <w:rFonts w:ascii="Times New Roman" w:hAnsi="Times New Roman" w:cs="Times New Roman"/>
          <w:sz w:val="24"/>
          <w:lang w:val="en-US"/>
        </w:rPr>
        <w:t xml:space="preserve">Watmore v Jenkins [1962] 2 Q.B. 572 </w:t>
      </w:r>
    </w:p>
    <w:sectPr w:rsidR="00435B23" w:rsidRPr="00435B23">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3D2CD5" w14:textId="77777777" w:rsidR="009622F7" w:rsidRDefault="009622F7" w:rsidP="00EA104D">
      <w:pPr>
        <w:spacing w:line="240" w:lineRule="auto"/>
      </w:pPr>
      <w:r>
        <w:separator/>
      </w:r>
    </w:p>
  </w:endnote>
  <w:endnote w:type="continuationSeparator" w:id="0">
    <w:p w14:paraId="32408AE3" w14:textId="77777777" w:rsidR="009622F7" w:rsidRDefault="009622F7" w:rsidP="00EA10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6750179"/>
      <w:docPartObj>
        <w:docPartGallery w:val="Page Numbers (Bottom of Page)"/>
        <w:docPartUnique/>
      </w:docPartObj>
    </w:sdtPr>
    <w:sdtEndPr>
      <w:rPr>
        <w:rFonts w:ascii="Times New Roman" w:hAnsi="Times New Roman" w:cs="Times New Roman"/>
        <w:noProof/>
        <w:sz w:val="24"/>
      </w:rPr>
    </w:sdtEndPr>
    <w:sdtContent>
      <w:p w14:paraId="4CF786DB" w14:textId="24124FB5" w:rsidR="00EA104D" w:rsidRPr="00EA104D" w:rsidRDefault="00EA104D">
        <w:pPr>
          <w:pStyle w:val="Footer"/>
          <w:jc w:val="right"/>
          <w:rPr>
            <w:rFonts w:ascii="Times New Roman" w:hAnsi="Times New Roman" w:cs="Times New Roman"/>
            <w:sz w:val="24"/>
          </w:rPr>
        </w:pPr>
        <w:r w:rsidRPr="00EA104D">
          <w:rPr>
            <w:rFonts w:ascii="Times New Roman" w:hAnsi="Times New Roman" w:cs="Times New Roman"/>
            <w:sz w:val="24"/>
          </w:rPr>
          <w:fldChar w:fldCharType="begin"/>
        </w:r>
        <w:r w:rsidRPr="00EA104D">
          <w:rPr>
            <w:rFonts w:ascii="Times New Roman" w:hAnsi="Times New Roman" w:cs="Times New Roman"/>
            <w:sz w:val="24"/>
          </w:rPr>
          <w:instrText xml:space="preserve"> PAGE   \* MERGEFORMAT </w:instrText>
        </w:r>
        <w:r w:rsidRPr="00EA104D">
          <w:rPr>
            <w:rFonts w:ascii="Times New Roman" w:hAnsi="Times New Roman" w:cs="Times New Roman"/>
            <w:sz w:val="24"/>
          </w:rPr>
          <w:fldChar w:fldCharType="separate"/>
        </w:r>
        <w:r w:rsidR="00414EAA">
          <w:rPr>
            <w:rFonts w:ascii="Times New Roman" w:hAnsi="Times New Roman" w:cs="Times New Roman"/>
            <w:noProof/>
            <w:sz w:val="24"/>
          </w:rPr>
          <w:t>4</w:t>
        </w:r>
        <w:r w:rsidRPr="00EA104D">
          <w:rPr>
            <w:rFonts w:ascii="Times New Roman" w:hAnsi="Times New Roman" w:cs="Times New Roman"/>
            <w:noProof/>
            <w:sz w:val="24"/>
          </w:rPr>
          <w:fldChar w:fldCharType="end"/>
        </w:r>
      </w:p>
    </w:sdtContent>
  </w:sdt>
  <w:p w14:paraId="24E76F27" w14:textId="77777777" w:rsidR="00EA104D" w:rsidRDefault="00EA10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442CD7" w14:textId="77777777" w:rsidR="009622F7" w:rsidRDefault="009622F7" w:rsidP="00EA104D">
      <w:pPr>
        <w:spacing w:line="240" w:lineRule="auto"/>
      </w:pPr>
      <w:r>
        <w:separator/>
      </w:r>
    </w:p>
  </w:footnote>
  <w:footnote w:type="continuationSeparator" w:id="0">
    <w:p w14:paraId="171365DE" w14:textId="77777777" w:rsidR="009622F7" w:rsidRDefault="009622F7" w:rsidP="00EA104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4EE5"/>
    <w:rsid w:val="00074428"/>
    <w:rsid w:val="000A2FAE"/>
    <w:rsid w:val="00174EE5"/>
    <w:rsid w:val="001F769A"/>
    <w:rsid w:val="00274709"/>
    <w:rsid w:val="00376DDB"/>
    <w:rsid w:val="00414EAA"/>
    <w:rsid w:val="004323B8"/>
    <w:rsid w:val="00435B23"/>
    <w:rsid w:val="00721AB1"/>
    <w:rsid w:val="008F2800"/>
    <w:rsid w:val="009622F7"/>
    <w:rsid w:val="00A849EE"/>
    <w:rsid w:val="00BD5628"/>
    <w:rsid w:val="00CF4C0B"/>
    <w:rsid w:val="00EA10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81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76D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6DDB"/>
    <w:rPr>
      <w:rFonts w:ascii="Segoe UI" w:hAnsi="Segoe UI" w:cs="Segoe UI"/>
      <w:sz w:val="18"/>
      <w:szCs w:val="18"/>
    </w:rPr>
  </w:style>
  <w:style w:type="paragraph" w:styleId="TOCHeading">
    <w:name w:val="TOC Heading"/>
    <w:basedOn w:val="Heading1"/>
    <w:next w:val="Normal"/>
    <w:uiPriority w:val="39"/>
    <w:unhideWhenUsed/>
    <w:qFormat/>
    <w:rsid w:val="00376DD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76DDB"/>
    <w:pPr>
      <w:spacing w:after="100"/>
    </w:pPr>
  </w:style>
  <w:style w:type="paragraph" w:styleId="TOC2">
    <w:name w:val="toc 2"/>
    <w:basedOn w:val="Normal"/>
    <w:next w:val="Normal"/>
    <w:autoRedefine/>
    <w:uiPriority w:val="39"/>
    <w:unhideWhenUsed/>
    <w:rsid w:val="00376DDB"/>
    <w:pPr>
      <w:spacing w:after="100"/>
      <w:ind w:left="220"/>
    </w:pPr>
  </w:style>
  <w:style w:type="character" w:styleId="Hyperlink">
    <w:name w:val="Hyperlink"/>
    <w:basedOn w:val="DefaultParagraphFont"/>
    <w:uiPriority w:val="99"/>
    <w:unhideWhenUsed/>
    <w:rsid w:val="00376DDB"/>
    <w:rPr>
      <w:color w:val="0000FF" w:themeColor="hyperlink"/>
      <w:u w:val="single"/>
    </w:rPr>
  </w:style>
  <w:style w:type="paragraph" w:styleId="Header">
    <w:name w:val="header"/>
    <w:basedOn w:val="Normal"/>
    <w:link w:val="HeaderChar"/>
    <w:uiPriority w:val="99"/>
    <w:unhideWhenUsed/>
    <w:rsid w:val="00EA104D"/>
    <w:pPr>
      <w:tabs>
        <w:tab w:val="center" w:pos="4513"/>
        <w:tab w:val="right" w:pos="9026"/>
      </w:tabs>
      <w:spacing w:line="240" w:lineRule="auto"/>
    </w:pPr>
  </w:style>
  <w:style w:type="character" w:customStyle="1" w:styleId="HeaderChar">
    <w:name w:val="Header Char"/>
    <w:basedOn w:val="DefaultParagraphFont"/>
    <w:link w:val="Header"/>
    <w:uiPriority w:val="99"/>
    <w:rsid w:val="00EA104D"/>
  </w:style>
  <w:style w:type="paragraph" w:styleId="Footer">
    <w:name w:val="footer"/>
    <w:basedOn w:val="Normal"/>
    <w:link w:val="FooterChar"/>
    <w:uiPriority w:val="99"/>
    <w:unhideWhenUsed/>
    <w:rsid w:val="00EA104D"/>
    <w:pPr>
      <w:tabs>
        <w:tab w:val="center" w:pos="4513"/>
        <w:tab w:val="right" w:pos="9026"/>
      </w:tabs>
      <w:spacing w:line="240" w:lineRule="auto"/>
    </w:pPr>
  </w:style>
  <w:style w:type="character" w:customStyle="1" w:styleId="FooterChar">
    <w:name w:val="Footer Char"/>
    <w:basedOn w:val="DefaultParagraphFont"/>
    <w:link w:val="Footer"/>
    <w:uiPriority w:val="99"/>
    <w:rsid w:val="00EA104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76DD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6DDB"/>
    <w:rPr>
      <w:rFonts w:ascii="Segoe UI" w:hAnsi="Segoe UI" w:cs="Segoe UI"/>
      <w:sz w:val="18"/>
      <w:szCs w:val="18"/>
    </w:rPr>
  </w:style>
  <w:style w:type="paragraph" w:styleId="TOCHeading">
    <w:name w:val="TOC Heading"/>
    <w:basedOn w:val="Heading1"/>
    <w:next w:val="Normal"/>
    <w:uiPriority w:val="39"/>
    <w:unhideWhenUsed/>
    <w:qFormat/>
    <w:rsid w:val="00376DD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76DDB"/>
    <w:pPr>
      <w:spacing w:after="100"/>
    </w:pPr>
  </w:style>
  <w:style w:type="paragraph" w:styleId="TOC2">
    <w:name w:val="toc 2"/>
    <w:basedOn w:val="Normal"/>
    <w:next w:val="Normal"/>
    <w:autoRedefine/>
    <w:uiPriority w:val="39"/>
    <w:unhideWhenUsed/>
    <w:rsid w:val="00376DDB"/>
    <w:pPr>
      <w:spacing w:after="100"/>
      <w:ind w:left="220"/>
    </w:pPr>
  </w:style>
  <w:style w:type="character" w:styleId="Hyperlink">
    <w:name w:val="Hyperlink"/>
    <w:basedOn w:val="DefaultParagraphFont"/>
    <w:uiPriority w:val="99"/>
    <w:unhideWhenUsed/>
    <w:rsid w:val="00376DDB"/>
    <w:rPr>
      <w:color w:val="0000FF" w:themeColor="hyperlink"/>
      <w:u w:val="single"/>
    </w:rPr>
  </w:style>
  <w:style w:type="paragraph" w:styleId="Header">
    <w:name w:val="header"/>
    <w:basedOn w:val="Normal"/>
    <w:link w:val="HeaderChar"/>
    <w:uiPriority w:val="99"/>
    <w:unhideWhenUsed/>
    <w:rsid w:val="00EA104D"/>
    <w:pPr>
      <w:tabs>
        <w:tab w:val="center" w:pos="4513"/>
        <w:tab w:val="right" w:pos="9026"/>
      </w:tabs>
      <w:spacing w:line="240" w:lineRule="auto"/>
    </w:pPr>
  </w:style>
  <w:style w:type="character" w:customStyle="1" w:styleId="HeaderChar">
    <w:name w:val="Header Char"/>
    <w:basedOn w:val="DefaultParagraphFont"/>
    <w:link w:val="Header"/>
    <w:uiPriority w:val="99"/>
    <w:rsid w:val="00EA104D"/>
  </w:style>
  <w:style w:type="paragraph" w:styleId="Footer">
    <w:name w:val="footer"/>
    <w:basedOn w:val="Normal"/>
    <w:link w:val="FooterChar"/>
    <w:uiPriority w:val="99"/>
    <w:unhideWhenUsed/>
    <w:rsid w:val="00EA104D"/>
    <w:pPr>
      <w:tabs>
        <w:tab w:val="center" w:pos="4513"/>
        <w:tab w:val="right" w:pos="9026"/>
      </w:tabs>
      <w:spacing w:line="240" w:lineRule="auto"/>
    </w:pPr>
  </w:style>
  <w:style w:type="character" w:customStyle="1" w:styleId="FooterChar">
    <w:name w:val="Footer Char"/>
    <w:basedOn w:val="DefaultParagraphFont"/>
    <w:link w:val="Footer"/>
    <w:uiPriority w:val="99"/>
    <w:rsid w:val="00EA1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cps.gov.uk/legal-guidance/criminal-damage" TargetMode="External"/><Relationship Id="rId13" Type="http://schemas.openxmlformats.org/officeDocument/2006/relationships/hyperlink" Target="https://www.legislation.gov.uk/ukpga/1968/60"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legislation.gov.uk/ukpga/Vict/24-25/100/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77/4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legislation.gov.uk/ukpga/1971/48/section/1" TargetMode="External"/><Relationship Id="rId4" Type="http://schemas.openxmlformats.org/officeDocument/2006/relationships/settings" Target="settings.xml"/><Relationship Id="rId9" Type="http://schemas.openxmlformats.org/officeDocument/2006/relationships/hyperlink" Target="https://www.cps.gov.uk/legal-guidance/theft-act-offences" TargetMode="External"/><Relationship Id="rId14" Type="http://schemas.openxmlformats.org/officeDocument/2006/relationships/hyperlink" Target="https://www.sentencingcouncil.org.uk/wp-content/uploads/Burglary-definitive-guideline-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36BF4-FA70-47FB-A884-C303C2B52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1991</Words>
  <Characters>11350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Eu</dc:creator>
  <cp:lastModifiedBy>Eu</cp:lastModifiedBy>
  <cp:revision>2</cp:revision>
  <dcterms:created xsi:type="dcterms:W3CDTF">2023-04-24T16:12:00Z</dcterms:created>
  <dcterms:modified xsi:type="dcterms:W3CDTF">2023-04-24T16:12:00Z</dcterms:modified>
</cp:coreProperties>
</file>