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svg" ContentType="image/svg+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E02A7" w:rsidRDefault="005F27E9" w:rsidP="005F27E9">
      <w:pPr>
        <w:spacing w:after="160"/>
        <w:jc w:val="center"/>
        <w:rPr>
          <w:rFonts w:ascii="Arial" w:hAnsi="Arial" w:cs="Arial"/>
          <w:b/>
          <w:bCs/>
          <w:szCs w:val="24"/>
        </w:rPr>
      </w:pPr>
      <w:r w:rsidRPr="005F27E9">
        <w:rPr>
          <w:rFonts w:ascii="Arial" w:hAnsi="Arial" w:cs="Arial"/>
          <w:b/>
          <w:bCs/>
          <w:szCs w:val="24"/>
        </w:rPr>
        <w:drawing>
          <wp:inline distT="0" distB="0" distL="0" distR="0">
            <wp:extent cx="3381375" cy="1352550"/>
            <wp:effectExtent l="0" t="0" r="0" b="0"/>
            <wp:docPr id="43" name="Picture 43"/>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7"/>
                    <a:stretch>
                      <a:fillRect/>
                    </a:stretch>
                  </pic:blipFill>
                  <pic:spPr>
                    <a:xfrm>
                      <a:off x="0" y="0"/>
                      <a:ext cx="3381375" cy="1352550"/>
                    </a:xfrm>
                    <a:prstGeom prst="rect">
                      <a:avLst/>
                    </a:prstGeom>
                  </pic:spPr>
                </pic:pic>
              </a:graphicData>
            </a:graphic>
          </wp:inline>
        </w:drawing>
      </w:r>
    </w:p>
    <w:p w:rsidR="00255B47" w:rsidRDefault="00255B47" w:rsidP="005F27E9">
      <w:pPr>
        <w:spacing w:after="160"/>
        <w:jc w:val="center"/>
        <w:rPr>
          <w:rFonts w:ascii="Arial" w:hAnsi="Arial" w:cs="Arial"/>
          <w:b/>
          <w:bCs/>
          <w:szCs w:val="24"/>
        </w:rPr>
      </w:pPr>
    </w:p>
    <w:p w:rsidR="005F27E9" w:rsidRDefault="005F27E9" w:rsidP="005F27E9">
      <w:pPr>
        <w:spacing w:after="0"/>
        <w:ind w:left="2451"/>
      </w:pPr>
      <w:r>
        <w:rPr>
          <w:rFonts w:ascii="Calibri" w:eastAsia="Calibri" w:hAnsi="Calibri" w:cs="Calibri"/>
          <w:b/>
          <w:sz w:val="28"/>
        </w:rPr>
        <w:t xml:space="preserve">Student Name: Shahbuddin Shah </w:t>
      </w:r>
    </w:p>
    <w:p w:rsidR="005F27E9" w:rsidRDefault="005F27E9" w:rsidP="005F27E9">
      <w:pPr>
        <w:spacing w:after="224"/>
      </w:pPr>
    </w:p>
    <w:p w:rsidR="005F27E9" w:rsidRDefault="005F27E9" w:rsidP="005F27E9">
      <w:pPr>
        <w:spacing w:after="0"/>
        <w:ind w:left="3282"/>
      </w:pPr>
      <w:r>
        <w:rPr>
          <w:rFonts w:ascii="Calibri" w:eastAsia="Calibri" w:hAnsi="Calibri" w:cs="Calibri"/>
          <w:b/>
          <w:sz w:val="28"/>
        </w:rPr>
        <w:t xml:space="preserve">Student ID:2519349 </w:t>
      </w:r>
    </w:p>
    <w:p w:rsidR="00255B47" w:rsidRDefault="00255B47" w:rsidP="005F27E9">
      <w:pPr>
        <w:spacing w:after="160"/>
        <w:jc w:val="center"/>
        <w:rPr>
          <w:rFonts w:ascii="Arial" w:hAnsi="Arial" w:cs="Arial"/>
          <w:b/>
          <w:bCs/>
          <w:szCs w:val="24"/>
        </w:rPr>
      </w:pPr>
    </w:p>
    <w:p w:rsidR="008E110B" w:rsidRDefault="008E110B" w:rsidP="005F27E9">
      <w:pPr>
        <w:spacing w:after="160"/>
        <w:jc w:val="center"/>
        <w:rPr>
          <w:rFonts w:ascii="Arial" w:hAnsi="Arial" w:cs="Arial"/>
          <w:b/>
          <w:bCs/>
          <w:szCs w:val="24"/>
        </w:rPr>
      </w:pPr>
    </w:p>
    <w:p w:rsidR="00255B47" w:rsidRDefault="005F27E9" w:rsidP="008E110B">
      <w:pPr>
        <w:spacing w:after="160"/>
        <w:jc w:val="center"/>
        <w:rPr>
          <w:rFonts w:ascii="Arial" w:hAnsi="Arial" w:cs="Arial"/>
          <w:b/>
          <w:bCs/>
          <w:szCs w:val="24"/>
        </w:rPr>
      </w:pPr>
      <w:r>
        <w:rPr>
          <w:rFonts w:ascii="Calibri" w:eastAsia="Calibri" w:hAnsi="Calibri" w:cs="Calibri"/>
          <w:b/>
          <w:sz w:val="28"/>
        </w:rPr>
        <w:t xml:space="preserve">Module Name: </w:t>
      </w:r>
      <w:r w:rsidR="000F3C47" w:rsidRPr="000F3C47">
        <w:rPr>
          <w:rFonts w:ascii="Calibri" w:eastAsia="Calibri" w:hAnsi="Calibri" w:cs="Calibri"/>
          <w:b/>
          <w:sz w:val="28"/>
        </w:rPr>
        <w:t>Marketing Management</w:t>
      </w:r>
    </w:p>
    <w:p w:rsidR="00255B47" w:rsidRDefault="005F27E9" w:rsidP="005F27E9">
      <w:pPr>
        <w:spacing w:after="160"/>
        <w:jc w:val="center"/>
        <w:rPr>
          <w:rFonts w:ascii="Arial" w:hAnsi="Arial" w:cs="Arial"/>
          <w:b/>
          <w:bCs/>
          <w:szCs w:val="24"/>
        </w:rPr>
      </w:pPr>
      <w:r>
        <w:rPr>
          <w:rFonts w:ascii="Calibri" w:eastAsia="Calibri" w:hAnsi="Calibri" w:cs="Calibri"/>
          <w:b/>
          <w:sz w:val="28"/>
        </w:rPr>
        <w:t>Module Code:</w:t>
      </w:r>
      <w:r w:rsidR="000F3C47">
        <w:rPr>
          <w:rFonts w:ascii="Calibri" w:eastAsia="Calibri" w:hAnsi="Calibri" w:cs="Calibri"/>
          <w:b/>
          <w:sz w:val="28"/>
        </w:rPr>
        <w:t xml:space="preserve"> </w:t>
      </w:r>
      <w:r w:rsidR="000F3C47" w:rsidRPr="000F3C47">
        <w:rPr>
          <w:rFonts w:ascii="Calibri" w:eastAsia="Calibri" w:hAnsi="Calibri" w:cs="Calibri"/>
          <w:b/>
          <w:sz w:val="28"/>
        </w:rPr>
        <w:t>LCMB7024</w:t>
      </w:r>
    </w:p>
    <w:p w:rsidR="00255B47" w:rsidRDefault="00255B47" w:rsidP="00A84D3C">
      <w:pPr>
        <w:spacing w:after="160"/>
        <w:rPr>
          <w:rFonts w:ascii="Arial" w:hAnsi="Arial" w:cs="Arial"/>
          <w:b/>
          <w:bCs/>
          <w:szCs w:val="24"/>
        </w:rPr>
      </w:pPr>
    </w:p>
    <w:p w:rsidR="00BC2657" w:rsidRDefault="008E110B" w:rsidP="00BC2657">
      <w:pPr>
        <w:spacing w:after="160"/>
        <w:jc w:val="center"/>
        <w:rPr>
          <w:rFonts w:ascii="Arial" w:hAnsi="Arial" w:cs="Arial"/>
          <w:b/>
          <w:bCs/>
          <w:szCs w:val="24"/>
        </w:rPr>
      </w:pPr>
      <w:r>
        <w:rPr>
          <w:rFonts w:ascii="Calibri" w:eastAsia="Calibri" w:hAnsi="Calibri" w:cs="Calibri"/>
          <w:b/>
          <w:sz w:val="28"/>
        </w:rPr>
        <w:t>Lecturer’s Name:</w:t>
      </w:r>
      <w:r w:rsidR="00BC2657">
        <w:rPr>
          <w:rFonts w:ascii="Calibri" w:eastAsia="Calibri" w:hAnsi="Calibri" w:cs="Calibri"/>
          <w:b/>
          <w:sz w:val="28"/>
        </w:rPr>
        <w:t xml:space="preserve"> </w:t>
      </w:r>
      <w:r w:rsidR="00BC2657" w:rsidRPr="000F3C47">
        <w:rPr>
          <w:rFonts w:ascii="Arial" w:hAnsi="Arial" w:cs="Arial"/>
          <w:b/>
          <w:bCs/>
          <w:szCs w:val="24"/>
        </w:rPr>
        <w:t>Laila Maazouz</w:t>
      </w:r>
    </w:p>
    <w:p w:rsidR="00255B47" w:rsidRDefault="00255B47" w:rsidP="00A84D3C">
      <w:pPr>
        <w:spacing w:after="160"/>
        <w:rPr>
          <w:rFonts w:ascii="Arial" w:hAnsi="Arial" w:cs="Arial"/>
          <w:b/>
          <w:bCs/>
          <w:szCs w:val="24"/>
        </w:rPr>
      </w:pPr>
    </w:p>
    <w:p w:rsidR="00554EC2" w:rsidRDefault="00554EC2" w:rsidP="00A84D3C">
      <w:pPr>
        <w:spacing w:after="160"/>
        <w:rPr>
          <w:rFonts w:ascii="Arial" w:hAnsi="Arial" w:cs="Arial"/>
          <w:b/>
          <w:bCs/>
          <w:szCs w:val="24"/>
        </w:rPr>
      </w:pPr>
    </w:p>
    <w:p w:rsidR="00255B47" w:rsidRPr="002D7C19" w:rsidRDefault="00255B47" w:rsidP="00A84D3C">
      <w:pPr>
        <w:spacing w:after="160"/>
        <w:rPr>
          <w:rFonts w:ascii="Arial" w:hAnsi="Arial" w:cs="Arial"/>
          <w:b/>
          <w:bCs/>
          <w:szCs w:val="24"/>
        </w:rPr>
      </w:pPr>
    </w:p>
    <w:p w:rsidR="005E02A7" w:rsidRPr="002D7C19" w:rsidRDefault="008E110B" w:rsidP="008E110B">
      <w:pPr>
        <w:spacing w:after="160"/>
        <w:jc w:val="center"/>
        <w:rPr>
          <w:rFonts w:ascii="Arial" w:hAnsi="Arial" w:cs="Arial"/>
          <w:b/>
          <w:bCs/>
          <w:szCs w:val="24"/>
        </w:rPr>
      </w:pPr>
      <w:r>
        <w:rPr>
          <w:rFonts w:ascii="Calibri" w:eastAsia="Calibri" w:hAnsi="Calibri" w:cs="Calibri"/>
          <w:b/>
          <w:sz w:val="28"/>
        </w:rPr>
        <w:t>Work Count:</w:t>
      </w:r>
      <w:r w:rsidR="00D9469A">
        <w:rPr>
          <w:rFonts w:ascii="Calibri" w:eastAsia="Calibri" w:hAnsi="Calibri" w:cs="Calibri"/>
          <w:b/>
          <w:sz w:val="28"/>
        </w:rPr>
        <w:t xml:space="preserve"> 2750</w:t>
      </w:r>
    </w:p>
    <w:p w:rsidR="005E02A7" w:rsidRPr="002D7C19" w:rsidRDefault="005E02A7" w:rsidP="00A84D3C">
      <w:pPr>
        <w:spacing w:after="160"/>
        <w:rPr>
          <w:rFonts w:ascii="Arial" w:hAnsi="Arial" w:cs="Arial"/>
          <w:b/>
          <w:bCs/>
          <w:szCs w:val="24"/>
        </w:rPr>
      </w:pPr>
    </w:p>
    <w:p w:rsidR="005E02A7" w:rsidRPr="002D7C19" w:rsidRDefault="005E02A7" w:rsidP="00A84D3C">
      <w:pPr>
        <w:spacing w:after="160"/>
        <w:rPr>
          <w:rFonts w:ascii="Arial" w:hAnsi="Arial" w:cs="Arial"/>
          <w:b/>
          <w:bCs/>
          <w:szCs w:val="24"/>
        </w:rPr>
      </w:pPr>
    </w:p>
    <w:p w:rsidR="005E02A7" w:rsidRPr="002D7C19" w:rsidRDefault="005E02A7" w:rsidP="00A84D3C">
      <w:pPr>
        <w:spacing w:after="160"/>
        <w:rPr>
          <w:rFonts w:ascii="Arial" w:hAnsi="Arial" w:cs="Arial"/>
          <w:b/>
          <w:bCs/>
          <w:szCs w:val="24"/>
        </w:rPr>
      </w:pPr>
    </w:p>
    <w:p w:rsidR="005E02A7" w:rsidRPr="002D7C19" w:rsidRDefault="005E02A7" w:rsidP="00A84D3C">
      <w:pPr>
        <w:spacing w:after="160"/>
        <w:rPr>
          <w:rFonts w:ascii="Arial" w:hAnsi="Arial" w:cs="Arial"/>
          <w:b/>
          <w:bCs/>
          <w:szCs w:val="24"/>
        </w:rPr>
      </w:pPr>
    </w:p>
    <w:p w:rsidR="005E02A7" w:rsidRPr="002D7C19" w:rsidRDefault="005E02A7" w:rsidP="00A84D3C">
      <w:pPr>
        <w:spacing w:after="160"/>
        <w:rPr>
          <w:rFonts w:ascii="Arial" w:hAnsi="Arial" w:cs="Arial"/>
          <w:b/>
          <w:bCs/>
          <w:szCs w:val="24"/>
        </w:rPr>
      </w:pPr>
    </w:p>
    <w:p w:rsidR="000F3C47" w:rsidRDefault="000F3C47" w:rsidP="00A84D3C">
      <w:pPr>
        <w:spacing w:after="160"/>
        <w:jc w:val="center"/>
        <w:rPr>
          <w:rFonts w:ascii="Arial" w:hAnsi="Arial" w:cs="Arial"/>
          <w:b/>
          <w:bCs/>
          <w:szCs w:val="24"/>
        </w:rPr>
      </w:pPr>
    </w:p>
    <w:p w:rsidR="000F3C47" w:rsidRDefault="000F3C47" w:rsidP="00A84D3C">
      <w:pPr>
        <w:spacing w:after="160"/>
        <w:jc w:val="center"/>
        <w:rPr>
          <w:rFonts w:ascii="Arial" w:hAnsi="Arial" w:cs="Arial"/>
          <w:b/>
          <w:bCs/>
          <w:szCs w:val="24"/>
        </w:rPr>
      </w:pPr>
    </w:p>
    <w:p w:rsidR="005E02A7" w:rsidRPr="002D7C19" w:rsidRDefault="005E02A7" w:rsidP="00A84D3C">
      <w:pPr>
        <w:spacing w:after="160"/>
        <w:jc w:val="center"/>
        <w:rPr>
          <w:rFonts w:ascii="Arial" w:hAnsi="Arial" w:cs="Arial"/>
          <w:b/>
          <w:bCs/>
          <w:szCs w:val="24"/>
        </w:rPr>
      </w:pPr>
      <w:r w:rsidRPr="002D7C19">
        <w:rPr>
          <w:rFonts w:ascii="Arial" w:hAnsi="Arial" w:cs="Arial"/>
          <w:b/>
          <w:bCs/>
          <w:szCs w:val="24"/>
        </w:rPr>
        <w:t>Assessment component 2: Marketing Strategies Portfolio</w:t>
      </w:r>
      <w:r w:rsidRPr="002D7C19">
        <w:rPr>
          <w:rFonts w:ascii="Arial" w:hAnsi="Arial" w:cs="Arial"/>
          <w:b/>
          <w:bCs/>
          <w:szCs w:val="24"/>
        </w:rPr>
        <w:br w:type="page"/>
      </w:r>
    </w:p>
    <w:sdt>
      <w:sdtPr>
        <w:rPr>
          <w:rFonts w:ascii="Arial" w:eastAsiaTheme="minorHAnsi" w:hAnsi="Arial" w:cs="Arial"/>
          <w:color w:val="auto"/>
          <w:sz w:val="24"/>
          <w:szCs w:val="24"/>
          <w:lang w:val="en-IN" w:eastAsia="en-IN"/>
        </w:rPr>
        <w:id w:val="923532772"/>
        <w:docPartObj>
          <w:docPartGallery w:val="Table of Contents"/>
          <w:docPartUnique/>
        </w:docPartObj>
      </w:sdtPr>
      <w:sdtEndPr>
        <w:rPr>
          <w:b/>
          <w:bCs/>
          <w:noProof/>
        </w:rPr>
      </w:sdtEndPr>
      <w:sdtContent>
        <w:p w:rsidR="00A84D3C" w:rsidRPr="002D7C19" w:rsidRDefault="00A84D3C" w:rsidP="00A84D3C">
          <w:pPr>
            <w:pStyle w:val="TOCHeading"/>
            <w:spacing w:line="360" w:lineRule="auto"/>
            <w:jc w:val="both"/>
            <w:rPr>
              <w:rFonts w:ascii="Arial" w:hAnsi="Arial" w:cs="Arial"/>
              <w:b/>
              <w:bCs/>
              <w:color w:val="auto"/>
              <w:sz w:val="24"/>
              <w:szCs w:val="24"/>
            </w:rPr>
          </w:pPr>
          <w:r w:rsidRPr="002D7C19">
            <w:rPr>
              <w:rFonts w:ascii="Arial" w:hAnsi="Arial" w:cs="Arial"/>
              <w:b/>
              <w:bCs/>
              <w:color w:val="auto"/>
              <w:sz w:val="24"/>
              <w:szCs w:val="24"/>
            </w:rPr>
            <w:t>Table of Contents</w:t>
          </w:r>
        </w:p>
        <w:p w:rsidR="00A84D3C" w:rsidRPr="002D7C19" w:rsidRDefault="00150191" w:rsidP="00A84D3C">
          <w:pPr>
            <w:pStyle w:val="TOC1"/>
            <w:tabs>
              <w:tab w:val="right" w:leader="dot" w:pos="9016"/>
            </w:tabs>
            <w:rPr>
              <w:rFonts w:ascii="Arial" w:eastAsiaTheme="minorEastAsia" w:hAnsi="Arial" w:cs="Arial"/>
              <w:noProof/>
              <w:kern w:val="2"/>
              <w:szCs w:val="24"/>
            </w:rPr>
          </w:pPr>
          <w:r w:rsidRPr="00150191">
            <w:rPr>
              <w:rFonts w:ascii="Arial" w:hAnsi="Arial" w:cs="Arial"/>
              <w:szCs w:val="24"/>
            </w:rPr>
            <w:fldChar w:fldCharType="begin"/>
          </w:r>
          <w:r w:rsidR="00A84D3C" w:rsidRPr="002D7C19">
            <w:rPr>
              <w:rFonts w:ascii="Arial" w:hAnsi="Arial" w:cs="Arial"/>
              <w:szCs w:val="24"/>
            </w:rPr>
            <w:instrText xml:space="preserve"> TOC \o "1-3" \h \z \u </w:instrText>
          </w:r>
          <w:r w:rsidRPr="00150191">
            <w:rPr>
              <w:rFonts w:ascii="Arial" w:hAnsi="Arial" w:cs="Arial"/>
              <w:szCs w:val="24"/>
            </w:rPr>
            <w:fldChar w:fldCharType="separate"/>
          </w:r>
          <w:hyperlink w:anchor="_Toc226976321" w:history="1">
            <w:r w:rsidR="00A84D3C" w:rsidRPr="002D7C19">
              <w:rPr>
                <w:rStyle w:val="Hyperlink"/>
                <w:rFonts w:ascii="Arial" w:hAnsi="Arial" w:cs="Arial"/>
                <w:noProof/>
                <w:szCs w:val="24"/>
              </w:rPr>
              <w:t>Element 1: Brand Extension Poster Presentation</w:t>
            </w:r>
            <w:r w:rsidR="00A84D3C" w:rsidRPr="002D7C19">
              <w:rPr>
                <w:rFonts w:ascii="Arial" w:hAnsi="Arial" w:cs="Arial"/>
                <w:noProof/>
                <w:webHidden/>
                <w:szCs w:val="24"/>
              </w:rPr>
              <w:tab/>
            </w:r>
            <w:r w:rsidRPr="002D7C19">
              <w:rPr>
                <w:rFonts w:ascii="Arial" w:hAnsi="Arial" w:cs="Arial"/>
                <w:noProof/>
                <w:webHidden/>
                <w:szCs w:val="24"/>
              </w:rPr>
              <w:fldChar w:fldCharType="begin"/>
            </w:r>
            <w:r w:rsidR="00A84D3C" w:rsidRPr="002D7C19">
              <w:rPr>
                <w:rFonts w:ascii="Arial" w:hAnsi="Arial" w:cs="Arial"/>
                <w:noProof/>
                <w:webHidden/>
                <w:szCs w:val="24"/>
              </w:rPr>
              <w:instrText xml:space="preserve"> PAGEREF _Toc226976321 \h </w:instrText>
            </w:r>
            <w:r w:rsidRPr="002D7C19">
              <w:rPr>
                <w:rFonts w:ascii="Arial" w:hAnsi="Arial" w:cs="Arial"/>
                <w:noProof/>
                <w:webHidden/>
                <w:szCs w:val="24"/>
              </w:rPr>
            </w:r>
            <w:r w:rsidRPr="002D7C19">
              <w:rPr>
                <w:rFonts w:ascii="Arial" w:hAnsi="Arial" w:cs="Arial"/>
                <w:noProof/>
                <w:webHidden/>
                <w:szCs w:val="24"/>
              </w:rPr>
              <w:fldChar w:fldCharType="separate"/>
            </w:r>
            <w:r w:rsidR="00A84D3C" w:rsidRPr="002D7C19">
              <w:rPr>
                <w:rFonts w:ascii="Arial" w:hAnsi="Arial" w:cs="Arial"/>
                <w:noProof/>
                <w:webHidden/>
                <w:szCs w:val="24"/>
              </w:rPr>
              <w:t>3</w:t>
            </w:r>
            <w:r w:rsidRPr="002D7C19">
              <w:rPr>
                <w:rFonts w:ascii="Arial" w:hAnsi="Arial" w:cs="Arial"/>
                <w:noProof/>
                <w:webHidden/>
                <w:szCs w:val="24"/>
              </w:rPr>
              <w:fldChar w:fldCharType="end"/>
            </w:r>
          </w:hyperlink>
        </w:p>
        <w:p w:rsidR="00A84D3C" w:rsidRPr="002D7C19" w:rsidRDefault="00150191" w:rsidP="00A84D3C">
          <w:pPr>
            <w:pStyle w:val="TOC1"/>
            <w:tabs>
              <w:tab w:val="right" w:leader="dot" w:pos="9016"/>
            </w:tabs>
            <w:rPr>
              <w:rFonts w:ascii="Arial" w:eastAsiaTheme="minorEastAsia" w:hAnsi="Arial" w:cs="Arial"/>
              <w:noProof/>
              <w:kern w:val="2"/>
              <w:szCs w:val="24"/>
            </w:rPr>
          </w:pPr>
          <w:hyperlink w:anchor="_Toc226976322" w:history="1">
            <w:r w:rsidR="00A84D3C" w:rsidRPr="002D7C19">
              <w:rPr>
                <w:rStyle w:val="Hyperlink"/>
                <w:rFonts w:ascii="Arial" w:hAnsi="Arial" w:cs="Arial"/>
                <w:noProof/>
                <w:szCs w:val="24"/>
              </w:rPr>
              <w:t>Element 2: Segmentation, Targeting, Differentiation, and Positioning (STDP) Analysis</w:t>
            </w:r>
            <w:r w:rsidR="00A84D3C" w:rsidRPr="002D7C19">
              <w:rPr>
                <w:rFonts w:ascii="Arial" w:hAnsi="Arial" w:cs="Arial"/>
                <w:noProof/>
                <w:webHidden/>
                <w:szCs w:val="24"/>
              </w:rPr>
              <w:tab/>
            </w:r>
            <w:r w:rsidRPr="002D7C19">
              <w:rPr>
                <w:rFonts w:ascii="Arial" w:hAnsi="Arial" w:cs="Arial"/>
                <w:noProof/>
                <w:webHidden/>
                <w:szCs w:val="24"/>
              </w:rPr>
              <w:fldChar w:fldCharType="begin"/>
            </w:r>
            <w:r w:rsidR="00A84D3C" w:rsidRPr="002D7C19">
              <w:rPr>
                <w:rFonts w:ascii="Arial" w:hAnsi="Arial" w:cs="Arial"/>
                <w:noProof/>
                <w:webHidden/>
                <w:szCs w:val="24"/>
              </w:rPr>
              <w:instrText xml:space="preserve"> PAGEREF _Toc226976322 \h </w:instrText>
            </w:r>
            <w:r w:rsidRPr="002D7C19">
              <w:rPr>
                <w:rFonts w:ascii="Arial" w:hAnsi="Arial" w:cs="Arial"/>
                <w:noProof/>
                <w:webHidden/>
                <w:szCs w:val="24"/>
              </w:rPr>
            </w:r>
            <w:r w:rsidRPr="002D7C19">
              <w:rPr>
                <w:rFonts w:ascii="Arial" w:hAnsi="Arial" w:cs="Arial"/>
                <w:noProof/>
                <w:webHidden/>
                <w:szCs w:val="24"/>
              </w:rPr>
              <w:fldChar w:fldCharType="separate"/>
            </w:r>
            <w:r w:rsidR="00A84D3C" w:rsidRPr="002D7C19">
              <w:rPr>
                <w:rFonts w:ascii="Arial" w:hAnsi="Arial" w:cs="Arial"/>
                <w:noProof/>
                <w:webHidden/>
                <w:szCs w:val="24"/>
              </w:rPr>
              <w:t>4</w:t>
            </w:r>
            <w:r w:rsidRPr="002D7C19">
              <w:rPr>
                <w:rFonts w:ascii="Arial" w:hAnsi="Arial" w:cs="Arial"/>
                <w:noProof/>
                <w:webHidden/>
                <w:szCs w:val="24"/>
              </w:rPr>
              <w:fldChar w:fldCharType="end"/>
            </w:r>
          </w:hyperlink>
        </w:p>
        <w:p w:rsidR="00A84D3C" w:rsidRPr="002D7C19" w:rsidRDefault="00150191" w:rsidP="00A84D3C">
          <w:pPr>
            <w:pStyle w:val="TOC1"/>
            <w:tabs>
              <w:tab w:val="right" w:leader="dot" w:pos="9016"/>
            </w:tabs>
            <w:rPr>
              <w:rFonts w:ascii="Arial" w:eastAsiaTheme="minorEastAsia" w:hAnsi="Arial" w:cs="Arial"/>
              <w:noProof/>
              <w:kern w:val="2"/>
              <w:szCs w:val="24"/>
            </w:rPr>
          </w:pPr>
          <w:hyperlink w:anchor="_Toc226976323" w:history="1">
            <w:r w:rsidR="00A84D3C" w:rsidRPr="002D7C19">
              <w:rPr>
                <w:rStyle w:val="Hyperlink"/>
                <w:rFonts w:ascii="Arial" w:hAnsi="Arial" w:cs="Arial"/>
                <w:noProof/>
                <w:szCs w:val="24"/>
              </w:rPr>
              <w:t>Element 3: Marketing Mix Strategy for Apple Smart Health Ring (7Ps)</w:t>
            </w:r>
            <w:r w:rsidR="00A84D3C" w:rsidRPr="002D7C19">
              <w:rPr>
                <w:rFonts w:ascii="Arial" w:hAnsi="Arial" w:cs="Arial"/>
                <w:noProof/>
                <w:webHidden/>
                <w:szCs w:val="24"/>
              </w:rPr>
              <w:tab/>
            </w:r>
            <w:r w:rsidRPr="002D7C19">
              <w:rPr>
                <w:rFonts w:ascii="Arial" w:hAnsi="Arial" w:cs="Arial"/>
                <w:noProof/>
                <w:webHidden/>
                <w:szCs w:val="24"/>
              </w:rPr>
              <w:fldChar w:fldCharType="begin"/>
            </w:r>
            <w:r w:rsidR="00A84D3C" w:rsidRPr="002D7C19">
              <w:rPr>
                <w:rFonts w:ascii="Arial" w:hAnsi="Arial" w:cs="Arial"/>
                <w:noProof/>
                <w:webHidden/>
                <w:szCs w:val="24"/>
              </w:rPr>
              <w:instrText xml:space="preserve"> PAGEREF _Toc226976323 \h </w:instrText>
            </w:r>
            <w:r w:rsidRPr="002D7C19">
              <w:rPr>
                <w:rFonts w:ascii="Arial" w:hAnsi="Arial" w:cs="Arial"/>
                <w:noProof/>
                <w:webHidden/>
                <w:szCs w:val="24"/>
              </w:rPr>
            </w:r>
            <w:r w:rsidRPr="002D7C19">
              <w:rPr>
                <w:rFonts w:ascii="Arial" w:hAnsi="Arial" w:cs="Arial"/>
                <w:noProof/>
                <w:webHidden/>
                <w:szCs w:val="24"/>
              </w:rPr>
              <w:fldChar w:fldCharType="separate"/>
            </w:r>
            <w:r w:rsidR="00A84D3C" w:rsidRPr="002D7C19">
              <w:rPr>
                <w:rFonts w:ascii="Arial" w:hAnsi="Arial" w:cs="Arial"/>
                <w:noProof/>
                <w:webHidden/>
                <w:szCs w:val="24"/>
              </w:rPr>
              <w:t>6</w:t>
            </w:r>
            <w:r w:rsidRPr="002D7C19">
              <w:rPr>
                <w:rFonts w:ascii="Arial" w:hAnsi="Arial" w:cs="Arial"/>
                <w:noProof/>
                <w:webHidden/>
                <w:szCs w:val="24"/>
              </w:rPr>
              <w:fldChar w:fldCharType="end"/>
            </w:r>
          </w:hyperlink>
        </w:p>
        <w:p w:rsidR="00A84D3C" w:rsidRPr="002D7C19" w:rsidRDefault="00150191" w:rsidP="00A84D3C">
          <w:pPr>
            <w:pStyle w:val="TOC1"/>
            <w:tabs>
              <w:tab w:val="right" w:leader="dot" w:pos="9016"/>
            </w:tabs>
            <w:rPr>
              <w:rFonts w:ascii="Arial" w:eastAsiaTheme="minorEastAsia" w:hAnsi="Arial" w:cs="Arial"/>
              <w:noProof/>
              <w:kern w:val="2"/>
              <w:szCs w:val="24"/>
            </w:rPr>
          </w:pPr>
          <w:hyperlink w:anchor="_Toc226976324" w:history="1">
            <w:r w:rsidR="00A84D3C" w:rsidRPr="002D7C19">
              <w:rPr>
                <w:rStyle w:val="Hyperlink"/>
                <w:rFonts w:ascii="Arial" w:hAnsi="Arial" w:cs="Arial"/>
                <w:noProof/>
                <w:szCs w:val="24"/>
              </w:rPr>
              <w:t>Element 4: Reflection on Brand Extension Development</w:t>
            </w:r>
            <w:r w:rsidR="00A84D3C" w:rsidRPr="002D7C19">
              <w:rPr>
                <w:rFonts w:ascii="Arial" w:hAnsi="Arial" w:cs="Arial"/>
                <w:noProof/>
                <w:webHidden/>
                <w:szCs w:val="24"/>
              </w:rPr>
              <w:tab/>
            </w:r>
            <w:r w:rsidRPr="002D7C19">
              <w:rPr>
                <w:rFonts w:ascii="Arial" w:hAnsi="Arial" w:cs="Arial"/>
                <w:noProof/>
                <w:webHidden/>
                <w:szCs w:val="24"/>
              </w:rPr>
              <w:fldChar w:fldCharType="begin"/>
            </w:r>
            <w:r w:rsidR="00A84D3C" w:rsidRPr="002D7C19">
              <w:rPr>
                <w:rFonts w:ascii="Arial" w:hAnsi="Arial" w:cs="Arial"/>
                <w:noProof/>
                <w:webHidden/>
                <w:szCs w:val="24"/>
              </w:rPr>
              <w:instrText xml:space="preserve"> PAGEREF _Toc226976324 \h </w:instrText>
            </w:r>
            <w:r w:rsidRPr="002D7C19">
              <w:rPr>
                <w:rFonts w:ascii="Arial" w:hAnsi="Arial" w:cs="Arial"/>
                <w:noProof/>
                <w:webHidden/>
                <w:szCs w:val="24"/>
              </w:rPr>
            </w:r>
            <w:r w:rsidRPr="002D7C19">
              <w:rPr>
                <w:rFonts w:ascii="Arial" w:hAnsi="Arial" w:cs="Arial"/>
                <w:noProof/>
                <w:webHidden/>
                <w:szCs w:val="24"/>
              </w:rPr>
              <w:fldChar w:fldCharType="separate"/>
            </w:r>
            <w:r w:rsidR="00A84D3C" w:rsidRPr="002D7C19">
              <w:rPr>
                <w:rFonts w:ascii="Arial" w:hAnsi="Arial" w:cs="Arial"/>
                <w:noProof/>
                <w:webHidden/>
                <w:szCs w:val="24"/>
              </w:rPr>
              <w:t>9</w:t>
            </w:r>
            <w:r w:rsidRPr="002D7C19">
              <w:rPr>
                <w:rFonts w:ascii="Arial" w:hAnsi="Arial" w:cs="Arial"/>
                <w:noProof/>
                <w:webHidden/>
                <w:szCs w:val="24"/>
              </w:rPr>
              <w:fldChar w:fldCharType="end"/>
            </w:r>
          </w:hyperlink>
        </w:p>
        <w:p w:rsidR="00A84D3C" w:rsidRPr="002D7C19" w:rsidRDefault="00150191" w:rsidP="00A84D3C">
          <w:pPr>
            <w:pStyle w:val="TOC1"/>
            <w:tabs>
              <w:tab w:val="right" w:leader="dot" w:pos="9016"/>
            </w:tabs>
            <w:rPr>
              <w:rFonts w:ascii="Arial" w:eastAsiaTheme="minorEastAsia" w:hAnsi="Arial" w:cs="Arial"/>
              <w:noProof/>
              <w:kern w:val="2"/>
              <w:szCs w:val="24"/>
            </w:rPr>
          </w:pPr>
          <w:hyperlink w:anchor="_Toc226976325" w:history="1">
            <w:r w:rsidR="00A84D3C" w:rsidRPr="002D7C19">
              <w:rPr>
                <w:rStyle w:val="Hyperlink"/>
                <w:rFonts w:ascii="Arial" w:hAnsi="Arial" w:cs="Arial"/>
                <w:noProof/>
                <w:szCs w:val="24"/>
              </w:rPr>
              <w:t>References</w:t>
            </w:r>
            <w:r w:rsidR="00A84D3C" w:rsidRPr="002D7C19">
              <w:rPr>
                <w:rFonts w:ascii="Arial" w:hAnsi="Arial" w:cs="Arial"/>
                <w:noProof/>
                <w:webHidden/>
                <w:szCs w:val="24"/>
              </w:rPr>
              <w:tab/>
            </w:r>
            <w:r w:rsidRPr="002D7C19">
              <w:rPr>
                <w:rFonts w:ascii="Arial" w:hAnsi="Arial" w:cs="Arial"/>
                <w:noProof/>
                <w:webHidden/>
                <w:szCs w:val="24"/>
              </w:rPr>
              <w:fldChar w:fldCharType="begin"/>
            </w:r>
            <w:r w:rsidR="00A84D3C" w:rsidRPr="002D7C19">
              <w:rPr>
                <w:rFonts w:ascii="Arial" w:hAnsi="Arial" w:cs="Arial"/>
                <w:noProof/>
                <w:webHidden/>
                <w:szCs w:val="24"/>
              </w:rPr>
              <w:instrText xml:space="preserve"> PAGEREF _Toc226976325 \h </w:instrText>
            </w:r>
            <w:r w:rsidRPr="002D7C19">
              <w:rPr>
                <w:rFonts w:ascii="Arial" w:hAnsi="Arial" w:cs="Arial"/>
                <w:noProof/>
                <w:webHidden/>
                <w:szCs w:val="24"/>
              </w:rPr>
            </w:r>
            <w:r w:rsidRPr="002D7C19">
              <w:rPr>
                <w:rFonts w:ascii="Arial" w:hAnsi="Arial" w:cs="Arial"/>
                <w:noProof/>
                <w:webHidden/>
                <w:szCs w:val="24"/>
              </w:rPr>
              <w:fldChar w:fldCharType="separate"/>
            </w:r>
            <w:r w:rsidR="00A84D3C" w:rsidRPr="002D7C19">
              <w:rPr>
                <w:rFonts w:ascii="Arial" w:hAnsi="Arial" w:cs="Arial"/>
                <w:noProof/>
                <w:webHidden/>
                <w:szCs w:val="24"/>
              </w:rPr>
              <w:t>11</w:t>
            </w:r>
            <w:r w:rsidRPr="002D7C19">
              <w:rPr>
                <w:rFonts w:ascii="Arial" w:hAnsi="Arial" w:cs="Arial"/>
                <w:noProof/>
                <w:webHidden/>
                <w:szCs w:val="24"/>
              </w:rPr>
              <w:fldChar w:fldCharType="end"/>
            </w:r>
          </w:hyperlink>
        </w:p>
        <w:p w:rsidR="00A84D3C" w:rsidRPr="002D7C19" w:rsidRDefault="00150191" w:rsidP="00A84D3C">
          <w:pPr>
            <w:pStyle w:val="TOC1"/>
            <w:tabs>
              <w:tab w:val="right" w:leader="dot" w:pos="9016"/>
            </w:tabs>
            <w:rPr>
              <w:rFonts w:ascii="Arial" w:eastAsiaTheme="minorEastAsia" w:hAnsi="Arial" w:cs="Arial"/>
              <w:noProof/>
              <w:kern w:val="2"/>
              <w:szCs w:val="24"/>
            </w:rPr>
          </w:pPr>
          <w:hyperlink w:anchor="_Toc226976326" w:history="1">
            <w:r w:rsidR="00A84D3C" w:rsidRPr="002D7C19">
              <w:rPr>
                <w:rStyle w:val="Hyperlink"/>
                <w:rFonts w:ascii="Arial" w:hAnsi="Arial" w:cs="Arial"/>
                <w:noProof/>
                <w:szCs w:val="24"/>
              </w:rPr>
              <w:t>Appendix</w:t>
            </w:r>
            <w:r w:rsidR="00A84D3C" w:rsidRPr="002D7C19">
              <w:rPr>
                <w:rFonts w:ascii="Arial" w:hAnsi="Arial" w:cs="Arial"/>
                <w:noProof/>
                <w:webHidden/>
                <w:szCs w:val="24"/>
              </w:rPr>
              <w:tab/>
            </w:r>
            <w:r w:rsidRPr="002D7C19">
              <w:rPr>
                <w:rFonts w:ascii="Arial" w:hAnsi="Arial" w:cs="Arial"/>
                <w:noProof/>
                <w:webHidden/>
                <w:szCs w:val="24"/>
              </w:rPr>
              <w:fldChar w:fldCharType="begin"/>
            </w:r>
            <w:r w:rsidR="00A84D3C" w:rsidRPr="002D7C19">
              <w:rPr>
                <w:rFonts w:ascii="Arial" w:hAnsi="Arial" w:cs="Arial"/>
                <w:noProof/>
                <w:webHidden/>
                <w:szCs w:val="24"/>
              </w:rPr>
              <w:instrText xml:space="preserve"> PAGEREF _Toc226976326 \h </w:instrText>
            </w:r>
            <w:r w:rsidRPr="002D7C19">
              <w:rPr>
                <w:rFonts w:ascii="Arial" w:hAnsi="Arial" w:cs="Arial"/>
                <w:noProof/>
                <w:webHidden/>
                <w:szCs w:val="24"/>
              </w:rPr>
            </w:r>
            <w:r w:rsidRPr="002D7C19">
              <w:rPr>
                <w:rFonts w:ascii="Arial" w:hAnsi="Arial" w:cs="Arial"/>
                <w:noProof/>
                <w:webHidden/>
                <w:szCs w:val="24"/>
              </w:rPr>
              <w:fldChar w:fldCharType="separate"/>
            </w:r>
            <w:r w:rsidR="00A84D3C" w:rsidRPr="002D7C19">
              <w:rPr>
                <w:rFonts w:ascii="Arial" w:hAnsi="Arial" w:cs="Arial"/>
                <w:noProof/>
                <w:webHidden/>
                <w:szCs w:val="24"/>
              </w:rPr>
              <w:t>13</w:t>
            </w:r>
            <w:r w:rsidRPr="002D7C19">
              <w:rPr>
                <w:rFonts w:ascii="Arial" w:hAnsi="Arial" w:cs="Arial"/>
                <w:noProof/>
                <w:webHidden/>
                <w:szCs w:val="24"/>
              </w:rPr>
              <w:fldChar w:fldCharType="end"/>
            </w:r>
          </w:hyperlink>
        </w:p>
        <w:p w:rsidR="00A84D3C" w:rsidRPr="002D7C19" w:rsidRDefault="00150191" w:rsidP="00A84D3C">
          <w:pPr>
            <w:rPr>
              <w:rFonts w:ascii="Arial" w:hAnsi="Arial" w:cs="Arial"/>
              <w:szCs w:val="24"/>
            </w:rPr>
          </w:pPr>
          <w:r w:rsidRPr="002D7C19">
            <w:rPr>
              <w:rFonts w:ascii="Arial" w:hAnsi="Arial" w:cs="Arial"/>
              <w:b/>
              <w:bCs/>
              <w:noProof/>
              <w:szCs w:val="24"/>
            </w:rPr>
            <w:fldChar w:fldCharType="end"/>
          </w:r>
        </w:p>
      </w:sdtContent>
    </w:sdt>
    <w:p w:rsidR="005E02A7" w:rsidRPr="002D7C19" w:rsidRDefault="005E02A7" w:rsidP="00A84D3C">
      <w:pPr>
        <w:spacing w:after="160"/>
        <w:rPr>
          <w:rFonts w:ascii="Arial" w:hAnsi="Arial" w:cs="Arial"/>
          <w:szCs w:val="24"/>
        </w:rPr>
      </w:pPr>
      <w:r w:rsidRPr="002D7C19">
        <w:rPr>
          <w:rFonts w:ascii="Arial" w:hAnsi="Arial" w:cs="Arial"/>
          <w:szCs w:val="24"/>
        </w:rPr>
        <w:br w:type="page"/>
      </w:r>
    </w:p>
    <w:p w:rsidR="00737C4C" w:rsidRPr="002D7C19" w:rsidRDefault="00737C4C" w:rsidP="00A84D3C">
      <w:pPr>
        <w:pStyle w:val="Heading1"/>
        <w:rPr>
          <w:rFonts w:ascii="Arial" w:hAnsi="Arial" w:cs="Arial"/>
          <w:szCs w:val="24"/>
        </w:rPr>
      </w:pPr>
      <w:bookmarkStart w:id="0" w:name="_Toc226976321"/>
      <w:r w:rsidRPr="002D7C19">
        <w:rPr>
          <w:rFonts w:ascii="Arial" w:hAnsi="Arial" w:cs="Arial"/>
          <w:szCs w:val="24"/>
        </w:rPr>
        <w:lastRenderedPageBreak/>
        <w:t>Element 1: Brand Extension Poster Presentation</w:t>
      </w:r>
      <w:bookmarkEnd w:id="0"/>
    </w:p>
    <w:p w:rsidR="005E02A7" w:rsidRPr="002D7C19" w:rsidRDefault="00737C4C" w:rsidP="00A84D3C">
      <w:pPr>
        <w:rPr>
          <w:rFonts w:ascii="Arial" w:hAnsi="Arial" w:cs="Arial"/>
          <w:szCs w:val="24"/>
        </w:rPr>
      </w:pPr>
      <w:r w:rsidRPr="002D7C19">
        <w:rPr>
          <w:rFonts w:ascii="Arial" w:hAnsi="Arial" w:cs="Arial"/>
          <w:noProof/>
          <w:szCs w:val="24"/>
        </w:rPr>
        <w:drawing>
          <wp:inline distT="0" distB="0" distL="0" distR="0">
            <wp:extent cx="5731510" cy="4298950"/>
            <wp:effectExtent l="0" t="0" r="2540" b="6350"/>
            <wp:docPr id="10231948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194823" name=""/>
                    <pic:cNvPicPr/>
                  </pic:nvPicPr>
                  <pic:blipFill>
                    <a:blip r:embed="rId8" cstate="print">
                      <a:extLs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9"/>
                        </a:ext>
                      </a:extLst>
                    </a:blip>
                    <a:stretch>
                      <a:fillRect/>
                    </a:stretch>
                  </pic:blipFill>
                  <pic:spPr>
                    <a:xfrm>
                      <a:off x="0" y="0"/>
                      <a:ext cx="5731510" cy="4298950"/>
                    </a:xfrm>
                    <a:prstGeom prst="rect">
                      <a:avLst/>
                    </a:prstGeom>
                  </pic:spPr>
                </pic:pic>
              </a:graphicData>
            </a:graphic>
          </wp:inline>
        </w:drawing>
      </w:r>
      <w:r w:rsidR="005E02A7" w:rsidRPr="002D7C19">
        <w:rPr>
          <w:rFonts w:ascii="Arial" w:hAnsi="Arial" w:cs="Arial"/>
          <w:szCs w:val="24"/>
        </w:rPr>
        <w:br w:type="page"/>
      </w:r>
    </w:p>
    <w:p w:rsidR="001C1C88" w:rsidRPr="002D7C19" w:rsidRDefault="001C1C88" w:rsidP="00A84D3C">
      <w:pPr>
        <w:pStyle w:val="Heading1"/>
        <w:rPr>
          <w:rFonts w:ascii="Arial" w:hAnsi="Arial" w:cs="Arial"/>
          <w:szCs w:val="24"/>
        </w:rPr>
      </w:pPr>
      <w:bookmarkStart w:id="1" w:name="_Toc226976322"/>
      <w:r w:rsidRPr="002D7C19">
        <w:rPr>
          <w:rFonts w:ascii="Arial" w:hAnsi="Arial" w:cs="Arial"/>
          <w:szCs w:val="24"/>
        </w:rPr>
        <w:lastRenderedPageBreak/>
        <w:t>Element 2: Segmentation, Targeting, Differentiation, and Positioning (STDP) Analysis</w:t>
      </w:r>
      <w:bookmarkEnd w:id="1"/>
    </w:p>
    <w:p w:rsidR="001C1C88" w:rsidRPr="002D7C19" w:rsidRDefault="001C1C88" w:rsidP="00A84D3C">
      <w:pPr>
        <w:rPr>
          <w:rFonts w:ascii="Arial" w:hAnsi="Arial" w:cs="Arial"/>
          <w:b/>
          <w:bCs/>
          <w:szCs w:val="24"/>
        </w:rPr>
      </w:pPr>
      <w:r w:rsidRPr="002D7C19">
        <w:rPr>
          <w:rFonts w:ascii="Arial" w:hAnsi="Arial" w:cs="Arial"/>
          <w:b/>
          <w:bCs/>
          <w:szCs w:val="24"/>
        </w:rPr>
        <w:t>1. Market Segmentation</w:t>
      </w:r>
    </w:p>
    <w:p w:rsidR="001C1C88" w:rsidRPr="002D7C19" w:rsidRDefault="001C1C88" w:rsidP="00A84D3C">
      <w:pPr>
        <w:rPr>
          <w:rFonts w:ascii="Arial" w:hAnsi="Arial" w:cs="Arial"/>
          <w:b/>
          <w:bCs/>
          <w:szCs w:val="24"/>
        </w:rPr>
      </w:pPr>
      <w:r w:rsidRPr="002D7C19">
        <w:rPr>
          <w:rFonts w:ascii="Arial" w:hAnsi="Arial" w:cs="Arial"/>
          <w:b/>
          <w:bCs/>
          <w:szCs w:val="24"/>
        </w:rPr>
        <w:t>Geographic Segmentation</w:t>
      </w:r>
    </w:p>
    <w:p w:rsidR="001C1C88" w:rsidRPr="002D7C19" w:rsidRDefault="001C1C88" w:rsidP="00A84D3C">
      <w:pPr>
        <w:rPr>
          <w:rFonts w:ascii="Arial" w:hAnsi="Arial" w:cs="Arial"/>
          <w:szCs w:val="24"/>
        </w:rPr>
      </w:pPr>
      <w:r w:rsidRPr="002D7C19">
        <w:rPr>
          <w:rFonts w:ascii="Arial" w:hAnsi="Arial" w:cs="Arial"/>
          <w:szCs w:val="24"/>
        </w:rPr>
        <w:t>The consumers of Apple Smart Health Ring are located mainly in urban and relatively technologically developed areas like North America, Europe and Asia-Pacific. The regions are denoted by the high wearable and digital health adoption rates</w:t>
      </w:r>
      <w:r w:rsidR="00F80830" w:rsidRPr="00F80830">
        <w:rPr>
          <w:rFonts w:ascii="Arial" w:hAnsi="Arial" w:cs="Arial"/>
          <w:szCs w:val="24"/>
        </w:rPr>
        <w:t>(Nagamia, 2022)</w:t>
      </w:r>
      <w:r w:rsidRPr="002D7C19">
        <w:rPr>
          <w:rFonts w:ascii="Arial" w:hAnsi="Arial" w:cs="Arial"/>
          <w:szCs w:val="24"/>
        </w:rPr>
        <w:t>. The access to technological infrastructure and tendencies towards innovative health-monitoring devices are more deemed to urban population, particularly. In addition, these markets have higher disposable incomes which will support its higher priced products like wearable devices provided by Apple</w:t>
      </w:r>
      <w:r w:rsidR="00AB2795" w:rsidRPr="002D7C19">
        <w:rPr>
          <w:rFonts w:ascii="Arial" w:hAnsi="Arial" w:cs="Arial"/>
          <w:szCs w:val="24"/>
        </w:rPr>
        <w:t xml:space="preserve"> (McDonald, 2023)</w:t>
      </w:r>
      <w:r w:rsidRPr="002D7C19">
        <w:rPr>
          <w:rFonts w:ascii="Arial" w:hAnsi="Arial" w:cs="Arial"/>
          <w:szCs w:val="24"/>
        </w:rPr>
        <w:t>.</w:t>
      </w:r>
    </w:p>
    <w:p w:rsidR="001C1C88" w:rsidRPr="002D7C19" w:rsidRDefault="001C1C88" w:rsidP="00A84D3C">
      <w:pPr>
        <w:rPr>
          <w:rFonts w:ascii="Arial" w:hAnsi="Arial" w:cs="Arial"/>
          <w:b/>
          <w:bCs/>
          <w:szCs w:val="24"/>
        </w:rPr>
      </w:pPr>
      <w:r w:rsidRPr="002D7C19">
        <w:rPr>
          <w:rFonts w:ascii="Arial" w:hAnsi="Arial" w:cs="Arial"/>
          <w:b/>
          <w:bCs/>
          <w:szCs w:val="24"/>
        </w:rPr>
        <w:t>Demographic Segmentation</w:t>
      </w:r>
    </w:p>
    <w:p w:rsidR="001C1C88" w:rsidRPr="002D7C19" w:rsidRDefault="001C1C88" w:rsidP="00A84D3C">
      <w:pPr>
        <w:rPr>
          <w:rFonts w:ascii="Arial" w:hAnsi="Arial" w:cs="Arial"/>
          <w:szCs w:val="24"/>
        </w:rPr>
      </w:pPr>
      <w:r w:rsidRPr="002D7C19">
        <w:rPr>
          <w:rFonts w:ascii="Arial" w:hAnsi="Arial" w:cs="Arial"/>
          <w:szCs w:val="24"/>
        </w:rPr>
        <w:t>People between the ages 20 and 50 years are the demographics of the product. This segment of the market will include business owners, owners of businesses, and the sports enthusiasts who will have more chances of buying more advanced wearable solutions. The target market is usually in the middle- to high-income classifications as they can afford high-end products</w:t>
      </w:r>
      <w:r w:rsidR="00F80830" w:rsidRPr="00F80830">
        <w:rPr>
          <w:rFonts w:ascii="Arial" w:hAnsi="Arial" w:cs="Arial"/>
          <w:szCs w:val="24"/>
        </w:rPr>
        <w:t>(Nagamia, 2022)</w:t>
      </w:r>
      <w:r w:rsidRPr="002D7C19">
        <w:rPr>
          <w:rFonts w:ascii="Arial" w:hAnsi="Arial" w:cs="Arial"/>
          <w:szCs w:val="24"/>
        </w:rPr>
        <w:t>. There are no gender limitations, as both females and males will be interested in using it. Secondly, another demographic group includes elderly individuals who take care of preventive health care</w:t>
      </w:r>
      <w:r w:rsidR="00AB2795" w:rsidRPr="002D7C19">
        <w:rPr>
          <w:rFonts w:ascii="Arial" w:hAnsi="Arial" w:cs="Arial"/>
          <w:szCs w:val="24"/>
        </w:rPr>
        <w:t xml:space="preserve"> (McDonald, 2023)</w:t>
      </w:r>
      <w:r w:rsidRPr="002D7C19">
        <w:rPr>
          <w:rFonts w:ascii="Arial" w:hAnsi="Arial" w:cs="Arial"/>
          <w:szCs w:val="24"/>
        </w:rPr>
        <w:t>.</w:t>
      </w:r>
    </w:p>
    <w:p w:rsidR="00195469" w:rsidRPr="002D7C19" w:rsidRDefault="00195469" w:rsidP="00A84D3C">
      <w:pPr>
        <w:rPr>
          <w:rFonts w:ascii="Arial" w:hAnsi="Arial" w:cs="Arial"/>
          <w:szCs w:val="24"/>
        </w:rPr>
      </w:pPr>
      <w:r w:rsidRPr="002D7C19">
        <w:rPr>
          <w:rFonts w:ascii="Arial" w:hAnsi="Arial" w:cs="Arial"/>
          <w:noProof/>
          <w:szCs w:val="24"/>
        </w:rPr>
        <w:drawing>
          <wp:inline distT="0" distB="0" distL="0" distR="0">
            <wp:extent cx="4417052" cy="2368550"/>
            <wp:effectExtent l="0" t="0" r="3175" b="0"/>
            <wp:docPr id="1596312587" name="Picture 1" descr="Target Market vs. Market Segmentation: Key Difference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arget Market vs. Market Segmentation: Key Differences Explained"/>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426996" cy="2373882"/>
                    </a:xfrm>
                    <a:prstGeom prst="rect">
                      <a:avLst/>
                    </a:prstGeom>
                    <a:noFill/>
                    <a:ln>
                      <a:noFill/>
                    </a:ln>
                  </pic:spPr>
                </pic:pic>
              </a:graphicData>
            </a:graphic>
          </wp:inline>
        </w:drawing>
      </w:r>
    </w:p>
    <w:p w:rsidR="00195469" w:rsidRPr="002D7C19" w:rsidRDefault="00195469" w:rsidP="00A84D3C">
      <w:pPr>
        <w:rPr>
          <w:rFonts w:ascii="Arial" w:hAnsi="Arial" w:cs="Arial"/>
          <w:szCs w:val="24"/>
        </w:rPr>
      </w:pPr>
      <w:r w:rsidRPr="002D7C19">
        <w:rPr>
          <w:rFonts w:ascii="Arial" w:hAnsi="Arial" w:cs="Arial"/>
          <w:szCs w:val="24"/>
        </w:rPr>
        <w:t>Figure 1: Types of Market Segmentation</w:t>
      </w:r>
    </w:p>
    <w:p w:rsidR="00195469" w:rsidRPr="002D7C19" w:rsidRDefault="00195469" w:rsidP="00A84D3C">
      <w:pPr>
        <w:rPr>
          <w:rFonts w:ascii="Arial" w:hAnsi="Arial" w:cs="Arial"/>
          <w:szCs w:val="24"/>
        </w:rPr>
      </w:pPr>
      <w:r w:rsidRPr="002D7C19">
        <w:rPr>
          <w:rFonts w:ascii="Arial" w:hAnsi="Arial" w:cs="Arial"/>
          <w:szCs w:val="24"/>
        </w:rPr>
        <w:t>Source: (Banerjee, 2024)</w:t>
      </w:r>
    </w:p>
    <w:p w:rsidR="001C1C88" w:rsidRPr="002D7C19" w:rsidRDefault="001C1C88" w:rsidP="00A84D3C">
      <w:pPr>
        <w:rPr>
          <w:rFonts w:ascii="Arial" w:hAnsi="Arial" w:cs="Arial"/>
          <w:b/>
          <w:bCs/>
          <w:szCs w:val="24"/>
        </w:rPr>
      </w:pPr>
      <w:r w:rsidRPr="002D7C19">
        <w:rPr>
          <w:rFonts w:ascii="Arial" w:hAnsi="Arial" w:cs="Arial"/>
          <w:b/>
          <w:bCs/>
          <w:szCs w:val="24"/>
        </w:rPr>
        <w:lastRenderedPageBreak/>
        <w:t>Psychographic Segmentation</w:t>
      </w:r>
    </w:p>
    <w:p w:rsidR="001C1C88" w:rsidRPr="002D7C19" w:rsidRDefault="001C1C88" w:rsidP="00A84D3C">
      <w:pPr>
        <w:rPr>
          <w:rFonts w:ascii="Arial" w:hAnsi="Arial" w:cs="Arial"/>
          <w:szCs w:val="24"/>
        </w:rPr>
      </w:pPr>
      <w:r w:rsidRPr="002D7C19">
        <w:rPr>
          <w:rFonts w:ascii="Arial" w:hAnsi="Arial" w:cs="Arial"/>
          <w:szCs w:val="24"/>
        </w:rPr>
        <w:t>Psychographic segmentation deals with values and attitudes and lifestyles of consumers. The target of Apple Smart Health Ring is the individuals who appreciate convenience, wellness and health. These consumers have the characteristic of being technology pioneers and they generally accept the new type of products that can add value in their lives</w:t>
      </w:r>
      <w:r w:rsidR="00F80830" w:rsidRPr="00F80830">
        <w:rPr>
          <w:rFonts w:ascii="Arial" w:hAnsi="Arial" w:cs="Arial"/>
          <w:szCs w:val="24"/>
        </w:rPr>
        <w:t>(Yeyang, 2024)</w:t>
      </w:r>
      <w:r w:rsidRPr="002D7C19">
        <w:rPr>
          <w:rFonts w:ascii="Arial" w:hAnsi="Arial" w:cs="Arial"/>
          <w:szCs w:val="24"/>
        </w:rPr>
        <w:t>. Their values are minimalistic design and functionality, as well as brand prestige. Moreover, the green activities of Apple, such as the use of a recycled pack, or the use of environmentally-friendly materials of production make the company appealing to environmentally conscious customers</w:t>
      </w:r>
      <w:r w:rsidR="00AB2795" w:rsidRPr="002D7C19">
        <w:rPr>
          <w:rFonts w:ascii="Arial" w:hAnsi="Arial" w:cs="Arial"/>
          <w:szCs w:val="24"/>
        </w:rPr>
        <w:t xml:space="preserve"> (McDonald, 2023)</w:t>
      </w:r>
      <w:r w:rsidRPr="002D7C19">
        <w:rPr>
          <w:rFonts w:ascii="Arial" w:hAnsi="Arial" w:cs="Arial"/>
          <w:szCs w:val="24"/>
        </w:rPr>
        <w:t>.</w:t>
      </w:r>
    </w:p>
    <w:p w:rsidR="001C1C88" w:rsidRPr="002D7C19" w:rsidRDefault="001C1C88" w:rsidP="00A84D3C">
      <w:pPr>
        <w:rPr>
          <w:rFonts w:ascii="Arial" w:hAnsi="Arial" w:cs="Arial"/>
          <w:b/>
          <w:bCs/>
          <w:szCs w:val="24"/>
        </w:rPr>
      </w:pPr>
      <w:r w:rsidRPr="002D7C19">
        <w:rPr>
          <w:rFonts w:ascii="Arial" w:hAnsi="Arial" w:cs="Arial"/>
          <w:b/>
          <w:bCs/>
          <w:szCs w:val="24"/>
        </w:rPr>
        <w:t>Behavioural Segmentation</w:t>
      </w:r>
    </w:p>
    <w:p w:rsidR="001C1C88" w:rsidRPr="002D7C19" w:rsidRDefault="001C1C88" w:rsidP="00A84D3C">
      <w:pPr>
        <w:rPr>
          <w:rFonts w:ascii="Arial" w:hAnsi="Arial" w:cs="Arial"/>
          <w:szCs w:val="24"/>
        </w:rPr>
      </w:pPr>
      <w:r w:rsidRPr="002D7C19">
        <w:rPr>
          <w:rFonts w:ascii="Arial" w:hAnsi="Arial" w:cs="Arial"/>
          <w:szCs w:val="24"/>
        </w:rPr>
        <w:t>Segmentation behaviour is based on usage patterns, benefits required by the consumer and level of interaction. The main segment consists of the active users of the wearable devices such as smartwatches and fitness trackers. The said users already know about health monitoring and are interested in more convenient and unobtrusive solutions</w:t>
      </w:r>
      <w:r w:rsidR="00F80830" w:rsidRPr="00F80830">
        <w:rPr>
          <w:rFonts w:ascii="Arial" w:hAnsi="Arial" w:cs="Arial"/>
          <w:szCs w:val="24"/>
        </w:rPr>
        <w:t>(Yeyang, 2024)</w:t>
      </w:r>
      <w:r w:rsidRPr="002D7C19">
        <w:rPr>
          <w:rFonts w:ascii="Arial" w:hAnsi="Arial" w:cs="Arial"/>
          <w:szCs w:val="24"/>
        </w:rPr>
        <w:t>. Their most sought benefits include seamless health tracking, ID-for-you insights, and integration with the existing digital landscapes. Another contributing element is the brand loyalty where Apple users would not cross the brand ecosystem</w:t>
      </w:r>
      <w:r w:rsidR="00AB2795" w:rsidRPr="002D7C19">
        <w:rPr>
          <w:rFonts w:ascii="Arial" w:hAnsi="Arial" w:cs="Arial"/>
          <w:szCs w:val="24"/>
        </w:rPr>
        <w:t xml:space="preserve"> (McDonald, 2023)</w:t>
      </w:r>
      <w:r w:rsidRPr="002D7C19">
        <w:rPr>
          <w:rFonts w:ascii="Arial" w:hAnsi="Arial" w:cs="Arial"/>
          <w:szCs w:val="24"/>
        </w:rPr>
        <w:t>.</w:t>
      </w:r>
    </w:p>
    <w:p w:rsidR="001C1C88" w:rsidRPr="002D7C19" w:rsidRDefault="001C1C88" w:rsidP="00A84D3C">
      <w:pPr>
        <w:rPr>
          <w:rFonts w:ascii="Arial" w:hAnsi="Arial" w:cs="Arial"/>
          <w:b/>
          <w:bCs/>
          <w:szCs w:val="24"/>
        </w:rPr>
      </w:pPr>
      <w:r w:rsidRPr="002D7C19">
        <w:rPr>
          <w:rFonts w:ascii="Arial" w:hAnsi="Arial" w:cs="Arial"/>
          <w:b/>
          <w:bCs/>
          <w:szCs w:val="24"/>
        </w:rPr>
        <w:t>2. Targeting Strategy</w:t>
      </w:r>
    </w:p>
    <w:p w:rsidR="001C1C88" w:rsidRPr="002D7C19" w:rsidRDefault="001C1C88" w:rsidP="00A84D3C">
      <w:pPr>
        <w:rPr>
          <w:rFonts w:ascii="Arial" w:hAnsi="Arial" w:cs="Arial"/>
          <w:b/>
          <w:bCs/>
          <w:szCs w:val="24"/>
        </w:rPr>
      </w:pPr>
      <w:r w:rsidRPr="002D7C19">
        <w:rPr>
          <w:rFonts w:ascii="Arial" w:hAnsi="Arial" w:cs="Arial"/>
          <w:b/>
          <w:bCs/>
          <w:szCs w:val="24"/>
        </w:rPr>
        <w:t>Primary Target Audience</w:t>
      </w:r>
    </w:p>
    <w:p w:rsidR="001C1C88" w:rsidRPr="002D7C19" w:rsidRDefault="001C1C88" w:rsidP="00A84D3C">
      <w:pPr>
        <w:rPr>
          <w:rFonts w:ascii="Arial" w:hAnsi="Arial" w:cs="Arial"/>
          <w:szCs w:val="24"/>
        </w:rPr>
      </w:pPr>
      <w:r w:rsidRPr="002D7C19">
        <w:rPr>
          <w:rFonts w:ascii="Arial" w:hAnsi="Arial" w:cs="Arial"/>
          <w:szCs w:val="24"/>
        </w:rPr>
        <w:t>Their key target market will be health conscious, technology oriented professionals with age range of 25-45 who have been already users of Apple. Such individuals are much in touch with technology and will soon adopt new technological advancements which can be helpful to their lives. They enjoy the convenience, accuracy and cross-size interconnection. Their familiarity with the Apple world renders the uptake of the products to be high</w:t>
      </w:r>
      <w:r w:rsidR="00AB2795" w:rsidRPr="002D7C19">
        <w:rPr>
          <w:rFonts w:ascii="Arial" w:hAnsi="Arial" w:cs="Arial"/>
          <w:szCs w:val="24"/>
        </w:rPr>
        <w:t xml:space="preserve"> (Nadube and James, 2024)</w:t>
      </w:r>
      <w:r w:rsidRPr="002D7C19">
        <w:rPr>
          <w:rFonts w:ascii="Arial" w:hAnsi="Arial" w:cs="Arial"/>
          <w:szCs w:val="24"/>
        </w:rPr>
        <w:t>.</w:t>
      </w:r>
    </w:p>
    <w:p w:rsidR="001C1C88" w:rsidRPr="002D7C19" w:rsidRDefault="001C1C88" w:rsidP="00A84D3C">
      <w:pPr>
        <w:rPr>
          <w:rFonts w:ascii="Arial" w:hAnsi="Arial" w:cs="Arial"/>
          <w:b/>
          <w:bCs/>
          <w:szCs w:val="24"/>
        </w:rPr>
      </w:pPr>
      <w:r w:rsidRPr="002D7C19">
        <w:rPr>
          <w:rFonts w:ascii="Arial" w:hAnsi="Arial" w:cs="Arial"/>
          <w:b/>
          <w:bCs/>
          <w:szCs w:val="24"/>
        </w:rPr>
        <w:t>Secondary Target Audience</w:t>
      </w:r>
    </w:p>
    <w:p w:rsidR="001C1C88" w:rsidRPr="002D7C19" w:rsidRDefault="001C1C88" w:rsidP="00A84D3C">
      <w:pPr>
        <w:rPr>
          <w:rFonts w:ascii="Arial" w:hAnsi="Arial" w:cs="Arial"/>
          <w:szCs w:val="24"/>
        </w:rPr>
      </w:pPr>
      <w:r w:rsidRPr="002D7C19">
        <w:rPr>
          <w:rFonts w:ascii="Arial" w:hAnsi="Arial" w:cs="Arial"/>
          <w:szCs w:val="24"/>
        </w:rPr>
        <w:t xml:space="preserve">The secondary audience target is the group of people who are into fitness and ones that are focused on their wellbeing, which can be an athlete and those who are actively working on their physical and mental health. This is one segment that demands all-inclusive details on health information e.g. different sleeping patterns, </w:t>
      </w:r>
      <w:r w:rsidRPr="002D7C19">
        <w:rPr>
          <w:rFonts w:ascii="Arial" w:hAnsi="Arial" w:cs="Arial"/>
          <w:szCs w:val="24"/>
        </w:rPr>
        <w:lastRenderedPageBreak/>
        <w:t>stress and administration of heart rates. The small size of the ring makes it a viable choice over wearables that are bigger</w:t>
      </w:r>
      <w:r w:rsidR="00AB2795" w:rsidRPr="002D7C19">
        <w:rPr>
          <w:rFonts w:ascii="Arial" w:hAnsi="Arial" w:cs="Arial"/>
          <w:szCs w:val="24"/>
        </w:rPr>
        <w:t xml:space="preserve"> (Nadube and James, 2024)</w:t>
      </w:r>
      <w:r w:rsidRPr="002D7C19">
        <w:rPr>
          <w:rFonts w:ascii="Arial" w:hAnsi="Arial" w:cs="Arial"/>
          <w:szCs w:val="24"/>
        </w:rPr>
        <w:t>.</w:t>
      </w:r>
    </w:p>
    <w:p w:rsidR="001C1C88" w:rsidRPr="002D7C19" w:rsidRDefault="001C1C88" w:rsidP="00A84D3C">
      <w:pPr>
        <w:rPr>
          <w:rFonts w:ascii="Arial" w:hAnsi="Arial" w:cs="Arial"/>
          <w:b/>
          <w:bCs/>
          <w:szCs w:val="24"/>
        </w:rPr>
      </w:pPr>
      <w:r w:rsidRPr="002D7C19">
        <w:rPr>
          <w:rFonts w:ascii="Arial" w:hAnsi="Arial" w:cs="Arial"/>
          <w:b/>
          <w:bCs/>
          <w:szCs w:val="24"/>
        </w:rPr>
        <w:t>Niche Target Segment</w:t>
      </w:r>
    </w:p>
    <w:p w:rsidR="001C1C88" w:rsidRPr="002D7C19" w:rsidRDefault="001C1C88" w:rsidP="00A84D3C">
      <w:pPr>
        <w:rPr>
          <w:rFonts w:ascii="Arial" w:hAnsi="Arial" w:cs="Arial"/>
          <w:szCs w:val="24"/>
        </w:rPr>
      </w:pPr>
      <w:r w:rsidRPr="002D7C19">
        <w:rPr>
          <w:rFonts w:ascii="Arial" w:hAnsi="Arial" w:cs="Arial"/>
          <w:szCs w:val="24"/>
        </w:rPr>
        <w:t>One of the niche segments is corporate professionals and executives that are more discrete and fashionable technology users. The ring can provide less conspicuous functionality than the smartwatch, without looking unprofessional. This makes it particularly appealing in the competitive business or work environment</w:t>
      </w:r>
      <w:r w:rsidR="00AB2795" w:rsidRPr="002D7C19">
        <w:rPr>
          <w:rFonts w:ascii="Arial" w:hAnsi="Arial" w:cs="Arial"/>
          <w:szCs w:val="24"/>
        </w:rPr>
        <w:t xml:space="preserve"> (Nadube and James, 2024)</w:t>
      </w:r>
      <w:r w:rsidRPr="002D7C19">
        <w:rPr>
          <w:rFonts w:ascii="Arial" w:hAnsi="Arial" w:cs="Arial"/>
          <w:szCs w:val="24"/>
        </w:rPr>
        <w:t>.</w:t>
      </w:r>
    </w:p>
    <w:p w:rsidR="001C1C88" w:rsidRPr="002D7C19" w:rsidRDefault="001C1C88" w:rsidP="00A84D3C">
      <w:pPr>
        <w:rPr>
          <w:rFonts w:ascii="Arial" w:hAnsi="Arial" w:cs="Arial"/>
          <w:b/>
          <w:bCs/>
          <w:szCs w:val="24"/>
        </w:rPr>
      </w:pPr>
      <w:r w:rsidRPr="002D7C19">
        <w:rPr>
          <w:rFonts w:ascii="Arial" w:hAnsi="Arial" w:cs="Arial"/>
          <w:b/>
          <w:bCs/>
          <w:szCs w:val="24"/>
        </w:rPr>
        <w:t>3. Differentiation Strategy</w:t>
      </w:r>
    </w:p>
    <w:p w:rsidR="001C1C88" w:rsidRPr="002D7C19" w:rsidRDefault="001C1C88" w:rsidP="00A84D3C">
      <w:pPr>
        <w:rPr>
          <w:rFonts w:ascii="Arial" w:hAnsi="Arial" w:cs="Arial"/>
          <w:szCs w:val="24"/>
        </w:rPr>
      </w:pPr>
      <w:r w:rsidRPr="002D7C19">
        <w:rPr>
          <w:rFonts w:ascii="Arial" w:hAnsi="Arial" w:cs="Arial"/>
          <w:szCs w:val="24"/>
        </w:rPr>
        <w:t>An innovative product, integration into the ecosystem, design, and trust make the Apple Smart Health Ring stand out. Its direct support of Apple Health and used with iCloud provide a native experience by synching data across devices with no effort, making it easy to keep all devices identical in use which its competitors have struggled to replicate. The continuous monitoring of health that the product offers, in its small and minimalistic design, will be personally monitored and will be less cumbersome than the traditional wearables</w:t>
      </w:r>
      <w:r w:rsidR="00AB2795" w:rsidRPr="002D7C19">
        <w:rPr>
          <w:rFonts w:ascii="Arial" w:hAnsi="Arial" w:cs="Arial"/>
          <w:szCs w:val="24"/>
        </w:rPr>
        <w:t xml:space="preserve"> (Semuel, Siagian and Octavia, 2024)</w:t>
      </w:r>
      <w:r w:rsidRPr="002D7C19">
        <w:rPr>
          <w:rFonts w:ascii="Arial" w:hAnsi="Arial" w:cs="Arial"/>
          <w:szCs w:val="24"/>
        </w:rPr>
        <w:t>. This is further enhanced by high respect of privacy of data which is also one of its greatest strength giving high consumer confidence, especially in handling sensitive aspects of health information. Besides, the personalised information about the health is introduced by the usage of the artificial intelligence, which makes the device the solution to the active health management. The emphasis on being sustainable using recycled materials also adds further to its competitive advantage</w:t>
      </w:r>
      <w:r w:rsidR="00AB2795" w:rsidRPr="002D7C19">
        <w:rPr>
          <w:rFonts w:ascii="Arial" w:hAnsi="Arial" w:cs="Arial"/>
          <w:szCs w:val="24"/>
        </w:rPr>
        <w:t xml:space="preserve"> (Fayvishenko, 2022)</w:t>
      </w:r>
      <w:r w:rsidRPr="002D7C19">
        <w:rPr>
          <w:rFonts w:ascii="Arial" w:hAnsi="Arial" w:cs="Arial"/>
          <w:szCs w:val="24"/>
        </w:rPr>
        <w:t>.</w:t>
      </w:r>
    </w:p>
    <w:p w:rsidR="001C1C88" w:rsidRPr="002D7C19" w:rsidRDefault="001C1C88" w:rsidP="00A84D3C">
      <w:pPr>
        <w:rPr>
          <w:rFonts w:ascii="Arial" w:hAnsi="Arial" w:cs="Arial"/>
          <w:b/>
          <w:bCs/>
          <w:szCs w:val="24"/>
        </w:rPr>
      </w:pPr>
      <w:r w:rsidRPr="002D7C19">
        <w:rPr>
          <w:rFonts w:ascii="Arial" w:hAnsi="Arial" w:cs="Arial"/>
          <w:b/>
          <w:bCs/>
          <w:szCs w:val="24"/>
        </w:rPr>
        <w:t xml:space="preserve">4. Positioning Strategy </w:t>
      </w:r>
    </w:p>
    <w:p w:rsidR="001C1C88" w:rsidRPr="002D7C19" w:rsidRDefault="001C1C88" w:rsidP="00A84D3C">
      <w:pPr>
        <w:rPr>
          <w:rFonts w:ascii="Arial" w:hAnsi="Arial" w:cs="Arial"/>
          <w:szCs w:val="24"/>
        </w:rPr>
      </w:pPr>
      <w:r w:rsidRPr="002D7C19">
        <w:rPr>
          <w:rFonts w:ascii="Arial" w:hAnsi="Arial" w:cs="Arial"/>
          <w:szCs w:val="24"/>
        </w:rPr>
        <w:t>Apple Smart Health Ring is advertised as a high-end and innovative wearable product, a combination of a new health technology and minimalistic design. This positioning plan will be about provision of superior functions of health monitors in a micro sleek fashion that resonates with the core brand values of Apple; innovation, quality, and customer-friendly design</w:t>
      </w:r>
      <w:r w:rsidR="00AB2795" w:rsidRPr="002D7C19">
        <w:rPr>
          <w:rFonts w:ascii="Arial" w:hAnsi="Arial" w:cs="Arial"/>
          <w:szCs w:val="24"/>
        </w:rPr>
        <w:t xml:space="preserve"> (Fayvishenko, 2022)</w:t>
      </w:r>
      <w:r w:rsidRPr="002D7C19">
        <w:rPr>
          <w:rFonts w:ascii="Arial" w:hAnsi="Arial" w:cs="Arial"/>
          <w:szCs w:val="24"/>
        </w:rPr>
        <w:t xml:space="preserve">. The value proposition of the product is to offer 24/7 and </w:t>
      </w:r>
      <w:r w:rsidR="00AB2795" w:rsidRPr="002D7C19">
        <w:rPr>
          <w:rFonts w:ascii="Arial" w:hAnsi="Arial" w:cs="Arial"/>
          <w:szCs w:val="24"/>
        </w:rPr>
        <w:t>100%</w:t>
      </w:r>
      <w:r w:rsidRPr="002D7C19">
        <w:rPr>
          <w:rFonts w:ascii="Arial" w:hAnsi="Arial" w:cs="Arial"/>
          <w:szCs w:val="24"/>
        </w:rPr>
        <w:t xml:space="preserve"> accurate health data and remain comfortable and attractive, which is suitable both in personal and professional settings</w:t>
      </w:r>
      <w:r w:rsidR="00AB2795" w:rsidRPr="002D7C19">
        <w:rPr>
          <w:rFonts w:ascii="Arial" w:hAnsi="Arial" w:cs="Arial"/>
          <w:szCs w:val="24"/>
        </w:rPr>
        <w:t xml:space="preserve"> (Semuel, Siagian and Octavia, 2024)</w:t>
      </w:r>
      <w:r w:rsidRPr="002D7C19">
        <w:rPr>
          <w:rFonts w:ascii="Arial" w:hAnsi="Arial" w:cs="Arial"/>
          <w:szCs w:val="24"/>
        </w:rPr>
        <w:t>.</w:t>
      </w:r>
    </w:p>
    <w:p w:rsidR="001C1C88" w:rsidRPr="002D7C19" w:rsidRDefault="001C1C88" w:rsidP="00A84D3C">
      <w:pPr>
        <w:pStyle w:val="Heading1"/>
        <w:rPr>
          <w:rFonts w:ascii="Arial" w:hAnsi="Arial" w:cs="Arial"/>
          <w:szCs w:val="24"/>
        </w:rPr>
      </w:pPr>
      <w:bookmarkStart w:id="2" w:name="_Toc226976323"/>
      <w:r w:rsidRPr="002D7C19">
        <w:rPr>
          <w:rFonts w:ascii="Arial" w:hAnsi="Arial" w:cs="Arial"/>
          <w:szCs w:val="24"/>
        </w:rPr>
        <w:lastRenderedPageBreak/>
        <w:t>Element 3: Marketing Mix Strategy for Apple Smart Health Ring (7Ps)</w:t>
      </w:r>
      <w:bookmarkEnd w:id="2"/>
    </w:p>
    <w:p w:rsidR="001C1C88" w:rsidRPr="002D7C19" w:rsidRDefault="001C1C88" w:rsidP="00A84D3C">
      <w:pPr>
        <w:rPr>
          <w:rFonts w:ascii="Arial" w:hAnsi="Arial" w:cs="Arial"/>
          <w:b/>
          <w:bCs/>
          <w:szCs w:val="24"/>
        </w:rPr>
      </w:pPr>
      <w:r w:rsidRPr="002D7C19">
        <w:rPr>
          <w:rFonts w:ascii="Arial" w:hAnsi="Arial" w:cs="Arial"/>
          <w:b/>
          <w:bCs/>
          <w:szCs w:val="24"/>
        </w:rPr>
        <w:t>1. Product Strategy</w:t>
      </w:r>
    </w:p>
    <w:p w:rsidR="001C1C88" w:rsidRPr="002D7C19" w:rsidRDefault="001C1C88" w:rsidP="00A84D3C">
      <w:pPr>
        <w:rPr>
          <w:rFonts w:ascii="Arial" w:hAnsi="Arial" w:cs="Arial"/>
          <w:szCs w:val="24"/>
        </w:rPr>
      </w:pPr>
      <w:r w:rsidRPr="002D7C19">
        <w:rPr>
          <w:rFonts w:ascii="Arial" w:hAnsi="Arial" w:cs="Arial"/>
          <w:szCs w:val="24"/>
        </w:rPr>
        <w:t>Apple Smart Health Ring is an expensive smartwatch, capable of monitoring the most relevant health indicators, such as heart rate, sleep patterns, stress, and temperature. The product fits well in the Apple brand extension strategy due to its innovation, design, and user experience as its core competencies. The wearable is in the shape of a ring, rather small and non-obstrusive, unlike the traditional wearables that cannot be worn all the time with no inconvenience</w:t>
      </w:r>
      <w:r w:rsidR="00A84D3C" w:rsidRPr="002D7C19">
        <w:rPr>
          <w:rFonts w:ascii="Arial" w:hAnsi="Arial" w:cs="Arial"/>
          <w:szCs w:val="24"/>
        </w:rPr>
        <w:t xml:space="preserve"> (Alessandri, 2025)</w:t>
      </w:r>
      <w:r w:rsidRPr="002D7C19">
        <w:rPr>
          <w:rFonts w:ascii="Arial" w:hAnsi="Arial" w:cs="Arial"/>
          <w:szCs w:val="24"/>
        </w:rPr>
        <w:t>. Strategically, it can be mentioned that the product is connected with the concept of augmented product with adding the value which is not merely grounded on the foundation of basic functionality but also on other additions, such as Apple Health and iCloud. This enhances user experience, and customer loyalty</w:t>
      </w:r>
      <w:r w:rsidR="00BB2A41" w:rsidRPr="002D7C19">
        <w:rPr>
          <w:rFonts w:ascii="Arial" w:hAnsi="Arial" w:cs="Arial"/>
          <w:szCs w:val="24"/>
        </w:rPr>
        <w:t xml:space="preserve"> (Fabian, 2025)</w:t>
      </w:r>
      <w:r w:rsidRPr="002D7C19">
        <w:rPr>
          <w:rFonts w:ascii="Arial" w:hAnsi="Arial" w:cs="Arial"/>
          <w:szCs w:val="24"/>
        </w:rPr>
        <w:t xml:space="preserve">. </w:t>
      </w:r>
    </w:p>
    <w:p w:rsidR="001C1C88" w:rsidRPr="002D7C19" w:rsidRDefault="001C1C88" w:rsidP="00A84D3C">
      <w:pPr>
        <w:rPr>
          <w:rFonts w:ascii="Arial" w:hAnsi="Arial" w:cs="Arial"/>
          <w:b/>
          <w:bCs/>
          <w:szCs w:val="24"/>
        </w:rPr>
      </w:pPr>
      <w:r w:rsidRPr="002D7C19">
        <w:rPr>
          <w:rFonts w:ascii="Arial" w:hAnsi="Arial" w:cs="Arial"/>
          <w:b/>
          <w:bCs/>
          <w:szCs w:val="24"/>
        </w:rPr>
        <w:t>2. Price Strategy</w:t>
      </w:r>
    </w:p>
    <w:p w:rsidR="001C1C88" w:rsidRPr="002D7C19" w:rsidRDefault="001C1C88" w:rsidP="00A84D3C">
      <w:pPr>
        <w:rPr>
          <w:rFonts w:ascii="Arial" w:hAnsi="Arial" w:cs="Arial"/>
          <w:szCs w:val="24"/>
        </w:rPr>
      </w:pPr>
      <w:r w:rsidRPr="002D7C19">
        <w:rPr>
          <w:rFonts w:ascii="Arial" w:hAnsi="Arial" w:cs="Arial"/>
          <w:szCs w:val="24"/>
        </w:rPr>
        <w:t>The most probable pricing strategy that Apple will have is the high-end pricing strategy and this is in line with its brand positioning in general. There are high chances that the Smart Health Ring would be priced higher compared to normal and lower compared to premium wearables. Such pricing approach proves perceived and innovation, brand equity. What is more significant, the higher price is diffused to not only give higher margin but also to produce the market perception of exclusivity and quality of the product</w:t>
      </w:r>
      <w:r w:rsidR="00A84D3C" w:rsidRPr="002D7C19">
        <w:rPr>
          <w:rFonts w:ascii="Arial" w:hAnsi="Arial" w:cs="Arial"/>
          <w:szCs w:val="24"/>
        </w:rPr>
        <w:t xml:space="preserve"> (Alessandri, 2025)</w:t>
      </w:r>
      <w:r w:rsidRPr="002D7C19">
        <w:rPr>
          <w:rFonts w:ascii="Arial" w:hAnsi="Arial" w:cs="Arial"/>
          <w:szCs w:val="24"/>
        </w:rPr>
        <w:t>. It is also targeting less price sensitive, value, performance-reputation conscious consumers. Nevertheless, this approach might restrict access to price sensitive segments. However, some of the brands have most of their brand loyalty and this reduces the possibility of opposition to price increase</w:t>
      </w:r>
      <w:r w:rsidR="00BB2A41" w:rsidRPr="002D7C19">
        <w:rPr>
          <w:rFonts w:ascii="Arial" w:hAnsi="Arial" w:cs="Arial"/>
          <w:szCs w:val="24"/>
        </w:rPr>
        <w:t xml:space="preserve"> (Peter and Abadie Fabienne, 2024)</w:t>
      </w:r>
      <w:r w:rsidRPr="002D7C19">
        <w:rPr>
          <w:rFonts w:ascii="Arial" w:hAnsi="Arial" w:cs="Arial"/>
          <w:szCs w:val="24"/>
        </w:rPr>
        <w:t xml:space="preserve">. </w:t>
      </w:r>
    </w:p>
    <w:p w:rsidR="001C1C88" w:rsidRPr="002D7C19" w:rsidRDefault="001C1C88" w:rsidP="00A84D3C">
      <w:pPr>
        <w:rPr>
          <w:rFonts w:ascii="Arial" w:hAnsi="Arial" w:cs="Arial"/>
          <w:b/>
          <w:bCs/>
          <w:szCs w:val="24"/>
        </w:rPr>
      </w:pPr>
      <w:r w:rsidRPr="002D7C19">
        <w:rPr>
          <w:rFonts w:ascii="Arial" w:hAnsi="Arial" w:cs="Arial"/>
          <w:b/>
          <w:bCs/>
          <w:szCs w:val="24"/>
        </w:rPr>
        <w:t>3. Place (Distribution) Strategy</w:t>
      </w:r>
    </w:p>
    <w:p w:rsidR="001C1C88" w:rsidRPr="002D7C19" w:rsidRDefault="001C1C88" w:rsidP="00A84D3C">
      <w:pPr>
        <w:rPr>
          <w:rFonts w:ascii="Arial" w:hAnsi="Arial" w:cs="Arial"/>
          <w:szCs w:val="24"/>
        </w:rPr>
      </w:pPr>
      <w:r w:rsidRPr="002D7C19">
        <w:rPr>
          <w:rFonts w:ascii="Arial" w:hAnsi="Arial" w:cs="Arial"/>
          <w:szCs w:val="24"/>
        </w:rPr>
        <w:t>Apple Smart Health Ring distribution approach relates to the omnichannel approach, which accommodates online or offline in its distribution. The internet medium would engage the official site on apple and applications existing in iPhones and hence it would be convenient and available globally. The offline distribution is carried out by means of Apple retail stores and authorised distributors where customers are able to have a physical experience of the product after which they can buy it</w:t>
      </w:r>
      <w:r w:rsidR="00A84D3C" w:rsidRPr="002D7C19">
        <w:rPr>
          <w:rFonts w:ascii="Arial" w:hAnsi="Arial" w:cs="Arial"/>
          <w:szCs w:val="24"/>
        </w:rPr>
        <w:t xml:space="preserve"> (Alessandri, 2025)</w:t>
      </w:r>
      <w:r w:rsidRPr="002D7C19">
        <w:rPr>
          <w:rFonts w:ascii="Arial" w:hAnsi="Arial" w:cs="Arial"/>
          <w:szCs w:val="24"/>
        </w:rPr>
        <w:t xml:space="preserve">. The next approach can be conventionally related to the priority of Apple since this strategy is grounded in the limited distribution ensuring that individuals could </w:t>
      </w:r>
      <w:r w:rsidRPr="002D7C19">
        <w:rPr>
          <w:rFonts w:ascii="Arial" w:hAnsi="Arial" w:cs="Arial"/>
          <w:szCs w:val="24"/>
        </w:rPr>
        <w:lastRenderedPageBreak/>
        <w:t>experience the company in the best quality and on its brand. Retail stores will matter to demonstrate the features of products and even provide custom-guide which matters a lot to innovative products. Moreover, the mini distribution channels ensures high-level of exclusivity which assists in market the product at the high positioning</w:t>
      </w:r>
      <w:r w:rsidR="00BB2A41" w:rsidRPr="002D7C19">
        <w:rPr>
          <w:rFonts w:ascii="Arial" w:hAnsi="Arial" w:cs="Arial"/>
          <w:szCs w:val="24"/>
        </w:rPr>
        <w:t xml:space="preserve"> (Fabian, 2025)</w:t>
      </w:r>
      <w:r w:rsidRPr="002D7C19">
        <w:rPr>
          <w:rFonts w:ascii="Arial" w:hAnsi="Arial" w:cs="Arial"/>
          <w:szCs w:val="24"/>
        </w:rPr>
        <w:t xml:space="preserve">. </w:t>
      </w:r>
    </w:p>
    <w:p w:rsidR="001C1C88" w:rsidRPr="002D7C19" w:rsidRDefault="001C1C88" w:rsidP="00A84D3C">
      <w:pPr>
        <w:rPr>
          <w:rFonts w:ascii="Arial" w:hAnsi="Arial" w:cs="Arial"/>
          <w:b/>
          <w:bCs/>
          <w:szCs w:val="24"/>
        </w:rPr>
      </w:pPr>
      <w:r w:rsidRPr="002D7C19">
        <w:rPr>
          <w:rFonts w:ascii="Arial" w:hAnsi="Arial" w:cs="Arial"/>
          <w:b/>
          <w:bCs/>
          <w:szCs w:val="24"/>
        </w:rPr>
        <w:t>4. Promotion Strategy</w:t>
      </w:r>
    </w:p>
    <w:p w:rsidR="001C1C88" w:rsidRPr="002D7C19" w:rsidRDefault="001C1C88" w:rsidP="00A84D3C">
      <w:pPr>
        <w:rPr>
          <w:rFonts w:ascii="Arial" w:hAnsi="Arial" w:cs="Arial"/>
          <w:szCs w:val="24"/>
        </w:rPr>
      </w:pPr>
      <w:r w:rsidRPr="002D7C19">
        <w:rPr>
          <w:rFonts w:ascii="Arial" w:hAnsi="Arial" w:cs="Arial"/>
          <w:szCs w:val="24"/>
        </w:rPr>
        <w:t>The marketing campaign is targeted on integrated marketing communications (IMC) in order to develop good brand recognition and involvement. Apple will probably resort to digital marketing, social media marketing, collaboration with key influencers, and participation in large scale product launches. The two are useful in attracting techno-savvy health conscious consumers. Storytelling was a dominant part of the Apple promotional strategy that is centered around the idea of innovation, ability to empower and improve health, and changing lifestyle</w:t>
      </w:r>
      <w:r w:rsidR="00A84D3C" w:rsidRPr="002D7C19">
        <w:rPr>
          <w:rFonts w:ascii="Arial" w:hAnsi="Arial" w:cs="Arial"/>
          <w:szCs w:val="24"/>
        </w:rPr>
        <w:t xml:space="preserve"> (Alessandri, 2025)</w:t>
      </w:r>
      <w:r w:rsidRPr="002D7C19">
        <w:rPr>
          <w:rFonts w:ascii="Arial" w:hAnsi="Arial" w:cs="Arial"/>
          <w:szCs w:val="24"/>
        </w:rPr>
        <w:t>. Actors of the fitness and wellness industry can model, demonstrate the practical benefits and gain greater credibility and relatability. In addition, the paucity of the advertisements done by Apple confirms its luxurious brand reputation. In that also, promotion strategy plays a crucial role because when it comes down to the pull marketing approach whereby emphasis is given on creating demand rather than push-selling the product, the strategy passes the test</w:t>
      </w:r>
      <w:r w:rsidR="00BB2A41" w:rsidRPr="002D7C19">
        <w:rPr>
          <w:rFonts w:ascii="Arial" w:hAnsi="Arial" w:cs="Arial"/>
          <w:szCs w:val="24"/>
        </w:rPr>
        <w:t xml:space="preserve"> (Peter and Abadie Fabienne, 2024)</w:t>
      </w:r>
      <w:r w:rsidRPr="002D7C19">
        <w:rPr>
          <w:rFonts w:ascii="Arial" w:hAnsi="Arial" w:cs="Arial"/>
          <w:szCs w:val="24"/>
        </w:rPr>
        <w:t xml:space="preserve">. </w:t>
      </w:r>
    </w:p>
    <w:p w:rsidR="00195469" w:rsidRPr="002D7C19" w:rsidRDefault="00195469" w:rsidP="00A84D3C">
      <w:pPr>
        <w:rPr>
          <w:rFonts w:ascii="Arial" w:hAnsi="Arial" w:cs="Arial"/>
          <w:szCs w:val="24"/>
        </w:rPr>
      </w:pPr>
      <w:r w:rsidRPr="002D7C19">
        <w:rPr>
          <w:rFonts w:ascii="Arial" w:hAnsi="Arial" w:cs="Arial"/>
          <w:noProof/>
          <w:szCs w:val="24"/>
        </w:rPr>
        <w:lastRenderedPageBreak/>
        <w:drawing>
          <wp:inline distT="0" distB="0" distL="0" distR="0">
            <wp:extent cx="4333875" cy="4318116"/>
            <wp:effectExtent l="0" t="0" r="0" b="6350"/>
            <wp:docPr id="13954043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6149" r="2449" b="1792"/>
                    <a:stretch>
                      <a:fillRect/>
                    </a:stretch>
                  </pic:blipFill>
                  <pic:spPr bwMode="auto">
                    <a:xfrm>
                      <a:off x="0" y="0"/>
                      <a:ext cx="4347314" cy="4331506"/>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195469" w:rsidRPr="002D7C19" w:rsidRDefault="00195469" w:rsidP="00A84D3C">
      <w:pPr>
        <w:rPr>
          <w:rFonts w:ascii="Arial" w:hAnsi="Arial" w:cs="Arial"/>
          <w:szCs w:val="24"/>
        </w:rPr>
      </w:pPr>
      <w:r w:rsidRPr="002D7C19">
        <w:rPr>
          <w:rFonts w:ascii="Arial" w:hAnsi="Arial" w:cs="Arial"/>
          <w:szCs w:val="24"/>
        </w:rPr>
        <w:t>Figure 2: Marketing Mix (7Ps)</w:t>
      </w:r>
    </w:p>
    <w:p w:rsidR="00195469" w:rsidRPr="002D7C19" w:rsidRDefault="00195469" w:rsidP="00A84D3C">
      <w:pPr>
        <w:rPr>
          <w:rFonts w:ascii="Arial" w:hAnsi="Arial" w:cs="Arial"/>
          <w:szCs w:val="24"/>
        </w:rPr>
      </w:pPr>
      <w:r w:rsidRPr="002D7C19">
        <w:rPr>
          <w:rFonts w:ascii="Arial" w:hAnsi="Arial" w:cs="Arial"/>
          <w:szCs w:val="24"/>
        </w:rPr>
        <w:t>Source: (Sramkowski, 2021)</w:t>
      </w:r>
    </w:p>
    <w:p w:rsidR="001C1C88" w:rsidRPr="002D7C19" w:rsidRDefault="001C1C88" w:rsidP="00A84D3C">
      <w:pPr>
        <w:rPr>
          <w:rFonts w:ascii="Arial" w:hAnsi="Arial" w:cs="Arial"/>
          <w:b/>
          <w:bCs/>
          <w:szCs w:val="24"/>
        </w:rPr>
      </w:pPr>
      <w:r w:rsidRPr="002D7C19">
        <w:rPr>
          <w:rFonts w:ascii="Arial" w:hAnsi="Arial" w:cs="Arial"/>
          <w:b/>
          <w:bCs/>
          <w:szCs w:val="24"/>
        </w:rPr>
        <w:t>5. People Strategy</w:t>
      </w:r>
    </w:p>
    <w:p w:rsidR="001C1C88" w:rsidRPr="002D7C19" w:rsidRDefault="001C1C88" w:rsidP="00A84D3C">
      <w:pPr>
        <w:rPr>
          <w:rFonts w:ascii="Arial" w:hAnsi="Arial" w:cs="Arial"/>
          <w:szCs w:val="24"/>
        </w:rPr>
      </w:pPr>
      <w:r w:rsidRPr="002D7C19">
        <w:rPr>
          <w:rFonts w:ascii="Arial" w:hAnsi="Arial" w:cs="Arial"/>
          <w:szCs w:val="24"/>
        </w:rPr>
        <w:t>This is where people come in, people play a crucial role in fulfilling the Apple brand experience. The employees of Apple are trained and used as expert guides, demonstrators of its products, and as individual guides. This will ensure that customers are informed about the product and its features and benefits. One of the marketing strategies is service marketing, and the employees are brand ambassadors, and directly linked to the customers in their perception and satisfaction</w:t>
      </w:r>
      <w:r w:rsidR="00BB2A41" w:rsidRPr="002D7C19">
        <w:rPr>
          <w:rFonts w:ascii="Arial" w:hAnsi="Arial" w:cs="Arial"/>
          <w:szCs w:val="24"/>
        </w:rPr>
        <w:t xml:space="preserve"> (Butler, 2025)</w:t>
      </w:r>
      <w:r w:rsidRPr="002D7C19">
        <w:rPr>
          <w:rFonts w:ascii="Arial" w:hAnsi="Arial" w:cs="Arial"/>
          <w:szCs w:val="24"/>
        </w:rPr>
        <w:t>. Their communications on complex technological features in a simplistic way add to the overall experience. The customer care services also contribute to the improved customer after sales satisfaction that is most important in creating long term relationships. The approach is compliant with the customer-oriented approach of Apple and premium positioning of the Smart Health Ring becomes even more reinforced</w:t>
      </w:r>
      <w:r w:rsidR="00BB2A41" w:rsidRPr="002D7C19">
        <w:rPr>
          <w:rFonts w:ascii="Arial" w:hAnsi="Arial" w:cs="Arial"/>
          <w:szCs w:val="24"/>
        </w:rPr>
        <w:t xml:space="preserve"> (Zhucheng, 2024)</w:t>
      </w:r>
      <w:r w:rsidRPr="002D7C19">
        <w:rPr>
          <w:rFonts w:ascii="Arial" w:hAnsi="Arial" w:cs="Arial"/>
          <w:szCs w:val="24"/>
        </w:rPr>
        <w:t>.</w:t>
      </w:r>
    </w:p>
    <w:p w:rsidR="001C1C88" w:rsidRPr="002D7C19" w:rsidRDefault="001C1C88" w:rsidP="00A84D3C">
      <w:pPr>
        <w:rPr>
          <w:rFonts w:ascii="Arial" w:hAnsi="Arial" w:cs="Arial"/>
          <w:b/>
          <w:bCs/>
          <w:szCs w:val="24"/>
        </w:rPr>
      </w:pPr>
      <w:r w:rsidRPr="002D7C19">
        <w:rPr>
          <w:rFonts w:ascii="Arial" w:hAnsi="Arial" w:cs="Arial"/>
          <w:b/>
          <w:bCs/>
          <w:szCs w:val="24"/>
        </w:rPr>
        <w:t>6. Process Strategy</w:t>
      </w:r>
    </w:p>
    <w:p w:rsidR="001C1C88" w:rsidRPr="002D7C19" w:rsidRDefault="001C1C88" w:rsidP="00A84D3C">
      <w:pPr>
        <w:rPr>
          <w:rFonts w:ascii="Arial" w:hAnsi="Arial" w:cs="Arial"/>
          <w:szCs w:val="24"/>
        </w:rPr>
      </w:pPr>
      <w:r w:rsidRPr="002D7C19">
        <w:rPr>
          <w:rFonts w:ascii="Arial" w:hAnsi="Arial" w:cs="Arial"/>
          <w:szCs w:val="24"/>
        </w:rPr>
        <w:lastRenderedPageBreak/>
        <w:t>The process aspect lies on the provision of effective and smooth customer experience. There are easy-to-use online stores and well-organised retail outlets, which guarantee customers ease when purchasing an Apple product. The fact that it will be easy to integrate with already known Apple devices will ease up the aspects of product set up such that users will have the chance to start using the product with the least effort. Moreover, frequent software upgrades boost functionality and usability with time</w:t>
      </w:r>
      <w:r w:rsidR="00BB2A41" w:rsidRPr="002D7C19">
        <w:rPr>
          <w:rFonts w:ascii="Arial" w:hAnsi="Arial" w:cs="Arial"/>
          <w:szCs w:val="24"/>
        </w:rPr>
        <w:t xml:space="preserve"> (Butler, 2025)</w:t>
      </w:r>
      <w:r w:rsidRPr="002D7C19">
        <w:rPr>
          <w:rFonts w:ascii="Arial" w:hAnsi="Arial" w:cs="Arial"/>
          <w:szCs w:val="24"/>
        </w:rPr>
        <w:t>. This creates the impression of constant value generation, in that the product is changed to maintain the shift in the consumer demands. More importantly, an effective process will minimize customer effort and enhance customer satisfaction much needed in technology-based markets. The process strategy thus facilitates the brand extension in terms of consistency, convenience and reliability</w:t>
      </w:r>
      <w:r w:rsidR="00BB2A41" w:rsidRPr="002D7C19">
        <w:rPr>
          <w:rFonts w:ascii="Arial" w:hAnsi="Arial" w:cs="Arial"/>
          <w:szCs w:val="24"/>
        </w:rPr>
        <w:t xml:space="preserve"> (Zhucheng, 2024)</w:t>
      </w:r>
      <w:r w:rsidRPr="002D7C19">
        <w:rPr>
          <w:rFonts w:ascii="Arial" w:hAnsi="Arial" w:cs="Arial"/>
          <w:szCs w:val="24"/>
        </w:rPr>
        <w:t>.</w:t>
      </w:r>
    </w:p>
    <w:p w:rsidR="001C1C88" w:rsidRPr="002D7C19" w:rsidRDefault="001C1C88" w:rsidP="00A84D3C">
      <w:pPr>
        <w:rPr>
          <w:rFonts w:ascii="Arial" w:hAnsi="Arial" w:cs="Arial"/>
          <w:b/>
          <w:bCs/>
          <w:szCs w:val="24"/>
        </w:rPr>
      </w:pPr>
      <w:r w:rsidRPr="002D7C19">
        <w:rPr>
          <w:rFonts w:ascii="Arial" w:hAnsi="Arial" w:cs="Arial"/>
          <w:b/>
          <w:bCs/>
          <w:szCs w:val="24"/>
        </w:rPr>
        <w:t>7. Physical Evidence Strategy</w:t>
      </w:r>
    </w:p>
    <w:p w:rsidR="001C1C88" w:rsidRPr="002D7C19" w:rsidRDefault="001C1C88" w:rsidP="00A84D3C">
      <w:pPr>
        <w:rPr>
          <w:rFonts w:ascii="Arial" w:hAnsi="Arial" w:cs="Arial"/>
          <w:szCs w:val="24"/>
        </w:rPr>
      </w:pPr>
      <w:r w:rsidRPr="002D7C19">
        <w:rPr>
          <w:rFonts w:ascii="Arial" w:hAnsi="Arial" w:cs="Arial"/>
          <w:szCs w:val="24"/>
        </w:rPr>
        <w:t>Physical evidence entails all the physical elements that affirm the image of the brand such as the product design, packaging and in store environment. The finish of Smart Health Ring Apple Smart Health Ring must be of high-end which depicts quality and elegance. The packaging will probably be sustainable and simple, as it will correspond with the sustainability strategy of Apple</w:t>
      </w:r>
      <w:r w:rsidR="00BB2A41" w:rsidRPr="002D7C19">
        <w:rPr>
          <w:rFonts w:ascii="Arial" w:hAnsi="Arial" w:cs="Arial"/>
          <w:szCs w:val="24"/>
        </w:rPr>
        <w:t xml:space="preserve"> (Butler, 2025)</w:t>
      </w:r>
      <w:r w:rsidRPr="002D7C19">
        <w:rPr>
          <w:rFonts w:ascii="Arial" w:hAnsi="Arial" w:cs="Arial"/>
          <w:szCs w:val="24"/>
        </w:rPr>
        <w:t>. The advanced designs, screens and clean design also enhance the physical experience of Apple stores. Strategically, physical evidence is very important in lessening the perceived threat as well as building brand credibility. It provides physical stimulus to quality and helps in marketing up-market positioning of the product. All Customer touchpoints convey the Apple brand values due to this aspect</w:t>
      </w:r>
      <w:r w:rsidR="00BB2A41" w:rsidRPr="002D7C19">
        <w:rPr>
          <w:rFonts w:ascii="Arial" w:hAnsi="Arial" w:cs="Arial"/>
          <w:szCs w:val="24"/>
        </w:rPr>
        <w:t xml:space="preserve"> (Zhucheng, 2024)</w:t>
      </w:r>
      <w:r w:rsidRPr="002D7C19">
        <w:rPr>
          <w:rFonts w:ascii="Arial" w:hAnsi="Arial" w:cs="Arial"/>
          <w:szCs w:val="24"/>
        </w:rPr>
        <w:t>.</w:t>
      </w:r>
    </w:p>
    <w:p w:rsidR="001C1C88" w:rsidRPr="002D7C19" w:rsidRDefault="001C1C88" w:rsidP="00A84D3C">
      <w:pPr>
        <w:pStyle w:val="Heading1"/>
        <w:rPr>
          <w:rFonts w:ascii="Arial" w:hAnsi="Arial" w:cs="Arial"/>
          <w:szCs w:val="24"/>
        </w:rPr>
      </w:pPr>
      <w:bookmarkStart w:id="3" w:name="_Toc226976324"/>
      <w:r w:rsidRPr="002D7C19">
        <w:rPr>
          <w:rFonts w:ascii="Arial" w:hAnsi="Arial" w:cs="Arial"/>
          <w:szCs w:val="24"/>
        </w:rPr>
        <w:t>Element 4: Reflection on Brand Extension Development</w:t>
      </w:r>
      <w:bookmarkEnd w:id="3"/>
    </w:p>
    <w:p w:rsidR="006D6932" w:rsidRPr="002D7C19" w:rsidRDefault="006D6932" w:rsidP="00A84D3C">
      <w:pPr>
        <w:rPr>
          <w:rFonts w:ascii="Arial" w:hAnsi="Arial" w:cs="Arial"/>
          <w:szCs w:val="24"/>
        </w:rPr>
      </w:pPr>
      <w:r w:rsidRPr="002D7C19">
        <w:rPr>
          <w:rFonts w:ascii="Arial" w:hAnsi="Arial" w:cs="Arial"/>
          <w:szCs w:val="24"/>
        </w:rPr>
        <w:t>Brand extension development is a very enlightening and learning experience and the process of developing the Apple Smart Health Ring has been an insightful learning experience. It also enabled me to put the theoretical knowledge of marketing into practice and a real world business context. Among the key things that I have learned during this undertaking is the importance of the authenticity of the brand extension and the consistency between the values and skills of the parent brand</w:t>
      </w:r>
      <w:r w:rsidR="00A84D3C" w:rsidRPr="002D7C19">
        <w:rPr>
          <w:rFonts w:ascii="Arial" w:hAnsi="Arial" w:cs="Arial"/>
          <w:szCs w:val="24"/>
        </w:rPr>
        <w:t xml:space="preserve"> (Broniarczyk and Alba, 2025)</w:t>
      </w:r>
      <w:r w:rsidRPr="002D7C19">
        <w:rPr>
          <w:rFonts w:ascii="Arial" w:hAnsi="Arial" w:cs="Arial"/>
          <w:szCs w:val="24"/>
        </w:rPr>
        <w:t xml:space="preserve">. These factors (strong emphasis on innovation, user experience and design) enabled Apple to make the Smart Health Ring a logical and credible extension. This has made me realize how brand equity can determine success of </w:t>
      </w:r>
      <w:r w:rsidRPr="002D7C19">
        <w:rPr>
          <w:rFonts w:ascii="Arial" w:hAnsi="Arial" w:cs="Arial"/>
          <w:szCs w:val="24"/>
        </w:rPr>
        <w:lastRenderedPageBreak/>
        <w:t>new product development. In the process of preparing the Segmentation, Targeting, Differentiation and Positioning (STDP) analysis, I gathered a greater insight to market segmentation, which is the ability to classify markets into significant groups that may relate to different factors including demographics, psychographics and behaviour. I also acquired the need to have the appropriate target audience and to develop an effective value proposition that would satisfy the needs of that audience</w:t>
      </w:r>
      <w:r w:rsidR="00A84D3C" w:rsidRPr="002D7C19">
        <w:rPr>
          <w:rFonts w:ascii="Arial" w:hAnsi="Arial" w:cs="Arial"/>
          <w:szCs w:val="24"/>
        </w:rPr>
        <w:t xml:space="preserve"> (Razak et al., 2024)</w:t>
      </w:r>
      <w:r w:rsidRPr="002D7C19">
        <w:rPr>
          <w:rFonts w:ascii="Arial" w:hAnsi="Arial" w:cs="Arial"/>
          <w:szCs w:val="24"/>
        </w:rPr>
        <w:t xml:space="preserve">. </w:t>
      </w:r>
    </w:p>
    <w:p w:rsidR="006D6932" w:rsidRPr="002D7C19" w:rsidRDefault="006D6932" w:rsidP="00A84D3C">
      <w:pPr>
        <w:rPr>
          <w:rFonts w:ascii="Arial" w:hAnsi="Arial" w:cs="Arial"/>
          <w:szCs w:val="24"/>
        </w:rPr>
      </w:pPr>
      <w:r w:rsidRPr="002D7C19">
        <w:rPr>
          <w:rFonts w:ascii="Arial" w:hAnsi="Arial" w:cs="Arial"/>
          <w:szCs w:val="24"/>
        </w:rPr>
        <w:t>The evolution of the marketing mix contributed even further to deepen my knowledge about the fact that various components of the marketing should collaborate, to form a coherent strategy. I also discovered that the process of product design, pricing, promotion and distribution are not unrelated decisions but are related and should have a relationship with the overall positioning of the brand. This augmented my experience in strategic marketing planning and the role of consistency in branding</w:t>
      </w:r>
      <w:r w:rsidR="00A84D3C" w:rsidRPr="002D7C19">
        <w:rPr>
          <w:rFonts w:ascii="Arial" w:hAnsi="Arial" w:cs="Arial"/>
          <w:szCs w:val="24"/>
        </w:rPr>
        <w:t xml:space="preserve"> (Broniarczyk and Alba, 2025)</w:t>
      </w:r>
      <w:r w:rsidRPr="002D7C19">
        <w:rPr>
          <w:rFonts w:ascii="Arial" w:hAnsi="Arial" w:cs="Arial"/>
          <w:szCs w:val="24"/>
        </w:rPr>
        <w:t>. Another important part of this project was in preparing and giving the poster presentation. It involved me to condense complicated information into a brief but graphical representation. This enhanced my communication abilities, especially the fact that I can reduce concepts and express them in a well-defined manner to an audience. At least it was with the presentation that I gained confidence in speaking publically and it also enabled me to interact with the audience in a better way</w:t>
      </w:r>
      <w:r w:rsidR="00A84D3C" w:rsidRPr="002D7C19">
        <w:rPr>
          <w:rFonts w:ascii="Arial" w:hAnsi="Arial" w:cs="Arial"/>
          <w:szCs w:val="24"/>
        </w:rPr>
        <w:t xml:space="preserve"> (Razak et al., 2024)</w:t>
      </w:r>
      <w:r w:rsidRPr="002D7C19">
        <w:rPr>
          <w:rFonts w:ascii="Arial" w:hAnsi="Arial" w:cs="Arial"/>
          <w:szCs w:val="24"/>
        </w:rPr>
        <w:t>.</w:t>
      </w:r>
    </w:p>
    <w:p w:rsidR="00737C4C" w:rsidRPr="002D7C19" w:rsidRDefault="006D6932" w:rsidP="00A84D3C">
      <w:pPr>
        <w:rPr>
          <w:rFonts w:ascii="Arial" w:hAnsi="Arial" w:cs="Arial"/>
          <w:szCs w:val="24"/>
        </w:rPr>
      </w:pPr>
      <w:r w:rsidRPr="002D7C19">
        <w:rPr>
          <w:rFonts w:ascii="Arial" w:hAnsi="Arial" w:cs="Arial"/>
          <w:szCs w:val="24"/>
        </w:rPr>
        <w:t>Nevertheless, a number of spheres exist, where I consider I need to improve. Among the shortcomings of my methodology, I would highlight the use of generalized assumptions instead of using more data and case studies which are more grounded on reality. My analysis would be more credible by the inclusion of additional empirical data. Also, time management was a problem in the preparation process. More time should be spent on considering and editing the material and this would enhance the quality of work done</w:t>
      </w:r>
      <w:r w:rsidR="00A84D3C" w:rsidRPr="002D7C19">
        <w:rPr>
          <w:rFonts w:ascii="Arial" w:hAnsi="Arial" w:cs="Arial"/>
          <w:szCs w:val="24"/>
        </w:rPr>
        <w:t xml:space="preserve"> (Broniarczyk and Alba, 2025)</w:t>
      </w:r>
      <w:r w:rsidRPr="002D7C19">
        <w:rPr>
          <w:rFonts w:ascii="Arial" w:hAnsi="Arial" w:cs="Arial"/>
          <w:szCs w:val="24"/>
        </w:rPr>
        <w:t xml:space="preserve">. </w:t>
      </w:r>
      <w:r w:rsidR="00A84D3C" w:rsidRPr="002D7C19">
        <w:rPr>
          <w:rFonts w:ascii="Arial" w:hAnsi="Arial" w:cs="Arial"/>
          <w:szCs w:val="24"/>
        </w:rPr>
        <w:t>Overall,</w:t>
      </w:r>
      <w:r w:rsidRPr="002D7C19">
        <w:rPr>
          <w:rFonts w:ascii="Arial" w:hAnsi="Arial" w:cs="Arial"/>
          <w:szCs w:val="24"/>
        </w:rPr>
        <w:t xml:space="preserve"> this project has helped me in my personal and professional growth. It has sharpened my critical thinking, problem solving and communication skills, all of which are vital to a marketing career. Next time, I would like to take a more research-oriented approach, enhance my time management and advance my skills of presenting ideas in an imaginative and effective way</w:t>
      </w:r>
      <w:r w:rsidR="00A84D3C" w:rsidRPr="002D7C19">
        <w:rPr>
          <w:rFonts w:ascii="Arial" w:hAnsi="Arial" w:cs="Arial"/>
          <w:szCs w:val="24"/>
        </w:rPr>
        <w:t xml:space="preserve"> (Razak et al., 2024)</w:t>
      </w:r>
      <w:r w:rsidRPr="002D7C19">
        <w:rPr>
          <w:rFonts w:ascii="Arial" w:hAnsi="Arial" w:cs="Arial"/>
          <w:szCs w:val="24"/>
        </w:rPr>
        <w:t xml:space="preserve">. </w:t>
      </w:r>
    </w:p>
    <w:p w:rsidR="00737C4C" w:rsidRPr="002D7C19" w:rsidRDefault="00737C4C" w:rsidP="00A84D3C">
      <w:pPr>
        <w:spacing w:after="160"/>
        <w:rPr>
          <w:rFonts w:ascii="Arial" w:hAnsi="Arial" w:cs="Arial"/>
          <w:szCs w:val="24"/>
        </w:rPr>
      </w:pPr>
      <w:r w:rsidRPr="002D7C19">
        <w:rPr>
          <w:rFonts w:ascii="Arial" w:hAnsi="Arial" w:cs="Arial"/>
          <w:szCs w:val="24"/>
        </w:rPr>
        <w:br w:type="page"/>
      </w:r>
    </w:p>
    <w:p w:rsidR="00737C4C" w:rsidRPr="002D7C19" w:rsidRDefault="00737C4C" w:rsidP="00A84D3C">
      <w:pPr>
        <w:pStyle w:val="Heading1"/>
        <w:rPr>
          <w:rFonts w:ascii="Arial" w:hAnsi="Arial" w:cs="Arial"/>
          <w:szCs w:val="24"/>
        </w:rPr>
      </w:pPr>
      <w:bookmarkStart w:id="4" w:name="_Toc226976325"/>
      <w:r w:rsidRPr="002D7C19">
        <w:rPr>
          <w:rFonts w:ascii="Arial" w:hAnsi="Arial" w:cs="Arial"/>
          <w:szCs w:val="24"/>
        </w:rPr>
        <w:lastRenderedPageBreak/>
        <w:t>References</w:t>
      </w:r>
      <w:bookmarkEnd w:id="4"/>
    </w:p>
    <w:p w:rsidR="00A84D3C" w:rsidRPr="002D7C19" w:rsidRDefault="00A84D3C" w:rsidP="00A84D3C">
      <w:pPr>
        <w:pStyle w:val="NormalWeb"/>
        <w:spacing w:before="0" w:beforeAutospacing="0" w:after="240" w:afterAutospacing="0" w:line="360" w:lineRule="auto"/>
        <w:jc w:val="both"/>
        <w:rPr>
          <w:rFonts w:ascii="Arial" w:hAnsi="Arial" w:cs="Arial"/>
        </w:rPr>
      </w:pPr>
      <w:r w:rsidRPr="002D7C19">
        <w:rPr>
          <w:rFonts w:ascii="Arial" w:hAnsi="Arial" w:cs="Arial"/>
        </w:rPr>
        <w:t xml:space="preserve">Alessandri, F. (2025). The Influence of Green Marketing Mix on Customer Satisfaction in Apple Inc.’s Sustainable Branding. </w:t>
      </w:r>
      <w:r w:rsidRPr="002D7C19">
        <w:rPr>
          <w:rFonts w:ascii="Arial" w:hAnsi="Arial" w:cs="Arial"/>
          <w:i/>
          <w:iCs/>
        </w:rPr>
        <w:t>Khazanah Sosial</w:t>
      </w:r>
      <w:r w:rsidRPr="002D7C19">
        <w:rPr>
          <w:rFonts w:ascii="Arial" w:hAnsi="Arial" w:cs="Arial"/>
        </w:rPr>
        <w:t xml:space="preserve">, [online] 7(2), pp.287–304. doi: </w:t>
      </w:r>
      <w:hyperlink r:id="rId12" w:history="1">
        <w:r w:rsidRPr="002D7C19">
          <w:rPr>
            <w:rStyle w:val="Hyperlink"/>
            <w:rFonts w:ascii="Arial" w:hAnsi="Arial" w:cs="Arial"/>
          </w:rPr>
          <w:t>https://doi.org/10.15575/ks.v7i2.44699</w:t>
        </w:r>
      </w:hyperlink>
      <w:r w:rsidRPr="002D7C19">
        <w:rPr>
          <w:rFonts w:ascii="Arial" w:hAnsi="Arial" w:cs="Arial"/>
        </w:rPr>
        <w:t xml:space="preserve">. </w:t>
      </w:r>
    </w:p>
    <w:p w:rsidR="00A84D3C" w:rsidRPr="002D7C19" w:rsidRDefault="00A84D3C" w:rsidP="00A84D3C">
      <w:pPr>
        <w:pStyle w:val="NormalWeb"/>
        <w:spacing w:before="0" w:beforeAutospacing="0" w:after="240" w:afterAutospacing="0" w:line="360" w:lineRule="auto"/>
        <w:jc w:val="both"/>
        <w:rPr>
          <w:rFonts w:ascii="Arial" w:hAnsi="Arial" w:cs="Arial"/>
        </w:rPr>
      </w:pPr>
      <w:r w:rsidRPr="002D7C19">
        <w:rPr>
          <w:rFonts w:ascii="Arial" w:hAnsi="Arial" w:cs="Arial"/>
        </w:rPr>
        <w:t xml:space="preserve">Banerjee, A. (2024). </w:t>
      </w:r>
      <w:r w:rsidRPr="002D7C19">
        <w:rPr>
          <w:rFonts w:ascii="Arial" w:hAnsi="Arial" w:cs="Arial"/>
          <w:i/>
          <w:iCs/>
        </w:rPr>
        <w:t>Target Market vs. Market Segmentation: Key Differences Explained</w:t>
      </w:r>
      <w:r w:rsidRPr="002D7C19">
        <w:rPr>
          <w:rFonts w:ascii="Arial" w:hAnsi="Arial" w:cs="Arial"/>
        </w:rPr>
        <w:t xml:space="preserve">. [online] CleverTap - All-in-One Customer Engagement Platform. doi: </w:t>
      </w:r>
      <w:hyperlink r:id="rId13" w:history="1">
        <w:r w:rsidRPr="002D7C19">
          <w:rPr>
            <w:rStyle w:val="Hyperlink"/>
            <w:rFonts w:ascii="Arial" w:hAnsi="Arial" w:cs="Arial"/>
          </w:rPr>
          <w:t>https://clevertap.com/blog/target-market-vs-market-segmentation/</w:t>
        </w:r>
      </w:hyperlink>
      <w:r w:rsidRPr="002D7C19">
        <w:rPr>
          <w:rFonts w:ascii="Arial" w:hAnsi="Arial" w:cs="Arial"/>
        </w:rPr>
        <w:t xml:space="preserve">. </w:t>
      </w:r>
    </w:p>
    <w:p w:rsidR="00A84D3C" w:rsidRPr="002D7C19" w:rsidRDefault="00A84D3C" w:rsidP="00A84D3C">
      <w:pPr>
        <w:pStyle w:val="NormalWeb"/>
        <w:spacing w:before="0" w:beforeAutospacing="0" w:after="240" w:afterAutospacing="0" w:line="360" w:lineRule="auto"/>
        <w:jc w:val="both"/>
        <w:rPr>
          <w:rFonts w:ascii="Arial" w:hAnsi="Arial" w:cs="Arial"/>
        </w:rPr>
      </w:pPr>
      <w:r w:rsidRPr="002D7C19">
        <w:rPr>
          <w:rFonts w:ascii="Arial" w:hAnsi="Arial" w:cs="Arial"/>
        </w:rPr>
        <w:t xml:space="preserve">Broniarczyk, S.M. and Alba, J.W. (2025). The Importance of the Brand in Brand Extension. </w:t>
      </w:r>
      <w:r w:rsidRPr="002D7C19">
        <w:rPr>
          <w:rFonts w:ascii="Arial" w:hAnsi="Arial" w:cs="Arial"/>
          <w:i/>
          <w:iCs/>
        </w:rPr>
        <w:t>Journal of Marketing Research</w:t>
      </w:r>
      <w:r w:rsidRPr="002D7C19">
        <w:rPr>
          <w:rFonts w:ascii="Arial" w:hAnsi="Arial" w:cs="Arial"/>
        </w:rPr>
        <w:t xml:space="preserve">, 31(2), pp.214–228. doi: </w:t>
      </w:r>
      <w:hyperlink r:id="rId14" w:history="1">
        <w:r w:rsidRPr="002D7C19">
          <w:rPr>
            <w:rStyle w:val="Hyperlink"/>
            <w:rFonts w:ascii="Arial" w:hAnsi="Arial" w:cs="Arial"/>
          </w:rPr>
          <w:t>https://doi.org/10.1177/002224379403100206</w:t>
        </w:r>
      </w:hyperlink>
      <w:r w:rsidRPr="002D7C19">
        <w:rPr>
          <w:rFonts w:ascii="Arial" w:hAnsi="Arial" w:cs="Arial"/>
        </w:rPr>
        <w:t xml:space="preserve">. </w:t>
      </w:r>
    </w:p>
    <w:p w:rsidR="00A84D3C" w:rsidRPr="002D7C19" w:rsidRDefault="00A84D3C" w:rsidP="00A84D3C">
      <w:pPr>
        <w:pStyle w:val="NormalWeb"/>
        <w:spacing w:before="0" w:beforeAutospacing="0" w:after="240" w:afterAutospacing="0" w:line="360" w:lineRule="auto"/>
        <w:jc w:val="both"/>
        <w:rPr>
          <w:rFonts w:ascii="Arial" w:hAnsi="Arial" w:cs="Arial"/>
        </w:rPr>
      </w:pPr>
      <w:r w:rsidRPr="002D7C19">
        <w:rPr>
          <w:rFonts w:ascii="Arial" w:hAnsi="Arial" w:cs="Arial"/>
        </w:rPr>
        <w:t xml:space="preserve">Butler (2025). </w:t>
      </w:r>
      <w:r w:rsidRPr="002D7C19">
        <w:rPr>
          <w:rFonts w:ascii="Arial" w:hAnsi="Arial" w:cs="Arial"/>
          <w:i/>
          <w:iCs/>
        </w:rPr>
        <w:t>A STUDY OF THE MARKETING STRATEGIES OF APPLE INC. IN THE CHINESE MARKET ZHIYUAN HAO 6517195406 AN INDEPENDENT STUDY SUBMITTED IN PARTIAL FULFILLMENT OF THE REQUIREMENTS FOR THE DEGREE OF MASTER OF BUSINESS ADMINISTRATION GRADUATE SCHOOL OF BUSINESS</w:t>
      </w:r>
      <w:r w:rsidRPr="002D7C19">
        <w:rPr>
          <w:rFonts w:ascii="Arial" w:hAnsi="Arial" w:cs="Arial"/>
        </w:rPr>
        <w:t xml:space="preserve">. [online] doi: </w:t>
      </w:r>
      <w:hyperlink r:id="rId15" w:history="1">
        <w:r w:rsidRPr="002D7C19">
          <w:rPr>
            <w:rStyle w:val="Hyperlink"/>
            <w:rFonts w:ascii="Arial" w:hAnsi="Arial" w:cs="Arial"/>
          </w:rPr>
          <w:t>https://e-research.siam.edu/wp-content/uploads/2025/08/MBA-2025-IS-Zhiyuan-Hao-6517195406-A-Study-of-the-Marketing-Strategies.pdf</w:t>
        </w:r>
      </w:hyperlink>
      <w:r w:rsidRPr="002D7C19">
        <w:rPr>
          <w:rFonts w:ascii="Arial" w:hAnsi="Arial" w:cs="Arial"/>
        </w:rPr>
        <w:t xml:space="preserve">. </w:t>
      </w:r>
    </w:p>
    <w:p w:rsidR="00A84D3C" w:rsidRPr="002D7C19" w:rsidRDefault="00A84D3C" w:rsidP="00A84D3C">
      <w:pPr>
        <w:pStyle w:val="NormalWeb"/>
        <w:spacing w:before="0" w:beforeAutospacing="0" w:after="240" w:afterAutospacing="0" w:line="360" w:lineRule="auto"/>
        <w:jc w:val="both"/>
        <w:rPr>
          <w:rFonts w:ascii="Arial" w:hAnsi="Arial" w:cs="Arial"/>
        </w:rPr>
      </w:pPr>
      <w:r w:rsidRPr="002D7C19">
        <w:rPr>
          <w:rFonts w:ascii="Arial" w:hAnsi="Arial" w:cs="Arial"/>
        </w:rPr>
        <w:t xml:space="preserve">Fabian (2025). </w:t>
      </w:r>
      <w:r w:rsidRPr="002D7C19">
        <w:rPr>
          <w:rFonts w:ascii="Arial" w:hAnsi="Arial" w:cs="Arial"/>
          <w:i/>
          <w:iCs/>
        </w:rPr>
        <w:t>Strategic positioning in wearable health technology: leveraging consumer centric analytical approaches for market leadership - a literature review on technology adoption and family purchasing</w:t>
      </w:r>
      <w:r w:rsidRPr="002D7C19">
        <w:rPr>
          <w:rFonts w:ascii="Arial" w:hAnsi="Arial" w:cs="Arial"/>
        </w:rPr>
        <w:t xml:space="preserve">. [online] Run.unl.pt. doi: </w:t>
      </w:r>
      <w:hyperlink r:id="rId16" w:history="1">
        <w:r w:rsidRPr="002D7C19">
          <w:rPr>
            <w:rStyle w:val="Hyperlink"/>
            <w:rFonts w:ascii="Arial" w:hAnsi="Arial" w:cs="Arial"/>
          </w:rPr>
          <w:t>https://run.unl.pt/entities/publication/b2387207-b84d-4952-a5c6-35293a34c016</w:t>
        </w:r>
      </w:hyperlink>
      <w:r w:rsidRPr="002D7C19">
        <w:rPr>
          <w:rFonts w:ascii="Arial" w:hAnsi="Arial" w:cs="Arial"/>
        </w:rPr>
        <w:t xml:space="preserve">. </w:t>
      </w:r>
    </w:p>
    <w:p w:rsidR="00A84D3C" w:rsidRPr="002D7C19" w:rsidRDefault="00A84D3C" w:rsidP="00A84D3C">
      <w:pPr>
        <w:pStyle w:val="NormalWeb"/>
        <w:spacing w:before="0" w:beforeAutospacing="0" w:after="240" w:afterAutospacing="0" w:line="360" w:lineRule="auto"/>
        <w:jc w:val="both"/>
        <w:rPr>
          <w:rFonts w:ascii="Arial" w:hAnsi="Arial" w:cs="Arial"/>
        </w:rPr>
      </w:pPr>
      <w:r w:rsidRPr="002D7C19">
        <w:rPr>
          <w:rFonts w:ascii="Arial" w:hAnsi="Arial" w:cs="Arial"/>
        </w:rPr>
        <w:t xml:space="preserve">Fayvishenko, D. (2022). FORMATION OF BRAND POSITIONING STRATEGY. </w:t>
      </w:r>
      <w:r w:rsidRPr="002D7C19">
        <w:rPr>
          <w:rFonts w:ascii="Arial" w:hAnsi="Arial" w:cs="Arial"/>
          <w:i/>
          <w:iCs/>
        </w:rPr>
        <w:t>Baltic Journal of Economic Studies</w:t>
      </w:r>
      <w:r w:rsidRPr="002D7C19">
        <w:rPr>
          <w:rFonts w:ascii="Arial" w:hAnsi="Arial" w:cs="Arial"/>
        </w:rPr>
        <w:t xml:space="preserve">, [online] 4(2), pp.245–248. doi: </w:t>
      </w:r>
      <w:hyperlink r:id="rId17" w:history="1">
        <w:r w:rsidRPr="002D7C19">
          <w:rPr>
            <w:rStyle w:val="Hyperlink"/>
            <w:rFonts w:ascii="Arial" w:hAnsi="Arial" w:cs="Arial"/>
          </w:rPr>
          <w:t>https://cyberleninka.ru/article/n/formation-of-brand-positioning-strategy</w:t>
        </w:r>
      </w:hyperlink>
      <w:r w:rsidRPr="002D7C19">
        <w:rPr>
          <w:rFonts w:ascii="Arial" w:hAnsi="Arial" w:cs="Arial"/>
        </w:rPr>
        <w:t xml:space="preserve">. </w:t>
      </w:r>
    </w:p>
    <w:p w:rsidR="00A84D3C" w:rsidRPr="002D7C19" w:rsidRDefault="00A84D3C" w:rsidP="00A84D3C">
      <w:pPr>
        <w:pStyle w:val="NormalWeb"/>
        <w:spacing w:before="0" w:beforeAutospacing="0" w:after="240" w:afterAutospacing="0" w:line="360" w:lineRule="auto"/>
        <w:jc w:val="both"/>
        <w:rPr>
          <w:rFonts w:ascii="Arial" w:hAnsi="Arial" w:cs="Arial"/>
        </w:rPr>
      </w:pPr>
      <w:r w:rsidRPr="002D7C19">
        <w:rPr>
          <w:rFonts w:ascii="Arial" w:hAnsi="Arial" w:cs="Arial"/>
        </w:rPr>
        <w:t xml:space="preserve">McDonald, M. (2023). Market Segmentation. </w:t>
      </w:r>
      <w:r w:rsidRPr="002D7C19">
        <w:rPr>
          <w:rFonts w:ascii="Arial" w:hAnsi="Arial" w:cs="Arial"/>
          <w:i/>
          <w:iCs/>
        </w:rPr>
        <w:t>The Marketing Century</w:t>
      </w:r>
      <w:r w:rsidRPr="002D7C19">
        <w:rPr>
          <w:rFonts w:ascii="Arial" w:hAnsi="Arial" w:cs="Arial"/>
        </w:rPr>
        <w:t xml:space="preserve">, pp.27–50. doi: </w:t>
      </w:r>
      <w:hyperlink r:id="rId18" w:history="1">
        <w:r w:rsidRPr="002D7C19">
          <w:rPr>
            <w:rStyle w:val="Hyperlink"/>
            <w:rFonts w:ascii="Arial" w:hAnsi="Arial" w:cs="Arial"/>
          </w:rPr>
          <w:t>https://doi.org/10.1002/9781119208501.ch2</w:t>
        </w:r>
      </w:hyperlink>
      <w:r w:rsidRPr="002D7C19">
        <w:rPr>
          <w:rFonts w:ascii="Arial" w:hAnsi="Arial" w:cs="Arial"/>
        </w:rPr>
        <w:t xml:space="preserve">. </w:t>
      </w:r>
    </w:p>
    <w:p w:rsidR="00A84D3C" w:rsidRPr="002D7C19" w:rsidRDefault="00A84D3C" w:rsidP="00A84D3C">
      <w:pPr>
        <w:pStyle w:val="NormalWeb"/>
        <w:spacing w:before="0" w:beforeAutospacing="0" w:after="240" w:afterAutospacing="0" w:line="360" w:lineRule="auto"/>
        <w:jc w:val="both"/>
        <w:rPr>
          <w:rFonts w:ascii="Arial" w:hAnsi="Arial" w:cs="Arial"/>
        </w:rPr>
      </w:pPr>
      <w:r w:rsidRPr="002D7C19">
        <w:rPr>
          <w:rFonts w:ascii="Arial" w:hAnsi="Arial" w:cs="Arial"/>
        </w:rPr>
        <w:t xml:space="preserve">Nadube, P. and James, D. (2024). </w:t>
      </w:r>
      <w:r w:rsidRPr="002D7C19">
        <w:rPr>
          <w:rFonts w:ascii="Arial" w:hAnsi="Arial" w:cs="Arial"/>
          <w:i/>
          <w:iCs/>
        </w:rPr>
        <w:t>Market targeting and strategic positioning</w:t>
      </w:r>
      <w:r w:rsidRPr="002D7C19">
        <w:rPr>
          <w:rFonts w:ascii="Arial" w:hAnsi="Arial" w:cs="Arial"/>
        </w:rPr>
        <w:t xml:space="preserve">. [online] doi: </w:t>
      </w:r>
      <w:hyperlink r:id="rId19" w:history="1">
        <w:r w:rsidRPr="002D7C19">
          <w:rPr>
            <w:rStyle w:val="Hyperlink"/>
            <w:rFonts w:ascii="Arial" w:hAnsi="Arial" w:cs="Arial"/>
          </w:rPr>
          <w:t>https://www.researchgate.net/profile/Paul-Nadube-</w:t>
        </w:r>
        <w:r w:rsidRPr="002D7C19">
          <w:rPr>
            <w:rStyle w:val="Hyperlink"/>
            <w:rFonts w:ascii="Arial" w:hAnsi="Arial" w:cs="Arial"/>
          </w:rPr>
          <w:lastRenderedPageBreak/>
          <w:t>2/publication/336773986_Market_targeting_and_strategic_positioning/links/5db1964692851c577eba7d24/Market-targeting-and-strategic-positioning.pdf</w:t>
        </w:r>
      </w:hyperlink>
      <w:r w:rsidRPr="002D7C19">
        <w:rPr>
          <w:rFonts w:ascii="Arial" w:hAnsi="Arial" w:cs="Arial"/>
        </w:rPr>
        <w:t xml:space="preserve">. </w:t>
      </w:r>
    </w:p>
    <w:p w:rsidR="00F80830" w:rsidRDefault="00F80830" w:rsidP="00A84D3C">
      <w:pPr>
        <w:pStyle w:val="NormalWeb"/>
        <w:spacing w:before="0" w:beforeAutospacing="0" w:after="240" w:afterAutospacing="0" w:line="360" w:lineRule="auto"/>
        <w:jc w:val="both"/>
        <w:rPr>
          <w:rFonts w:ascii="Arial" w:hAnsi="Arial" w:cs="Arial"/>
        </w:rPr>
      </w:pPr>
      <w:r w:rsidRPr="00F80830">
        <w:rPr>
          <w:rFonts w:ascii="Arial" w:hAnsi="Arial" w:cs="Arial"/>
        </w:rPr>
        <w:t>Nagamia, N.K.A. (2022). Apple Inc-A Marketing Analysis Case Study. MacEwan University Student eJournal, [online] 2(1). doi:</w:t>
      </w:r>
      <w:hyperlink r:id="rId20" w:history="1">
        <w:r w:rsidRPr="00B40641">
          <w:rPr>
            <w:rStyle w:val="Hyperlink"/>
            <w:rFonts w:ascii="Arial" w:hAnsi="Arial" w:cs="Arial"/>
          </w:rPr>
          <w:t>https://doi.org/10.31542/j.muse.216</w:t>
        </w:r>
      </w:hyperlink>
      <w:r w:rsidRPr="00F80830">
        <w:rPr>
          <w:rFonts w:ascii="Arial" w:hAnsi="Arial" w:cs="Arial"/>
        </w:rPr>
        <w:t>.</w:t>
      </w:r>
    </w:p>
    <w:p w:rsidR="00A84D3C" w:rsidRPr="002D7C19" w:rsidRDefault="00A84D3C" w:rsidP="00A84D3C">
      <w:pPr>
        <w:pStyle w:val="NormalWeb"/>
        <w:spacing w:before="0" w:beforeAutospacing="0" w:after="240" w:afterAutospacing="0" w:line="360" w:lineRule="auto"/>
        <w:jc w:val="both"/>
        <w:rPr>
          <w:rFonts w:ascii="Arial" w:hAnsi="Arial" w:cs="Arial"/>
        </w:rPr>
      </w:pPr>
      <w:r w:rsidRPr="002D7C19">
        <w:rPr>
          <w:rFonts w:ascii="Arial" w:hAnsi="Arial" w:cs="Arial"/>
        </w:rPr>
        <w:t xml:space="preserve">Peter, B. and Abadie Fabienne (2024). Strategic Intelligence Monitor on Personal Health Systems phase 2 (SIMPHS 2)Market developments – Remote Patient Monitoring and Treatment, Telecare, Fitness/Wellness &amp; mHealth. doi: </w:t>
      </w:r>
      <w:hyperlink r:id="rId21" w:history="1">
        <w:r w:rsidRPr="002D7C19">
          <w:rPr>
            <w:rStyle w:val="Hyperlink"/>
            <w:rFonts w:ascii="Arial" w:hAnsi="Arial" w:cs="Arial"/>
          </w:rPr>
          <w:t>https://doi.org/10.2791/83417</w:t>
        </w:r>
      </w:hyperlink>
      <w:r w:rsidRPr="002D7C19">
        <w:rPr>
          <w:rFonts w:ascii="Arial" w:hAnsi="Arial" w:cs="Arial"/>
        </w:rPr>
        <w:t xml:space="preserve">. </w:t>
      </w:r>
    </w:p>
    <w:p w:rsidR="00A84D3C" w:rsidRPr="002D7C19" w:rsidRDefault="00A84D3C" w:rsidP="00A84D3C">
      <w:pPr>
        <w:pStyle w:val="NormalWeb"/>
        <w:spacing w:before="0" w:beforeAutospacing="0" w:after="240" w:afterAutospacing="0" w:line="360" w:lineRule="auto"/>
        <w:jc w:val="both"/>
        <w:rPr>
          <w:rFonts w:ascii="Arial" w:hAnsi="Arial" w:cs="Arial"/>
        </w:rPr>
      </w:pPr>
      <w:r w:rsidRPr="002D7C19">
        <w:rPr>
          <w:rFonts w:ascii="Arial" w:hAnsi="Arial" w:cs="Arial"/>
        </w:rPr>
        <w:t xml:space="preserve">Razak, M., Hidayat, M., Launtu, A., Kusuma Putra, A.H.P.A. and Bahasoan, S. (2024). Antecedents and consequence of brand management: empirical study of Apple’s brand product. </w:t>
      </w:r>
      <w:r w:rsidRPr="002D7C19">
        <w:rPr>
          <w:rFonts w:ascii="Arial" w:hAnsi="Arial" w:cs="Arial"/>
          <w:i/>
          <w:iCs/>
        </w:rPr>
        <w:t>Journal of Asia Business Studies</w:t>
      </w:r>
      <w:r w:rsidRPr="002D7C19">
        <w:rPr>
          <w:rFonts w:ascii="Arial" w:hAnsi="Arial" w:cs="Arial"/>
        </w:rPr>
        <w:t xml:space="preserve">, 14(3), pp.307–322. doi: </w:t>
      </w:r>
      <w:hyperlink r:id="rId22" w:history="1">
        <w:r w:rsidRPr="002D7C19">
          <w:rPr>
            <w:rStyle w:val="Hyperlink"/>
            <w:rFonts w:ascii="Arial" w:hAnsi="Arial" w:cs="Arial"/>
          </w:rPr>
          <w:t>https://doi.org/10.1108/jabs-01-2019-0030</w:t>
        </w:r>
      </w:hyperlink>
      <w:r w:rsidRPr="002D7C19">
        <w:rPr>
          <w:rFonts w:ascii="Arial" w:hAnsi="Arial" w:cs="Arial"/>
        </w:rPr>
        <w:t xml:space="preserve">. </w:t>
      </w:r>
    </w:p>
    <w:p w:rsidR="00A84D3C" w:rsidRPr="002D7C19" w:rsidRDefault="00A84D3C" w:rsidP="00A84D3C">
      <w:pPr>
        <w:pStyle w:val="NormalWeb"/>
        <w:spacing w:before="0" w:beforeAutospacing="0" w:after="240" w:afterAutospacing="0" w:line="360" w:lineRule="auto"/>
        <w:jc w:val="both"/>
        <w:rPr>
          <w:rFonts w:ascii="Arial" w:hAnsi="Arial" w:cs="Arial"/>
        </w:rPr>
      </w:pPr>
      <w:r w:rsidRPr="002D7C19">
        <w:rPr>
          <w:rFonts w:ascii="Arial" w:hAnsi="Arial" w:cs="Arial"/>
        </w:rPr>
        <w:t xml:space="preserve">Semuel, H., Siagian, H. and Octavia, S. (2024). The effect of leadership and innovation on differentiation strategy and company performance. </w:t>
      </w:r>
      <w:r w:rsidRPr="002D7C19">
        <w:rPr>
          <w:rFonts w:ascii="Arial" w:hAnsi="Arial" w:cs="Arial"/>
          <w:i/>
          <w:iCs/>
        </w:rPr>
        <w:t>Procedia - Social and Behavioral Sciences</w:t>
      </w:r>
      <w:r w:rsidRPr="002D7C19">
        <w:rPr>
          <w:rFonts w:ascii="Arial" w:hAnsi="Arial" w:cs="Arial"/>
        </w:rPr>
        <w:t xml:space="preserve">, [online] 237(1), pp.1152–1159. doi: </w:t>
      </w:r>
      <w:hyperlink r:id="rId23" w:history="1">
        <w:r w:rsidRPr="002D7C19">
          <w:rPr>
            <w:rStyle w:val="Hyperlink"/>
            <w:rFonts w:ascii="Arial" w:hAnsi="Arial" w:cs="Arial"/>
          </w:rPr>
          <w:t>https://www.sciencedirect.com/science/article/pii/S1877042817301714</w:t>
        </w:r>
      </w:hyperlink>
      <w:r w:rsidRPr="002D7C19">
        <w:rPr>
          <w:rFonts w:ascii="Arial" w:hAnsi="Arial" w:cs="Arial"/>
        </w:rPr>
        <w:t xml:space="preserve">. </w:t>
      </w:r>
    </w:p>
    <w:p w:rsidR="00A84D3C" w:rsidRPr="002D7C19" w:rsidRDefault="00A84D3C" w:rsidP="00A84D3C">
      <w:pPr>
        <w:pStyle w:val="NormalWeb"/>
        <w:spacing w:before="0" w:beforeAutospacing="0" w:after="240" w:afterAutospacing="0" w:line="360" w:lineRule="auto"/>
        <w:jc w:val="both"/>
        <w:rPr>
          <w:rFonts w:ascii="Arial" w:hAnsi="Arial" w:cs="Arial"/>
        </w:rPr>
      </w:pPr>
      <w:r w:rsidRPr="002D7C19">
        <w:rPr>
          <w:rFonts w:ascii="Arial" w:hAnsi="Arial" w:cs="Arial"/>
        </w:rPr>
        <w:t xml:space="preserve">Sramkowski, L. (2021). </w:t>
      </w:r>
      <w:r w:rsidRPr="002D7C19">
        <w:rPr>
          <w:rFonts w:ascii="Arial" w:hAnsi="Arial" w:cs="Arial"/>
          <w:i/>
          <w:iCs/>
        </w:rPr>
        <w:t>From 4Ps to 7Ps: Towards an Integrated Marketing Mix</w:t>
      </w:r>
      <w:r w:rsidRPr="002D7C19">
        <w:rPr>
          <w:rFonts w:ascii="Arial" w:hAnsi="Arial" w:cs="Arial"/>
        </w:rPr>
        <w:t xml:space="preserve">. [online] ExportPlanning. doi: </w:t>
      </w:r>
      <w:hyperlink r:id="rId24" w:history="1">
        <w:r w:rsidRPr="002D7C19">
          <w:rPr>
            <w:rStyle w:val="Hyperlink"/>
            <w:rFonts w:ascii="Arial" w:hAnsi="Arial" w:cs="Arial"/>
          </w:rPr>
          <w:t>https://www.exportplanning.com/en/magazine/article/2021/03/03/from-4ps-to-7ps-towards-an-integrated-marketing-mix/</w:t>
        </w:r>
      </w:hyperlink>
      <w:r w:rsidRPr="002D7C19">
        <w:rPr>
          <w:rFonts w:ascii="Arial" w:hAnsi="Arial" w:cs="Arial"/>
        </w:rPr>
        <w:t xml:space="preserve">.  </w:t>
      </w:r>
    </w:p>
    <w:p w:rsidR="00F80830" w:rsidRDefault="00F80830" w:rsidP="00A84D3C">
      <w:pPr>
        <w:pStyle w:val="NormalWeb"/>
        <w:spacing w:before="0" w:beforeAutospacing="0" w:after="240" w:afterAutospacing="0" w:line="360" w:lineRule="auto"/>
        <w:jc w:val="both"/>
        <w:rPr>
          <w:rFonts w:ascii="Arial" w:hAnsi="Arial" w:cs="Arial"/>
        </w:rPr>
      </w:pPr>
      <w:r w:rsidRPr="00F80830">
        <w:rPr>
          <w:rFonts w:ascii="Arial" w:hAnsi="Arial" w:cs="Arial"/>
        </w:rPr>
        <w:t>Yeyang (2024). A Case Analysis of Market Segmentation and Product Differentiation. Highlights in business, economics and management, 34, pp.52–57. doi:</w:t>
      </w:r>
      <w:hyperlink r:id="rId25" w:history="1">
        <w:r w:rsidRPr="00B40641">
          <w:rPr>
            <w:rStyle w:val="Hyperlink"/>
            <w:rFonts w:ascii="Arial" w:hAnsi="Arial" w:cs="Arial"/>
          </w:rPr>
          <w:t>https://doi.org/10.54097/v9g8v275</w:t>
        </w:r>
      </w:hyperlink>
      <w:r w:rsidRPr="00F80830">
        <w:rPr>
          <w:rFonts w:ascii="Arial" w:hAnsi="Arial" w:cs="Arial"/>
        </w:rPr>
        <w:t>.</w:t>
      </w:r>
    </w:p>
    <w:p w:rsidR="00A84D3C" w:rsidRPr="002D7C19" w:rsidRDefault="00A84D3C" w:rsidP="00A84D3C">
      <w:pPr>
        <w:pStyle w:val="NormalWeb"/>
        <w:spacing w:before="0" w:beforeAutospacing="0" w:after="240" w:afterAutospacing="0" w:line="360" w:lineRule="auto"/>
        <w:jc w:val="both"/>
        <w:rPr>
          <w:rFonts w:ascii="Arial" w:hAnsi="Arial" w:cs="Arial"/>
        </w:rPr>
      </w:pPr>
      <w:r w:rsidRPr="002D7C19">
        <w:rPr>
          <w:rFonts w:ascii="Arial" w:hAnsi="Arial" w:cs="Arial"/>
        </w:rPr>
        <w:t xml:space="preserve">Zhucheng (2024). Analysis of Apple’s Marketing Strategy: Strengths, Challenges, and Future Directions. </w:t>
      </w:r>
      <w:r w:rsidRPr="002D7C19">
        <w:rPr>
          <w:rFonts w:ascii="Arial" w:hAnsi="Arial" w:cs="Arial"/>
          <w:i/>
          <w:iCs/>
        </w:rPr>
        <w:t>SHS Web of Conferences</w:t>
      </w:r>
      <w:r w:rsidRPr="002D7C19">
        <w:rPr>
          <w:rFonts w:ascii="Arial" w:hAnsi="Arial" w:cs="Arial"/>
        </w:rPr>
        <w:t xml:space="preserve">, [online] 207(207), pp.01020–01020. doi: </w:t>
      </w:r>
      <w:hyperlink r:id="rId26" w:history="1">
        <w:r w:rsidRPr="002D7C19">
          <w:rPr>
            <w:rStyle w:val="Hyperlink"/>
            <w:rFonts w:ascii="Arial" w:hAnsi="Arial" w:cs="Arial"/>
          </w:rPr>
          <w:t>https://doi.org/10.1051/shsconf/202420701020</w:t>
        </w:r>
      </w:hyperlink>
      <w:r w:rsidRPr="002D7C19">
        <w:rPr>
          <w:rFonts w:ascii="Arial" w:hAnsi="Arial" w:cs="Arial"/>
        </w:rPr>
        <w:t xml:space="preserve">. </w:t>
      </w:r>
    </w:p>
    <w:p w:rsidR="00737C4C" w:rsidRPr="002D7C19" w:rsidRDefault="00737C4C" w:rsidP="00A84D3C">
      <w:pPr>
        <w:spacing w:after="160"/>
        <w:rPr>
          <w:rFonts w:ascii="Arial" w:eastAsiaTheme="majorEastAsia" w:hAnsi="Arial" w:cs="Arial"/>
          <w:b/>
          <w:szCs w:val="24"/>
        </w:rPr>
      </w:pPr>
      <w:r w:rsidRPr="002D7C19">
        <w:rPr>
          <w:rFonts w:ascii="Arial" w:hAnsi="Arial" w:cs="Arial"/>
          <w:szCs w:val="24"/>
        </w:rPr>
        <w:br w:type="page"/>
      </w:r>
    </w:p>
    <w:p w:rsidR="001C1C88" w:rsidRPr="002D7C19" w:rsidRDefault="00737C4C" w:rsidP="00A84D3C">
      <w:pPr>
        <w:pStyle w:val="Heading1"/>
        <w:rPr>
          <w:rFonts w:ascii="Arial" w:hAnsi="Arial" w:cs="Arial"/>
          <w:szCs w:val="24"/>
        </w:rPr>
      </w:pPr>
      <w:bookmarkStart w:id="5" w:name="_Toc226976326"/>
      <w:r w:rsidRPr="002D7C19">
        <w:rPr>
          <w:rFonts w:ascii="Arial" w:hAnsi="Arial" w:cs="Arial"/>
          <w:szCs w:val="24"/>
        </w:rPr>
        <w:lastRenderedPageBreak/>
        <w:t>Appendix</w:t>
      </w:r>
      <w:bookmarkEnd w:id="5"/>
    </w:p>
    <w:p w:rsidR="001C1C88" w:rsidRPr="002D7C19" w:rsidRDefault="00195469" w:rsidP="00A84D3C">
      <w:pPr>
        <w:rPr>
          <w:rFonts w:ascii="Arial" w:hAnsi="Arial" w:cs="Arial"/>
          <w:szCs w:val="24"/>
        </w:rPr>
      </w:pPr>
      <w:r w:rsidRPr="002D7C19">
        <w:rPr>
          <w:rFonts w:ascii="Arial" w:hAnsi="Arial" w:cs="Arial"/>
          <w:noProof/>
          <w:szCs w:val="24"/>
        </w:rPr>
        <w:drawing>
          <wp:inline distT="0" distB="0" distL="0" distR="0">
            <wp:extent cx="4417052" cy="2368550"/>
            <wp:effectExtent l="0" t="0" r="3175" b="0"/>
            <wp:docPr id="1149007556" name="Picture 1" descr="Target Market vs. Market Segmentation: Key Difference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arget Market vs. Market Segmentation: Key Differences Explained"/>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426996" cy="2373882"/>
                    </a:xfrm>
                    <a:prstGeom prst="rect">
                      <a:avLst/>
                    </a:prstGeom>
                    <a:noFill/>
                    <a:ln>
                      <a:noFill/>
                    </a:ln>
                  </pic:spPr>
                </pic:pic>
              </a:graphicData>
            </a:graphic>
          </wp:inline>
        </w:drawing>
      </w:r>
    </w:p>
    <w:p w:rsidR="00195469" w:rsidRPr="002D7C19" w:rsidRDefault="00195469" w:rsidP="00A84D3C">
      <w:pPr>
        <w:rPr>
          <w:rFonts w:ascii="Arial" w:hAnsi="Arial" w:cs="Arial"/>
          <w:szCs w:val="24"/>
        </w:rPr>
      </w:pPr>
      <w:r w:rsidRPr="002D7C19">
        <w:rPr>
          <w:rFonts w:ascii="Arial" w:hAnsi="Arial" w:cs="Arial"/>
          <w:noProof/>
          <w:szCs w:val="24"/>
        </w:rPr>
        <w:drawing>
          <wp:inline distT="0" distB="0" distL="0" distR="0">
            <wp:extent cx="4333875" cy="4318116"/>
            <wp:effectExtent l="0" t="0" r="0" b="6350"/>
            <wp:docPr id="12304164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6149" r="2449" b="1792"/>
                    <a:stretch>
                      <a:fillRect/>
                    </a:stretch>
                  </pic:blipFill>
                  <pic:spPr bwMode="auto">
                    <a:xfrm>
                      <a:off x="0" y="0"/>
                      <a:ext cx="4347314" cy="4331506"/>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sectPr w:rsidR="00195469" w:rsidRPr="002D7C19" w:rsidSect="005E02A7">
      <w:footerReference w:type="default" r:id="rId2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260AB" w:rsidRDefault="00E260AB" w:rsidP="005E02A7">
      <w:pPr>
        <w:spacing w:after="0" w:line="240" w:lineRule="auto"/>
      </w:pPr>
      <w:r>
        <w:separator/>
      </w:r>
    </w:p>
  </w:endnote>
  <w:endnote w:type="continuationSeparator" w:id="1">
    <w:p w:rsidR="00E260AB" w:rsidRDefault="00E260AB" w:rsidP="005E02A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Cordia New">
    <w:panose1 w:val="020B0304020202020204"/>
    <w:charset w:val="00"/>
    <w:family w:val="swiss"/>
    <w:pitch w:val="variable"/>
    <w:sig w:usb0="81000003" w:usb1="00000000" w:usb2="00000000" w:usb3="00000000" w:csb0="00010001" w:csb1="00000000"/>
  </w:font>
  <w:font w:name="Times New Roman">
    <w:panose1 w:val="02020603050405020304"/>
    <w:charset w:val="00"/>
    <w:family w:val="roman"/>
    <w:pitch w:val="variable"/>
    <w:sig w:usb0="E0002AFF" w:usb1="C0007841" w:usb2="00000009" w:usb3="00000000" w:csb0="000001FF" w:csb1="00000000"/>
  </w:font>
  <w:font w:name="等线 Light">
    <w:altName w:val="MS PMincho"/>
    <w:panose1 w:val="00000000000000000000"/>
    <w:charset w:val="80"/>
    <w:family w:val="roman"/>
    <w:notTrueType/>
    <w:pitch w:val="default"/>
    <w:sig w:usb0="00000000" w:usb1="00000000" w:usb2="00000000" w:usb3="00000000" w:csb0="00000000" w:csb1="00000000"/>
  </w:font>
  <w:font w:name="Angsana New">
    <w:panose1 w:val="02020603050405020304"/>
    <w:charset w:val="00"/>
    <w:family w:val="roman"/>
    <w:pitch w:val="variable"/>
    <w:sig w:usb0="81000003" w:usb1="00000000" w:usb2="00000000" w:usb3="00000000" w:csb0="0001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等线">
    <w:panose1 w:val="00000000000000000000"/>
    <w:charset w:val="8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31751002"/>
      <w:docPartObj>
        <w:docPartGallery w:val="Page Numbers (Bottom of Page)"/>
        <w:docPartUnique/>
      </w:docPartObj>
    </w:sdtPr>
    <w:sdtEndPr>
      <w:rPr>
        <w:noProof/>
      </w:rPr>
    </w:sdtEndPr>
    <w:sdtContent>
      <w:p w:rsidR="005E02A7" w:rsidRDefault="00150191">
        <w:pPr>
          <w:pStyle w:val="Footer"/>
          <w:jc w:val="center"/>
        </w:pPr>
        <w:r>
          <w:fldChar w:fldCharType="begin"/>
        </w:r>
        <w:r w:rsidR="005E02A7">
          <w:instrText xml:space="preserve"> PAGE   \* MERGEFORMAT </w:instrText>
        </w:r>
        <w:r>
          <w:fldChar w:fldCharType="separate"/>
        </w:r>
        <w:r w:rsidR="00554EC2">
          <w:rPr>
            <w:noProof/>
          </w:rPr>
          <w:t>2</w:t>
        </w:r>
        <w:r>
          <w:rPr>
            <w:noProof/>
          </w:rPr>
          <w:fldChar w:fldCharType="end"/>
        </w:r>
      </w:p>
    </w:sdtContent>
  </w:sdt>
  <w:p w:rsidR="005E02A7" w:rsidRDefault="005E02A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260AB" w:rsidRDefault="00E260AB" w:rsidP="005E02A7">
      <w:pPr>
        <w:spacing w:after="0" w:line="240" w:lineRule="auto"/>
      </w:pPr>
      <w:r>
        <w:separator/>
      </w:r>
    </w:p>
  </w:footnote>
  <w:footnote w:type="continuationSeparator" w:id="1">
    <w:p w:rsidR="00E260AB" w:rsidRDefault="00E260AB" w:rsidP="005E02A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1028"/>
  <w:defaultTabStop w:val="720"/>
  <w:characterSpacingControl w:val="doNotCompress"/>
  <w:footnotePr>
    <w:footnote w:id="0"/>
    <w:footnote w:id="1"/>
  </w:footnotePr>
  <w:endnotePr>
    <w:endnote w:id="0"/>
    <w:endnote w:id="1"/>
  </w:endnotePr>
  <w:compat>
    <w:applyBreakingRules/>
  </w:compat>
  <w:rsids>
    <w:rsidRoot w:val="001C1C88"/>
    <w:rsid w:val="000F3C47"/>
    <w:rsid w:val="00150191"/>
    <w:rsid w:val="00154DDA"/>
    <w:rsid w:val="00186F21"/>
    <w:rsid w:val="00195469"/>
    <w:rsid w:val="001B2F7B"/>
    <w:rsid w:val="001C1C88"/>
    <w:rsid w:val="001F1EC0"/>
    <w:rsid w:val="00216CF6"/>
    <w:rsid w:val="00255B47"/>
    <w:rsid w:val="00270CC0"/>
    <w:rsid w:val="002D7C19"/>
    <w:rsid w:val="002F39B1"/>
    <w:rsid w:val="00375E88"/>
    <w:rsid w:val="00460320"/>
    <w:rsid w:val="00552C1F"/>
    <w:rsid w:val="00554EC2"/>
    <w:rsid w:val="005724F8"/>
    <w:rsid w:val="005E02A7"/>
    <w:rsid w:val="005F27E9"/>
    <w:rsid w:val="006A1C4C"/>
    <w:rsid w:val="006C557C"/>
    <w:rsid w:val="006D6932"/>
    <w:rsid w:val="006F560C"/>
    <w:rsid w:val="00730F8F"/>
    <w:rsid w:val="00737C4C"/>
    <w:rsid w:val="0074709F"/>
    <w:rsid w:val="00784216"/>
    <w:rsid w:val="00811F88"/>
    <w:rsid w:val="00813439"/>
    <w:rsid w:val="00840554"/>
    <w:rsid w:val="00854B13"/>
    <w:rsid w:val="00887FBF"/>
    <w:rsid w:val="008E110B"/>
    <w:rsid w:val="008E4472"/>
    <w:rsid w:val="00940579"/>
    <w:rsid w:val="009840EB"/>
    <w:rsid w:val="009927F6"/>
    <w:rsid w:val="009E5783"/>
    <w:rsid w:val="009F20B1"/>
    <w:rsid w:val="00A119E4"/>
    <w:rsid w:val="00A51E29"/>
    <w:rsid w:val="00A84D3C"/>
    <w:rsid w:val="00AB2795"/>
    <w:rsid w:val="00B0577E"/>
    <w:rsid w:val="00BA5618"/>
    <w:rsid w:val="00BB2A41"/>
    <w:rsid w:val="00BC2657"/>
    <w:rsid w:val="00C56A4D"/>
    <w:rsid w:val="00D63771"/>
    <w:rsid w:val="00D9469A"/>
    <w:rsid w:val="00DA6D70"/>
    <w:rsid w:val="00E260AB"/>
    <w:rsid w:val="00E62C38"/>
    <w:rsid w:val="00E80A19"/>
    <w:rsid w:val="00F46283"/>
    <w:rsid w:val="00F74A0C"/>
    <w:rsid w:val="00F80830"/>
    <w:rsid w:val="00FB759C"/>
    <w:rsid w:val="00FD5523"/>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I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F560C"/>
    <w:pPr>
      <w:spacing w:after="40" w:line="360" w:lineRule="auto"/>
      <w:jc w:val="both"/>
    </w:pPr>
    <w:rPr>
      <w:rFonts w:ascii="Times New Roman" w:hAnsi="Times New Roman"/>
      <w:kern w:val="0"/>
      <w:sz w:val="24"/>
      <w:szCs w:val="28"/>
    </w:rPr>
  </w:style>
  <w:style w:type="paragraph" w:styleId="Heading1">
    <w:name w:val="heading 1"/>
    <w:basedOn w:val="Normal"/>
    <w:next w:val="Normal"/>
    <w:link w:val="Heading1Char"/>
    <w:uiPriority w:val="9"/>
    <w:qFormat/>
    <w:rsid w:val="00375E88"/>
    <w:pPr>
      <w:keepNext/>
      <w:keepLines/>
      <w:spacing w:before="240" w:after="0"/>
      <w:outlineLvl w:val="0"/>
    </w:pPr>
    <w:rPr>
      <w:rFonts w:eastAsiaTheme="majorEastAsia" w:cstheme="majorBidi"/>
      <w:b/>
      <w:szCs w:val="40"/>
    </w:rPr>
  </w:style>
  <w:style w:type="paragraph" w:styleId="Heading2">
    <w:name w:val="heading 2"/>
    <w:basedOn w:val="Normal"/>
    <w:next w:val="Normal"/>
    <w:link w:val="Heading2Char"/>
    <w:autoRedefine/>
    <w:uiPriority w:val="9"/>
    <w:unhideWhenUsed/>
    <w:qFormat/>
    <w:rsid w:val="00C56A4D"/>
    <w:pPr>
      <w:keepNext/>
      <w:keepLines/>
      <w:spacing w:before="40" w:after="0" w:line="259" w:lineRule="auto"/>
      <w:outlineLvl w:val="1"/>
    </w:pPr>
    <w:rPr>
      <w:rFonts w:eastAsiaTheme="majorEastAsia" w:cstheme="majorBidi"/>
      <w:b/>
      <w:color w:val="000000" w:themeColor="text1"/>
      <w:szCs w:val="33"/>
    </w:rPr>
  </w:style>
  <w:style w:type="paragraph" w:styleId="Heading3">
    <w:name w:val="heading 3"/>
    <w:basedOn w:val="Normal"/>
    <w:next w:val="Normal"/>
    <w:link w:val="Heading3Char"/>
    <w:uiPriority w:val="9"/>
    <w:unhideWhenUsed/>
    <w:qFormat/>
    <w:rsid w:val="00A119E4"/>
    <w:pPr>
      <w:keepNext/>
      <w:keepLines/>
      <w:spacing w:before="40" w:after="0"/>
      <w:outlineLvl w:val="2"/>
    </w:pPr>
    <w:rPr>
      <w:rFonts w:eastAsiaTheme="majorEastAsia" w:cstheme="majorBidi"/>
      <w:b/>
      <w:szCs w:val="30"/>
      <w:lang w:val="en-US" w:eastAsia="en-US" w:bidi="th-TH"/>
    </w:rPr>
  </w:style>
  <w:style w:type="paragraph" w:styleId="Heading4">
    <w:name w:val="heading 4"/>
    <w:basedOn w:val="Normal"/>
    <w:next w:val="Normal"/>
    <w:link w:val="Heading4Char"/>
    <w:uiPriority w:val="9"/>
    <w:semiHidden/>
    <w:unhideWhenUsed/>
    <w:qFormat/>
    <w:rsid w:val="001C1C88"/>
    <w:pPr>
      <w:keepNext/>
      <w:keepLines/>
      <w:spacing w:before="8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C1C88"/>
    <w:pPr>
      <w:keepNext/>
      <w:keepLines/>
      <w:spacing w:before="8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C1C8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C1C8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C1C8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C1C8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5E88"/>
    <w:rPr>
      <w:rFonts w:ascii="Times New Roman" w:eastAsiaTheme="majorEastAsia" w:hAnsi="Times New Roman" w:cstheme="majorBidi"/>
      <w:b/>
      <w:kern w:val="0"/>
      <w:sz w:val="24"/>
      <w:szCs w:val="40"/>
    </w:rPr>
  </w:style>
  <w:style w:type="character" w:customStyle="1" w:styleId="Heading2Char">
    <w:name w:val="Heading 2 Char"/>
    <w:basedOn w:val="DefaultParagraphFont"/>
    <w:link w:val="Heading2"/>
    <w:uiPriority w:val="9"/>
    <w:rsid w:val="00C56A4D"/>
    <w:rPr>
      <w:rFonts w:ascii="Times New Roman" w:eastAsiaTheme="majorEastAsia" w:hAnsi="Times New Roman" w:cstheme="majorBidi"/>
      <w:b/>
      <w:color w:val="000000" w:themeColor="text1"/>
      <w:sz w:val="24"/>
      <w:szCs w:val="33"/>
    </w:rPr>
  </w:style>
  <w:style w:type="character" w:customStyle="1" w:styleId="Heading3Char">
    <w:name w:val="Heading 3 Char"/>
    <w:basedOn w:val="DefaultParagraphFont"/>
    <w:link w:val="Heading3"/>
    <w:uiPriority w:val="9"/>
    <w:rsid w:val="00A119E4"/>
    <w:rPr>
      <w:rFonts w:ascii="Times New Roman" w:eastAsiaTheme="majorEastAsia" w:hAnsi="Times New Roman" w:cstheme="majorBidi"/>
      <w:b/>
      <w:sz w:val="24"/>
      <w:szCs w:val="30"/>
      <w:lang w:val="en-US" w:eastAsia="en-US" w:bidi="th-TH"/>
    </w:rPr>
  </w:style>
  <w:style w:type="character" w:customStyle="1" w:styleId="Heading4Char">
    <w:name w:val="Heading 4 Char"/>
    <w:basedOn w:val="DefaultParagraphFont"/>
    <w:link w:val="Heading4"/>
    <w:uiPriority w:val="9"/>
    <w:semiHidden/>
    <w:rsid w:val="001C1C88"/>
    <w:rPr>
      <w:rFonts w:eastAsiaTheme="majorEastAsia" w:cstheme="majorBidi"/>
      <w:i/>
      <w:iCs/>
      <w:color w:val="2F5496" w:themeColor="accent1" w:themeShade="BF"/>
      <w:kern w:val="0"/>
      <w:sz w:val="24"/>
      <w:szCs w:val="28"/>
    </w:rPr>
  </w:style>
  <w:style w:type="character" w:customStyle="1" w:styleId="Heading5Char">
    <w:name w:val="Heading 5 Char"/>
    <w:basedOn w:val="DefaultParagraphFont"/>
    <w:link w:val="Heading5"/>
    <w:uiPriority w:val="9"/>
    <w:semiHidden/>
    <w:rsid w:val="001C1C88"/>
    <w:rPr>
      <w:rFonts w:eastAsiaTheme="majorEastAsia" w:cstheme="majorBidi"/>
      <w:color w:val="2F5496" w:themeColor="accent1" w:themeShade="BF"/>
      <w:kern w:val="0"/>
      <w:sz w:val="24"/>
      <w:szCs w:val="28"/>
    </w:rPr>
  </w:style>
  <w:style w:type="character" w:customStyle="1" w:styleId="Heading6Char">
    <w:name w:val="Heading 6 Char"/>
    <w:basedOn w:val="DefaultParagraphFont"/>
    <w:link w:val="Heading6"/>
    <w:uiPriority w:val="9"/>
    <w:semiHidden/>
    <w:rsid w:val="001C1C88"/>
    <w:rPr>
      <w:rFonts w:eastAsiaTheme="majorEastAsia" w:cstheme="majorBidi"/>
      <w:i/>
      <w:iCs/>
      <w:color w:val="595959" w:themeColor="text1" w:themeTint="A6"/>
      <w:kern w:val="0"/>
      <w:sz w:val="24"/>
      <w:szCs w:val="28"/>
    </w:rPr>
  </w:style>
  <w:style w:type="character" w:customStyle="1" w:styleId="Heading7Char">
    <w:name w:val="Heading 7 Char"/>
    <w:basedOn w:val="DefaultParagraphFont"/>
    <w:link w:val="Heading7"/>
    <w:uiPriority w:val="9"/>
    <w:semiHidden/>
    <w:rsid w:val="001C1C88"/>
    <w:rPr>
      <w:rFonts w:eastAsiaTheme="majorEastAsia" w:cstheme="majorBidi"/>
      <w:color w:val="595959" w:themeColor="text1" w:themeTint="A6"/>
      <w:kern w:val="0"/>
      <w:sz w:val="24"/>
      <w:szCs w:val="28"/>
    </w:rPr>
  </w:style>
  <w:style w:type="character" w:customStyle="1" w:styleId="Heading8Char">
    <w:name w:val="Heading 8 Char"/>
    <w:basedOn w:val="DefaultParagraphFont"/>
    <w:link w:val="Heading8"/>
    <w:uiPriority w:val="9"/>
    <w:semiHidden/>
    <w:rsid w:val="001C1C88"/>
    <w:rPr>
      <w:rFonts w:eastAsiaTheme="majorEastAsia" w:cstheme="majorBidi"/>
      <w:i/>
      <w:iCs/>
      <w:color w:val="272727" w:themeColor="text1" w:themeTint="D8"/>
      <w:kern w:val="0"/>
      <w:sz w:val="24"/>
      <w:szCs w:val="28"/>
    </w:rPr>
  </w:style>
  <w:style w:type="character" w:customStyle="1" w:styleId="Heading9Char">
    <w:name w:val="Heading 9 Char"/>
    <w:basedOn w:val="DefaultParagraphFont"/>
    <w:link w:val="Heading9"/>
    <w:uiPriority w:val="9"/>
    <w:semiHidden/>
    <w:rsid w:val="001C1C88"/>
    <w:rPr>
      <w:rFonts w:eastAsiaTheme="majorEastAsia" w:cstheme="majorBidi"/>
      <w:color w:val="272727" w:themeColor="text1" w:themeTint="D8"/>
      <w:kern w:val="0"/>
      <w:sz w:val="24"/>
      <w:szCs w:val="28"/>
    </w:rPr>
  </w:style>
  <w:style w:type="paragraph" w:styleId="Title">
    <w:name w:val="Title"/>
    <w:basedOn w:val="Normal"/>
    <w:next w:val="Normal"/>
    <w:link w:val="TitleChar"/>
    <w:uiPriority w:val="10"/>
    <w:qFormat/>
    <w:rsid w:val="001C1C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1C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1C88"/>
    <w:pPr>
      <w:numPr>
        <w:ilvl w:val="1"/>
      </w:numPr>
      <w:spacing w:after="160"/>
    </w:pPr>
    <w:rPr>
      <w:rFonts w:asciiTheme="minorHAnsi" w:eastAsiaTheme="majorEastAsia" w:hAnsiTheme="minorHAnsi" w:cstheme="majorBidi"/>
      <w:color w:val="595959" w:themeColor="text1" w:themeTint="A6"/>
      <w:spacing w:val="15"/>
      <w:sz w:val="28"/>
    </w:rPr>
  </w:style>
  <w:style w:type="character" w:customStyle="1" w:styleId="SubtitleChar">
    <w:name w:val="Subtitle Char"/>
    <w:basedOn w:val="DefaultParagraphFont"/>
    <w:link w:val="Subtitle"/>
    <w:uiPriority w:val="11"/>
    <w:rsid w:val="001C1C88"/>
    <w:rPr>
      <w:rFonts w:eastAsiaTheme="majorEastAsia" w:cstheme="majorBidi"/>
      <w:color w:val="595959" w:themeColor="text1" w:themeTint="A6"/>
      <w:spacing w:val="15"/>
      <w:kern w:val="0"/>
      <w:sz w:val="28"/>
      <w:szCs w:val="28"/>
    </w:rPr>
  </w:style>
  <w:style w:type="paragraph" w:styleId="Quote">
    <w:name w:val="Quote"/>
    <w:basedOn w:val="Normal"/>
    <w:next w:val="Normal"/>
    <w:link w:val="QuoteChar"/>
    <w:uiPriority w:val="29"/>
    <w:qFormat/>
    <w:rsid w:val="001C1C8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C1C88"/>
    <w:rPr>
      <w:rFonts w:ascii="Times New Roman" w:hAnsi="Times New Roman"/>
      <w:i/>
      <w:iCs/>
      <w:color w:val="404040" w:themeColor="text1" w:themeTint="BF"/>
      <w:kern w:val="0"/>
      <w:sz w:val="24"/>
      <w:szCs w:val="28"/>
    </w:rPr>
  </w:style>
  <w:style w:type="paragraph" w:styleId="ListParagraph">
    <w:name w:val="List Paragraph"/>
    <w:basedOn w:val="Normal"/>
    <w:uiPriority w:val="34"/>
    <w:qFormat/>
    <w:rsid w:val="001C1C88"/>
    <w:pPr>
      <w:ind w:left="720"/>
      <w:contextualSpacing/>
    </w:pPr>
  </w:style>
  <w:style w:type="character" w:styleId="IntenseEmphasis">
    <w:name w:val="Intense Emphasis"/>
    <w:basedOn w:val="DefaultParagraphFont"/>
    <w:uiPriority w:val="21"/>
    <w:qFormat/>
    <w:rsid w:val="001C1C88"/>
    <w:rPr>
      <w:i/>
      <w:iCs/>
      <w:color w:val="2F5496" w:themeColor="accent1" w:themeShade="BF"/>
    </w:rPr>
  </w:style>
  <w:style w:type="paragraph" w:styleId="IntenseQuote">
    <w:name w:val="Intense Quote"/>
    <w:basedOn w:val="Normal"/>
    <w:next w:val="Normal"/>
    <w:link w:val="IntenseQuoteChar"/>
    <w:uiPriority w:val="30"/>
    <w:qFormat/>
    <w:rsid w:val="001C1C8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C1C88"/>
    <w:rPr>
      <w:rFonts w:ascii="Times New Roman" w:hAnsi="Times New Roman"/>
      <w:i/>
      <w:iCs/>
      <w:color w:val="2F5496" w:themeColor="accent1" w:themeShade="BF"/>
      <w:kern w:val="0"/>
      <w:sz w:val="24"/>
      <w:szCs w:val="28"/>
    </w:rPr>
  </w:style>
  <w:style w:type="character" w:styleId="IntenseReference">
    <w:name w:val="Intense Reference"/>
    <w:basedOn w:val="DefaultParagraphFont"/>
    <w:uiPriority w:val="32"/>
    <w:qFormat/>
    <w:rsid w:val="001C1C88"/>
    <w:rPr>
      <w:b/>
      <w:bCs/>
      <w:smallCaps/>
      <w:color w:val="2F5496" w:themeColor="accent1" w:themeShade="BF"/>
      <w:spacing w:val="5"/>
    </w:rPr>
  </w:style>
  <w:style w:type="paragraph" w:styleId="Header">
    <w:name w:val="header"/>
    <w:basedOn w:val="Normal"/>
    <w:link w:val="HeaderChar"/>
    <w:uiPriority w:val="99"/>
    <w:unhideWhenUsed/>
    <w:rsid w:val="005E02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2A7"/>
    <w:rPr>
      <w:rFonts w:ascii="Times New Roman" w:hAnsi="Times New Roman"/>
      <w:kern w:val="0"/>
      <w:sz w:val="24"/>
      <w:szCs w:val="28"/>
    </w:rPr>
  </w:style>
  <w:style w:type="paragraph" w:styleId="Footer">
    <w:name w:val="footer"/>
    <w:basedOn w:val="Normal"/>
    <w:link w:val="FooterChar"/>
    <w:uiPriority w:val="99"/>
    <w:unhideWhenUsed/>
    <w:rsid w:val="005E02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2A7"/>
    <w:rPr>
      <w:rFonts w:ascii="Times New Roman" w:hAnsi="Times New Roman"/>
      <w:kern w:val="0"/>
      <w:sz w:val="24"/>
      <w:szCs w:val="28"/>
    </w:rPr>
  </w:style>
  <w:style w:type="paragraph" w:styleId="NormalWeb">
    <w:name w:val="Normal (Web)"/>
    <w:basedOn w:val="Normal"/>
    <w:uiPriority w:val="99"/>
    <w:semiHidden/>
    <w:unhideWhenUsed/>
    <w:rsid w:val="00A84D3C"/>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A84D3C"/>
    <w:rPr>
      <w:color w:val="0563C1" w:themeColor="hyperlink"/>
      <w:u w:val="single"/>
    </w:rPr>
  </w:style>
  <w:style w:type="character" w:customStyle="1" w:styleId="UnresolvedMention">
    <w:name w:val="Unresolved Mention"/>
    <w:basedOn w:val="DefaultParagraphFont"/>
    <w:uiPriority w:val="99"/>
    <w:semiHidden/>
    <w:unhideWhenUsed/>
    <w:rsid w:val="00A84D3C"/>
    <w:rPr>
      <w:color w:val="605E5C"/>
      <w:shd w:val="clear" w:color="auto" w:fill="E1DFDD"/>
    </w:rPr>
  </w:style>
  <w:style w:type="paragraph" w:styleId="TOCHeading">
    <w:name w:val="TOC Heading"/>
    <w:basedOn w:val="Heading1"/>
    <w:next w:val="Normal"/>
    <w:uiPriority w:val="39"/>
    <w:unhideWhenUsed/>
    <w:qFormat/>
    <w:rsid w:val="00A84D3C"/>
    <w:pPr>
      <w:spacing w:line="259" w:lineRule="auto"/>
      <w:jc w:val="left"/>
      <w:outlineLvl w:val="9"/>
    </w:pPr>
    <w:rPr>
      <w:rFonts w:asciiTheme="majorHAnsi" w:hAnsiTheme="majorHAnsi"/>
      <w:b w:val="0"/>
      <w:color w:val="2F5496" w:themeColor="accent1" w:themeShade="BF"/>
      <w:sz w:val="32"/>
      <w:szCs w:val="32"/>
      <w:lang w:val="en-US" w:eastAsia="en-US"/>
    </w:rPr>
  </w:style>
  <w:style w:type="paragraph" w:styleId="TOC1">
    <w:name w:val="toc 1"/>
    <w:basedOn w:val="Normal"/>
    <w:next w:val="Normal"/>
    <w:autoRedefine/>
    <w:uiPriority w:val="39"/>
    <w:unhideWhenUsed/>
    <w:rsid w:val="00A84D3C"/>
    <w:pPr>
      <w:spacing w:after="100"/>
    </w:pPr>
  </w:style>
  <w:style w:type="paragraph" w:styleId="BalloonText">
    <w:name w:val="Balloon Text"/>
    <w:basedOn w:val="Normal"/>
    <w:link w:val="BalloonTextChar"/>
    <w:uiPriority w:val="99"/>
    <w:semiHidden/>
    <w:unhideWhenUsed/>
    <w:rsid w:val="00255B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5B47"/>
    <w:rPr>
      <w:rFonts w:ascii="Tahoma" w:hAnsi="Tahoma" w:cs="Tahoma"/>
      <w:kern w:val="0"/>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levertap.com/blog/target-market-vs-market-segmentation/" TargetMode="External"/><Relationship Id="rId18" Type="http://schemas.openxmlformats.org/officeDocument/2006/relationships/hyperlink" Target="https://doi.org/10.1002/9781119208501.ch2" TargetMode="External"/><Relationship Id="rId26" Type="http://schemas.openxmlformats.org/officeDocument/2006/relationships/hyperlink" Target="https://doi.org/10.1051/shsconf/202420701020" TargetMode="External"/><Relationship Id="rId3" Type="http://schemas.openxmlformats.org/officeDocument/2006/relationships/settings" Target="settings.xml"/><Relationship Id="rId21" Type="http://schemas.openxmlformats.org/officeDocument/2006/relationships/hyperlink" Target="https://doi.org/10.2791/83417" TargetMode="External"/><Relationship Id="rId7" Type="http://schemas.openxmlformats.org/officeDocument/2006/relationships/image" Target="media/image1.jpeg"/><Relationship Id="rId12" Type="http://schemas.openxmlformats.org/officeDocument/2006/relationships/hyperlink" Target="https://doi.org/10.15575/ks.v7i2.44699" TargetMode="External"/><Relationship Id="rId17" Type="http://schemas.openxmlformats.org/officeDocument/2006/relationships/hyperlink" Target="https://cyberleninka.ru/article/n/formation-of-brand-positioning-strategy" TargetMode="External"/><Relationship Id="rId25" Type="http://schemas.openxmlformats.org/officeDocument/2006/relationships/hyperlink" Target="https://doi.org/10.54097/v9g8v275" TargetMode="External"/><Relationship Id="rId2" Type="http://schemas.openxmlformats.org/officeDocument/2006/relationships/styles" Target="styles.xml"/><Relationship Id="rId16" Type="http://schemas.openxmlformats.org/officeDocument/2006/relationships/hyperlink" Target="https://run.unl.pt/entities/publication/b2387207-b84d-4952-a5c6-35293a34c016" TargetMode="External"/><Relationship Id="rId20" Type="http://schemas.openxmlformats.org/officeDocument/2006/relationships/hyperlink" Target="https://doi.org/10.31542/j.muse.216"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exportplanning.com/en/magazine/article/2021/03/03/from-4ps-to-7ps-towards-an-integrated-marketing-mix/" TargetMode="External"/><Relationship Id="rId5" Type="http://schemas.openxmlformats.org/officeDocument/2006/relationships/footnotes" Target="footnotes.xml"/><Relationship Id="rId15" Type="http://schemas.openxmlformats.org/officeDocument/2006/relationships/hyperlink" Target="https://e-research.siam.edu/wp-content/uploads/2025/08/MBA-2025-IS-Zhiyuan-Hao-6517195406-A-Study-of-the-Marketing-Strategies.pdf" TargetMode="External"/><Relationship Id="rId23" Type="http://schemas.openxmlformats.org/officeDocument/2006/relationships/hyperlink" Target="https://www.sciencedirect.com/science/article/pii/S1877042817301714"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researchgate.net/profile/Paul-Nadube-2/publication/336773986_Market_targeting_and_strategic_positioning/links/5db1964692851c577eba7d24/Market-targeting-and-strategic-positioning.pdf" TargetMode="External"/><Relationship Id="rId4" Type="http://schemas.openxmlformats.org/officeDocument/2006/relationships/webSettings" Target="webSettings.xml"/><Relationship Id="rId9" Type="http://schemas.openxmlformats.org/officeDocument/2006/relationships/image" Target="media/image2.svg"/><Relationship Id="rId14" Type="http://schemas.openxmlformats.org/officeDocument/2006/relationships/hyperlink" Target="https://doi.org/10.1177/002224379403100206" TargetMode="External"/><Relationship Id="rId22" Type="http://schemas.openxmlformats.org/officeDocument/2006/relationships/hyperlink" Target="https://doi.org/10.1108/jabs-01-2019-0030"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D5DF96-9CBA-4B03-A91E-E4D82458C1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3240</Words>
  <Characters>18473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India Business Ventures</dc:creator>
  <cp:keywords/>
  <dc:description/>
  <cp:lastModifiedBy>Vishal</cp:lastModifiedBy>
  <cp:revision>10</cp:revision>
  <dcterms:created xsi:type="dcterms:W3CDTF">2026-04-15T11:02:00Z</dcterms:created>
  <dcterms:modified xsi:type="dcterms:W3CDTF">2026-04-25T07:06:00Z</dcterms:modified>
</cp:coreProperties>
</file>