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1E19F8" w14:textId="77777777" w:rsidR="00D46920" w:rsidRDefault="00D46920" w:rsidP="00D46920">
      <w:pPr>
        <w:spacing w:line="360" w:lineRule="auto"/>
      </w:pPr>
      <w:r>
        <w:rPr>
          <w:noProof/>
        </w:rPr>
        <w:drawing>
          <wp:inline distT="0" distB="0" distL="0" distR="0" wp14:anchorId="7B112E65" wp14:editId="5D2DDB97">
            <wp:extent cx="3345180" cy="1343660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D6F6D8" w14:textId="77777777" w:rsidR="00D46920" w:rsidRDefault="00D46920" w:rsidP="00D46920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20C87557" w14:textId="77777777" w:rsidR="00D46920" w:rsidRDefault="00D46920" w:rsidP="00D46920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5135E402" w14:textId="23936E17" w:rsidR="00D46920" w:rsidRPr="0009474F" w:rsidRDefault="0009474F" w:rsidP="0009474F">
      <w:pPr>
        <w:spacing w:line="360" w:lineRule="auto"/>
        <w:jc w:val="center"/>
        <w:rPr>
          <w:rStyle w:val="Strong"/>
          <w:rFonts w:ascii="Arial" w:hAnsi="Arial" w:cs="Arial"/>
          <w:color w:val="1D2125"/>
          <w:sz w:val="40"/>
          <w:szCs w:val="40"/>
        </w:rPr>
      </w:pPr>
      <w:r w:rsidRPr="0009474F">
        <w:rPr>
          <w:rFonts w:ascii="Arial" w:hAnsi="Arial" w:cs="Arial"/>
          <w:b/>
          <w:bCs/>
          <w:color w:val="1D2125"/>
          <w:sz w:val="40"/>
          <w:szCs w:val="40"/>
          <w:shd w:val="clear" w:color="auto" w:fill="FFFFFF"/>
        </w:rPr>
        <w:t>Protecting and Supporting Families in Health and Care</w:t>
      </w:r>
    </w:p>
    <w:p w14:paraId="1B7909EE" w14:textId="77777777" w:rsidR="00D46920" w:rsidRDefault="00D46920" w:rsidP="00D46920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0D7EA3D7" w14:textId="77777777" w:rsidR="00D46920" w:rsidRDefault="00D46920" w:rsidP="00D46920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3C55ACB9" w14:textId="2D9D4964" w:rsidR="00D46920" w:rsidRPr="002C0AF0" w:rsidRDefault="00D46920" w:rsidP="00D46920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  <w:r w:rsidR="002C0AF0">
        <w:rPr>
          <w:rStyle w:val="Strong"/>
          <w:rFonts w:ascii="Arial" w:hAnsi="Arial" w:cs="Arial"/>
          <w:color w:val="1D2125"/>
          <w:sz w:val="32"/>
          <w:szCs w:val="32"/>
        </w:rPr>
        <w:t xml:space="preserve"> </w:t>
      </w:r>
      <w:r w:rsidR="002C0AF0" w:rsidRPr="002C0AF0"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  <w:t>Hajar Muzemil</w:t>
      </w:r>
    </w:p>
    <w:p w14:paraId="3DCFFD10" w14:textId="1BEC94E5" w:rsidR="00D46920" w:rsidRPr="002C0AF0" w:rsidRDefault="00D46920" w:rsidP="00D46920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</w:t>
      </w:r>
      <w:r w:rsidR="002C0AF0">
        <w:rPr>
          <w:rStyle w:val="Strong"/>
          <w:rFonts w:ascii="Arial" w:hAnsi="Arial" w:cs="Arial"/>
          <w:color w:val="1D2125"/>
          <w:sz w:val="32"/>
          <w:szCs w:val="32"/>
        </w:rPr>
        <w:t xml:space="preserve"> </w:t>
      </w:r>
      <w:r w:rsidR="002C0AF0" w:rsidRPr="002C0AF0"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  <w:t>2414545</w:t>
      </w:r>
    </w:p>
    <w:p w14:paraId="123C6D18" w14:textId="1162DFF9" w:rsidR="002C0AF0" w:rsidRPr="002C0AF0" w:rsidRDefault="002C0AF0" w:rsidP="002C0AF0">
      <w:pPr>
        <w:spacing w:line="360" w:lineRule="auto"/>
        <w:rPr>
          <w:rFonts w:ascii="Arial" w:hAnsi="Arial" w:cs="Arial"/>
          <w:color w:val="1D2125"/>
          <w:sz w:val="32"/>
          <w:szCs w:val="32"/>
        </w:rPr>
      </w:pPr>
      <w:r w:rsidRPr="002C0AF0">
        <w:rPr>
          <w:rFonts w:ascii="Arial" w:hAnsi="Arial" w:cs="Arial"/>
          <w:b/>
          <w:bCs/>
          <w:color w:val="1D2125"/>
          <w:sz w:val="32"/>
          <w:szCs w:val="32"/>
        </w:rPr>
        <w:t xml:space="preserve">Assignment Title: </w:t>
      </w:r>
      <w:r w:rsidRPr="002C0AF0">
        <w:rPr>
          <w:rFonts w:ascii="Arial" w:hAnsi="Arial" w:cs="Arial"/>
          <w:color w:val="1D2125"/>
          <w:sz w:val="32"/>
          <w:szCs w:val="32"/>
        </w:rPr>
        <w:t>Component 1</w:t>
      </w:r>
    </w:p>
    <w:p w14:paraId="6F2C3011" w14:textId="094BA1FE" w:rsidR="00D46920" w:rsidRDefault="00D46920" w:rsidP="00D46920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</w:t>
      </w:r>
      <w:r w:rsidR="002C0AF0" w:rsidRPr="002C0AF0"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 xml:space="preserve"> </w:t>
      </w:r>
      <w:r w:rsidR="002C0AF0" w:rsidRPr="002C0AF0">
        <w:rPr>
          <w:rFonts w:ascii="Arial" w:hAnsi="Arial" w:cs="Arial"/>
          <w:color w:val="1D2125"/>
          <w:sz w:val="32"/>
          <w:szCs w:val="32"/>
        </w:rPr>
        <w:t>Amanda Jones</w:t>
      </w:r>
    </w:p>
    <w:p w14:paraId="4482BB93" w14:textId="77777777" w:rsidR="002C0AF0" w:rsidRDefault="0009474F" w:rsidP="0009474F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</w:t>
      </w:r>
    </w:p>
    <w:p w14:paraId="63D39A11" w14:textId="6DA7B03F" w:rsidR="0009474F" w:rsidRPr="0009474F" w:rsidRDefault="002C0AF0" w:rsidP="0009474F">
      <w:pPr>
        <w:spacing w:line="360" w:lineRule="auto"/>
        <w:rPr>
          <w:b/>
          <w:bCs/>
          <w:sz w:val="36"/>
          <w:szCs w:val="36"/>
        </w:rPr>
      </w:pPr>
      <w:r>
        <w:rPr>
          <w:sz w:val="36"/>
          <w:szCs w:val="36"/>
        </w:rPr>
        <w:t xml:space="preserve">                   </w:t>
      </w:r>
      <w:r w:rsidR="0009474F" w:rsidRPr="0009474F">
        <w:rPr>
          <w:b/>
          <w:bCs/>
          <w:sz w:val="36"/>
          <w:szCs w:val="36"/>
        </w:rPr>
        <w:t>Social Worker Role (Child A Case)</w:t>
      </w:r>
    </w:p>
    <w:p w14:paraId="0D3CF38A" w14:textId="77777777" w:rsidR="00D46920" w:rsidRDefault="00D46920" w:rsidP="00D46920">
      <w:pPr>
        <w:spacing w:line="360" w:lineRule="auto"/>
        <w:rPr>
          <w:sz w:val="36"/>
          <w:szCs w:val="36"/>
        </w:rPr>
      </w:pPr>
    </w:p>
    <w:p w14:paraId="36966376" w14:textId="77777777" w:rsidR="00D46920" w:rsidRDefault="00D46920" w:rsidP="00D46920">
      <w:pPr>
        <w:spacing w:line="360" w:lineRule="auto"/>
        <w:rPr>
          <w:rFonts w:ascii="Arial" w:hAnsi="Arial" w:cs="Arial"/>
          <w:sz w:val="36"/>
          <w:szCs w:val="36"/>
        </w:rPr>
      </w:pPr>
    </w:p>
    <w:p w14:paraId="3BE68053" w14:textId="77777777" w:rsidR="00C15ABD" w:rsidRDefault="0009474F" w:rsidP="00D46920">
      <w:pPr>
        <w:spacing w:line="360" w:lineRule="auto"/>
        <w:rPr>
          <w:rFonts w:ascii="Arial" w:hAnsi="Arial" w:cs="Arial"/>
          <w:color w:val="0F9ED5" w:themeColor="accent4"/>
          <w:sz w:val="40"/>
          <w:szCs w:val="40"/>
        </w:rPr>
      </w:pPr>
      <w:r w:rsidRPr="0009474F">
        <w:rPr>
          <w:rFonts w:ascii="Arial" w:hAnsi="Arial" w:cs="Arial"/>
          <w:color w:val="0F9ED5" w:themeColor="accent4"/>
          <w:sz w:val="40"/>
          <w:szCs w:val="40"/>
        </w:rPr>
        <w:t xml:space="preserve">                                </w:t>
      </w:r>
    </w:p>
    <w:p w14:paraId="633DF474" w14:textId="67766F15" w:rsidR="0009474F" w:rsidRPr="0009474F" w:rsidRDefault="00C15ABD" w:rsidP="00D46920">
      <w:pPr>
        <w:spacing w:line="360" w:lineRule="auto"/>
        <w:rPr>
          <w:rFonts w:ascii="Arial" w:hAnsi="Arial" w:cs="Arial"/>
          <w:color w:val="0F9ED5" w:themeColor="accent4"/>
          <w:sz w:val="40"/>
          <w:szCs w:val="40"/>
        </w:rPr>
      </w:pPr>
      <w:r>
        <w:rPr>
          <w:rFonts w:ascii="Arial" w:hAnsi="Arial" w:cs="Arial"/>
          <w:color w:val="0F9ED5" w:themeColor="accent4"/>
          <w:sz w:val="40"/>
          <w:szCs w:val="40"/>
        </w:rPr>
        <w:lastRenderedPageBreak/>
        <w:t xml:space="preserve">                         </w:t>
      </w:r>
      <w:r w:rsidR="0009474F" w:rsidRPr="0009474F">
        <w:rPr>
          <w:rFonts w:ascii="Arial" w:hAnsi="Arial" w:cs="Arial"/>
          <w:color w:val="0F9ED5" w:themeColor="accent4"/>
          <w:sz w:val="40"/>
          <w:szCs w:val="40"/>
        </w:rPr>
        <w:t xml:space="preserve">Reference </w:t>
      </w:r>
    </w:p>
    <w:p w14:paraId="6D7F3B6D" w14:textId="71949795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Bradford Safeguarding Children Partnership (2019) Continuum of Need and Risk Identification Tool. Bradford: Bradford Safeguarding Children Partnership.</w:t>
      </w:r>
    </w:p>
    <w:p w14:paraId="3756B2BA" w14:textId="6C8821FE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Bradford Safeguarding Children Partnership (2020) Resolving Multi Agency Professional Disagreements and Escalation Policy. Bradford: Bradford Safeguarding Children Partnership.</w:t>
      </w:r>
    </w:p>
    <w:p w14:paraId="459A732C" w14:textId="3D8CF8A5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 xml:space="preserve">Brandon, M., Sidebotham, P., Bailey, S., </w:t>
      </w:r>
      <w:proofErr w:type="spellStart"/>
      <w:r w:rsidRPr="0009474F">
        <w:rPr>
          <w:rFonts w:ascii="Arial" w:hAnsi="Arial" w:cs="Arial"/>
          <w:sz w:val="22"/>
          <w:szCs w:val="22"/>
        </w:rPr>
        <w:t>Belderson</w:t>
      </w:r>
      <w:proofErr w:type="spellEnd"/>
      <w:r w:rsidRPr="0009474F">
        <w:rPr>
          <w:rFonts w:ascii="Arial" w:hAnsi="Arial" w:cs="Arial"/>
          <w:sz w:val="22"/>
          <w:szCs w:val="22"/>
        </w:rPr>
        <w:t>, P., Hawley, C., Ellis, C. and Megson, M. (2020) Complexity and challenge: A triennial analysis of serious case reviews 2014–2017. London: Department for Education.</w:t>
      </w:r>
    </w:p>
    <w:p w14:paraId="4DAC6E25" w14:textId="642BB705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Connolly, M. and Katz, I. (2019) Ethical practice in child protection and family services. London: Routledge.</w:t>
      </w:r>
    </w:p>
    <w:p w14:paraId="0657169A" w14:textId="7C1915ED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 xml:space="preserve">Daniel, B., Wassell, S. and Gilligan, R. (2010) Child development for </w:t>
      </w:r>
      <w:proofErr w:type="gramStart"/>
      <w:r w:rsidRPr="0009474F">
        <w:rPr>
          <w:rFonts w:ascii="Arial" w:hAnsi="Arial" w:cs="Arial"/>
          <w:sz w:val="22"/>
          <w:szCs w:val="22"/>
        </w:rPr>
        <w:t>child care</w:t>
      </w:r>
      <w:proofErr w:type="gramEnd"/>
      <w:r w:rsidRPr="0009474F">
        <w:rPr>
          <w:rFonts w:ascii="Arial" w:hAnsi="Arial" w:cs="Arial"/>
          <w:sz w:val="22"/>
          <w:szCs w:val="22"/>
        </w:rPr>
        <w:t xml:space="preserve"> and protection workers. 2nd </w:t>
      </w:r>
      <w:proofErr w:type="spellStart"/>
      <w:r w:rsidRPr="0009474F">
        <w:rPr>
          <w:rFonts w:ascii="Arial" w:hAnsi="Arial" w:cs="Arial"/>
          <w:sz w:val="22"/>
          <w:szCs w:val="22"/>
        </w:rPr>
        <w:t>edn</w:t>
      </w:r>
      <w:proofErr w:type="spellEnd"/>
      <w:r w:rsidRPr="0009474F">
        <w:rPr>
          <w:rFonts w:ascii="Arial" w:hAnsi="Arial" w:cs="Arial"/>
          <w:sz w:val="22"/>
          <w:szCs w:val="22"/>
        </w:rPr>
        <w:t>. London: Jessica Kingsley.</w:t>
      </w:r>
    </w:p>
    <w:p w14:paraId="74EBA16C" w14:textId="696B2081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Davies, C. and Ward, H. (2012) Safeguarding children across services: Messages from research. London: Jessica Kingsley.</w:t>
      </w:r>
    </w:p>
    <w:p w14:paraId="2ADDDE74" w14:textId="4DCAD4FF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Department for Education (2018) Working together to safeguard children: A guide to inter-agency working to safeguard and promote the welfare of children. London: HM Government.</w:t>
      </w:r>
    </w:p>
    <w:p w14:paraId="080F171C" w14:textId="795A1632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Department for Education (2023) Keeping children safe in education. London: HM Government.</w:t>
      </w:r>
    </w:p>
    <w:p w14:paraId="15067BDD" w14:textId="10127B05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Doherty, J. (2023) Local Child Safeguarding Practice Review: Child A. Bradford: Bradford Safeguarding Children Partnership.</w:t>
      </w:r>
    </w:p>
    <w:p w14:paraId="5B49C184" w14:textId="30063639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Featherstone, B., White, S. and Morris, K. (2014) Re-imagining child protection: Towards humane social work with families. Bristol: Policy Press.</w:t>
      </w:r>
    </w:p>
    <w:p w14:paraId="6CF267AF" w14:textId="795B0684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Ferguson, H. (2017) 'How children become invisible in child protection work', Children and Youth Services Review, 76, pp. 101–109.</w:t>
      </w:r>
    </w:p>
    <w:p w14:paraId="218F36E0" w14:textId="3415DFAE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HM Government (1989) Children Act 1989. London: HMSO.</w:t>
      </w:r>
    </w:p>
    <w:p w14:paraId="3B320B07" w14:textId="4632D513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HM Government (2004) Children Act 2004. London: HMSO.</w:t>
      </w:r>
    </w:p>
    <w:p w14:paraId="09DDD4FA" w14:textId="77777777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HM Government (2023) Working Together to Safeguard Children. London: HMSO.</w:t>
      </w:r>
    </w:p>
    <w:p w14:paraId="1F486AC4" w14:textId="77777777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Horwath, J. (2010) The child's world: The comprehensive guide to assessing children in need. London: Jessica Kingsley.</w:t>
      </w:r>
    </w:p>
    <w:p w14:paraId="4F5E0C38" w14:textId="53808D62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lastRenderedPageBreak/>
        <w:t>Jack, G. (2001) 'Ecological perspectives in child protection', Child Abuse Review, 10(4), pp. 248–259.</w:t>
      </w:r>
    </w:p>
    <w:p w14:paraId="4F844E49" w14:textId="05BCB7E1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Laming, H. (2003) The Victoria Climbié Inquiry: Report of an inquiry by Lord Laming. London: HMSO.</w:t>
      </w:r>
    </w:p>
    <w:p w14:paraId="4957996A" w14:textId="33E6ECF5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Munro, E. (2011) The Munro review of child protection: Final report. London: Department for Education.</w:t>
      </w:r>
    </w:p>
    <w:p w14:paraId="1ED5D009" w14:textId="03AE9E59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NSPCC (2022) The myth of invisible men: Learning from case reviews. London: NSPCC.</w:t>
      </w:r>
    </w:p>
    <w:p w14:paraId="4802DFF6" w14:textId="6D152AB1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NSPCC (2023) Neglect: Learning from case reviews. London: NSPCC.</w:t>
      </w:r>
    </w:p>
    <w:p w14:paraId="662700F3" w14:textId="0E6FAB8E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Parton, N. (2014) The politics of child protection: Contemporary developments and future directions. London: Palgrave Macmillan.</w:t>
      </w:r>
    </w:p>
    <w:p w14:paraId="514E23C7" w14:textId="06CD562D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Scott, S. and Ward, H. (2020) Safeguarding children: A practice guide for professionals. London: Jessica Kingsley.</w:t>
      </w:r>
    </w:p>
    <w:p w14:paraId="7345013C" w14:textId="2C79E2C5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 xml:space="preserve">Sidebotham, P., Brandon, M., Bailey, S., </w:t>
      </w:r>
      <w:proofErr w:type="spellStart"/>
      <w:r w:rsidRPr="0009474F">
        <w:rPr>
          <w:rFonts w:ascii="Arial" w:hAnsi="Arial" w:cs="Arial"/>
          <w:sz w:val="22"/>
          <w:szCs w:val="22"/>
        </w:rPr>
        <w:t>Belderson</w:t>
      </w:r>
      <w:proofErr w:type="spellEnd"/>
      <w:r w:rsidRPr="0009474F">
        <w:rPr>
          <w:rFonts w:ascii="Arial" w:hAnsi="Arial" w:cs="Arial"/>
          <w:sz w:val="22"/>
          <w:szCs w:val="22"/>
        </w:rPr>
        <w:t>, P., Hawley, C., Ellis, C. and Megson, M. (2016) Pathways to harm, pathways to protection: A triennial analysis of serious case reviews 2011–2014. London: Department for Education.</w:t>
      </w:r>
    </w:p>
    <w:p w14:paraId="64674640" w14:textId="5AFD5C2F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Turney, D., Platt, D., Selwyn, J. and Farmer, E. (2012) Improving child and family assessments: Turning research into practice. London: Jessica Kingsley.</w:t>
      </w:r>
    </w:p>
    <w:p w14:paraId="169B91B1" w14:textId="44C64EE4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Ward, H., Brown, R. and Hyde-Dryden, G. (2014) Assessing parental capacity to change when children are on the edge of care. London: Research in Practice.</w:t>
      </w:r>
    </w:p>
    <w:p w14:paraId="6E58D427" w14:textId="6930F0E4" w:rsidR="00114199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474F">
        <w:rPr>
          <w:rFonts w:ascii="Arial" w:hAnsi="Arial" w:cs="Arial"/>
          <w:sz w:val="22"/>
          <w:szCs w:val="22"/>
        </w:rPr>
        <w:t>White, S., Wastell, D., Broadhurst, K. and Hall, C. (2010) 'When policy meets practice', British Journal of Social Work, 40(6), pp. 1739–1756.</w:t>
      </w:r>
    </w:p>
    <w:p w14:paraId="17B645CF" w14:textId="77777777" w:rsidR="0009474F" w:rsidRPr="0009474F" w:rsidRDefault="0009474F" w:rsidP="0009474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09474F" w:rsidRPr="000947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35EAF"/>
    <w:multiLevelType w:val="hybridMultilevel"/>
    <w:tmpl w:val="75605F9C"/>
    <w:lvl w:ilvl="0" w:tplc="824655D6">
      <w:start w:val="1"/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7E0968"/>
    <w:multiLevelType w:val="multilevel"/>
    <w:tmpl w:val="E4820C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ascii="Times New Roman" w:eastAsia="Times New Roman" w:hAnsi="Times New Roman" w:cs="Times New Roman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F55746"/>
    <w:multiLevelType w:val="hybridMultilevel"/>
    <w:tmpl w:val="C4684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C354B9"/>
    <w:multiLevelType w:val="hybridMultilevel"/>
    <w:tmpl w:val="B05079CA"/>
    <w:lvl w:ilvl="0" w:tplc="824655D6">
      <w:start w:val="1"/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427507"/>
    <w:multiLevelType w:val="hybridMultilevel"/>
    <w:tmpl w:val="A252A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080395"/>
    <w:multiLevelType w:val="hybridMultilevel"/>
    <w:tmpl w:val="557844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E51AB7"/>
    <w:multiLevelType w:val="hybridMultilevel"/>
    <w:tmpl w:val="476E9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313A6A"/>
    <w:multiLevelType w:val="hybridMultilevel"/>
    <w:tmpl w:val="4F40D174"/>
    <w:lvl w:ilvl="0" w:tplc="824655D6">
      <w:start w:val="1"/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8F6AF8"/>
    <w:multiLevelType w:val="hybridMultilevel"/>
    <w:tmpl w:val="14369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5D016C"/>
    <w:multiLevelType w:val="hybridMultilevel"/>
    <w:tmpl w:val="8BA48804"/>
    <w:lvl w:ilvl="0" w:tplc="824655D6">
      <w:start w:val="1"/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BD1935"/>
    <w:multiLevelType w:val="hybridMultilevel"/>
    <w:tmpl w:val="965A9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E7580C"/>
    <w:multiLevelType w:val="hybridMultilevel"/>
    <w:tmpl w:val="898887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DF15123"/>
    <w:multiLevelType w:val="hybridMultilevel"/>
    <w:tmpl w:val="047679A6"/>
    <w:lvl w:ilvl="0" w:tplc="824655D6">
      <w:start w:val="1"/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8783713">
    <w:abstractNumId w:val="7"/>
  </w:num>
  <w:num w:numId="2" w16cid:durableId="1622766073">
    <w:abstractNumId w:val="3"/>
  </w:num>
  <w:num w:numId="3" w16cid:durableId="521866105">
    <w:abstractNumId w:val="0"/>
  </w:num>
  <w:num w:numId="4" w16cid:durableId="1518612884">
    <w:abstractNumId w:val="9"/>
  </w:num>
  <w:num w:numId="5" w16cid:durableId="1113476408">
    <w:abstractNumId w:val="12"/>
  </w:num>
  <w:num w:numId="6" w16cid:durableId="2142140862">
    <w:abstractNumId w:val="11"/>
  </w:num>
  <w:num w:numId="7" w16cid:durableId="2060398449">
    <w:abstractNumId w:val="1"/>
  </w:num>
  <w:num w:numId="8" w16cid:durableId="1191258451">
    <w:abstractNumId w:val="2"/>
  </w:num>
  <w:num w:numId="9" w16cid:durableId="1457792697">
    <w:abstractNumId w:val="8"/>
  </w:num>
  <w:num w:numId="10" w16cid:durableId="78447588">
    <w:abstractNumId w:val="10"/>
  </w:num>
  <w:num w:numId="11" w16cid:durableId="1342471444">
    <w:abstractNumId w:val="5"/>
  </w:num>
  <w:num w:numId="12" w16cid:durableId="521866661">
    <w:abstractNumId w:val="6"/>
  </w:num>
  <w:num w:numId="13" w16cid:durableId="22842247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199"/>
    <w:rsid w:val="000812B9"/>
    <w:rsid w:val="0009474F"/>
    <w:rsid w:val="000B1AFC"/>
    <w:rsid w:val="00114199"/>
    <w:rsid w:val="002C0AF0"/>
    <w:rsid w:val="002E6E2E"/>
    <w:rsid w:val="00370CBA"/>
    <w:rsid w:val="005C28E8"/>
    <w:rsid w:val="007472D0"/>
    <w:rsid w:val="00804E06"/>
    <w:rsid w:val="00B44499"/>
    <w:rsid w:val="00C15ABD"/>
    <w:rsid w:val="00D205E5"/>
    <w:rsid w:val="00D46920"/>
    <w:rsid w:val="00DC64A2"/>
    <w:rsid w:val="00E83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256403"/>
  <w15:chartTrackingRefBased/>
  <w15:docId w15:val="{0D21DA34-CA0B-5749-8CA9-6912303811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4199"/>
    <w:rPr>
      <w:rFonts w:ascii="Aptos" w:eastAsia="Aptos" w:hAnsi="Aptos" w:cs="Times New Roma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41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41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41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41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41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41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41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41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41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41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41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141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41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41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41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41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41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41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41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41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41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41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41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41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41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41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41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41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419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141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114199"/>
    <w:pPr>
      <w:spacing w:after="0" w:line="240" w:lineRule="auto"/>
    </w:pPr>
    <w:rPr>
      <w:rFonts w:ascii="Aptos" w:eastAsia="Aptos" w:hAnsi="Aptos" w:cs="Times New Roman"/>
      <w14:ligatures w14:val="none"/>
    </w:rPr>
  </w:style>
  <w:style w:type="character" w:styleId="Strong">
    <w:name w:val="Strong"/>
    <w:uiPriority w:val="22"/>
    <w:qFormat/>
    <w:rsid w:val="00114199"/>
    <w:rPr>
      <w:b/>
      <w:bCs/>
    </w:rPr>
  </w:style>
  <w:style w:type="paragraph" w:styleId="NormalWeb">
    <w:name w:val="Normal (Web)"/>
    <w:basedOn w:val="Normal"/>
    <w:uiPriority w:val="99"/>
    <w:unhideWhenUsed/>
    <w:rsid w:val="000B1AFC"/>
    <w:pPr>
      <w:spacing w:before="100" w:beforeAutospacing="1" w:after="100" w:afterAutospacing="1" w:line="240" w:lineRule="auto"/>
    </w:pPr>
    <w:rPr>
      <w:rFonts w:ascii="Times New Roman" w:eastAsia="Times New Roman" w:hAnsi="Times New Roman"/>
      <w:kern w:val="0"/>
      <w:lang w:eastAsia="en-GB"/>
    </w:rPr>
  </w:style>
  <w:style w:type="character" w:customStyle="1" w:styleId="apple-converted-space">
    <w:name w:val="apple-converted-space"/>
    <w:basedOn w:val="DefaultParagraphFont"/>
    <w:rsid w:val="000B1A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536</Words>
  <Characters>3061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Salami</dc:creator>
  <cp:keywords/>
  <dc:description/>
  <cp:lastModifiedBy>Noor Al Kemer Muzemil</cp:lastModifiedBy>
  <cp:revision>3</cp:revision>
  <dcterms:created xsi:type="dcterms:W3CDTF">2026-03-19T23:45:00Z</dcterms:created>
  <dcterms:modified xsi:type="dcterms:W3CDTF">2026-03-19T23:47:00Z</dcterms:modified>
</cp:coreProperties>
</file>