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FE2C06" w14:textId="41F0408D" w:rsidR="00F46CF8" w:rsidRDefault="0001007D">
      <w:r>
        <w:t>Original sin. Does science provide the answers for human kinds sinful nature</w:t>
      </w:r>
      <w:r w:rsidR="008E3E8E">
        <w:t>?</w:t>
      </w:r>
    </w:p>
    <w:p w14:paraId="35C19E35" w14:textId="77777777" w:rsidR="00F46CF8" w:rsidRDefault="00F46CF8"/>
    <w:p w14:paraId="4424D26B" w14:textId="52EBA910" w:rsidR="00541F05" w:rsidRDefault="00541F05">
      <w:r>
        <w:t>Science and religion are often pitted against one another</w:t>
      </w:r>
      <w:r w:rsidR="0064799F">
        <w:t>. Religion can be portrayed as a primordial way of thinking with science now providing the answers for what once could not be understood. Most notably</w:t>
      </w:r>
      <w:r>
        <w:t xml:space="preserve"> Sigm</w:t>
      </w:r>
      <w:r w:rsidR="0064799F">
        <w:t>u</w:t>
      </w:r>
      <w:r>
        <w:t>nd Freud</w:t>
      </w:r>
      <w:r w:rsidR="0064799F">
        <w:t xml:space="preserve"> theorised that religion allowed or kept people in a state of child like response and understanding. He believed that the decline in religion would be as a result of humanity’s strive for adulthood and adopting the scientific approach.</w:t>
      </w:r>
      <w:r w:rsidR="0064799F">
        <w:rPr>
          <w:rStyle w:val="FootnoteReference"/>
        </w:rPr>
        <w:footnoteReference w:id="1"/>
      </w:r>
    </w:p>
    <w:p w14:paraId="092C9A9B" w14:textId="6CC53428" w:rsidR="00541F05" w:rsidRDefault="0081472A">
      <w:r>
        <w:t>However,</w:t>
      </w:r>
      <w:r w:rsidR="00C32A1B">
        <w:t xml:space="preserve"> there are those who believe that science is not to be pitted against religion, but</w:t>
      </w:r>
      <w:r w:rsidR="00E7783C">
        <w:t xml:space="preserve"> instead</w:t>
      </w:r>
      <w:r w:rsidR="00C32A1B">
        <w:t xml:space="preserve"> is a tool</w:t>
      </w:r>
      <w:r w:rsidR="00E7783C">
        <w:t xml:space="preserve"> to be</w:t>
      </w:r>
      <w:r w:rsidR="00C32A1B">
        <w:t xml:space="preserve"> used to compliment</w:t>
      </w:r>
      <w:r w:rsidR="00E7783C">
        <w:t xml:space="preserve"> </w:t>
      </w:r>
      <w:r w:rsidR="00C32A1B">
        <w:t xml:space="preserve">religion. </w:t>
      </w:r>
    </w:p>
    <w:p w14:paraId="67F54386" w14:textId="21D1D031" w:rsidR="00D42596" w:rsidRDefault="005C4936">
      <w:r>
        <w:t xml:space="preserve">As John Lennox once said, </w:t>
      </w:r>
    </w:p>
    <w:p w14:paraId="069E8989" w14:textId="126FF759" w:rsidR="005C4936" w:rsidRDefault="005C4936" w:rsidP="005C4936">
      <w:pPr>
        <w:ind w:left="720"/>
      </w:pPr>
      <w:r>
        <w:t>When Issac newton for example discovered his law of gravity, and wrote down the equations of motion, he didn’t say marvellous I now understand it, I’ve got a mechanism, therefore I don’t need God. In fact it was the exact opposite, it was because he understood the complexity and sophistication of the mathematical description of the universe, that his praise for God was increased.</w:t>
      </w:r>
      <w:r>
        <w:rPr>
          <w:rStyle w:val="FootnoteReference"/>
        </w:rPr>
        <w:footnoteReference w:id="2"/>
      </w:r>
      <w:r>
        <w:t xml:space="preserve">  </w:t>
      </w:r>
    </w:p>
    <w:p w14:paraId="1FE15B3A" w14:textId="46ADD020" w:rsidR="008C50E6" w:rsidRDefault="00114E4C" w:rsidP="005C4936">
      <w:r>
        <w:t>Th</w:t>
      </w:r>
      <w:r w:rsidR="00733505">
        <w:t>is</w:t>
      </w:r>
      <w:r>
        <w:t xml:space="preserve"> essay will explore the subject matter of original </w:t>
      </w:r>
      <w:r w:rsidR="00E7783C">
        <w:t>s</w:t>
      </w:r>
      <w:r>
        <w:t xml:space="preserve">in within </w:t>
      </w:r>
      <w:r w:rsidR="00F226BC">
        <w:t>the book of Genesis</w:t>
      </w:r>
      <w:r>
        <w:t xml:space="preserve"> and compare this to </w:t>
      </w:r>
      <w:r w:rsidR="007042D3">
        <w:t xml:space="preserve">recent </w:t>
      </w:r>
      <w:r>
        <w:t>understanding of disruptive behaviour within children</w:t>
      </w:r>
      <w:r w:rsidR="007042D3">
        <w:t xml:space="preserve">. In comparing </w:t>
      </w:r>
      <w:r w:rsidR="00F92A68">
        <w:t>both</w:t>
      </w:r>
      <w:r w:rsidR="007042D3">
        <w:t xml:space="preserve"> the essay will seek</w:t>
      </w:r>
      <w:r>
        <w:t xml:space="preserve"> to establish if there can be a link or some commonality between </w:t>
      </w:r>
      <w:r w:rsidR="004960F9">
        <w:t>the religious account and the scientific account</w:t>
      </w:r>
      <w:r>
        <w:t xml:space="preserve">. </w:t>
      </w:r>
      <w:r w:rsidR="00E7783C">
        <w:t>It Is important at this juncture to understand that the studies utilised in regards to disruptive behaviour have been chosen as it covers what would be considered the first sin recorded in the biblical texts, that is rule breaking</w:t>
      </w:r>
      <w:r w:rsidR="00AE440E">
        <w:t xml:space="preserve"> although the s</w:t>
      </w:r>
      <w:r w:rsidR="005C11ED">
        <w:t>ource</w:t>
      </w:r>
      <w:r w:rsidR="00AE440E">
        <w:t xml:space="preserve"> does examine </w:t>
      </w:r>
      <w:r w:rsidR="00092AD3">
        <w:t>others</w:t>
      </w:r>
      <w:r w:rsidR="00AE440E">
        <w:t xml:space="preserve"> disruptive behaviours</w:t>
      </w:r>
      <w:r w:rsidR="00E7783C">
        <w:t xml:space="preserve">. Although the </w:t>
      </w:r>
      <w:r w:rsidR="005C11ED">
        <w:t xml:space="preserve">psychological </w:t>
      </w:r>
      <w:r w:rsidR="00E7783C">
        <w:t>studies are tailored to overt disruptive behaviour and include those considered more disruptive it is accepted that disruptive behaviour is universal during early childhood.</w:t>
      </w:r>
      <w:r w:rsidR="00E7783C">
        <w:rPr>
          <w:rStyle w:val="FootnoteReference"/>
        </w:rPr>
        <w:footnoteReference w:id="3"/>
      </w:r>
      <w:r w:rsidR="00E7783C">
        <w:t xml:space="preserve"> </w:t>
      </w:r>
      <w:r w:rsidR="00092AD3">
        <w:t xml:space="preserve">Regardless of their expression of disruptive behaviour and the severity, the issue remains that each child expresses disruptive behaviour at some point. </w:t>
      </w:r>
    </w:p>
    <w:p w14:paraId="6C29502B" w14:textId="30562D6D" w:rsidR="008C50E6" w:rsidRDefault="008C50E6" w:rsidP="005C4936">
      <w:r>
        <w:t>This</w:t>
      </w:r>
      <w:r w:rsidR="00F92A68">
        <w:t xml:space="preserve"> is</w:t>
      </w:r>
      <w:r>
        <w:t xml:space="preserve"> true and aptly described </w:t>
      </w:r>
      <w:r w:rsidR="00FE0AF2">
        <w:t xml:space="preserve">by </w:t>
      </w:r>
      <w:r w:rsidR="006F1E1E">
        <w:t xml:space="preserve">Tremblay when </w:t>
      </w:r>
      <w:r w:rsidR="003B4A4F">
        <w:t xml:space="preserve">explaining </w:t>
      </w:r>
      <w:r w:rsidR="00F92A68">
        <w:t xml:space="preserve">that </w:t>
      </w:r>
      <w:r w:rsidR="003B4A4F">
        <w:t xml:space="preserve">children </w:t>
      </w:r>
      <w:r w:rsidR="00FD4151">
        <w:t xml:space="preserve">run away from their parents as soon as they </w:t>
      </w:r>
      <w:r w:rsidR="003B4A4F">
        <w:t>learn to walk.</w:t>
      </w:r>
      <w:r w:rsidR="003B4A4F">
        <w:rPr>
          <w:rStyle w:val="FootnoteReference"/>
        </w:rPr>
        <w:footnoteReference w:id="4"/>
      </w:r>
      <w:r w:rsidR="00765912">
        <w:t xml:space="preserve"> Tremblay is not the only person to </w:t>
      </w:r>
      <w:r w:rsidR="00C20915">
        <w:t>take</w:t>
      </w:r>
      <w:r w:rsidR="00765912">
        <w:t xml:space="preserve"> note of a </w:t>
      </w:r>
      <w:r w:rsidR="0058318D">
        <w:t>child’s</w:t>
      </w:r>
      <w:r w:rsidR="00765912">
        <w:t xml:space="preserve"> disruptive behaviour from a young age. Charles Darwin </w:t>
      </w:r>
      <w:r w:rsidR="004B3F43">
        <w:t xml:space="preserve">noted </w:t>
      </w:r>
      <w:r w:rsidR="00882EBE">
        <w:t>from as early as eleven months his son passionately</w:t>
      </w:r>
      <w:r w:rsidR="00526C27">
        <w:t xml:space="preserve"> pushing away objects that he did not want</w:t>
      </w:r>
      <w:r w:rsidR="00AC1B12">
        <w:t xml:space="preserve"> as well as </w:t>
      </w:r>
      <w:r w:rsidR="00A01002">
        <w:t xml:space="preserve">attempting to slap a nurse as a result of them removing an item from him. Darwin concluded that the </w:t>
      </w:r>
      <w:r w:rsidR="006E0515">
        <w:t>behaviour</w:t>
      </w:r>
      <w:r w:rsidR="00A01002">
        <w:t xml:space="preserve"> is </w:t>
      </w:r>
      <w:r w:rsidR="006E0515">
        <w:t>instinctive</w:t>
      </w:r>
      <w:r w:rsidR="00A01002">
        <w:t xml:space="preserve">, comparing it to a </w:t>
      </w:r>
      <w:r w:rsidR="006E0515">
        <w:t>young crocodile understanding to snap its jaws.</w:t>
      </w:r>
      <w:r w:rsidR="006E0515">
        <w:rPr>
          <w:rStyle w:val="FootnoteReference"/>
        </w:rPr>
        <w:footnoteReference w:id="5"/>
      </w:r>
      <w:r w:rsidR="006E0515">
        <w:t xml:space="preserve"> </w:t>
      </w:r>
      <w:r w:rsidR="00B565B4">
        <w:t xml:space="preserve">Dawrin’s observations </w:t>
      </w:r>
      <w:r w:rsidR="00F76002">
        <w:t xml:space="preserve">of his </w:t>
      </w:r>
      <w:r w:rsidR="00EC519A">
        <w:t>child’s</w:t>
      </w:r>
      <w:r w:rsidR="00F76002">
        <w:t xml:space="preserve"> disruptive behaviours </w:t>
      </w:r>
      <w:r w:rsidR="006A2B1D">
        <w:t xml:space="preserve">are further supported by </w:t>
      </w:r>
      <w:r w:rsidR="00FA7523">
        <w:t>psychologi</w:t>
      </w:r>
      <w:r w:rsidR="004D3812">
        <w:t>cal studies,</w:t>
      </w:r>
      <w:r w:rsidR="006A2B1D">
        <w:t xml:space="preserve"> now understanding that the </w:t>
      </w:r>
      <w:r w:rsidR="006A2B1D">
        <w:lastRenderedPageBreak/>
        <w:t>anger e</w:t>
      </w:r>
      <w:r w:rsidR="00191711">
        <w:t>motion</w:t>
      </w:r>
      <w:r w:rsidR="006A2B1D">
        <w:t xml:space="preserve"> </w:t>
      </w:r>
      <w:r w:rsidR="00EC519A">
        <w:t>is present from birth or very soon after</w:t>
      </w:r>
      <w:r w:rsidR="00043855">
        <w:t xml:space="preserve"> and can be expressed through facial expressions initially until the motor skills develop to allow physical aggression</w:t>
      </w:r>
      <w:r w:rsidR="00EC519A">
        <w:t>.</w:t>
      </w:r>
      <w:r w:rsidR="00EC519A">
        <w:rPr>
          <w:rStyle w:val="FootnoteReference"/>
        </w:rPr>
        <w:footnoteReference w:id="6"/>
      </w:r>
      <w:r w:rsidR="00EC519A">
        <w:t xml:space="preserve"> </w:t>
      </w:r>
      <w:r w:rsidR="00001B4D">
        <w:t xml:space="preserve"> </w:t>
      </w:r>
    </w:p>
    <w:p w14:paraId="2033A0FE" w14:textId="2E90EF92" w:rsidR="00092AD3" w:rsidRDefault="00BC6ED3" w:rsidP="005C4936">
      <w:r w:rsidRPr="00781CEC">
        <w:t xml:space="preserve">Understanding that disruptive behaviour is at least attributed close to birth is important. The reason for the disruptive behaviour however is where </w:t>
      </w:r>
      <w:r w:rsidR="00AD1999" w:rsidRPr="00781CEC">
        <w:t xml:space="preserve">psychologists have attempted to gain further understanding. </w:t>
      </w:r>
      <w:r w:rsidR="00EA4C21" w:rsidRPr="00781CEC">
        <w:t xml:space="preserve">Through their studies they have established that disruptive behaviours </w:t>
      </w:r>
      <w:r w:rsidR="00EF51E5" w:rsidRPr="00781CEC">
        <w:t xml:space="preserve">have a high heritability of being present </w:t>
      </w:r>
      <w:r w:rsidR="009B434E" w:rsidRPr="00781CEC">
        <w:t>between family, specifically parent to offspring.</w:t>
      </w:r>
      <w:r w:rsidR="007C320F" w:rsidRPr="00781CEC">
        <w:rPr>
          <w:rStyle w:val="FootnoteReference"/>
        </w:rPr>
        <w:footnoteReference w:id="7"/>
      </w:r>
      <w:r w:rsidR="009B434E" w:rsidRPr="00781CEC">
        <w:t xml:space="preserve"> </w:t>
      </w:r>
      <w:r w:rsidR="007C320F" w:rsidRPr="00781CEC">
        <w:t xml:space="preserve">Furthermore studies have also been conducted regarding environmental impacts. These studies did not take into account the genetic </w:t>
      </w:r>
      <w:r w:rsidR="00B301BA" w:rsidRPr="00781CEC">
        <w:t>factors</w:t>
      </w:r>
      <w:r w:rsidR="001B7186" w:rsidRPr="00781CEC">
        <w:t xml:space="preserve"> but t</w:t>
      </w:r>
      <w:r w:rsidR="00B301BA" w:rsidRPr="00781CEC">
        <w:t>hey did identify</w:t>
      </w:r>
      <w:r w:rsidR="00B46B92" w:rsidRPr="00781CEC">
        <w:t xml:space="preserve"> environmental</w:t>
      </w:r>
      <w:r w:rsidR="00B301BA" w:rsidRPr="00781CEC">
        <w:t xml:space="preserve"> risk factors that impacted children with disruptive behaviour.</w:t>
      </w:r>
      <w:r w:rsidR="00B301BA" w:rsidRPr="00781CEC">
        <w:rPr>
          <w:rStyle w:val="FootnoteReference"/>
        </w:rPr>
        <w:footnoteReference w:id="8"/>
      </w:r>
      <w:r w:rsidR="002F4B19" w:rsidRPr="00781CEC">
        <w:t xml:space="preserve"> </w:t>
      </w:r>
      <w:r w:rsidR="00B46B92" w:rsidRPr="00781CEC">
        <w:t>For example as children develop, they not only learn about breaking rules, but how they can break the rules</w:t>
      </w:r>
      <w:r w:rsidR="00781CEC" w:rsidRPr="00781CEC">
        <w:t xml:space="preserve"> learning from their surroundings</w:t>
      </w:r>
      <w:r w:rsidR="00B46B92" w:rsidRPr="00781CEC">
        <w:t>.</w:t>
      </w:r>
      <w:r w:rsidR="00B46B92" w:rsidRPr="00781CEC">
        <w:rPr>
          <w:rStyle w:val="FootnoteReference"/>
        </w:rPr>
        <w:footnoteReference w:id="9"/>
      </w:r>
    </w:p>
    <w:p w14:paraId="072E76B8" w14:textId="5990CD35" w:rsidR="00826775" w:rsidRPr="00CA5EFE" w:rsidRDefault="00826775" w:rsidP="005C4936">
      <w:r>
        <w:t>The compari</w:t>
      </w:r>
      <w:r w:rsidR="00CC3678">
        <w:t>son</w:t>
      </w:r>
      <w:r>
        <w:t xml:space="preserve"> of sin with disruptive behaviour in children is not to </w:t>
      </w:r>
      <w:r w:rsidR="0070300A">
        <w:t xml:space="preserve">say that all children are sinful. This may have traditionally been a thought when having children baptised, </w:t>
      </w:r>
      <w:r w:rsidR="00341CC3">
        <w:t xml:space="preserve">as baptism is seen as the washing away of sins. Today however the </w:t>
      </w:r>
      <w:r w:rsidR="00E65BA7">
        <w:t xml:space="preserve">pastors adopt a </w:t>
      </w:r>
      <w:r w:rsidR="00C877A4">
        <w:t>more silent approach to the nature of baptism, to avoid the language associated with sin and guilt.</w:t>
      </w:r>
      <w:r w:rsidR="00C877A4">
        <w:rPr>
          <w:rStyle w:val="FootnoteReference"/>
        </w:rPr>
        <w:footnoteReference w:id="10"/>
      </w:r>
      <w:r w:rsidR="00C877A4">
        <w:t xml:space="preserve"> </w:t>
      </w:r>
    </w:p>
    <w:p w14:paraId="0FC8FC98" w14:textId="70058D25" w:rsidR="004679E8" w:rsidRDefault="00C877A4" w:rsidP="005C4936">
      <w:r w:rsidRPr="00781CEC">
        <w:drawing>
          <wp:anchor distT="0" distB="0" distL="114300" distR="114300" simplePos="0" relativeHeight="251658240" behindDoc="0" locked="0" layoutInCell="1" allowOverlap="1" wp14:anchorId="67D72A9D" wp14:editId="25317CD5">
            <wp:simplePos x="0" y="0"/>
            <wp:positionH relativeFrom="margin">
              <wp:posOffset>3478530</wp:posOffset>
            </wp:positionH>
            <wp:positionV relativeFrom="paragraph">
              <wp:posOffset>-17145</wp:posOffset>
            </wp:positionV>
            <wp:extent cx="2161540" cy="2867660"/>
            <wp:effectExtent l="0" t="0" r="0" b="8890"/>
            <wp:wrapSquare wrapText="bothSides"/>
            <wp:docPr id="462062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062679"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61540" cy="2867660"/>
                    </a:xfrm>
                    <a:prstGeom prst="rect">
                      <a:avLst/>
                    </a:prstGeom>
                  </pic:spPr>
                </pic:pic>
              </a:graphicData>
            </a:graphic>
            <wp14:sizeRelH relativeFrom="margin">
              <wp14:pctWidth>0</wp14:pctWidth>
            </wp14:sizeRelH>
            <wp14:sizeRelV relativeFrom="margin">
              <wp14:pctHeight>0</wp14:pctHeight>
            </wp14:sizeRelV>
          </wp:anchor>
        </w:drawing>
      </w:r>
      <w:r w:rsidR="00A725FE">
        <w:t xml:space="preserve">Adam and Eve, depicted in figure 1, are </w:t>
      </w:r>
      <w:r w:rsidR="00B2279A">
        <w:t xml:space="preserve">the portrayal </w:t>
      </w:r>
      <w:r w:rsidR="00096170">
        <w:t>of the first humans within the biblical texts and the first</w:t>
      </w:r>
      <w:r w:rsidR="0032313A">
        <w:t xml:space="preserve"> people to display disruptive behaviour</w:t>
      </w:r>
      <w:r w:rsidR="00CA5EFE">
        <w:t>.</w:t>
      </w:r>
      <w:r w:rsidR="00CA5EFE">
        <w:rPr>
          <w:rStyle w:val="FootnoteReference"/>
        </w:rPr>
        <w:footnoteReference w:id="11"/>
      </w:r>
      <w:r w:rsidR="00CA5EFE">
        <w:t xml:space="preserve"> </w:t>
      </w:r>
    </w:p>
    <w:p w14:paraId="1923A479" w14:textId="7C78AA6A" w:rsidR="00052C27" w:rsidRDefault="00071993" w:rsidP="005C4936">
      <w:r>
        <w:rPr>
          <w:noProof/>
        </w:rPr>
        <mc:AlternateContent>
          <mc:Choice Requires="wps">
            <w:drawing>
              <wp:anchor distT="0" distB="0" distL="114300" distR="114300" simplePos="0" relativeHeight="251660288" behindDoc="1" locked="0" layoutInCell="1" allowOverlap="1" wp14:anchorId="38635719" wp14:editId="2FDA4806">
                <wp:simplePos x="0" y="0"/>
                <wp:positionH relativeFrom="margin">
                  <wp:posOffset>3474720</wp:posOffset>
                </wp:positionH>
                <wp:positionV relativeFrom="paragraph">
                  <wp:posOffset>2211705</wp:posOffset>
                </wp:positionV>
                <wp:extent cx="2161540" cy="144780"/>
                <wp:effectExtent l="0" t="0" r="0" b="7620"/>
                <wp:wrapTight wrapText="bothSides">
                  <wp:wrapPolygon edited="0">
                    <wp:start x="0" y="0"/>
                    <wp:lineTo x="0" y="19895"/>
                    <wp:lineTo x="21321" y="19895"/>
                    <wp:lineTo x="21321" y="0"/>
                    <wp:lineTo x="0" y="0"/>
                  </wp:wrapPolygon>
                </wp:wrapTight>
                <wp:docPr id="385898354" name="Text Box 1"/>
                <wp:cNvGraphicFramePr/>
                <a:graphic xmlns:a="http://schemas.openxmlformats.org/drawingml/2006/main">
                  <a:graphicData uri="http://schemas.microsoft.com/office/word/2010/wordprocessingShape">
                    <wps:wsp>
                      <wps:cNvSpPr txBox="1"/>
                      <wps:spPr>
                        <a:xfrm>
                          <a:off x="0" y="0"/>
                          <a:ext cx="2161540" cy="144780"/>
                        </a:xfrm>
                        <a:prstGeom prst="rect">
                          <a:avLst/>
                        </a:prstGeom>
                        <a:solidFill>
                          <a:prstClr val="white"/>
                        </a:solidFill>
                        <a:ln>
                          <a:noFill/>
                        </a:ln>
                      </wps:spPr>
                      <wps:txbx>
                        <w:txbxContent>
                          <w:p w14:paraId="3DB77239" w14:textId="16336D5E" w:rsidR="006D7F88" w:rsidRPr="00932229" w:rsidRDefault="006D7F88" w:rsidP="006D7F88">
                            <w:pPr>
                              <w:pStyle w:val="Caption"/>
                              <w:rPr>
                                <w:sz w:val="22"/>
                                <w:szCs w:val="22"/>
                              </w:rPr>
                            </w:pPr>
                            <w:r>
                              <w:t xml:space="preserve">Figure </w:t>
                            </w:r>
                            <w:r>
                              <w:fldChar w:fldCharType="begin"/>
                            </w:r>
                            <w:r>
                              <w:instrText xml:space="preserve"> SEQ Figure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8635719" id="_x0000_t202" coordsize="21600,21600" o:spt="202" path="m,l,21600r21600,l21600,xe">
                <v:stroke joinstyle="miter"/>
                <v:path gradientshapeok="t" o:connecttype="rect"/>
              </v:shapetype>
              <v:shape id="Text Box 1" o:spid="_x0000_s1026" type="#_x0000_t202" style="position:absolute;margin-left:273.6pt;margin-top:174.15pt;width:170.2pt;height:11.4pt;z-index:-2516561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" stroked="f">
                <v:textbox inset="0,0,0,0">
                  <w:txbxContent>
                    <w:p w14:paraId="3DB77239" w14:textId="16336D5E" w:rsidR="006D7F88" w:rsidRPr="00932229" w:rsidRDefault="006D7F88" w:rsidP="006D7F88">
                      <w:pPr>
                        <w:pStyle w:val="Caption"/>
                        <w:rPr>
                          <w:sz w:val="22"/>
                          <w:szCs w:val="22"/>
                        </w:rPr>
                      </w:pPr>
                      <w:r>
                        <w:t xml:space="preserve">Figure </w:t>
                      </w:r>
                      <w:r>
                        <w:fldChar w:fldCharType="begin"/>
                      </w:r>
                      <w:r>
                        <w:instrText xml:space="preserve"> SEQ Figure \* ARABIC </w:instrText>
                      </w:r>
                      <w:r>
                        <w:fldChar w:fldCharType="separate"/>
                      </w:r>
                      <w:r>
                        <w:rPr>
                          <w:noProof/>
                        </w:rPr>
                        <w:t>1</w:t>
                      </w:r>
                      <w:r>
                        <w:fldChar w:fldCharType="end"/>
                      </w:r>
                    </w:p>
                  </w:txbxContent>
                </v:textbox>
                <w10:wrap type="tight" anchorx="margin"/>
              </v:shape>
            </w:pict>
          </mc:Fallback>
        </mc:AlternateContent>
      </w:r>
      <w:r w:rsidR="006003FE">
        <w:t xml:space="preserve">Some liken the story of Genesis </w:t>
      </w:r>
      <w:r w:rsidR="00FA67D9">
        <w:t>to a myth</w:t>
      </w:r>
      <w:r w:rsidR="00BE3F89">
        <w:t xml:space="preserve">, a way of portraying </w:t>
      </w:r>
      <w:r w:rsidR="00544246">
        <w:t xml:space="preserve">a story as to </w:t>
      </w:r>
      <w:r w:rsidR="00A46932">
        <w:t>mankind’s</w:t>
      </w:r>
      <w:r w:rsidR="00544246">
        <w:t xml:space="preserve"> nature. </w:t>
      </w:r>
      <w:r w:rsidR="00CE1C71">
        <w:t>Jordan</w:t>
      </w:r>
      <w:r w:rsidR="00544246">
        <w:t xml:space="preserve"> </w:t>
      </w:r>
      <w:r w:rsidR="00CE1C71">
        <w:t>B.</w:t>
      </w:r>
      <w:r w:rsidR="00544246">
        <w:t xml:space="preserve"> Paterson </w:t>
      </w:r>
      <w:r w:rsidR="00C32A37">
        <w:t>interprets</w:t>
      </w:r>
      <w:r w:rsidR="00544246">
        <w:t xml:space="preserve"> the </w:t>
      </w:r>
      <w:r w:rsidR="005A4534">
        <w:t xml:space="preserve">snake for instances as representing chaos within the garden of </w:t>
      </w:r>
      <w:r w:rsidR="00A46932">
        <w:t>E</w:t>
      </w:r>
      <w:r w:rsidR="005A4534">
        <w:t>den</w:t>
      </w:r>
      <w:r w:rsidR="00FA7077">
        <w:t xml:space="preserve"> or within </w:t>
      </w:r>
      <w:r w:rsidR="00266CDB">
        <w:t>man</w:t>
      </w:r>
      <w:r w:rsidR="005A4534">
        <w:t xml:space="preserve">. The ying and yang symbol, in that perfection cannot be </w:t>
      </w:r>
      <w:r w:rsidR="00A46932">
        <w:t>achieved without chaos being present.</w:t>
      </w:r>
      <w:r w:rsidR="00A46932">
        <w:rPr>
          <w:rStyle w:val="FootnoteReference"/>
        </w:rPr>
        <w:footnoteReference w:id="12"/>
      </w:r>
      <w:r w:rsidR="004679E8">
        <w:t xml:space="preserve"> Rationale for </w:t>
      </w:r>
      <w:r w:rsidR="001B21AD">
        <w:t>the account</w:t>
      </w:r>
      <w:r w:rsidR="004679E8">
        <w:t xml:space="preserve"> merely being a depiction rather than true is because t</w:t>
      </w:r>
      <w:r w:rsidR="004679E8">
        <w:t xml:space="preserve">he word Adam within Genesis can </w:t>
      </w:r>
      <w:r w:rsidR="007E3BE4">
        <w:t xml:space="preserve">be used </w:t>
      </w:r>
      <w:r w:rsidR="00B11A6A">
        <w:t>to represent Adam the man, singular, and Adam as mankind</w:t>
      </w:r>
      <w:r w:rsidR="004679E8">
        <w:t>.</w:t>
      </w:r>
      <w:r w:rsidR="004679E8">
        <w:rPr>
          <w:rStyle w:val="FootnoteReference"/>
        </w:rPr>
        <w:footnoteReference w:id="13"/>
      </w:r>
      <w:r w:rsidR="004679E8">
        <w:t xml:space="preserve"> </w:t>
      </w:r>
      <w:r w:rsidR="00E7783C">
        <w:t xml:space="preserve">  </w:t>
      </w:r>
    </w:p>
    <w:p w14:paraId="638D2806" w14:textId="63CA473B" w:rsidR="00610445" w:rsidRDefault="0022321A" w:rsidP="005C4936">
      <w:r>
        <w:t xml:space="preserve">Something that all church </w:t>
      </w:r>
      <w:r w:rsidR="00611F25">
        <w:t>fathers</w:t>
      </w:r>
      <w:r>
        <w:t xml:space="preserve"> can agree on is that all humans sin, and all are marked with the stain of Sin.</w:t>
      </w:r>
      <w:r w:rsidR="00611F25">
        <w:rPr>
          <w:rStyle w:val="FootnoteReference"/>
        </w:rPr>
        <w:footnoteReference w:id="14"/>
      </w:r>
      <w:r w:rsidR="00293814">
        <w:t xml:space="preserve"> That is a statement difficult to disagree as it is </w:t>
      </w:r>
      <w:r w:rsidR="007D7860">
        <w:t>written in the</w:t>
      </w:r>
      <w:r w:rsidR="00BD57B1">
        <w:t xml:space="preserve"> </w:t>
      </w:r>
      <w:r w:rsidR="00A01EE5">
        <w:t>New Testament</w:t>
      </w:r>
      <w:r w:rsidR="00BD57B1">
        <w:t xml:space="preserve"> of the </w:t>
      </w:r>
      <w:r w:rsidR="007D7860">
        <w:t xml:space="preserve">Christian Bible, Romans 3:23 ‘For all </w:t>
      </w:r>
      <w:r w:rsidR="007D7860">
        <w:lastRenderedPageBreak/>
        <w:t>have sinned and fallen short of the glory</w:t>
      </w:r>
      <w:r w:rsidR="00C1420E">
        <w:t xml:space="preserve"> of God’.</w:t>
      </w:r>
      <w:r>
        <w:t xml:space="preserve"> What is contested however is how we </w:t>
      </w:r>
      <w:r w:rsidR="00C1420E">
        <w:t>have fallen short</w:t>
      </w:r>
      <w:r w:rsidR="009F559A">
        <w:t xml:space="preserve"> and </w:t>
      </w:r>
      <w:r w:rsidR="00C1420E">
        <w:t>into sin.</w:t>
      </w:r>
    </w:p>
    <w:p w14:paraId="42BE19EB" w14:textId="125D426D" w:rsidR="00610445" w:rsidRDefault="00610445" w:rsidP="005C4936">
      <w:r>
        <w:t xml:space="preserve">When studying original </w:t>
      </w:r>
      <w:r w:rsidR="00DE3D03">
        <w:t>sin,</w:t>
      </w:r>
      <w:r>
        <w:t xml:space="preserve"> it b</w:t>
      </w:r>
      <w:r w:rsidR="000D1EAB">
        <w:t>ecomes</w:t>
      </w:r>
      <w:r>
        <w:t xml:space="preserve"> apparent that there</w:t>
      </w:r>
      <w:r w:rsidR="0085214B">
        <w:t xml:space="preserve"> two</w:t>
      </w:r>
      <w:r>
        <w:t xml:space="preserve"> main theories considered</w:t>
      </w:r>
      <w:r w:rsidR="00C052C5">
        <w:t xml:space="preserve">, often amongst scholars these theories are polarised and </w:t>
      </w:r>
      <w:r w:rsidR="000D1EAB">
        <w:t xml:space="preserve">it is felt it </w:t>
      </w:r>
      <w:r w:rsidR="00C052C5">
        <w:t>must be one o</w:t>
      </w:r>
      <w:r w:rsidR="00071993">
        <w:t>r</w:t>
      </w:r>
      <w:r w:rsidR="00C052C5">
        <w:t xml:space="preserve"> the other.</w:t>
      </w:r>
      <w:r w:rsidR="006A45DF">
        <w:rPr>
          <w:rStyle w:val="FootnoteReference"/>
        </w:rPr>
        <w:footnoteReference w:id="15"/>
      </w:r>
      <w:r w:rsidR="00C052C5">
        <w:t xml:space="preserve"> </w:t>
      </w:r>
      <w:r w:rsidR="00E36251">
        <w:t xml:space="preserve">The theories are, </w:t>
      </w:r>
      <w:r w:rsidR="00DE3D03">
        <w:t>social</w:t>
      </w:r>
      <w:r w:rsidR="00E36251">
        <w:t xml:space="preserve"> conditioning </w:t>
      </w:r>
      <w:r w:rsidR="003C0101">
        <w:t xml:space="preserve">for example </w:t>
      </w:r>
      <w:r w:rsidR="0075408C">
        <w:t xml:space="preserve">environmental factors that result in one becoming conditioned to the sinful nature or the world based on other </w:t>
      </w:r>
      <w:r w:rsidR="00DE3D03">
        <w:t>human’s</w:t>
      </w:r>
      <w:r w:rsidR="0075408C">
        <w:t xml:space="preserve"> sin.</w:t>
      </w:r>
      <w:r w:rsidR="00AF6427">
        <w:rPr>
          <w:rStyle w:val="FootnoteReference"/>
        </w:rPr>
        <w:footnoteReference w:id="16"/>
      </w:r>
      <w:r w:rsidR="0075408C">
        <w:t xml:space="preserve"> The other being</w:t>
      </w:r>
      <w:r w:rsidR="00E36251">
        <w:t xml:space="preserve"> </w:t>
      </w:r>
      <w:r w:rsidR="0085214B">
        <w:t>inheritance</w:t>
      </w:r>
      <w:r w:rsidR="0075408C">
        <w:t xml:space="preserve">, whereby we have inherited our sinful nature because of our ancestors. </w:t>
      </w:r>
      <w:r w:rsidR="000B4152">
        <w:t xml:space="preserve">In the article </w:t>
      </w:r>
      <w:r w:rsidR="004A7FB3">
        <w:t xml:space="preserve">Original sin, Human evolution and Gene culture interactions it is explained that scientists are also looking at </w:t>
      </w:r>
      <w:r w:rsidR="00DE3D03">
        <w:t>how potentially sinful actions are passed down genetically, making some people more susceptible to sinful actions than others.</w:t>
      </w:r>
      <w:r w:rsidR="00050489">
        <w:rPr>
          <w:rStyle w:val="FootnoteReference"/>
        </w:rPr>
        <w:footnoteReference w:id="17"/>
      </w:r>
      <w:r w:rsidR="00796199">
        <w:t xml:space="preserve"> The terminology of Sin within this work is attributed to acts one might consider sinful, such as racism or </w:t>
      </w:r>
      <w:r w:rsidR="004B11B3">
        <w:t xml:space="preserve">violence. </w:t>
      </w:r>
    </w:p>
    <w:p w14:paraId="3661F695" w14:textId="77AFE372" w:rsidR="001B34A6" w:rsidRDefault="00AE4410" w:rsidP="005C4936">
      <w:r>
        <w:t xml:space="preserve">What becomes evident is that from </w:t>
      </w:r>
      <w:r w:rsidR="00803BA6">
        <w:t xml:space="preserve">scholarly debate and discussion </w:t>
      </w:r>
      <w:r w:rsidR="00C9170F">
        <w:t>these two theories are those that are accepted to be responsible for the sinful nature of humankind as a Christian would describe.</w:t>
      </w:r>
      <w:r w:rsidR="001B34A6">
        <w:t xml:space="preserve"> When considering the two theological theories, and comparing these two to the earlier studies regarding disruptive behaviour, it could be said that the</w:t>
      </w:r>
      <w:r w:rsidR="004B11B3">
        <w:t xml:space="preserve"> characteristics of each form a part </w:t>
      </w:r>
      <w:r w:rsidR="00285A7E">
        <w:t xml:space="preserve">of disruptive behaviour and sin. </w:t>
      </w:r>
    </w:p>
    <w:p w14:paraId="1E997B91" w14:textId="063E2F63" w:rsidR="00AE4410" w:rsidRDefault="00285A7E" w:rsidP="005C4936">
      <w:r>
        <w:t xml:space="preserve">When </w:t>
      </w:r>
      <w:r w:rsidR="00B1750B">
        <w:t>consider</w:t>
      </w:r>
      <w:r>
        <w:t>ing</w:t>
      </w:r>
      <w:r w:rsidR="00B1750B">
        <w:t xml:space="preserve"> the theological account there is </w:t>
      </w:r>
      <w:r w:rsidR="0041451A">
        <w:t xml:space="preserve">hereditary sin, along with environmental impacts that both can contribute to the sinful nature of mankind just </w:t>
      </w:r>
      <w:r w:rsidR="00795FE3">
        <w:t>as those that are found in disruptive behaviour</w:t>
      </w:r>
      <w:r w:rsidR="0041451A">
        <w:t xml:space="preserve">. </w:t>
      </w:r>
      <w:r w:rsidR="00F56A4B">
        <w:t xml:space="preserve">When considering the science, and applying this to the Genesis 3 account there </w:t>
      </w:r>
      <w:r w:rsidR="0098306A">
        <w:t>are parallels</w:t>
      </w:r>
      <w:r w:rsidR="00F56A4B">
        <w:t xml:space="preserve"> between the two. </w:t>
      </w:r>
    </w:p>
    <w:p w14:paraId="0D3E877D" w14:textId="7BAE1146" w:rsidR="00F56A4B" w:rsidRDefault="00C14C6E" w:rsidP="005C4936">
      <w:r>
        <w:t>There are environmental impacts within the Genesi</w:t>
      </w:r>
      <w:r w:rsidR="00EF4404">
        <w:t>s</w:t>
      </w:r>
      <w:r>
        <w:t xml:space="preserve"> 3 account. Adam and Eve find themselves </w:t>
      </w:r>
      <w:r w:rsidR="00936E7C">
        <w:t xml:space="preserve">in </w:t>
      </w:r>
      <w:r w:rsidR="00610705">
        <w:t xml:space="preserve">an environment, the garden of </w:t>
      </w:r>
      <w:r w:rsidR="00936E7C">
        <w:t>Eden</w:t>
      </w:r>
      <w:r w:rsidR="00610705">
        <w:t xml:space="preserve">. Within this garden </w:t>
      </w:r>
      <w:r w:rsidR="00936E7C">
        <w:t>they are instructed not to eat of one particular tree, the tree of the knowledge of good and evil.</w:t>
      </w:r>
      <w:r w:rsidR="003411CC">
        <w:rPr>
          <w:rStyle w:val="FootnoteReference"/>
        </w:rPr>
        <w:footnoteReference w:id="18"/>
      </w:r>
      <w:r w:rsidR="00936E7C">
        <w:t xml:space="preserve"> </w:t>
      </w:r>
      <w:r w:rsidR="003411CC">
        <w:t xml:space="preserve">Also forming </w:t>
      </w:r>
      <w:r w:rsidR="00E30EA6">
        <w:t xml:space="preserve">part of </w:t>
      </w:r>
      <w:r w:rsidR="003411CC">
        <w:t>the environment which is the serpent</w:t>
      </w:r>
      <w:r w:rsidR="00F11016">
        <w:t>.</w:t>
      </w:r>
      <w:r w:rsidR="00A4011F">
        <w:rPr>
          <w:rStyle w:val="FootnoteReference"/>
        </w:rPr>
        <w:footnoteReference w:id="19"/>
      </w:r>
      <w:r w:rsidR="00F11016">
        <w:t xml:space="preserve"> Had the serpent not been present and prompting </w:t>
      </w:r>
      <w:r w:rsidR="00123443">
        <w:t xml:space="preserve">them </w:t>
      </w:r>
      <w:r w:rsidR="00F11016">
        <w:t xml:space="preserve">would Adam and Eve </w:t>
      </w:r>
      <w:r w:rsidR="00123443">
        <w:t xml:space="preserve">have eaten from the fruit, or would they have </w:t>
      </w:r>
      <w:r w:rsidR="0039142F">
        <w:t xml:space="preserve">obeyed the instruction. </w:t>
      </w:r>
      <w:r w:rsidR="00A50241">
        <w:t xml:space="preserve">Just as found among children with disruptive behaviour that they </w:t>
      </w:r>
      <w:r w:rsidR="00E21706">
        <w:t xml:space="preserve">learn how to break rules as they grow, so Adam and Eve learnt that they too could break the rules. </w:t>
      </w:r>
      <w:r w:rsidR="00E21706">
        <w:rPr>
          <w:rStyle w:val="FootnoteReference"/>
        </w:rPr>
        <w:footnoteReference w:id="20"/>
      </w:r>
    </w:p>
    <w:p w14:paraId="47D5D95E" w14:textId="1A6E5DBB" w:rsidR="00114E4C" w:rsidRDefault="0039142F" w:rsidP="005C4936">
      <w:r>
        <w:t xml:space="preserve">In explanation as to why all of humankind is considered to have sinned and fallen short, it could be considered, if </w:t>
      </w:r>
      <w:r w:rsidR="00485DFB">
        <w:t>humans</w:t>
      </w:r>
      <w:r>
        <w:t xml:space="preserve"> are all genetically linked to </w:t>
      </w:r>
      <w:r w:rsidR="00203384">
        <w:t xml:space="preserve">Adam and Eve in some fashion, then as per the disruptive behaviour study, one would expect the modern human to have inherited </w:t>
      </w:r>
      <w:r w:rsidR="00015564">
        <w:t xml:space="preserve">the disruptive behaviour through genetics. </w:t>
      </w:r>
    </w:p>
    <w:p w14:paraId="0C9BB91D" w14:textId="1EFBB07E" w:rsidR="002B0FB1" w:rsidRDefault="00A326D0" w:rsidP="005C4936">
      <w:r>
        <w:lastRenderedPageBreak/>
        <w:t>In response to the earlier question posed, does science provide the answer to original sin? S</w:t>
      </w:r>
      <w:r w:rsidR="002B0FB1">
        <w:t>cience</w:t>
      </w:r>
      <w:r>
        <w:t xml:space="preserve"> can</w:t>
      </w:r>
      <w:r w:rsidR="002B0FB1">
        <w:t xml:space="preserve"> provide some </w:t>
      </w:r>
      <w:r w:rsidR="00DC5C35">
        <w:t>explanation</w:t>
      </w:r>
      <w:r w:rsidR="002B0FB1">
        <w:t xml:space="preserve"> to </w:t>
      </w:r>
      <w:r w:rsidR="005518E6">
        <w:t>humankind’s</w:t>
      </w:r>
      <w:r w:rsidR="00954B64">
        <w:t xml:space="preserve"> sinful nature, in that we can understand what impacts the desire for disruptive behaviour</w:t>
      </w:r>
      <w:r w:rsidR="00DC5C35">
        <w:t xml:space="preserve"> and it is not a one size fits all</w:t>
      </w:r>
      <w:r w:rsidR="00954B64">
        <w:t xml:space="preserve">. </w:t>
      </w:r>
      <w:r w:rsidR="00076080">
        <w:t>However,</w:t>
      </w:r>
      <w:r w:rsidR="00954B64">
        <w:t xml:space="preserve"> what</w:t>
      </w:r>
      <w:r w:rsidR="00EF4067">
        <w:t xml:space="preserve"> is </w:t>
      </w:r>
      <w:r w:rsidR="00954B64">
        <w:t xml:space="preserve">left is </w:t>
      </w:r>
      <w:r w:rsidR="00305B88">
        <w:t xml:space="preserve">the question of </w:t>
      </w:r>
      <w:r w:rsidR="00954B64">
        <w:t>why</w:t>
      </w:r>
      <w:r w:rsidR="00305B88">
        <w:t xml:space="preserve"> </w:t>
      </w:r>
      <w:r w:rsidR="008D25E1">
        <w:t xml:space="preserve">or how </w:t>
      </w:r>
      <w:r w:rsidR="00305B88">
        <w:t xml:space="preserve">disruptive behaviour </w:t>
      </w:r>
      <w:r w:rsidR="008D25E1">
        <w:t>came to be in</w:t>
      </w:r>
      <w:r w:rsidR="00305B88">
        <w:t xml:space="preserve"> the first place</w:t>
      </w:r>
      <w:r w:rsidR="00954B64">
        <w:t xml:space="preserve">. </w:t>
      </w:r>
      <w:r w:rsidR="007663EA">
        <w:t xml:space="preserve">If it were instinctive and to fit the evolutionary model </w:t>
      </w:r>
      <w:r w:rsidR="006E5A45">
        <w:t xml:space="preserve">proposed by Darwin </w:t>
      </w:r>
      <w:r w:rsidR="007663EA">
        <w:t xml:space="preserve">then what purpose would rule breaking </w:t>
      </w:r>
      <w:r w:rsidR="006E5A45">
        <w:t>serve to survive.</w:t>
      </w:r>
      <w:r w:rsidR="008D25E1">
        <w:rPr>
          <w:rStyle w:val="FootnoteReference"/>
        </w:rPr>
        <w:footnoteReference w:id="21"/>
      </w:r>
      <w:r w:rsidR="00076080">
        <w:t xml:space="preserve"> </w:t>
      </w:r>
      <w:r w:rsidR="006E5A45">
        <w:t xml:space="preserve">This is a gap that science currently is unable to </w:t>
      </w:r>
      <w:r w:rsidR="00D91109">
        <w:t xml:space="preserve">answer. </w:t>
      </w:r>
    </w:p>
    <w:p w14:paraId="7110BCF2" w14:textId="324FE9FE" w:rsidR="005C4936" w:rsidRDefault="00114E4C" w:rsidP="005C4936">
      <w:r>
        <w:t>As Lennox explains Christians are often guilty of using a God of the gaps to tackle difficult subjects, these gaps are sometimes closed by science. However, he explains that there are gaps that science opens.</w:t>
      </w:r>
      <w:r>
        <w:rPr>
          <w:rStyle w:val="FootnoteReference"/>
        </w:rPr>
        <w:footnoteReference w:id="22"/>
      </w:r>
      <w:r>
        <w:t xml:space="preserve"> </w:t>
      </w:r>
      <w:r w:rsidR="00CA26C5">
        <w:t xml:space="preserve">The answer as to why and how is </w:t>
      </w:r>
      <w:r w:rsidR="00437E5E">
        <w:t xml:space="preserve">therefore is a gap that remains open, and may be best </w:t>
      </w:r>
      <w:r w:rsidR="005518E6">
        <w:t>considered</w:t>
      </w:r>
      <w:r w:rsidR="00437E5E">
        <w:t xml:space="preserve"> through </w:t>
      </w:r>
      <w:r w:rsidR="005518E6">
        <w:t xml:space="preserve">the </w:t>
      </w:r>
      <w:r w:rsidR="00437E5E">
        <w:t xml:space="preserve">biblical texts. </w:t>
      </w:r>
    </w:p>
    <w:p w14:paraId="4CBD84BF" w14:textId="607506C4" w:rsidR="00235A6E" w:rsidRDefault="00235A6E" w:rsidP="005C4936">
      <w:r>
        <w:t xml:space="preserve">During the writing of this essay AI has not been used, all sources are recorded within the Bibliography. </w:t>
      </w:r>
    </w:p>
    <w:p w14:paraId="34EF6096" w14:textId="2174557C" w:rsidR="00E746F2" w:rsidRPr="00E746F2" w:rsidRDefault="00E746F2" w:rsidP="005C4936">
      <w:pPr>
        <w:rPr>
          <w:i/>
          <w:iCs/>
        </w:rPr>
      </w:pPr>
      <w:r>
        <w:tab/>
      </w:r>
      <w:r>
        <w:tab/>
      </w:r>
      <w:r>
        <w:tab/>
      </w:r>
      <w:r>
        <w:tab/>
      </w:r>
      <w:r>
        <w:tab/>
      </w:r>
      <w:r>
        <w:tab/>
      </w:r>
      <w:r>
        <w:tab/>
      </w:r>
      <w:r>
        <w:tab/>
      </w:r>
      <w:r>
        <w:tab/>
      </w:r>
      <w:r w:rsidR="00114484">
        <w:tab/>
      </w:r>
      <w:r>
        <w:rPr>
          <w:i/>
          <w:iCs/>
        </w:rPr>
        <w:t>Word count 1784.</w:t>
      </w:r>
    </w:p>
    <w:p w14:paraId="3998E376" w14:textId="77777777" w:rsidR="00541F05" w:rsidRDefault="00541F05" w:rsidP="005C4936"/>
    <w:p w14:paraId="1C8ADF48" w14:textId="77777777" w:rsidR="00076080" w:rsidRDefault="00076080" w:rsidP="005C4936"/>
    <w:p w14:paraId="44D85F9F" w14:textId="77777777" w:rsidR="00076080" w:rsidRDefault="00076080" w:rsidP="005C4936"/>
    <w:p w14:paraId="149227FC" w14:textId="77777777" w:rsidR="00076080" w:rsidRDefault="00076080" w:rsidP="005C4936"/>
    <w:p w14:paraId="21FD01D1" w14:textId="77777777" w:rsidR="00076080" w:rsidRDefault="00076080" w:rsidP="005C4936"/>
    <w:p w14:paraId="3F11EEDC" w14:textId="77777777" w:rsidR="00076080" w:rsidRDefault="00076080" w:rsidP="005C4936"/>
    <w:p w14:paraId="1D0EDBF7" w14:textId="77777777" w:rsidR="00076080" w:rsidRDefault="00076080" w:rsidP="005C4936"/>
    <w:p w14:paraId="0AAA10CD" w14:textId="77777777" w:rsidR="00076080" w:rsidRDefault="00076080" w:rsidP="005C4936"/>
    <w:p w14:paraId="488052D6" w14:textId="77777777" w:rsidR="00076080" w:rsidRDefault="00076080" w:rsidP="005C4936"/>
    <w:p w14:paraId="7FBD22F9" w14:textId="77777777" w:rsidR="00076080" w:rsidRDefault="00076080" w:rsidP="005C4936"/>
    <w:p w14:paraId="413FD79F" w14:textId="77777777" w:rsidR="00076080" w:rsidRDefault="00076080" w:rsidP="005C4936"/>
    <w:p w14:paraId="309A9B20" w14:textId="77777777" w:rsidR="00076080" w:rsidRDefault="00076080" w:rsidP="005C4936"/>
    <w:p w14:paraId="7FB3439A" w14:textId="77777777" w:rsidR="00076080" w:rsidRDefault="00076080" w:rsidP="005C4936"/>
    <w:p w14:paraId="68852358" w14:textId="77777777" w:rsidR="00076080" w:rsidRDefault="00076080" w:rsidP="005C4936"/>
    <w:p w14:paraId="4C6193D3" w14:textId="77777777" w:rsidR="00076080" w:rsidRDefault="00076080" w:rsidP="005C4936"/>
    <w:p w14:paraId="4B2EF633" w14:textId="77777777" w:rsidR="00782B7B" w:rsidRDefault="00782B7B" w:rsidP="005C4936"/>
    <w:p w14:paraId="020E4C4A" w14:textId="77777777" w:rsidR="00076080" w:rsidRDefault="00076080" w:rsidP="005C4936"/>
    <w:p w14:paraId="5045217F" w14:textId="61F52DB8" w:rsidR="00076080" w:rsidRPr="00782B7B" w:rsidRDefault="00076080" w:rsidP="005C4936">
      <w:pPr>
        <w:rPr>
          <w:b/>
          <w:bCs/>
        </w:rPr>
      </w:pPr>
      <w:r w:rsidRPr="00782B7B">
        <w:rPr>
          <w:b/>
          <w:bCs/>
        </w:rPr>
        <w:lastRenderedPageBreak/>
        <w:t>Bibliography:</w:t>
      </w:r>
    </w:p>
    <w:p w14:paraId="7C93E2D2" w14:textId="14437F37" w:rsidR="00076080" w:rsidRDefault="0029041D" w:rsidP="005C4936">
      <w:proofErr w:type="spellStart"/>
      <w:r>
        <w:t>Biblehub</w:t>
      </w:r>
      <w:proofErr w:type="spellEnd"/>
      <w:r>
        <w:t>, &lt;</w:t>
      </w:r>
      <w:hyperlink r:id="rId7" w:history="1">
        <w:r w:rsidRPr="00977FBE">
          <w:rPr>
            <w:rStyle w:val="Hyperlink"/>
          </w:rPr>
          <w:t>https://biblehub.com/hebrew/120.htm</w:t>
        </w:r>
      </w:hyperlink>
      <w:r>
        <w:t>&gt;, [Accessed 6</w:t>
      </w:r>
      <w:r w:rsidRPr="00DB775F">
        <w:rPr>
          <w:vertAlign w:val="superscript"/>
        </w:rPr>
        <w:t>th</w:t>
      </w:r>
      <w:r>
        <w:t xml:space="preserve"> January 2026].</w:t>
      </w:r>
    </w:p>
    <w:p w14:paraId="6A3D6B29" w14:textId="77777777" w:rsidR="00076080" w:rsidRDefault="00076080" w:rsidP="005C4936"/>
    <w:p w14:paraId="5E67D403" w14:textId="714543F4" w:rsidR="00076080" w:rsidRDefault="009C4BD9" w:rsidP="005C4936">
      <w:r w:rsidRPr="00050489">
        <w:rPr>
          <w:sz w:val="20"/>
          <w:szCs w:val="20"/>
        </w:rPr>
        <w:t xml:space="preserve">Goggans, Phillip, and Patrick McDonald, ‘Original Sin, Human Evolution, and Gene-Culture Interactions’, </w:t>
      </w:r>
      <w:r w:rsidRPr="00050489">
        <w:rPr>
          <w:i/>
          <w:iCs/>
          <w:sz w:val="20"/>
          <w:szCs w:val="20"/>
        </w:rPr>
        <w:t>Theology and Science</w:t>
      </w:r>
      <w:r w:rsidRPr="00050489">
        <w:rPr>
          <w:sz w:val="20"/>
          <w:szCs w:val="20"/>
        </w:rPr>
        <w:t>, 22.1 (2024), doi:10.1080/14746700.2023.2293618</w:t>
      </w:r>
      <w:r>
        <w:t>.</w:t>
      </w:r>
    </w:p>
    <w:p w14:paraId="5F27E029" w14:textId="77777777" w:rsidR="00076080" w:rsidRDefault="00076080" w:rsidP="005C4936"/>
    <w:p w14:paraId="4096EA91" w14:textId="2B3266E9" w:rsidR="00FC7701" w:rsidRDefault="00FC7701" w:rsidP="00FC7701">
      <w:pPr>
        <w:pStyle w:val="FootnoteText"/>
      </w:pPr>
      <w:r>
        <w:t>Image</w:t>
      </w:r>
      <w:r w:rsidRPr="00D75989">
        <w:t>, Isabella Christine</w:t>
      </w:r>
      <w:r>
        <w:t>,</w:t>
      </w:r>
      <w:r>
        <w:t xml:space="preserve"> </w:t>
      </w:r>
      <w:r w:rsidRPr="00D75989">
        <w:rPr>
          <w:i/>
          <w:iCs/>
        </w:rPr>
        <w:t>The Human Condition in Hilary of Poitiers: The Will and Original Sin between Origen and Augustine</w:t>
      </w:r>
      <w:r w:rsidRPr="00D75989">
        <w:t>, First edition. (Oxford University Press, 2017)</w:t>
      </w:r>
      <w:r w:rsidR="0029041D">
        <w:t>.</w:t>
      </w:r>
      <w:r>
        <w:t xml:space="preserve"> </w:t>
      </w:r>
    </w:p>
    <w:p w14:paraId="67FF1A0A" w14:textId="77777777" w:rsidR="00FC7701" w:rsidRDefault="00FC7701" w:rsidP="005C4936"/>
    <w:p w14:paraId="4DE19AC5" w14:textId="7AB7CFCD" w:rsidR="009F291F" w:rsidRDefault="009F291F" w:rsidP="005C4936">
      <w:r>
        <w:t>Peterson,</w:t>
      </w:r>
      <w:r>
        <w:t xml:space="preserve"> Jordan B.,</w:t>
      </w:r>
      <w:r>
        <w:t xml:space="preserve"> ’12 Rules For Life, An Antidote To Chaos’, (Allen Lane, Penguin Random House UK, 2018)</w:t>
      </w:r>
      <w:r w:rsidR="0029041D">
        <w:t>.</w:t>
      </w:r>
    </w:p>
    <w:p w14:paraId="3AC31517" w14:textId="77777777" w:rsidR="009F291F" w:rsidRDefault="009F291F" w:rsidP="005C4936"/>
    <w:p w14:paraId="0C1E4531" w14:textId="6E8DBE83" w:rsidR="00076080" w:rsidRDefault="006E7691" w:rsidP="005C4936">
      <w:r>
        <w:t>Rijn</w:t>
      </w:r>
      <w:r w:rsidRPr="00664B13">
        <w:t xml:space="preserve">, </w:t>
      </w:r>
      <w:r>
        <w:t xml:space="preserve">Rembrandt, </w:t>
      </w:r>
      <w:r w:rsidRPr="00664B13">
        <w:rPr>
          <w:i/>
          <w:iCs/>
        </w:rPr>
        <w:t>Adam and Eve</w:t>
      </w:r>
      <w:r w:rsidRPr="00664B13">
        <w:t>,</w:t>
      </w:r>
      <w:r>
        <w:t xml:space="preserve"> [Print], &lt;</w:t>
      </w:r>
      <w:hyperlink r:id="rId8" w:history="1">
        <w:r w:rsidRPr="00977FBE">
          <w:rPr>
            <w:rStyle w:val="Hyperlink"/>
          </w:rPr>
          <w:t>Adam and https://amica.davidrumsey.com/luna/servlet/detail/AMICO~1~1~23916~201832Eve - The AMICA Library</w:t>
        </w:r>
      </w:hyperlink>
      <w:r>
        <w:t xml:space="preserve">&gt;, </w:t>
      </w:r>
      <w:r w:rsidRPr="00664B13">
        <w:t>1606</w:t>
      </w:r>
      <w:r>
        <w:t>, [Accessed 6</w:t>
      </w:r>
      <w:r w:rsidRPr="006E7691">
        <w:rPr>
          <w:vertAlign w:val="superscript"/>
        </w:rPr>
        <w:t>th</w:t>
      </w:r>
      <w:r>
        <w:t xml:space="preserve"> January 2026].</w:t>
      </w:r>
    </w:p>
    <w:p w14:paraId="00905E89" w14:textId="77777777" w:rsidR="006E7691" w:rsidRDefault="006E7691" w:rsidP="005C4936"/>
    <w:p w14:paraId="20C2FB2C" w14:textId="7DB6E78E" w:rsidR="00076080" w:rsidRDefault="00076080" w:rsidP="005C4936">
      <w:r>
        <w:t xml:space="preserve">Richard Dawkins vs John Lennox, </w:t>
      </w:r>
      <w:r>
        <w:rPr>
          <w:i/>
          <w:iCs/>
        </w:rPr>
        <w:t xml:space="preserve">The God </w:t>
      </w:r>
      <w:r>
        <w:rPr>
          <w:i/>
          <w:iCs/>
        </w:rPr>
        <w:t>Delusion</w:t>
      </w:r>
      <w:r>
        <w:rPr>
          <w:i/>
          <w:iCs/>
        </w:rPr>
        <w:t xml:space="preserve"> debate</w:t>
      </w:r>
      <w:r>
        <w:t xml:space="preserve">, </w:t>
      </w:r>
      <w:r w:rsidR="00027AD2">
        <w:t xml:space="preserve">[Video], 2015, </w:t>
      </w:r>
      <w:r>
        <w:t>&lt;</w:t>
      </w:r>
      <w:hyperlink r:id="rId9" w:history="1">
        <w:r w:rsidRPr="00977FBE">
          <w:rPr>
            <w:rStyle w:val="Hyperlink"/>
          </w:rPr>
          <w:t>https://www.youtube.com/watch?v=zF5bPI92-5o</w:t>
        </w:r>
      </w:hyperlink>
      <w:r>
        <w:t>&gt; [Accessed 5</w:t>
      </w:r>
      <w:r w:rsidRPr="005C4936">
        <w:rPr>
          <w:vertAlign w:val="superscript"/>
        </w:rPr>
        <w:t>th</w:t>
      </w:r>
      <w:r>
        <w:t xml:space="preserve"> Jan 2026]</w:t>
      </w:r>
      <w:r w:rsidR="0029041D">
        <w:t>.</w:t>
      </w:r>
    </w:p>
    <w:p w14:paraId="176BA7F0" w14:textId="77777777" w:rsidR="000D3010" w:rsidRDefault="000D3010" w:rsidP="005C4936"/>
    <w:p w14:paraId="45238588" w14:textId="71BD0B96" w:rsidR="00076080" w:rsidRDefault="000D3010" w:rsidP="005C4936">
      <w:r w:rsidRPr="00B30ADF">
        <w:rPr>
          <w:sz w:val="20"/>
          <w:szCs w:val="20"/>
        </w:rPr>
        <w:t xml:space="preserve">Riordan, </w:t>
      </w:r>
      <w:r>
        <w:rPr>
          <w:sz w:val="20"/>
          <w:szCs w:val="20"/>
        </w:rPr>
        <w:t xml:space="preserve">SJ., </w:t>
      </w:r>
      <w:r w:rsidRPr="00B30ADF">
        <w:rPr>
          <w:sz w:val="20"/>
          <w:szCs w:val="20"/>
        </w:rPr>
        <w:t xml:space="preserve">‘“No What without a How”: The Theology of Original Sin’, </w:t>
      </w:r>
      <w:r w:rsidRPr="00B30ADF">
        <w:rPr>
          <w:i/>
          <w:iCs/>
          <w:sz w:val="20"/>
          <w:szCs w:val="20"/>
        </w:rPr>
        <w:t>Heythrop Journal</w:t>
      </w:r>
      <w:r w:rsidRPr="00B30ADF">
        <w:rPr>
          <w:sz w:val="20"/>
          <w:szCs w:val="20"/>
        </w:rPr>
        <w:t>, 65.5 (2024), doi:10.1111/heyj.14345</w:t>
      </w:r>
      <w:r>
        <w:t>.</w:t>
      </w:r>
    </w:p>
    <w:p w14:paraId="02E5ABB0" w14:textId="77777777" w:rsidR="00B342BC" w:rsidRDefault="00B342BC" w:rsidP="005C4936"/>
    <w:p w14:paraId="2F260485" w14:textId="21019350" w:rsidR="00B342BC" w:rsidRDefault="00B342BC" w:rsidP="005C4936">
      <w:r>
        <w:t>Segal, Robert Alan, and Nikolas P Roubekas</w:t>
      </w:r>
      <w:r w:rsidRPr="00C32A1B">
        <w:rPr>
          <w:sz w:val="20"/>
          <w:szCs w:val="20"/>
        </w:rPr>
        <w:t xml:space="preserve">, </w:t>
      </w:r>
      <w:r w:rsidRPr="00C32A1B">
        <w:rPr>
          <w:i/>
          <w:iCs/>
          <w:sz w:val="20"/>
          <w:szCs w:val="20"/>
        </w:rPr>
        <w:t xml:space="preserve">The </w:t>
      </w:r>
      <w:r>
        <w:rPr>
          <w:i/>
          <w:iCs/>
        </w:rPr>
        <w:t xml:space="preserve">Wiley </w:t>
      </w:r>
      <w:r w:rsidRPr="00C32A1B">
        <w:rPr>
          <w:i/>
          <w:iCs/>
          <w:sz w:val="20"/>
          <w:szCs w:val="20"/>
        </w:rPr>
        <w:t>Blackwell Companion to the Study of Religion</w:t>
      </w:r>
      <w:r w:rsidRPr="00C32A1B">
        <w:rPr>
          <w:sz w:val="20"/>
          <w:szCs w:val="20"/>
        </w:rPr>
        <w:t xml:space="preserve">, </w:t>
      </w:r>
      <w:r>
        <w:t>2</w:t>
      </w:r>
      <w:r w:rsidRPr="00C32A1B">
        <w:rPr>
          <w:vertAlign w:val="superscript"/>
        </w:rPr>
        <w:t>nd</w:t>
      </w:r>
      <w:r>
        <w:t xml:space="preserve"> ed</w:t>
      </w:r>
      <w:r w:rsidRPr="00C32A1B">
        <w:rPr>
          <w:sz w:val="20"/>
          <w:szCs w:val="20"/>
        </w:rPr>
        <w:t>. (Blackwell Pub.</w:t>
      </w:r>
      <w:r>
        <w:t>, 2021</w:t>
      </w:r>
      <w:r w:rsidRPr="00C32A1B">
        <w:rPr>
          <w:sz w:val="20"/>
          <w:szCs w:val="20"/>
        </w:rPr>
        <w:t>)</w:t>
      </w:r>
      <w:r>
        <w:t>.</w:t>
      </w:r>
    </w:p>
    <w:p w14:paraId="33297762" w14:textId="77777777" w:rsidR="000D3010" w:rsidRDefault="000D3010" w:rsidP="005C4936"/>
    <w:p w14:paraId="5D919C9F" w14:textId="78B5B9CF" w:rsidR="009C4BD9" w:rsidRDefault="009C4BD9" w:rsidP="005C4936">
      <w:r>
        <w:t>The Holy Bible, New Revised Standard Version &lt;</w:t>
      </w:r>
      <w:r w:rsidRPr="009C4BD9">
        <w:t>https://www.biblegateway.com/</w:t>
      </w:r>
      <w:r>
        <w:t>&gt; [Accessed 5</w:t>
      </w:r>
      <w:r w:rsidRPr="00AB7B17">
        <w:rPr>
          <w:vertAlign w:val="superscript"/>
        </w:rPr>
        <w:t>th</w:t>
      </w:r>
      <w:r>
        <w:t xml:space="preserve"> January 2026].</w:t>
      </w:r>
    </w:p>
    <w:p w14:paraId="0D7E9D0F" w14:textId="77777777" w:rsidR="009C4BD9" w:rsidRDefault="009C4BD9" w:rsidP="005C4936"/>
    <w:p w14:paraId="6AC0BD3A" w14:textId="7AF113E5" w:rsidR="00100DD3" w:rsidRDefault="00076080" w:rsidP="005C4936">
      <w:pPr>
        <w:rPr>
          <w:sz w:val="20"/>
          <w:szCs w:val="20"/>
        </w:rPr>
      </w:pPr>
      <w:r w:rsidRPr="00E7783C">
        <w:rPr>
          <w:sz w:val="20"/>
          <w:szCs w:val="20"/>
        </w:rPr>
        <w:t>Tremblay</w:t>
      </w:r>
      <w:r>
        <w:rPr>
          <w:sz w:val="20"/>
          <w:szCs w:val="20"/>
        </w:rPr>
        <w:t xml:space="preserve">, Richard E., </w:t>
      </w:r>
      <w:r w:rsidRPr="00E7783C">
        <w:rPr>
          <w:sz w:val="20"/>
          <w:szCs w:val="20"/>
        </w:rPr>
        <w:t xml:space="preserve">‘Developmental Origins of Disruptive Behaviour Problems: The “original Sin” Hypothesis, Epigenetics and Their Consequences for Prevention’, </w:t>
      </w:r>
      <w:r w:rsidRPr="00E7783C">
        <w:rPr>
          <w:i/>
          <w:iCs/>
          <w:sz w:val="20"/>
          <w:szCs w:val="20"/>
        </w:rPr>
        <w:t>Journal of Child Psychology and Psychiatry</w:t>
      </w:r>
      <w:r w:rsidRPr="00E7783C">
        <w:rPr>
          <w:sz w:val="20"/>
          <w:szCs w:val="20"/>
        </w:rPr>
        <w:t>, 51.4 (2010)</w:t>
      </w:r>
    </w:p>
    <w:p w14:paraId="2E9623FA" w14:textId="77777777" w:rsidR="009C4BD9" w:rsidRDefault="009C4BD9" w:rsidP="005C4936">
      <w:pPr>
        <w:rPr>
          <w:sz w:val="20"/>
          <w:szCs w:val="20"/>
        </w:rPr>
      </w:pPr>
    </w:p>
    <w:p w14:paraId="1A3B5FBE" w14:textId="077FA63E" w:rsidR="00541F05" w:rsidRDefault="00541F05" w:rsidP="005C4936"/>
    <w:p w14:paraId="7752EF97" w14:textId="4635CB51" w:rsidR="00541F05" w:rsidRDefault="00541F05" w:rsidP="005C4936"/>
    <w:p w14:paraId="7A1B905A" w14:textId="766C8451" w:rsidR="00541F05" w:rsidRDefault="00541F05" w:rsidP="005C4936"/>
    <w:p w14:paraId="099AD735" w14:textId="77777777" w:rsidR="00541F05" w:rsidRDefault="00541F05" w:rsidP="005C4936"/>
    <w:p w14:paraId="45D85FE8" w14:textId="77777777" w:rsidR="00541F05" w:rsidRDefault="00541F05" w:rsidP="005C4936"/>
    <w:p w14:paraId="051939F1" w14:textId="77777777" w:rsidR="00541F05" w:rsidRDefault="00541F05" w:rsidP="005C4936"/>
    <w:p w14:paraId="63FA11F6" w14:textId="77777777" w:rsidR="00541F05" w:rsidRDefault="00541F05" w:rsidP="005C4936"/>
    <w:p w14:paraId="2B3DEAE6" w14:textId="77777777" w:rsidR="00541F05" w:rsidRDefault="00541F05" w:rsidP="005C4936"/>
    <w:p w14:paraId="40AE3B7E" w14:textId="124A2535" w:rsidR="00541F05" w:rsidRDefault="00541F05" w:rsidP="005C4936"/>
    <w:sectPr w:rsidR="00541F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C2FBC5" w14:textId="77777777" w:rsidR="00F13D68" w:rsidRDefault="00F13D68" w:rsidP="005C4936">
      <w:pPr>
        <w:spacing w:after="0" w:line="240" w:lineRule="auto"/>
      </w:pPr>
      <w:r>
        <w:separator/>
      </w:r>
    </w:p>
  </w:endnote>
  <w:endnote w:type="continuationSeparator" w:id="0">
    <w:p w14:paraId="52071437" w14:textId="77777777" w:rsidR="00F13D68" w:rsidRDefault="00F13D68" w:rsidP="005C49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1AF1DD" w14:textId="77777777" w:rsidR="00F13D68" w:rsidRDefault="00F13D68" w:rsidP="005C4936">
      <w:pPr>
        <w:spacing w:after="0" w:line="240" w:lineRule="auto"/>
      </w:pPr>
      <w:r>
        <w:separator/>
      </w:r>
    </w:p>
  </w:footnote>
  <w:footnote w:type="continuationSeparator" w:id="0">
    <w:p w14:paraId="42B8FCF3" w14:textId="77777777" w:rsidR="00F13D68" w:rsidRDefault="00F13D68" w:rsidP="005C4936">
      <w:pPr>
        <w:spacing w:after="0" w:line="240" w:lineRule="auto"/>
      </w:pPr>
      <w:r>
        <w:continuationSeparator/>
      </w:r>
    </w:p>
  </w:footnote>
  <w:footnote w:id="1">
    <w:p w14:paraId="541EFD64" w14:textId="52CEF146" w:rsidR="0064799F" w:rsidRDefault="0064799F">
      <w:pPr>
        <w:pStyle w:val="FootnoteText"/>
      </w:pPr>
      <w:r>
        <w:rPr>
          <w:rStyle w:val="FootnoteReference"/>
        </w:rPr>
        <w:footnoteRef/>
      </w:r>
      <w:r w:rsidR="00C32A1B" w:rsidRPr="00C32A1B">
        <w:t>Robert Alan</w:t>
      </w:r>
      <w:r w:rsidR="00C32A1B">
        <w:t xml:space="preserve"> Segal and Nikolas P Roubekas</w:t>
      </w:r>
      <w:r w:rsidR="00C32A1B" w:rsidRPr="00C32A1B">
        <w:t xml:space="preserve">, </w:t>
      </w:r>
      <w:r w:rsidR="00C32A1B" w:rsidRPr="00C32A1B">
        <w:rPr>
          <w:i/>
          <w:iCs/>
        </w:rPr>
        <w:t xml:space="preserve">The </w:t>
      </w:r>
      <w:r w:rsidR="00C32A1B">
        <w:rPr>
          <w:i/>
          <w:iCs/>
        </w:rPr>
        <w:t xml:space="preserve">Wiley </w:t>
      </w:r>
      <w:r w:rsidR="00C32A1B" w:rsidRPr="00C32A1B">
        <w:rPr>
          <w:i/>
          <w:iCs/>
        </w:rPr>
        <w:t>Blackwell Companion to the Study of Religion</w:t>
      </w:r>
      <w:r w:rsidR="00C32A1B" w:rsidRPr="00C32A1B">
        <w:t xml:space="preserve">, </w:t>
      </w:r>
      <w:r w:rsidR="00C32A1B">
        <w:t>2</w:t>
      </w:r>
      <w:r w:rsidR="00C32A1B" w:rsidRPr="00C32A1B">
        <w:rPr>
          <w:vertAlign w:val="superscript"/>
        </w:rPr>
        <w:t>nd</w:t>
      </w:r>
      <w:r w:rsidR="00C32A1B">
        <w:t xml:space="preserve"> ed</w:t>
      </w:r>
      <w:r w:rsidR="00C32A1B" w:rsidRPr="00C32A1B">
        <w:t>. (Blackwell Pub.</w:t>
      </w:r>
      <w:r w:rsidR="00C32A1B">
        <w:t>, 2021</w:t>
      </w:r>
      <w:r w:rsidR="00C32A1B" w:rsidRPr="00C32A1B">
        <w:t>)</w:t>
      </w:r>
      <w:r w:rsidR="00C32A1B">
        <w:t xml:space="preserve"> p. 120.</w:t>
      </w:r>
    </w:p>
  </w:footnote>
  <w:footnote w:id="2">
    <w:p w14:paraId="31FF6D2B" w14:textId="4180788C" w:rsidR="005C4936" w:rsidRPr="005C4936" w:rsidRDefault="005C4936">
      <w:pPr>
        <w:pStyle w:val="FootnoteText"/>
      </w:pPr>
      <w:r>
        <w:rPr>
          <w:rStyle w:val="FootnoteReference"/>
        </w:rPr>
        <w:footnoteRef/>
      </w:r>
      <w:r>
        <w:t xml:space="preserve"> Richard Dawkins vs John Lennox, </w:t>
      </w:r>
      <w:r>
        <w:rPr>
          <w:i/>
          <w:iCs/>
        </w:rPr>
        <w:t xml:space="preserve">The God </w:t>
      </w:r>
      <w:proofErr w:type="spellStart"/>
      <w:r>
        <w:rPr>
          <w:i/>
          <w:iCs/>
        </w:rPr>
        <w:t>Delussion</w:t>
      </w:r>
      <w:proofErr w:type="spellEnd"/>
      <w:r>
        <w:rPr>
          <w:i/>
          <w:iCs/>
        </w:rPr>
        <w:t xml:space="preserve"> debate,</w:t>
      </w:r>
      <w:r w:rsidR="00826B00">
        <w:t xml:space="preserve"> [Video],</w:t>
      </w:r>
      <w:r w:rsidR="00027AD2">
        <w:t xml:space="preserve"> 2015,</w:t>
      </w:r>
      <w:r>
        <w:t xml:space="preserve"> &lt;</w:t>
      </w:r>
      <w:hyperlink r:id="rId1" w:history="1">
        <w:r w:rsidRPr="00977FBE">
          <w:rPr>
            <w:rStyle w:val="Hyperlink"/>
          </w:rPr>
          <w:t>https://www.youtube.com/watch?v=zF5bPI92-5o</w:t>
        </w:r>
      </w:hyperlink>
      <w:r>
        <w:t>&gt; [Accessed 5</w:t>
      </w:r>
      <w:r w:rsidRPr="005C4936">
        <w:rPr>
          <w:vertAlign w:val="superscript"/>
        </w:rPr>
        <w:t>th</w:t>
      </w:r>
      <w:r>
        <w:t xml:space="preserve"> Jan 2026], 29:56. </w:t>
      </w:r>
    </w:p>
  </w:footnote>
  <w:footnote w:id="3">
    <w:p w14:paraId="238D8730" w14:textId="6C9FAB19" w:rsidR="00E7783C" w:rsidRDefault="00E7783C">
      <w:pPr>
        <w:pStyle w:val="FootnoteText"/>
      </w:pPr>
      <w:r>
        <w:rPr>
          <w:rStyle w:val="FootnoteReference"/>
        </w:rPr>
        <w:footnoteRef/>
      </w:r>
      <w:r>
        <w:t xml:space="preserve"> </w:t>
      </w:r>
      <w:r w:rsidR="003B4A4F">
        <w:t xml:space="preserve">Richard E </w:t>
      </w:r>
      <w:r w:rsidRPr="00E7783C">
        <w:t xml:space="preserve">Tremblay, ‘Developmental Origins of Disruptive Behaviour Problems: The “original Sin” Hypothesis, Epigenetics and Their Consequences for Prevention’, </w:t>
      </w:r>
      <w:r w:rsidRPr="00E7783C">
        <w:rPr>
          <w:i/>
          <w:iCs/>
        </w:rPr>
        <w:t>Journal of Child Psychology and Psychiatry</w:t>
      </w:r>
      <w:r w:rsidRPr="00E7783C">
        <w:t>, 51.4 (2010), p. 341</w:t>
      </w:r>
      <w:r>
        <w:t>.</w:t>
      </w:r>
    </w:p>
  </w:footnote>
  <w:footnote w:id="4">
    <w:p w14:paraId="531026D0" w14:textId="6143286E" w:rsidR="003B4A4F" w:rsidRDefault="003B4A4F">
      <w:pPr>
        <w:pStyle w:val="FootnoteText"/>
      </w:pPr>
      <w:r>
        <w:rPr>
          <w:rStyle w:val="FootnoteReference"/>
        </w:rPr>
        <w:footnoteRef/>
      </w:r>
      <w:r>
        <w:t xml:space="preserve"> Richard E </w:t>
      </w:r>
      <w:r w:rsidRPr="00E7783C">
        <w:t>Tremblay, ‘Developmental Origins of Disruptive Behaviour Problems: The “original Sin” Hypothesis, Epigenetics and Their Consequences for Prevention’, p. 34</w:t>
      </w:r>
      <w:r>
        <w:t>9</w:t>
      </w:r>
      <w:r>
        <w:t>.</w:t>
      </w:r>
    </w:p>
  </w:footnote>
  <w:footnote w:id="5">
    <w:p w14:paraId="24837A0E" w14:textId="4A8AA57B" w:rsidR="006E0515" w:rsidRDefault="006E0515">
      <w:pPr>
        <w:pStyle w:val="FootnoteText"/>
      </w:pPr>
      <w:r>
        <w:rPr>
          <w:rStyle w:val="FootnoteReference"/>
        </w:rPr>
        <w:footnoteRef/>
      </w:r>
      <w:r>
        <w:t xml:space="preserve"> </w:t>
      </w:r>
      <w:r w:rsidR="005A1F9C">
        <w:t>Ibid.</w:t>
      </w:r>
      <w:r w:rsidRPr="00E7783C">
        <w:t xml:space="preserve"> p. 34</w:t>
      </w:r>
      <w:r w:rsidR="0058318D">
        <w:t>7</w:t>
      </w:r>
      <w:r>
        <w:t>.</w:t>
      </w:r>
    </w:p>
  </w:footnote>
  <w:footnote w:id="6">
    <w:p w14:paraId="5CE0E983" w14:textId="026A9F57" w:rsidR="00EC519A" w:rsidRDefault="00EC519A">
      <w:pPr>
        <w:pStyle w:val="FootnoteText"/>
      </w:pPr>
      <w:r>
        <w:rPr>
          <w:rStyle w:val="FootnoteReference"/>
        </w:rPr>
        <w:footnoteRef/>
      </w:r>
      <w:r>
        <w:t xml:space="preserve"> </w:t>
      </w:r>
      <w:r>
        <w:t xml:space="preserve">Richard E </w:t>
      </w:r>
      <w:r w:rsidRPr="00E7783C">
        <w:t xml:space="preserve">Tremblay, ‘Developmental Origins of Disruptive Behaviour Problems: The “original Sin” Hypothesis, Epigenetics and Their Consequences for Prevention’, </w:t>
      </w:r>
      <w:r w:rsidRPr="00E7783C">
        <w:rPr>
          <w:i/>
          <w:iCs/>
        </w:rPr>
        <w:t>Journal of Child Psychology and Psychiatry</w:t>
      </w:r>
      <w:r w:rsidRPr="00E7783C">
        <w:t>, 51.4 (2010), p. 34</w:t>
      </w:r>
      <w:r>
        <w:t>7</w:t>
      </w:r>
      <w:r w:rsidR="002A710C">
        <w:t>.</w:t>
      </w:r>
    </w:p>
  </w:footnote>
  <w:footnote w:id="7">
    <w:p w14:paraId="6E815648" w14:textId="7394BAC1" w:rsidR="007C320F" w:rsidRDefault="007C320F">
      <w:pPr>
        <w:pStyle w:val="FootnoteText"/>
      </w:pPr>
      <w:r>
        <w:rPr>
          <w:rStyle w:val="FootnoteReference"/>
        </w:rPr>
        <w:footnoteRef/>
      </w:r>
      <w:r>
        <w:t xml:space="preserve"> </w:t>
      </w:r>
      <w:r>
        <w:t xml:space="preserve">Richard E </w:t>
      </w:r>
      <w:r w:rsidRPr="00E7783C">
        <w:t>Tremblay, ‘Developmental Origins of Disruptive Behaviour Problems: The “original Sin” Hypothesis, Epigenetics and Their Consequences for Prevention’, p. 3</w:t>
      </w:r>
      <w:r>
        <w:t>53.</w:t>
      </w:r>
    </w:p>
  </w:footnote>
  <w:footnote w:id="8">
    <w:p w14:paraId="57325105" w14:textId="19177C72" w:rsidR="00B301BA" w:rsidRDefault="00B301BA">
      <w:pPr>
        <w:pStyle w:val="FootnoteText"/>
      </w:pPr>
      <w:r>
        <w:rPr>
          <w:rStyle w:val="FootnoteReference"/>
        </w:rPr>
        <w:footnoteRef/>
      </w:r>
      <w:r>
        <w:t xml:space="preserve"> </w:t>
      </w:r>
      <w:r w:rsidR="00EA63DA">
        <w:t>Ibid.</w:t>
      </w:r>
      <w:r w:rsidRPr="00E7783C">
        <w:t xml:space="preserve"> p. 3</w:t>
      </w:r>
      <w:r>
        <w:t xml:space="preserve">54. </w:t>
      </w:r>
    </w:p>
  </w:footnote>
  <w:footnote w:id="9">
    <w:p w14:paraId="1DDF788E" w14:textId="204843DF" w:rsidR="00B46B92" w:rsidRDefault="00B46B92">
      <w:pPr>
        <w:pStyle w:val="FootnoteText"/>
      </w:pPr>
      <w:r>
        <w:rPr>
          <w:rStyle w:val="FootnoteReference"/>
        </w:rPr>
        <w:footnoteRef/>
      </w:r>
      <w:r>
        <w:t xml:space="preserve"> </w:t>
      </w:r>
      <w:r w:rsidR="00EA63DA">
        <w:t>Ibid.</w:t>
      </w:r>
      <w:r w:rsidRPr="00E7783C">
        <w:t xml:space="preserve"> p. 34</w:t>
      </w:r>
      <w:r>
        <w:t>9.</w:t>
      </w:r>
    </w:p>
  </w:footnote>
  <w:footnote w:id="10">
    <w:p w14:paraId="02752B58" w14:textId="3963EADA" w:rsidR="00C877A4" w:rsidRDefault="00C877A4">
      <w:pPr>
        <w:pStyle w:val="FootnoteText"/>
      </w:pPr>
      <w:r>
        <w:rPr>
          <w:rStyle w:val="FootnoteReference"/>
        </w:rPr>
        <w:footnoteRef/>
      </w:r>
      <w:r>
        <w:t xml:space="preserve"> </w:t>
      </w:r>
      <w:r>
        <w:t xml:space="preserve">SJ </w:t>
      </w:r>
      <w:r w:rsidRPr="00B30ADF">
        <w:t xml:space="preserve">Riordan, ‘“No What without a How”: The Theology of Original Sin’, </w:t>
      </w:r>
      <w:r w:rsidRPr="00B30ADF">
        <w:rPr>
          <w:i/>
          <w:iCs/>
        </w:rPr>
        <w:t>Heythrop Journal</w:t>
      </w:r>
      <w:r w:rsidRPr="00B30ADF">
        <w:t>, 65.5 (2024), p</w:t>
      </w:r>
      <w:r>
        <w:t>. 4</w:t>
      </w:r>
      <w:r>
        <w:t>69</w:t>
      </w:r>
      <w:r w:rsidRPr="00B30ADF">
        <w:t>, doi:10.1111/heyj.14345</w:t>
      </w:r>
      <w:r>
        <w:t>.</w:t>
      </w:r>
    </w:p>
  </w:footnote>
  <w:footnote w:id="11">
    <w:p w14:paraId="3594882A" w14:textId="269D6771" w:rsidR="00CA5EFE" w:rsidRDefault="00CA5EFE">
      <w:pPr>
        <w:pStyle w:val="FootnoteText"/>
      </w:pPr>
      <w:r>
        <w:rPr>
          <w:rStyle w:val="FootnoteReference"/>
        </w:rPr>
        <w:footnoteRef/>
      </w:r>
      <w:r>
        <w:t xml:space="preserve"> </w:t>
      </w:r>
      <w:r w:rsidR="004679E5" w:rsidRPr="00664B13">
        <w:t>Rembrandt</w:t>
      </w:r>
      <w:r w:rsidR="00F012B8">
        <w:t xml:space="preserve"> Rijn</w:t>
      </w:r>
      <w:r w:rsidR="004679E5" w:rsidRPr="00664B13">
        <w:t xml:space="preserve">, </w:t>
      </w:r>
      <w:r w:rsidR="004679E5" w:rsidRPr="00664B13">
        <w:rPr>
          <w:i/>
          <w:iCs/>
        </w:rPr>
        <w:t>Adam and Eve</w:t>
      </w:r>
      <w:r w:rsidR="004679E5" w:rsidRPr="00664B13">
        <w:t>,</w:t>
      </w:r>
      <w:r w:rsidR="00D4586D">
        <w:t xml:space="preserve"> [</w:t>
      </w:r>
      <w:r w:rsidR="00A846EC">
        <w:t>P</w:t>
      </w:r>
      <w:r w:rsidR="00D4586D">
        <w:t>rint]</w:t>
      </w:r>
      <w:r w:rsidR="00A846EC">
        <w:t xml:space="preserve">, </w:t>
      </w:r>
      <w:r w:rsidR="005E58FC">
        <w:t>&lt;</w:t>
      </w:r>
      <w:hyperlink r:id="rId2" w:history="1">
        <w:r w:rsidR="005E58FC" w:rsidRPr="00977FBE">
          <w:rPr>
            <w:rStyle w:val="Hyperlink"/>
          </w:rPr>
          <w:t>Adam and https://amica.davidrumsey.com/luna/servlet/detail/AMICO~1~1~23916~201832Eve - The AMICA Library</w:t>
        </w:r>
      </w:hyperlink>
      <w:r w:rsidR="005E58FC">
        <w:t xml:space="preserve">&gt;, </w:t>
      </w:r>
      <w:r w:rsidR="004679E5" w:rsidRPr="00664B13">
        <w:t>1606</w:t>
      </w:r>
      <w:r w:rsidR="006E7691">
        <w:t>, [Accessed 6</w:t>
      </w:r>
      <w:r w:rsidR="006E7691" w:rsidRPr="006E7691">
        <w:rPr>
          <w:vertAlign w:val="superscript"/>
        </w:rPr>
        <w:t>th</w:t>
      </w:r>
      <w:r w:rsidR="006E7691">
        <w:t xml:space="preserve"> January 2026]. </w:t>
      </w:r>
    </w:p>
  </w:footnote>
  <w:footnote w:id="12">
    <w:p w14:paraId="095D925C" w14:textId="4FE9D96D" w:rsidR="00A46932" w:rsidRDefault="00A46932">
      <w:pPr>
        <w:pStyle w:val="FootnoteText"/>
      </w:pPr>
      <w:r>
        <w:rPr>
          <w:rStyle w:val="FootnoteReference"/>
        </w:rPr>
        <w:footnoteRef/>
      </w:r>
      <w:r>
        <w:t xml:space="preserve"> </w:t>
      </w:r>
      <w:r w:rsidR="005421DE">
        <w:t xml:space="preserve">Jordan </w:t>
      </w:r>
      <w:r w:rsidR="009F291F">
        <w:t xml:space="preserve">B. </w:t>
      </w:r>
      <w:r w:rsidR="00614BBE">
        <w:t>Peterson</w:t>
      </w:r>
      <w:r w:rsidR="00266CDB">
        <w:t xml:space="preserve">, </w:t>
      </w:r>
      <w:r w:rsidR="006103E8">
        <w:t>’12 Rules For Life, An Antidote To Chaos’</w:t>
      </w:r>
      <w:r w:rsidR="00FD613F">
        <w:t xml:space="preserve">, </w:t>
      </w:r>
      <w:r w:rsidR="0035754B">
        <w:t>(</w:t>
      </w:r>
      <w:r w:rsidR="001A2FBE">
        <w:t xml:space="preserve">Allen Lane, </w:t>
      </w:r>
      <w:r w:rsidR="007447AE">
        <w:t>Penguin Random House UK, 201</w:t>
      </w:r>
      <w:r w:rsidR="000B611D">
        <w:t>8),</w:t>
      </w:r>
      <w:r w:rsidR="00614BBE">
        <w:t xml:space="preserve"> p</w:t>
      </w:r>
      <w:r w:rsidR="000B611D">
        <w:t>.</w:t>
      </w:r>
      <w:r w:rsidR="00614BBE">
        <w:t xml:space="preserve"> 47</w:t>
      </w:r>
      <w:r w:rsidR="000B611D">
        <w:t>.</w:t>
      </w:r>
    </w:p>
  </w:footnote>
  <w:footnote w:id="13">
    <w:p w14:paraId="18F3BA3D" w14:textId="5AAFB9C9" w:rsidR="004679E8" w:rsidRDefault="004679E8">
      <w:pPr>
        <w:pStyle w:val="FootnoteText"/>
      </w:pPr>
      <w:r>
        <w:rPr>
          <w:rStyle w:val="FootnoteReference"/>
        </w:rPr>
        <w:footnoteRef/>
      </w:r>
      <w:r>
        <w:t xml:space="preserve"> </w:t>
      </w:r>
      <w:proofErr w:type="spellStart"/>
      <w:r w:rsidR="0029041D">
        <w:t>Biblehub</w:t>
      </w:r>
      <w:proofErr w:type="spellEnd"/>
      <w:r w:rsidR="0029041D">
        <w:t xml:space="preserve">, </w:t>
      </w:r>
      <w:r w:rsidR="00DB775F">
        <w:t>&lt;</w:t>
      </w:r>
      <w:hyperlink r:id="rId3" w:history="1">
        <w:r w:rsidR="00DB775F" w:rsidRPr="00977FBE">
          <w:rPr>
            <w:rStyle w:val="Hyperlink"/>
          </w:rPr>
          <w:t>https://biblehub.com/hebrew/120.htm</w:t>
        </w:r>
      </w:hyperlink>
      <w:r w:rsidR="0015578A">
        <w:t xml:space="preserve">&gt;, [Accessed </w:t>
      </w:r>
      <w:r w:rsidR="00DB775F">
        <w:t>6</w:t>
      </w:r>
      <w:r w:rsidR="00DB775F" w:rsidRPr="00DB775F">
        <w:rPr>
          <w:vertAlign w:val="superscript"/>
        </w:rPr>
        <w:t>th</w:t>
      </w:r>
      <w:r w:rsidR="00DB775F">
        <w:t xml:space="preserve"> January 2026]. </w:t>
      </w:r>
    </w:p>
  </w:footnote>
  <w:footnote w:id="14">
    <w:p w14:paraId="0D281378" w14:textId="0A37C2A2" w:rsidR="00611F25" w:rsidRDefault="00611F25">
      <w:pPr>
        <w:pStyle w:val="FootnoteText"/>
      </w:pPr>
      <w:r>
        <w:rPr>
          <w:rStyle w:val="FootnoteReference"/>
        </w:rPr>
        <w:footnoteRef/>
      </w:r>
      <w:r>
        <w:t xml:space="preserve"> </w:t>
      </w:r>
      <w:r w:rsidR="00D75989" w:rsidRPr="00D75989">
        <w:t>Isabella Christine</w:t>
      </w:r>
      <w:r w:rsidR="00D75989">
        <w:t xml:space="preserve"> Image</w:t>
      </w:r>
      <w:r w:rsidR="00D75989" w:rsidRPr="00D75989">
        <w:t xml:space="preserve">, </w:t>
      </w:r>
      <w:r w:rsidR="00D75989" w:rsidRPr="00D75989">
        <w:rPr>
          <w:i/>
          <w:iCs/>
        </w:rPr>
        <w:t>The Human Condition in Hilary of Poitiers: The Will and Original Sin between Origen and Augustine</w:t>
      </w:r>
      <w:r w:rsidR="00D75989" w:rsidRPr="00D75989">
        <w:t>, First edition. (Oxford University Press, 2017)</w:t>
      </w:r>
      <w:r w:rsidR="00D75989">
        <w:t xml:space="preserve"> p.</w:t>
      </w:r>
      <w:r w:rsidR="00293814">
        <w:t xml:space="preserve">146. </w:t>
      </w:r>
    </w:p>
  </w:footnote>
  <w:footnote w:id="15">
    <w:p w14:paraId="26B69A2E" w14:textId="3CC6CFA0" w:rsidR="006A45DF" w:rsidRDefault="006A45DF">
      <w:pPr>
        <w:pStyle w:val="FootnoteText"/>
      </w:pPr>
      <w:r>
        <w:rPr>
          <w:rStyle w:val="FootnoteReference"/>
        </w:rPr>
        <w:footnoteRef/>
      </w:r>
      <w:r>
        <w:t xml:space="preserve"> </w:t>
      </w:r>
      <w:r w:rsidR="00B30ADF">
        <w:t xml:space="preserve">SJ </w:t>
      </w:r>
      <w:r w:rsidR="00B30ADF" w:rsidRPr="00B30ADF">
        <w:t xml:space="preserve">Riordan, ‘“No What without a How”: The Theology of Original Sin’, </w:t>
      </w:r>
      <w:r w:rsidR="00B30ADF" w:rsidRPr="00B30ADF">
        <w:rPr>
          <w:i/>
          <w:iCs/>
        </w:rPr>
        <w:t>Heythrop Journal</w:t>
      </w:r>
      <w:r w:rsidR="00B30ADF" w:rsidRPr="00B30ADF">
        <w:t>, 65.5 (2024), p</w:t>
      </w:r>
      <w:r w:rsidR="00B30ADF">
        <w:t>. 471</w:t>
      </w:r>
      <w:r w:rsidR="00B30ADF" w:rsidRPr="00B30ADF">
        <w:t>, doi:10.1111/heyj.14345</w:t>
      </w:r>
      <w:r w:rsidR="00B30ADF">
        <w:t>.</w:t>
      </w:r>
    </w:p>
  </w:footnote>
  <w:footnote w:id="16">
    <w:p w14:paraId="5090FC8A" w14:textId="27094BC8" w:rsidR="00AF6427" w:rsidRDefault="00AF6427">
      <w:pPr>
        <w:pStyle w:val="FootnoteText"/>
      </w:pPr>
      <w:r>
        <w:rPr>
          <w:rStyle w:val="FootnoteReference"/>
        </w:rPr>
        <w:footnoteRef/>
      </w:r>
      <w:r>
        <w:t xml:space="preserve"> </w:t>
      </w:r>
      <w:r>
        <w:t xml:space="preserve">SJ </w:t>
      </w:r>
      <w:r w:rsidRPr="00B30ADF">
        <w:t>Riordan, ‘“No What without a How”: The Theology of Original Sin’, p</w:t>
      </w:r>
      <w:r>
        <w:t>. 47</w:t>
      </w:r>
      <w:r>
        <w:t>2</w:t>
      </w:r>
      <w:r>
        <w:t>.</w:t>
      </w:r>
    </w:p>
  </w:footnote>
  <w:footnote w:id="17">
    <w:p w14:paraId="4A1C4371" w14:textId="03DB6405" w:rsidR="00050489" w:rsidRDefault="00050489">
      <w:pPr>
        <w:pStyle w:val="FootnoteText"/>
      </w:pPr>
      <w:r>
        <w:rPr>
          <w:rStyle w:val="FootnoteReference"/>
        </w:rPr>
        <w:footnoteRef/>
      </w:r>
      <w:r w:rsidR="000D3010">
        <w:t xml:space="preserve"> </w:t>
      </w:r>
      <w:r w:rsidRPr="00050489">
        <w:t>Phillip</w:t>
      </w:r>
      <w:r w:rsidR="009C4BD9">
        <w:t xml:space="preserve"> Goggans </w:t>
      </w:r>
      <w:r w:rsidRPr="00050489">
        <w:t xml:space="preserve">and Patrick McDonald, ‘Original Sin, Human Evolution, and Gene-Culture Interactions’, </w:t>
      </w:r>
      <w:r w:rsidRPr="00050489">
        <w:rPr>
          <w:i/>
          <w:iCs/>
        </w:rPr>
        <w:t>Theology and Science</w:t>
      </w:r>
      <w:r w:rsidRPr="00050489">
        <w:t>, 22.1 (2024), p</w:t>
      </w:r>
      <w:r>
        <w:t>.</w:t>
      </w:r>
      <w:r w:rsidRPr="00050489">
        <w:t xml:space="preserve"> 13</w:t>
      </w:r>
      <w:r>
        <w:t>7</w:t>
      </w:r>
      <w:r w:rsidRPr="00050489">
        <w:t>, doi:10.1080/14746700.2023.2293618</w:t>
      </w:r>
      <w:r>
        <w:t>.</w:t>
      </w:r>
    </w:p>
  </w:footnote>
  <w:footnote w:id="18">
    <w:p w14:paraId="0DB85739" w14:textId="0884B246" w:rsidR="003411CC" w:rsidRDefault="003411CC">
      <w:pPr>
        <w:pStyle w:val="FootnoteText"/>
      </w:pPr>
      <w:r>
        <w:rPr>
          <w:rStyle w:val="FootnoteReference"/>
        </w:rPr>
        <w:footnoteRef/>
      </w:r>
      <w:r w:rsidR="00100DD3">
        <w:t xml:space="preserve"> The Holy Bible, New Revised Standard Version,</w:t>
      </w:r>
      <w:r>
        <w:t xml:space="preserve"> </w:t>
      </w:r>
      <w:r w:rsidR="00F11016">
        <w:t xml:space="preserve">Genesis </w:t>
      </w:r>
      <w:r w:rsidR="000A64A5">
        <w:t xml:space="preserve">2:15-17. </w:t>
      </w:r>
      <w:r w:rsidR="00AB7B17">
        <w:t>&lt;</w:t>
      </w:r>
      <w:r w:rsidR="00AB7B17" w:rsidRPr="00AB7B17">
        <w:t xml:space="preserve"> </w:t>
      </w:r>
      <w:r w:rsidR="00AB7B17" w:rsidRPr="00AB7B17">
        <w:t>https://www.biblegateway.com/passage/?search=Genesis%202&amp;version=NRSVUE</w:t>
      </w:r>
      <w:r w:rsidR="00AB7B17">
        <w:t>&gt; [Accessed 5</w:t>
      </w:r>
      <w:r w:rsidR="00AB7B17" w:rsidRPr="00AB7B17">
        <w:rPr>
          <w:vertAlign w:val="superscript"/>
        </w:rPr>
        <w:t>th</w:t>
      </w:r>
      <w:r w:rsidR="00AB7B17">
        <w:t xml:space="preserve"> January 2026].</w:t>
      </w:r>
    </w:p>
  </w:footnote>
  <w:footnote w:id="19">
    <w:p w14:paraId="41F5265A" w14:textId="5ED93693" w:rsidR="00A4011F" w:rsidRDefault="00A4011F">
      <w:pPr>
        <w:pStyle w:val="FootnoteText"/>
      </w:pPr>
      <w:r>
        <w:rPr>
          <w:rStyle w:val="FootnoteReference"/>
        </w:rPr>
        <w:footnoteRef/>
      </w:r>
      <w:r w:rsidR="00100DD3">
        <w:t xml:space="preserve"> The Holy Bible, New Revised Standard Version</w:t>
      </w:r>
      <w:r>
        <w:t xml:space="preserve"> Genesis 3:</w:t>
      </w:r>
      <w:r w:rsidR="008D5698">
        <w:t xml:space="preserve">1-5. </w:t>
      </w:r>
      <w:r w:rsidR="0014296E">
        <w:t>&lt;</w:t>
      </w:r>
      <w:hyperlink r:id="rId4" w:history="1">
        <w:r w:rsidR="0014296E" w:rsidRPr="00977FBE">
          <w:rPr>
            <w:rStyle w:val="Hyperlink"/>
          </w:rPr>
          <w:t>https://www.biblegateway.com/passage/?search=Genesis%203&amp;version=NRSVUE</w:t>
        </w:r>
      </w:hyperlink>
      <w:r w:rsidR="0014296E">
        <w:t xml:space="preserve">&gt; [Accessed </w:t>
      </w:r>
      <w:r w:rsidR="00AB7B17">
        <w:t>5</w:t>
      </w:r>
      <w:r w:rsidR="00AB7B17" w:rsidRPr="00AB7B17">
        <w:rPr>
          <w:vertAlign w:val="superscript"/>
        </w:rPr>
        <w:t>th</w:t>
      </w:r>
      <w:r w:rsidR="00AB7B17">
        <w:t xml:space="preserve"> January 2026</w:t>
      </w:r>
      <w:r w:rsidR="0014296E">
        <w:t xml:space="preserve">]. </w:t>
      </w:r>
    </w:p>
  </w:footnote>
  <w:footnote w:id="20">
    <w:p w14:paraId="66717EEB" w14:textId="7AE26DDB" w:rsidR="00E21706" w:rsidRDefault="00E21706">
      <w:pPr>
        <w:pStyle w:val="FootnoteText"/>
      </w:pPr>
      <w:r>
        <w:rPr>
          <w:rStyle w:val="FootnoteReference"/>
        </w:rPr>
        <w:footnoteRef/>
      </w:r>
      <w:r>
        <w:t xml:space="preserve"> </w:t>
      </w:r>
      <w:r w:rsidR="005A1657">
        <w:t xml:space="preserve">Richard E </w:t>
      </w:r>
      <w:r w:rsidR="005A1657" w:rsidRPr="00E7783C">
        <w:t xml:space="preserve">Tremblay, ‘Developmental Origins of Disruptive Behaviour Problems: The “original Sin” Hypothesis, Epigenetics and Their Consequences for Prevention’, </w:t>
      </w:r>
      <w:r w:rsidR="005A1657" w:rsidRPr="00E7783C">
        <w:rPr>
          <w:i/>
          <w:iCs/>
        </w:rPr>
        <w:t>Journal of Child Psychology and Psychiatry</w:t>
      </w:r>
      <w:r w:rsidR="005A1657" w:rsidRPr="00E7783C">
        <w:t>, 51.4 (2010), p. 3</w:t>
      </w:r>
      <w:r w:rsidR="005A1657">
        <w:t xml:space="preserve">49. </w:t>
      </w:r>
    </w:p>
  </w:footnote>
  <w:footnote w:id="21">
    <w:p w14:paraId="45565289" w14:textId="4FB284AC" w:rsidR="008D25E1" w:rsidRDefault="008D25E1">
      <w:pPr>
        <w:pStyle w:val="FootnoteText"/>
      </w:pPr>
      <w:r>
        <w:rPr>
          <w:rStyle w:val="FootnoteReference"/>
        </w:rPr>
        <w:footnoteRef/>
      </w:r>
      <w:r>
        <w:t xml:space="preserve"> </w:t>
      </w:r>
      <w:r>
        <w:t xml:space="preserve">Richard E </w:t>
      </w:r>
      <w:r w:rsidRPr="00E7783C">
        <w:t xml:space="preserve">Tremblay, ‘Developmental Origins of Disruptive Behaviour Problems: The “original Sin” Hypothesis, Epigenetics and Their Consequences for Prevention’, </w:t>
      </w:r>
      <w:r w:rsidRPr="00E7783C">
        <w:rPr>
          <w:i/>
          <w:iCs/>
        </w:rPr>
        <w:t>Journal of Child Psychology and Psychiatry</w:t>
      </w:r>
      <w:r w:rsidRPr="00E7783C">
        <w:t>, 51.4 (2010), p. 34</w:t>
      </w:r>
      <w:r>
        <w:t>7.</w:t>
      </w:r>
    </w:p>
  </w:footnote>
  <w:footnote w:id="22">
    <w:p w14:paraId="55187B13" w14:textId="03D8C2FB" w:rsidR="00114E4C" w:rsidRDefault="00114E4C">
      <w:pPr>
        <w:pStyle w:val="FootnoteText"/>
      </w:pPr>
      <w:r>
        <w:rPr>
          <w:rStyle w:val="FootnoteReference"/>
        </w:rPr>
        <w:footnoteRef/>
      </w:r>
      <w:r>
        <w:t xml:space="preserve"> </w:t>
      </w:r>
      <w:r>
        <w:t xml:space="preserve">Richard Dawkins vs John Lennox, </w:t>
      </w:r>
      <w:r>
        <w:rPr>
          <w:i/>
          <w:iCs/>
        </w:rPr>
        <w:t xml:space="preserve">The God </w:t>
      </w:r>
      <w:r w:rsidR="00076080">
        <w:rPr>
          <w:i/>
          <w:iCs/>
        </w:rPr>
        <w:t>Delusion</w:t>
      </w:r>
      <w:r>
        <w:rPr>
          <w:i/>
          <w:iCs/>
        </w:rPr>
        <w:t xml:space="preserve"> debate,</w:t>
      </w:r>
      <w:r w:rsidR="00027AD2">
        <w:rPr>
          <w:i/>
          <w:iCs/>
        </w:rPr>
        <w:t xml:space="preserve"> </w:t>
      </w:r>
      <w:r w:rsidR="00826B00">
        <w:t xml:space="preserve">[Video], </w:t>
      </w:r>
      <w:r w:rsidR="00027AD2">
        <w:t xml:space="preserve">2015, </w:t>
      </w:r>
      <w:r>
        <w:t>&lt;</w:t>
      </w:r>
      <w:hyperlink r:id="rId5" w:history="1">
        <w:r w:rsidRPr="00977FBE">
          <w:rPr>
            <w:rStyle w:val="Hyperlink"/>
          </w:rPr>
          <w:t>https://www.youtube.com/watch?v=zF5bPI92-5o</w:t>
        </w:r>
      </w:hyperlink>
      <w:r>
        <w:t>&gt; [Accessed 5</w:t>
      </w:r>
      <w:r w:rsidRPr="005C4936">
        <w:rPr>
          <w:vertAlign w:val="superscript"/>
        </w:rPr>
        <w:t>th</w:t>
      </w:r>
      <w:r>
        <w:t xml:space="preserve"> Jan 2026], 2</w:t>
      </w:r>
      <w:r>
        <w:t>8</w:t>
      </w:r>
      <w:r>
        <w:t>:</w:t>
      </w:r>
      <w:r>
        <w:t>45</w:t>
      </w:r>
      <w: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936"/>
    <w:rsid w:val="00001B4D"/>
    <w:rsid w:val="0001007D"/>
    <w:rsid w:val="00015564"/>
    <w:rsid w:val="00025620"/>
    <w:rsid w:val="00027AD2"/>
    <w:rsid w:val="000343B8"/>
    <w:rsid w:val="00041A76"/>
    <w:rsid w:val="00043855"/>
    <w:rsid w:val="00050489"/>
    <w:rsid w:val="00052C27"/>
    <w:rsid w:val="00071993"/>
    <w:rsid w:val="00076080"/>
    <w:rsid w:val="00092AD3"/>
    <w:rsid w:val="00094231"/>
    <w:rsid w:val="00096170"/>
    <w:rsid w:val="000A64A5"/>
    <w:rsid w:val="000B4152"/>
    <w:rsid w:val="000B611D"/>
    <w:rsid w:val="000D1EAB"/>
    <w:rsid w:val="000D3010"/>
    <w:rsid w:val="00100DD3"/>
    <w:rsid w:val="00114484"/>
    <w:rsid w:val="00114E4C"/>
    <w:rsid w:val="00123443"/>
    <w:rsid w:val="0014296E"/>
    <w:rsid w:val="00144FA0"/>
    <w:rsid w:val="0015578A"/>
    <w:rsid w:val="00191711"/>
    <w:rsid w:val="001A2FBE"/>
    <w:rsid w:val="001A701C"/>
    <w:rsid w:val="001B21AD"/>
    <w:rsid w:val="001B34A6"/>
    <w:rsid w:val="001B6C77"/>
    <w:rsid w:val="001B7186"/>
    <w:rsid w:val="001B781D"/>
    <w:rsid w:val="001D1507"/>
    <w:rsid w:val="001F0459"/>
    <w:rsid w:val="00203384"/>
    <w:rsid w:val="0022321A"/>
    <w:rsid w:val="00235A6E"/>
    <w:rsid w:val="00266CDB"/>
    <w:rsid w:val="00285A7E"/>
    <w:rsid w:val="0029041D"/>
    <w:rsid w:val="00293814"/>
    <w:rsid w:val="002A710C"/>
    <w:rsid w:val="002B0FB1"/>
    <w:rsid w:val="002F4B19"/>
    <w:rsid w:val="00305B88"/>
    <w:rsid w:val="0032313A"/>
    <w:rsid w:val="003411CC"/>
    <w:rsid w:val="00341CC3"/>
    <w:rsid w:val="0035754B"/>
    <w:rsid w:val="00363B23"/>
    <w:rsid w:val="0039142F"/>
    <w:rsid w:val="00394F7D"/>
    <w:rsid w:val="003B4A4F"/>
    <w:rsid w:val="003C0101"/>
    <w:rsid w:val="00405D9F"/>
    <w:rsid w:val="0041451A"/>
    <w:rsid w:val="00437E5E"/>
    <w:rsid w:val="004679E5"/>
    <w:rsid w:val="004679E8"/>
    <w:rsid w:val="00485DFB"/>
    <w:rsid w:val="004960F9"/>
    <w:rsid w:val="004A7FB3"/>
    <w:rsid w:val="004B11B3"/>
    <w:rsid w:val="004B3F43"/>
    <w:rsid w:val="004C0602"/>
    <w:rsid w:val="004D3812"/>
    <w:rsid w:val="00526C27"/>
    <w:rsid w:val="00541F05"/>
    <w:rsid w:val="005421DE"/>
    <w:rsid w:val="00544246"/>
    <w:rsid w:val="005518E6"/>
    <w:rsid w:val="0058318D"/>
    <w:rsid w:val="00587F43"/>
    <w:rsid w:val="005A1657"/>
    <w:rsid w:val="005A1F9C"/>
    <w:rsid w:val="005A4534"/>
    <w:rsid w:val="005C11ED"/>
    <w:rsid w:val="005C4936"/>
    <w:rsid w:val="005D0C0B"/>
    <w:rsid w:val="005E58FC"/>
    <w:rsid w:val="006003FE"/>
    <w:rsid w:val="006103E8"/>
    <w:rsid w:val="00610445"/>
    <w:rsid w:val="00610705"/>
    <w:rsid w:val="00611F25"/>
    <w:rsid w:val="00614BBE"/>
    <w:rsid w:val="0064799F"/>
    <w:rsid w:val="006A2B1D"/>
    <w:rsid w:val="006A45DF"/>
    <w:rsid w:val="006D7F88"/>
    <w:rsid w:val="006E0515"/>
    <w:rsid w:val="006E5A45"/>
    <w:rsid w:val="006E7691"/>
    <w:rsid w:val="006F1E1E"/>
    <w:rsid w:val="0070300A"/>
    <w:rsid w:val="007042D3"/>
    <w:rsid w:val="00733505"/>
    <w:rsid w:val="007447AE"/>
    <w:rsid w:val="0075408C"/>
    <w:rsid w:val="00765912"/>
    <w:rsid w:val="007663EA"/>
    <w:rsid w:val="007709EB"/>
    <w:rsid w:val="00775056"/>
    <w:rsid w:val="00781CEC"/>
    <w:rsid w:val="00782B7B"/>
    <w:rsid w:val="00795FE3"/>
    <w:rsid w:val="00796199"/>
    <w:rsid w:val="007A209F"/>
    <w:rsid w:val="007C320F"/>
    <w:rsid w:val="007D7860"/>
    <w:rsid w:val="007E3BE4"/>
    <w:rsid w:val="00803BA6"/>
    <w:rsid w:val="0081472A"/>
    <w:rsid w:val="00817D2E"/>
    <w:rsid w:val="00826775"/>
    <w:rsid w:val="00826B00"/>
    <w:rsid w:val="0085214B"/>
    <w:rsid w:val="00882EBE"/>
    <w:rsid w:val="008C50E6"/>
    <w:rsid w:val="008D25E1"/>
    <w:rsid w:val="008D5698"/>
    <w:rsid w:val="008E3E8E"/>
    <w:rsid w:val="00936E7C"/>
    <w:rsid w:val="00954B64"/>
    <w:rsid w:val="0098306A"/>
    <w:rsid w:val="009B1840"/>
    <w:rsid w:val="009B434E"/>
    <w:rsid w:val="009C4BD9"/>
    <w:rsid w:val="009F291F"/>
    <w:rsid w:val="009F559A"/>
    <w:rsid w:val="00A01002"/>
    <w:rsid w:val="00A01EE5"/>
    <w:rsid w:val="00A11747"/>
    <w:rsid w:val="00A13AEA"/>
    <w:rsid w:val="00A15060"/>
    <w:rsid w:val="00A326D0"/>
    <w:rsid w:val="00A4011F"/>
    <w:rsid w:val="00A46932"/>
    <w:rsid w:val="00A50241"/>
    <w:rsid w:val="00A725FE"/>
    <w:rsid w:val="00A846EC"/>
    <w:rsid w:val="00AB7B17"/>
    <w:rsid w:val="00AC1B12"/>
    <w:rsid w:val="00AD1999"/>
    <w:rsid w:val="00AE440E"/>
    <w:rsid w:val="00AE4410"/>
    <w:rsid w:val="00AF6427"/>
    <w:rsid w:val="00B06751"/>
    <w:rsid w:val="00B11A6A"/>
    <w:rsid w:val="00B1750B"/>
    <w:rsid w:val="00B2279A"/>
    <w:rsid w:val="00B301BA"/>
    <w:rsid w:val="00B30ADF"/>
    <w:rsid w:val="00B342BC"/>
    <w:rsid w:val="00B46B92"/>
    <w:rsid w:val="00B565B4"/>
    <w:rsid w:val="00B70088"/>
    <w:rsid w:val="00BC6ED3"/>
    <w:rsid w:val="00BD57B1"/>
    <w:rsid w:val="00BE3F89"/>
    <w:rsid w:val="00BF0AF3"/>
    <w:rsid w:val="00C052C5"/>
    <w:rsid w:val="00C1420E"/>
    <w:rsid w:val="00C14C6E"/>
    <w:rsid w:val="00C20915"/>
    <w:rsid w:val="00C32A1B"/>
    <w:rsid w:val="00C32A37"/>
    <w:rsid w:val="00C37E35"/>
    <w:rsid w:val="00C42B2F"/>
    <w:rsid w:val="00C877A4"/>
    <w:rsid w:val="00C9170F"/>
    <w:rsid w:val="00CA26C5"/>
    <w:rsid w:val="00CA5EFE"/>
    <w:rsid w:val="00CC3678"/>
    <w:rsid w:val="00CC6DB6"/>
    <w:rsid w:val="00CE1C71"/>
    <w:rsid w:val="00D42596"/>
    <w:rsid w:val="00D4586D"/>
    <w:rsid w:val="00D54D38"/>
    <w:rsid w:val="00D75989"/>
    <w:rsid w:val="00D91109"/>
    <w:rsid w:val="00D94365"/>
    <w:rsid w:val="00DB775F"/>
    <w:rsid w:val="00DC5C35"/>
    <w:rsid w:val="00DE3D03"/>
    <w:rsid w:val="00E21706"/>
    <w:rsid w:val="00E301D3"/>
    <w:rsid w:val="00E30EA6"/>
    <w:rsid w:val="00E36251"/>
    <w:rsid w:val="00E65BA7"/>
    <w:rsid w:val="00E746F2"/>
    <w:rsid w:val="00E7783C"/>
    <w:rsid w:val="00EA4C21"/>
    <w:rsid w:val="00EA63DA"/>
    <w:rsid w:val="00EC4970"/>
    <w:rsid w:val="00EC519A"/>
    <w:rsid w:val="00ED34FD"/>
    <w:rsid w:val="00EF4067"/>
    <w:rsid w:val="00EF4404"/>
    <w:rsid w:val="00EF51E5"/>
    <w:rsid w:val="00F012B8"/>
    <w:rsid w:val="00F11016"/>
    <w:rsid w:val="00F13D68"/>
    <w:rsid w:val="00F226BC"/>
    <w:rsid w:val="00F46CF8"/>
    <w:rsid w:val="00F56A4B"/>
    <w:rsid w:val="00F76002"/>
    <w:rsid w:val="00F8372F"/>
    <w:rsid w:val="00F92A68"/>
    <w:rsid w:val="00FA67D9"/>
    <w:rsid w:val="00FA7077"/>
    <w:rsid w:val="00FA7523"/>
    <w:rsid w:val="00FC7701"/>
    <w:rsid w:val="00FD4151"/>
    <w:rsid w:val="00FD613F"/>
    <w:rsid w:val="00FE0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ACAA6"/>
  <w15:chartTrackingRefBased/>
  <w15:docId w15:val="{E2A043A4-D478-4F14-9075-9C7147E15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493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C493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C493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C493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C493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C49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49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49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49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93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C493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C493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C493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C493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C49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49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49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4936"/>
    <w:rPr>
      <w:rFonts w:eastAsiaTheme="majorEastAsia" w:cstheme="majorBidi"/>
      <w:color w:val="272727" w:themeColor="text1" w:themeTint="D8"/>
    </w:rPr>
  </w:style>
  <w:style w:type="paragraph" w:styleId="Title">
    <w:name w:val="Title"/>
    <w:basedOn w:val="Normal"/>
    <w:next w:val="Normal"/>
    <w:link w:val="TitleChar"/>
    <w:uiPriority w:val="10"/>
    <w:qFormat/>
    <w:rsid w:val="005C49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49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49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49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4936"/>
    <w:pPr>
      <w:spacing w:before="160"/>
      <w:jc w:val="center"/>
    </w:pPr>
    <w:rPr>
      <w:i/>
      <w:iCs/>
      <w:color w:val="404040" w:themeColor="text1" w:themeTint="BF"/>
    </w:rPr>
  </w:style>
  <w:style w:type="character" w:customStyle="1" w:styleId="QuoteChar">
    <w:name w:val="Quote Char"/>
    <w:basedOn w:val="DefaultParagraphFont"/>
    <w:link w:val="Quote"/>
    <w:uiPriority w:val="29"/>
    <w:rsid w:val="005C4936"/>
    <w:rPr>
      <w:i/>
      <w:iCs/>
      <w:color w:val="404040" w:themeColor="text1" w:themeTint="BF"/>
    </w:rPr>
  </w:style>
  <w:style w:type="paragraph" w:styleId="ListParagraph">
    <w:name w:val="List Paragraph"/>
    <w:basedOn w:val="Normal"/>
    <w:uiPriority w:val="34"/>
    <w:qFormat/>
    <w:rsid w:val="005C4936"/>
    <w:pPr>
      <w:ind w:left="720"/>
      <w:contextualSpacing/>
    </w:pPr>
  </w:style>
  <w:style w:type="character" w:styleId="IntenseEmphasis">
    <w:name w:val="Intense Emphasis"/>
    <w:basedOn w:val="DefaultParagraphFont"/>
    <w:uiPriority w:val="21"/>
    <w:qFormat/>
    <w:rsid w:val="005C4936"/>
    <w:rPr>
      <w:i/>
      <w:iCs/>
      <w:color w:val="2F5496" w:themeColor="accent1" w:themeShade="BF"/>
    </w:rPr>
  </w:style>
  <w:style w:type="paragraph" w:styleId="IntenseQuote">
    <w:name w:val="Intense Quote"/>
    <w:basedOn w:val="Normal"/>
    <w:next w:val="Normal"/>
    <w:link w:val="IntenseQuoteChar"/>
    <w:uiPriority w:val="30"/>
    <w:qFormat/>
    <w:rsid w:val="005C493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C4936"/>
    <w:rPr>
      <w:i/>
      <w:iCs/>
      <w:color w:val="2F5496" w:themeColor="accent1" w:themeShade="BF"/>
    </w:rPr>
  </w:style>
  <w:style w:type="character" w:styleId="IntenseReference">
    <w:name w:val="Intense Reference"/>
    <w:basedOn w:val="DefaultParagraphFont"/>
    <w:uiPriority w:val="32"/>
    <w:qFormat/>
    <w:rsid w:val="005C4936"/>
    <w:rPr>
      <w:b/>
      <w:bCs/>
      <w:smallCaps/>
      <w:color w:val="2F5496" w:themeColor="accent1" w:themeShade="BF"/>
      <w:spacing w:val="5"/>
    </w:rPr>
  </w:style>
  <w:style w:type="paragraph" w:styleId="FootnoteText">
    <w:name w:val="footnote text"/>
    <w:basedOn w:val="Normal"/>
    <w:link w:val="FootnoteTextChar"/>
    <w:uiPriority w:val="99"/>
    <w:semiHidden/>
    <w:unhideWhenUsed/>
    <w:rsid w:val="005C493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C4936"/>
    <w:rPr>
      <w:sz w:val="20"/>
      <w:szCs w:val="20"/>
    </w:rPr>
  </w:style>
  <w:style w:type="character" w:styleId="FootnoteReference">
    <w:name w:val="footnote reference"/>
    <w:basedOn w:val="DefaultParagraphFont"/>
    <w:uiPriority w:val="99"/>
    <w:semiHidden/>
    <w:unhideWhenUsed/>
    <w:rsid w:val="005C4936"/>
    <w:rPr>
      <w:vertAlign w:val="superscript"/>
    </w:rPr>
  </w:style>
  <w:style w:type="character" w:styleId="Hyperlink">
    <w:name w:val="Hyperlink"/>
    <w:basedOn w:val="DefaultParagraphFont"/>
    <w:uiPriority w:val="99"/>
    <w:unhideWhenUsed/>
    <w:rsid w:val="005C4936"/>
    <w:rPr>
      <w:color w:val="0563C1" w:themeColor="hyperlink"/>
      <w:u w:val="single"/>
    </w:rPr>
  </w:style>
  <w:style w:type="character" w:styleId="UnresolvedMention">
    <w:name w:val="Unresolved Mention"/>
    <w:basedOn w:val="DefaultParagraphFont"/>
    <w:uiPriority w:val="99"/>
    <w:semiHidden/>
    <w:unhideWhenUsed/>
    <w:rsid w:val="005C4936"/>
    <w:rPr>
      <w:color w:val="605E5C"/>
      <w:shd w:val="clear" w:color="auto" w:fill="E1DFDD"/>
    </w:rPr>
  </w:style>
  <w:style w:type="paragraph" w:styleId="Caption">
    <w:name w:val="caption"/>
    <w:basedOn w:val="Normal"/>
    <w:next w:val="Normal"/>
    <w:uiPriority w:val="35"/>
    <w:unhideWhenUsed/>
    <w:qFormat/>
    <w:rsid w:val="006D7F8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dam%20and%20https://amica.davidrumsey.com/luna/servlet/detail/AMICO~1~1~23916~201832Eve%20-%20The%20AMICA%20Library" TargetMode="External"/><Relationship Id="rId3" Type="http://schemas.openxmlformats.org/officeDocument/2006/relationships/webSettings" Target="webSettings.xml"/><Relationship Id="rId7" Type="http://schemas.openxmlformats.org/officeDocument/2006/relationships/hyperlink" Target="https://biblehub.com/hebrew/120.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youtube.com/watch?v=zF5bPI92-5o"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biblehub.com/hebrew/120.htm" TargetMode="External"/><Relationship Id="rId2" Type="http://schemas.openxmlformats.org/officeDocument/2006/relationships/hyperlink" Target="Adam%20and%20https://amica.davidrumsey.com/luna/servlet/detail/AMICO~1~1~23916~201832Eve%20-%20The%20AMICA%20Library" TargetMode="External"/><Relationship Id="rId1" Type="http://schemas.openxmlformats.org/officeDocument/2006/relationships/hyperlink" Target="https://www.youtube.com/watch?v=zF5bPI92-5o" TargetMode="External"/><Relationship Id="rId5" Type="http://schemas.openxmlformats.org/officeDocument/2006/relationships/hyperlink" Target="https://www.youtube.com/watch?v=zF5bPI92-5o" TargetMode="External"/><Relationship Id="rId4" Type="http://schemas.openxmlformats.org/officeDocument/2006/relationships/hyperlink" Target="https://www.biblegateway.com/passage/?search=Genesis%203&amp;version=NRSV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970</TotalTime>
  <Pages>6</Pages>
  <Words>1539</Words>
  <Characters>8776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Chick</dc:creator>
  <cp:keywords/>
  <dc:description/>
  <cp:lastModifiedBy>Marcus Chick</cp:lastModifiedBy>
  <cp:revision>207</cp:revision>
  <dcterms:created xsi:type="dcterms:W3CDTF">2026-01-05T21:04:00Z</dcterms:created>
  <dcterms:modified xsi:type="dcterms:W3CDTF">2026-01-06T22:18:00Z</dcterms:modified>
</cp:coreProperties>
</file>