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1859E9" w14:textId="77777777" w:rsidR="007B3F04" w:rsidRDefault="007B3F04" w:rsidP="007B3F04">
      <w:pPr>
        <w:jc w:val="center"/>
        <w:rPr>
          <w:rFonts w:ascii="Times New Roman" w:hAnsi="Times New Roman" w:cs="Times New Roman"/>
          <w:sz w:val="28"/>
          <w:szCs w:val="28"/>
        </w:rPr>
      </w:pPr>
      <w:bookmarkStart w:id="0" w:name="_Hlk216198328"/>
    </w:p>
    <w:p w14:paraId="32CE28E5" w14:textId="5FB938AE" w:rsidR="007B3F04" w:rsidRDefault="007B3F04" w:rsidP="007B3F04">
      <w:pPr>
        <w:jc w:val="center"/>
        <w:rPr>
          <w:rFonts w:ascii="Times New Roman" w:hAnsi="Times New Roman" w:cs="Times New Roman"/>
          <w:sz w:val="28"/>
          <w:szCs w:val="28"/>
        </w:rPr>
      </w:pPr>
      <w:r>
        <w:rPr>
          <w:rFonts w:ascii="Times New Roman" w:hAnsi="Times New Roman" w:cs="Times New Roman"/>
          <w:sz w:val="28"/>
          <w:szCs w:val="28"/>
        </w:rPr>
        <w:t>Counselling Theory and Approaches</w:t>
      </w:r>
    </w:p>
    <w:p w14:paraId="69A7BAB5" w14:textId="3A1981F2" w:rsidR="007B3F04" w:rsidRDefault="007B3F04" w:rsidP="007B3F04">
      <w:pPr>
        <w:jc w:val="center"/>
        <w:rPr>
          <w:rFonts w:ascii="Times New Roman" w:hAnsi="Times New Roman" w:cs="Times New Roman"/>
          <w:sz w:val="28"/>
          <w:szCs w:val="28"/>
        </w:rPr>
      </w:pPr>
      <w:r w:rsidRPr="007B3F04">
        <w:rPr>
          <w:rFonts w:ascii="Times New Roman" w:hAnsi="Times New Roman" w:cs="Times New Roman"/>
          <w:sz w:val="28"/>
          <w:szCs w:val="28"/>
        </w:rPr>
        <w:t>ECPS5013</w:t>
      </w:r>
    </w:p>
    <w:p w14:paraId="09F5104E" w14:textId="2A03AA44" w:rsidR="007B3F04" w:rsidRPr="007B3F04" w:rsidRDefault="007B3F04" w:rsidP="007B3F04">
      <w:pPr>
        <w:jc w:val="center"/>
        <w:rPr>
          <w:rFonts w:ascii="Times New Roman" w:hAnsi="Times New Roman" w:cs="Times New Roman"/>
          <w:sz w:val="28"/>
          <w:szCs w:val="28"/>
        </w:rPr>
      </w:pPr>
      <w:r w:rsidRPr="007B3F04">
        <w:rPr>
          <w:rFonts w:ascii="Times New Roman" w:hAnsi="Times New Roman" w:cs="Times New Roman"/>
          <w:sz w:val="28"/>
          <w:szCs w:val="28"/>
        </w:rPr>
        <w:t>Produce a qualitative research report based on the provided transcript. Carry out a thematic analysis of the provided interview transcript which explores the following research question: How do counsellors understand and experience professional boundaries</w:t>
      </w:r>
    </w:p>
    <w:p w14:paraId="68572BAF" w14:textId="77777777" w:rsidR="007B3F04" w:rsidRDefault="007B3F04">
      <w:pPr>
        <w:rPr>
          <w:rFonts w:ascii="Times New Roman" w:hAnsi="Times New Roman" w:cs="Times New Roman"/>
          <w:b/>
          <w:bCs/>
          <w:sz w:val="28"/>
          <w:szCs w:val="28"/>
        </w:rPr>
      </w:pPr>
    </w:p>
    <w:p w14:paraId="23E23D1D" w14:textId="77777777" w:rsidR="007B3F04" w:rsidRDefault="007B3F04" w:rsidP="007B3F04">
      <w:pPr>
        <w:jc w:val="center"/>
        <w:rPr>
          <w:rFonts w:ascii="Times New Roman" w:hAnsi="Times New Roman" w:cs="Times New Roman"/>
          <w:sz w:val="28"/>
          <w:szCs w:val="28"/>
          <w:u w:val="single"/>
        </w:rPr>
      </w:pPr>
    </w:p>
    <w:p w14:paraId="237EF733" w14:textId="77777777" w:rsidR="007B3F04" w:rsidRDefault="007B3F04" w:rsidP="007B3F04">
      <w:pPr>
        <w:jc w:val="center"/>
        <w:rPr>
          <w:rFonts w:ascii="Times New Roman" w:hAnsi="Times New Roman" w:cs="Times New Roman"/>
          <w:sz w:val="28"/>
          <w:szCs w:val="28"/>
          <w:u w:val="single"/>
        </w:rPr>
      </w:pPr>
    </w:p>
    <w:p w14:paraId="5D631E50" w14:textId="77777777" w:rsidR="007B3F04" w:rsidRDefault="007B3F04" w:rsidP="007B3F04">
      <w:pPr>
        <w:jc w:val="center"/>
        <w:rPr>
          <w:rFonts w:ascii="Times New Roman" w:hAnsi="Times New Roman" w:cs="Times New Roman"/>
          <w:sz w:val="28"/>
          <w:szCs w:val="28"/>
          <w:u w:val="single"/>
        </w:rPr>
      </w:pPr>
    </w:p>
    <w:p w14:paraId="099AA5EC" w14:textId="77777777" w:rsidR="007B3F04" w:rsidRDefault="007B3F04" w:rsidP="007B3F04">
      <w:pPr>
        <w:jc w:val="center"/>
        <w:rPr>
          <w:rFonts w:ascii="Times New Roman" w:hAnsi="Times New Roman" w:cs="Times New Roman"/>
          <w:sz w:val="28"/>
          <w:szCs w:val="28"/>
          <w:u w:val="single"/>
        </w:rPr>
      </w:pPr>
    </w:p>
    <w:p w14:paraId="71A66842" w14:textId="77777777" w:rsidR="007B3F04" w:rsidRDefault="007B3F04" w:rsidP="007B3F04">
      <w:pPr>
        <w:jc w:val="center"/>
        <w:rPr>
          <w:rFonts w:ascii="Times New Roman" w:hAnsi="Times New Roman" w:cs="Times New Roman"/>
          <w:sz w:val="28"/>
          <w:szCs w:val="28"/>
          <w:u w:val="single"/>
        </w:rPr>
      </w:pPr>
    </w:p>
    <w:p w14:paraId="0402F130" w14:textId="77777777" w:rsidR="007B3F04" w:rsidRDefault="007B3F04" w:rsidP="007B3F04">
      <w:pPr>
        <w:jc w:val="center"/>
        <w:rPr>
          <w:rFonts w:ascii="Times New Roman" w:hAnsi="Times New Roman" w:cs="Times New Roman"/>
          <w:sz w:val="28"/>
          <w:szCs w:val="28"/>
          <w:u w:val="single"/>
        </w:rPr>
      </w:pPr>
    </w:p>
    <w:p w14:paraId="05671C3A" w14:textId="77777777" w:rsidR="007B3F04" w:rsidRDefault="007B3F04" w:rsidP="007B3F04">
      <w:pPr>
        <w:jc w:val="center"/>
        <w:rPr>
          <w:rFonts w:ascii="Times New Roman" w:hAnsi="Times New Roman" w:cs="Times New Roman"/>
          <w:sz w:val="28"/>
          <w:szCs w:val="28"/>
          <w:u w:val="single"/>
        </w:rPr>
      </w:pPr>
    </w:p>
    <w:p w14:paraId="62BBC15F" w14:textId="77777777" w:rsidR="007B3F04" w:rsidRDefault="007B3F04" w:rsidP="007B3F04">
      <w:pPr>
        <w:jc w:val="center"/>
        <w:rPr>
          <w:rFonts w:ascii="Times New Roman" w:hAnsi="Times New Roman" w:cs="Times New Roman"/>
          <w:sz w:val="28"/>
          <w:szCs w:val="28"/>
          <w:u w:val="single"/>
        </w:rPr>
      </w:pPr>
    </w:p>
    <w:p w14:paraId="1D9538EB" w14:textId="77777777" w:rsidR="007B3F04" w:rsidRDefault="007B3F04" w:rsidP="007B3F04">
      <w:pPr>
        <w:jc w:val="center"/>
        <w:rPr>
          <w:rFonts w:ascii="Times New Roman" w:hAnsi="Times New Roman" w:cs="Times New Roman"/>
          <w:sz w:val="28"/>
          <w:szCs w:val="28"/>
          <w:u w:val="single"/>
        </w:rPr>
      </w:pPr>
    </w:p>
    <w:p w14:paraId="46DD78F7" w14:textId="77777777" w:rsidR="007B3F04" w:rsidRDefault="007B3F04" w:rsidP="007B3F04">
      <w:pPr>
        <w:jc w:val="center"/>
        <w:rPr>
          <w:rFonts w:ascii="Times New Roman" w:hAnsi="Times New Roman" w:cs="Times New Roman"/>
          <w:sz w:val="28"/>
          <w:szCs w:val="28"/>
          <w:u w:val="single"/>
        </w:rPr>
      </w:pPr>
    </w:p>
    <w:p w14:paraId="130D2236" w14:textId="77777777" w:rsidR="007B3F04" w:rsidRDefault="007B3F04" w:rsidP="007B3F04">
      <w:pPr>
        <w:jc w:val="center"/>
        <w:rPr>
          <w:rFonts w:ascii="Times New Roman" w:hAnsi="Times New Roman" w:cs="Times New Roman"/>
          <w:sz w:val="28"/>
          <w:szCs w:val="28"/>
          <w:u w:val="single"/>
        </w:rPr>
      </w:pPr>
    </w:p>
    <w:p w14:paraId="0B890E25" w14:textId="77777777" w:rsidR="007B3F04" w:rsidRDefault="007B3F04" w:rsidP="007B3F04">
      <w:pPr>
        <w:jc w:val="center"/>
        <w:rPr>
          <w:rFonts w:ascii="Times New Roman" w:hAnsi="Times New Roman" w:cs="Times New Roman"/>
          <w:sz w:val="28"/>
          <w:szCs w:val="28"/>
          <w:u w:val="single"/>
        </w:rPr>
      </w:pPr>
    </w:p>
    <w:p w14:paraId="5938278A" w14:textId="77777777" w:rsidR="007B3F04" w:rsidRDefault="007B3F04" w:rsidP="007B3F04">
      <w:pPr>
        <w:jc w:val="center"/>
        <w:rPr>
          <w:rFonts w:ascii="Times New Roman" w:hAnsi="Times New Roman" w:cs="Times New Roman"/>
          <w:sz w:val="28"/>
          <w:szCs w:val="28"/>
          <w:u w:val="single"/>
        </w:rPr>
      </w:pPr>
    </w:p>
    <w:p w14:paraId="0A5A56FF" w14:textId="77777777" w:rsidR="007B3F04" w:rsidRDefault="007B3F04" w:rsidP="007B3F04">
      <w:pPr>
        <w:jc w:val="center"/>
        <w:rPr>
          <w:rFonts w:ascii="Times New Roman" w:hAnsi="Times New Roman" w:cs="Times New Roman"/>
          <w:sz w:val="28"/>
          <w:szCs w:val="28"/>
          <w:u w:val="single"/>
        </w:rPr>
      </w:pPr>
    </w:p>
    <w:p w14:paraId="07C8F16F" w14:textId="77777777" w:rsidR="007B3F04" w:rsidRDefault="007B3F04" w:rsidP="007B3F04">
      <w:pPr>
        <w:jc w:val="center"/>
        <w:rPr>
          <w:rFonts w:ascii="Times New Roman" w:hAnsi="Times New Roman" w:cs="Times New Roman"/>
          <w:sz w:val="28"/>
          <w:szCs w:val="28"/>
          <w:u w:val="single"/>
        </w:rPr>
      </w:pPr>
    </w:p>
    <w:p w14:paraId="171D8D63" w14:textId="77777777" w:rsidR="007B3F04" w:rsidRDefault="007B3F04" w:rsidP="007B3F04">
      <w:pPr>
        <w:jc w:val="center"/>
        <w:rPr>
          <w:rFonts w:ascii="Times New Roman" w:hAnsi="Times New Roman" w:cs="Times New Roman"/>
          <w:sz w:val="28"/>
          <w:szCs w:val="28"/>
          <w:u w:val="single"/>
        </w:rPr>
      </w:pPr>
    </w:p>
    <w:p w14:paraId="3539F54B" w14:textId="77777777" w:rsidR="007B3F04" w:rsidRDefault="007B3F04" w:rsidP="007B3F04">
      <w:pPr>
        <w:jc w:val="center"/>
        <w:rPr>
          <w:rFonts w:ascii="Times New Roman" w:hAnsi="Times New Roman" w:cs="Times New Roman"/>
          <w:sz w:val="28"/>
          <w:szCs w:val="28"/>
          <w:u w:val="single"/>
        </w:rPr>
      </w:pPr>
    </w:p>
    <w:p w14:paraId="629A7852" w14:textId="77777777" w:rsidR="007B3F04" w:rsidRDefault="007B3F04" w:rsidP="007B3F04">
      <w:pPr>
        <w:jc w:val="center"/>
        <w:rPr>
          <w:rFonts w:ascii="Times New Roman" w:hAnsi="Times New Roman" w:cs="Times New Roman"/>
          <w:sz w:val="28"/>
          <w:szCs w:val="28"/>
          <w:u w:val="single"/>
        </w:rPr>
      </w:pPr>
    </w:p>
    <w:p w14:paraId="30D0EDB1" w14:textId="77777777" w:rsidR="007B3F04" w:rsidRDefault="007B3F04" w:rsidP="007B3F04">
      <w:pPr>
        <w:jc w:val="center"/>
        <w:rPr>
          <w:rFonts w:ascii="Times New Roman" w:hAnsi="Times New Roman" w:cs="Times New Roman"/>
          <w:sz w:val="28"/>
          <w:szCs w:val="28"/>
          <w:u w:val="single"/>
        </w:rPr>
      </w:pPr>
    </w:p>
    <w:p w14:paraId="323C5E72" w14:textId="77777777" w:rsidR="007B3F04" w:rsidRDefault="007B3F04" w:rsidP="007B3F04">
      <w:pPr>
        <w:jc w:val="center"/>
        <w:rPr>
          <w:rFonts w:ascii="Times New Roman" w:hAnsi="Times New Roman" w:cs="Times New Roman"/>
          <w:sz w:val="28"/>
          <w:szCs w:val="28"/>
          <w:u w:val="single"/>
        </w:rPr>
      </w:pPr>
    </w:p>
    <w:p w14:paraId="0BCBE9D3" w14:textId="77777777" w:rsidR="007B3F04" w:rsidRPr="005B3F09" w:rsidRDefault="007B3F04" w:rsidP="007B3F04">
      <w:pPr>
        <w:jc w:val="center"/>
        <w:rPr>
          <w:rFonts w:ascii="Times New Roman" w:hAnsi="Times New Roman" w:cs="Times New Roman"/>
          <w:sz w:val="28"/>
          <w:szCs w:val="28"/>
          <w:u w:val="single"/>
        </w:rPr>
      </w:pPr>
    </w:p>
    <w:p w14:paraId="394F5348" w14:textId="77777777" w:rsidR="007B3F04" w:rsidRPr="007B3F04" w:rsidRDefault="007B3F04" w:rsidP="007B3F04">
      <w:pPr>
        <w:jc w:val="center"/>
        <w:rPr>
          <w:rFonts w:ascii="Times New Roman" w:hAnsi="Times New Roman" w:cs="Times New Roman"/>
          <w:sz w:val="28"/>
          <w:szCs w:val="28"/>
        </w:rPr>
      </w:pPr>
      <w:r w:rsidRPr="007B3F04">
        <w:rPr>
          <w:rFonts w:ascii="Times New Roman" w:hAnsi="Times New Roman" w:cs="Times New Roman"/>
          <w:sz w:val="28"/>
          <w:szCs w:val="2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33AD184" w14:textId="77777777" w:rsidR="007B3F04" w:rsidRPr="005B3F09" w:rsidRDefault="007B3F04" w:rsidP="007B3F04">
      <w:pPr>
        <w:rPr>
          <w:rFonts w:ascii="Times New Roman" w:hAnsi="Times New Roman" w:cs="Times New Roman"/>
          <w:sz w:val="28"/>
          <w:szCs w:val="28"/>
          <w:u w:val="single"/>
        </w:rPr>
      </w:pPr>
    </w:p>
    <w:p w14:paraId="23E58070" w14:textId="77777777" w:rsidR="007B3F04" w:rsidRDefault="007B3F04">
      <w:pPr>
        <w:rPr>
          <w:rFonts w:ascii="Times New Roman" w:hAnsi="Times New Roman" w:cs="Times New Roman"/>
          <w:b/>
          <w:bCs/>
          <w:sz w:val="28"/>
          <w:szCs w:val="28"/>
        </w:rPr>
      </w:pPr>
    </w:p>
    <w:p w14:paraId="7580964E" w14:textId="77777777" w:rsidR="007B3F04" w:rsidRDefault="007B3F04">
      <w:pPr>
        <w:rPr>
          <w:rFonts w:ascii="Times New Roman" w:hAnsi="Times New Roman" w:cs="Times New Roman"/>
          <w:b/>
          <w:bCs/>
          <w:sz w:val="28"/>
          <w:szCs w:val="28"/>
        </w:rPr>
      </w:pPr>
    </w:p>
    <w:p w14:paraId="352A15B2" w14:textId="77777777" w:rsidR="007B3F04" w:rsidRDefault="007B3F04">
      <w:pPr>
        <w:rPr>
          <w:rFonts w:ascii="Times New Roman" w:hAnsi="Times New Roman" w:cs="Times New Roman"/>
          <w:b/>
          <w:bCs/>
          <w:sz w:val="28"/>
          <w:szCs w:val="28"/>
        </w:rPr>
      </w:pPr>
    </w:p>
    <w:p w14:paraId="4E984C4E" w14:textId="77777777" w:rsidR="007B3F04" w:rsidRDefault="007B3F04">
      <w:pPr>
        <w:rPr>
          <w:rFonts w:ascii="Times New Roman" w:hAnsi="Times New Roman" w:cs="Times New Roman"/>
          <w:b/>
          <w:bCs/>
          <w:sz w:val="28"/>
          <w:szCs w:val="28"/>
        </w:rPr>
      </w:pPr>
    </w:p>
    <w:p w14:paraId="7273EF25" w14:textId="77777777" w:rsidR="007B3F04" w:rsidRDefault="007B3F04">
      <w:pPr>
        <w:rPr>
          <w:rFonts w:ascii="Times New Roman" w:hAnsi="Times New Roman" w:cs="Times New Roman"/>
          <w:b/>
          <w:bCs/>
          <w:sz w:val="28"/>
          <w:szCs w:val="28"/>
        </w:rPr>
      </w:pPr>
    </w:p>
    <w:p w14:paraId="74E429CB" w14:textId="77777777" w:rsidR="007B3F04" w:rsidRDefault="007B3F04">
      <w:pPr>
        <w:rPr>
          <w:rFonts w:ascii="Times New Roman" w:hAnsi="Times New Roman" w:cs="Times New Roman"/>
          <w:b/>
          <w:bCs/>
          <w:sz w:val="28"/>
          <w:szCs w:val="28"/>
        </w:rPr>
      </w:pPr>
    </w:p>
    <w:p w14:paraId="3CB2670E" w14:textId="77777777" w:rsidR="007B3F04" w:rsidRDefault="007B3F04">
      <w:pPr>
        <w:rPr>
          <w:rFonts w:ascii="Times New Roman" w:hAnsi="Times New Roman" w:cs="Times New Roman"/>
          <w:b/>
          <w:bCs/>
          <w:sz w:val="28"/>
          <w:szCs w:val="28"/>
        </w:rPr>
      </w:pPr>
    </w:p>
    <w:p w14:paraId="5F9993E8" w14:textId="77777777" w:rsidR="007B3F04" w:rsidRDefault="007B3F04">
      <w:pPr>
        <w:rPr>
          <w:rFonts w:ascii="Times New Roman" w:hAnsi="Times New Roman" w:cs="Times New Roman"/>
          <w:b/>
          <w:bCs/>
          <w:sz w:val="28"/>
          <w:szCs w:val="28"/>
        </w:rPr>
      </w:pPr>
    </w:p>
    <w:p w14:paraId="2AB98A43" w14:textId="77777777" w:rsidR="007B3F04" w:rsidRDefault="007B3F04">
      <w:pPr>
        <w:rPr>
          <w:rFonts w:ascii="Times New Roman" w:hAnsi="Times New Roman" w:cs="Times New Roman"/>
          <w:b/>
          <w:bCs/>
          <w:sz w:val="28"/>
          <w:szCs w:val="28"/>
        </w:rPr>
      </w:pPr>
    </w:p>
    <w:p w14:paraId="5458E98E" w14:textId="77777777" w:rsidR="007B3F04" w:rsidRDefault="007B3F04">
      <w:pPr>
        <w:rPr>
          <w:rFonts w:ascii="Times New Roman" w:hAnsi="Times New Roman" w:cs="Times New Roman"/>
          <w:b/>
          <w:bCs/>
          <w:sz w:val="28"/>
          <w:szCs w:val="28"/>
        </w:rPr>
      </w:pPr>
    </w:p>
    <w:p w14:paraId="3DE0C263" w14:textId="77777777" w:rsidR="007B3F04" w:rsidRDefault="007B3F04">
      <w:pPr>
        <w:rPr>
          <w:rFonts w:ascii="Times New Roman" w:hAnsi="Times New Roman" w:cs="Times New Roman"/>
          <w:b/>
          <w:bCs/>
          <w:sz w:val="28"/>
          <w:szCs w:val="28"/>
        </w:rPr>
      </w:pPr>
    </w:p>
    <w:p w14:paraId="54A70155" w14:textId="77777777" w:rsidR="007B3F04" w:rsidRDefault="007B3F04">
      <w:pPr>
        <w:rPr>
          <w:rFonts w:ascii="Times New Roman" w:hAnsi="Times New Roman" w:cs="Times New Roman"/>
          <w:b/>
          <w:bCs/>
          <w:sz w:val="28"/>
          <w:szCs w:val="28"/>
        </w:rPr>
      </w:pPr>
    </w:p>
    <w:p w14:paraId="42ED9BFF" w14:textId="77777777" w:rsidR="007B3F04" w:rsidRDefault="007B3F04">
      <w:pPr>
        <w:rPr>
          <w:rFonts w:ascii="Times New Roman" w:hAnsi="Times New Roman" w:cs="Times New Roman"/>
          <w:b/>
          <w:bCs/>
          <w:sz w:val="28"/>
          <w:szCs w:val="28"/>
        </w:rPr>
      </w:pPr>
    </w:p>
    <w:p w14:paraId="2E995687" w14:textId="77777777" w:rsidR="007B3F04" w:rsidRDefault="007B3F04">
      <w:pPr>
        <w:rPr>
          <w:rFonts w:ascii="Times New Roman" w:hAnsi="Times New Roman" w:cs="Times New Roman"/>
          <w:b/>
          <w:bCs/>
          <w:sz w:val="28"/>
          <w:szCs w:val="28"/>
        </w:rPr>
      </w:pPr>
    </w:p>
    <w:p w14:paraId="51DA131F" w14:textId="77777777" w:rsidR="007B3F04" w:rsidRDefault="007B3F04">
      <w:pPr>
        <w:rPr>
          <w:rFonts w:ascii="Times New Roman" w:hAnsi="Times New Roman" w:cs="Times New Roman"/>
          <w:b/>
          <w:bCs/>
          <w:sz w:val="28"/>
          <w:szCs w:val="28"/>
        </w:rPr>
      </w:pPr>
    </w:p>
    <w:p w14:paraId="7AC50245" w14:textId="77777777" w:rsidR="007B3F04" w:rsidRDefault="007B3F04">
      <w:pPr>
        <w:rPr>
          <w:rFonts w:ascii="Times New Roman" w:hAnsi="Times New Roman" w:cs="Times New Roman"/>
          <w:b/>
          <w:bCs/>
          <w:sz w:val="28"/>
          <w:szCs w:val="28"/>
        </w:rPr>
      </w:pPr>
    </w:p>
    <w:p w14:paraId="3C7C6EA5" w14:textId="77777777" w:rsidR="007B3F04" w:rsidRDefault="007B3F04">
      <w:pPr>
        <w:rPr>
          <w:rFonts w:ascii="Times New Roman" w:hAnsi="Times New Roman" w:cs="Times New Roman"/>
          <w:b/>
          <w:bCs/>
          <w:sz w:val="28"/>
          <w:szCs w:val="28"/>
        </w:rPr>
      </w:pPr>
    </w:p>
    <w:p w14:paraId="77609CC6" w14:textId="77777777" w:rsidR="007B3F04" w:rsidRDefault="007B3F04">
      <w:pPr>
        <w:rPr>
          <w:rFonts w:ascii="Times New Roman" w:hAnsi="Times New Roman" w:cs="Times New Roman"/>
          <w:b/>
          <w:bCs/>
          <w:sz w:val="28"/>
          <w:szCs w:val="28"/>
        </w:rPr>
      </w:pPr>
    </w:p>
    <w:p w14:paraId="420C977E" w14:textId="77777777" w:rsidR="007B3F04" w:rsidRDefault="007B3F04">
      <w:pPr>
        <w:rPr>
          <w:rFonts w:ascii="Times New Roman" w:hAnsi="Times New Roman" w:cs="Times New Roman"/>
          <w:b/>
          <w:bCs/>
          <w:sz w:val="28"/>
          <w:szCs w:val="28"/>
        </w:rPr>
      </w:pPr>
    </w:p>
    <w:p w14:paraId="7DDE9EC7" w14:textId="77777777" w:rsidR="007B3F04" w:rsidRDefault="007B3F04">
      <w:pPr>
        <w:rPr>
          <w:rFonts w:ascii="Times New Roman" w:hAnsi="Times New Roman" w:cs="Times New Roman"/>
          <w:b/>
          <w:bCs/>
          <w:sz w:val="28"/>
          <w:szCs w:val="28"/>
        </w:rPr>
      </w:pPr>
    </w:p>
    <w:p w14:paraId="542D7536" w14:textId="77777777" w:rsidR="007B3F04" w:rsidRDefault="007B3F04" w:rsidP="00B02B08">
      <w:pPr>
        <w:rPr>
          <w:rFonts w:ascii="Times New Roman" w:hAnsi="Times New Roman" w:cs="Times New Roman"/>
          <w:b/>
          <w:bCs/>
          <w:sz w:val="28"/>
          <w:szCs w:val="28"/>
        </w:rPr>
      </w:pPr>
    </w:p>
    <w:p w14:paraId="31431802" w14:textId="77777777" w:rsidR="007B3F04" w:rsidRDefault="007B3F04" w:rsidP="00B02B08">
      <w:pPr>
        <w:rPr>
          <w:rFonts w:ascii="Times New Roman" w:hAnsi="Times New Roman" w:cs="Times New Roman"/>
          <w:b/>
          <w:bCs/>
          <w:sz w:val="28"/>
          <w:szCs w:val="28"/>
        </w:rPr>
      </w:pPr>
    </w:p>
    <w:p w14:paraId="0CA0AC46" w14:textId="115A66FB" w:rsidR="00B02B08" w:rsidRPr="00B02B08" w:rsidRDefault="00B02B08" w:rsidP="00B02B08">
      <w:pPr>
        <w:rPr>
          <w:rFonts w:ascii="Times New Roman" w:hAnsi="Times New Roman" w:cs="Times New Roman"/>
          <w:b/>
          <w:bCs/>
          <w:sz w:val="28"/>
          <w:szCs w:val="28"/>
        </w:rPr>
      </w:pPr>
      <w:r w:rsidRPr="00B02B08">
        <w:rPr>
          <w:rFonts w:ascii="Times New Roman" w:hAnsi="Times New Roman" w:cs="Times New Roman"/>
          <w:b/>
          <w:bCs/>
          <w:sz w:val="28"/>
          <w:szCs w:val="28"/>
        </w:rPr>
        <w:lastRenderedPageBreak/>
        <w:t>Abstract</w:t>
      </w:r>
    </w:p>
    <w:p w14:paraId="4FB04BA7" w14:textId="3D29EE1D" w:rsidR="00B02B08" w:rsidRPr="00B02B08" w:rsidRDefault="00B02B08" w:rsidP="00B02B08">
      <w:pPr>
        <w:rPr>
          <w:rFonts w:ascii="Times New Roman" w:hAnsi="Times New Roman" w:cs="Times New Roman"/>
          <w:sz w:val="28"/>
          <w:szCs w:val="28"/>
        </w:rPr>
      </w:pPr>
      <w:r w:rsidRPr="00B02B08">
        <w:rPr>
          <w:rFonts w:ascii="Times New Roman" w:hAnsi="Times New Roman" w:cs="Times New Roman"/>
          <w:sz w:val="28"/>
          <w:szCs w:val="28"/>
        </w:rPr>
        <w:t>Professional boundaries are widely recognised as fundamental to counselling practice, shaping the therapeutic relationship, safeguarding both counsellor and client, and providing the conditions for meaningful psychological work. While often misinterpreted as rigid restrictions, contemporary counselling literature emphasises their relational, ethical, and dynamic functions. This study explores how boundaries are understood and experienced within counselling practice, drawing on a qualitative thematic analysis of an interview with a humanistic integrative counsellor. Findings highlight boundaries as compassionate structures, therapeutic boundaries, ethical practice, and collaborative boundaries. The analysis demonstrates that boundaries operate not only as protective mechanisms but also as flexible relational scaffolding that enables trust, openness, and authenticity to develop.</w:t>
      </w:r>
    </w:p>
    <w:p w14:paraId="39531325" w14:textId="613B5B49" w:rsidR="00B02B08" w:rsidRPr="00B02B08" w:rsidRDefault="00B02B08" w:rsidP="00B02B08">
      <w:pPr>
        <w:rPr>
          <w:rFonts w:ascii="Times New Roman" w:hAnsi="Times New Roman" w:cs="Times New Roman"/>
          <w:b/>
          <w:bCs/>
          <w:sz w:val="28"/>
          <w:szCs w:val="28"/>
        </w:rPr>
      </w:pPr>
      <w:r w:rsidRPr="00B02B08">
        <w:rPr>
          <w:rFonts w:ascii="Times New Roman" w:hAnsi="Times New Roman" w:cs="Times New Roman"/>
          <w:b/>
          <w:bCs/>
          <w:sz w:val="28"/>
          <w:szCs w:val="28"/>
        </w:rPr>
        <w:t>Introduction</w:t>
      </w:r>
    </w:p>
    <w:p w14:paraId="4312453D" w14:textId="13816B57" w:rsidR="00B02B08" w:rsidRPr="00B02B08" w:rsidRDefault="00B02B08" w:rsidP="00B02B08">
      <w:pPr>
        <w:rPr>
          <w:rFonts w:ascii="Times New Roman" w:hAnsi="Times New Roman" w:cs="Times New Roman"/>
          <w:sz w:val="28"/>
          <w:szCs w:val="28"/>
        </w:rPr>
      </w:pPr>
      <w:r w:rsidRPr="00B02B08">
        <w:rPr>
          <w:rFonts w:ascii="Times New Roman" w:hAnsi="Times New Roman" w:cs="Times New Roman"/>
          <w:sz w:val="28"/>
          <w:szCs w:val="28"/>
        </w:rPr>
        <w:t>Professional boundaries have long been debated in counselling theory and practice. They provide the frame within which therapeutic work occurs, offering predictability and safety while allowing depth and authenticity (Owen, 1997). Humanistic counselling emphasises relational conditions necessary for therapeutic change. Rogers (19</w:t>
      </w:r>
      <w:r w:rsidR="007B3F04">
        <w:rPr>
          <w:rFonts w:ascii="Times New Roman" w:hAnsi="Times New Roman" w:cs="Times New Roman"/>
          <w:sz w:val="28"/>
          <w:szCs w:val="28"/>
        </w:rPr>
        <w:t>92</w:t>
      </w:r>
      <w:r w:rsidRPr="00B02B08">
        <w:rPr>
          <w:rFonts w:ascii="Times New Roman" w:hAnsi="Times New Roman" w:cs="Times New Roman"/>
          <w:sz w:val="28"/>
          <w:szCs w:val="28"/>
        </w:rPr>
        <w:t>) argued that empathy, congruence, and unconditional positive regard are necessary and sufficient conditions for personality change, but these conditions require a safe relational frame. Boundaries therefore serve as invisible scaffolding that supports trust, openness, and authenticity.</w:t>
      </w:r>
    </w:p>
    <w:p w14:paraId="2EF703FC" w14:textId="77777777" w:rsidR="00B02B08" w:rsidRPr="00B02B08" w:rsidRDefault="00B02B08" w:rsidP="00B02B08">
      <w:pPr>
        <w:rPr>
          <w:rFonts w:ascii="Times New Roman" w:hAnsi="Times New Roman" w:cs="Times New Roman"/>
          <w:sz w:val="28"/>
          <w:szCs w:val="28"/>
        </w:rPr>
      </w:pPr>
      <w:r w:rsidRPr="00B02B08">
        <w:rPr>
          <w:rFonts w:ascii="Times New Roman" w:hAnsi="Times New Roman" w:cs="Times New Roman"/>
          <w:sz w:val="28"/>
          <w:szCs w:val="28"/>
        </w:rPr>
        <w:t>Integrative approaches similarly highlight the importance of boundaries. Within humanistic and integrative counselling, boundaries are understood not as rigid restrictions but as relational structures that provide safety and predictability while allowing therapeutic depth. Owen (1997) emphasises that boundaries enable trust and authenticity between counsellor and client, with flexibility essential for diverse client groups where cultural, personal, and situational factors shape boundary experiences.</w:t>
      </w:r>
    </w:p>
    <w:p w14:paraId="5560B7AF" w14:textId="77777777" w:rsidR="00B02B08" w:rsidRPr="00B02B08" w:rsidRDefault="00B02B08" w:rsidP="00B02B08">
      <w:pPr>
        <w:rPr>
          <w:rFonts w:ascii="Times New Roman" w:hAnsi="Times New Roman" w:cs="Times New Roman"/>
          <w:sz w:val="28"/>
          <w:szCs w:val="28"/>
        </w:rPr>
      </w:pPr>
      <w:r w:rsidRPr="00B02B08">
        <w:rPr>
          <w:rFonts w:ascii="Times New Roman" w:hAnsi="Times New Roman" w:cs="Times New Roman"/>
          <w:sz w:val="28"/>
          <w:szCs w:val="28"/>
        </w:rPr>
        <w:t xml:space="preserve">Ethical frameworks reinforce the centrality of boundaries. The British Association for Counselling and Psychotherapy (BACP, 2024) identifies confidentiality, contracting, supervision, and record keeping as essential boundary practices. These guidelines provide counsellors with a professional compass, ensuring boundaries are maintained for both relational safety and ethical accountability. Gabbard (1994) similarly argues that boundaries are inseparable from ethical responsibility, cautioning that while flexibility may </w:t>
      </w:r>
      <w:r w:rsidRPr="00B02B08">
        <w:rPr>
          <w:rFonts w:ascii="Times New Roman" w:hAnsi="Times New Roman" w:cs="Times New Roman"/>
          <w:sz w:val="28"/>
          <w:szCs w:val="28"/>
        </w:rPr>
        <w:lastRenderedPageBreak/>
        <w:t>enhance therapeutic effectiveness, safeguards must remain intact to prevent harm.</w:t>
      </w:r>
    </w:p>
    <w:p w14:paraId="7A7385F1" w14:textId="77777777" w:rsidR="00B02B08" w:rsidRPr="00B02B08" w:rsidRDefault="00B02B08" w:rsidP="00B02B08">
      <w:pPr>
        <w:rPr>
          <w:rFonts w:ascii="Times New Roman" w:hAnsi="Times New Roman" w:cs="Times New Roman"/>
          <w:sz w:val="28"/>
          <w:szCs w:val="28"/>
        </w:rPr>
      </w:pPr>
      <w:r w:rsidRPr="00B02B08">
        <w:rPr>
          <w:rFonts w:ascii="Times New Roman" w:hAnsi="Times New Roman" w:cs="Times New Roman"/>
          <w:sz w:val="28"/>
          <w:szCs w:val="28"/>
        </w:rPr>
        <w:t>Despite their importance, boundaries are not always straightforward in practice. Counsellors must navigate complex situations involving time, space, self-disclosure, financial arrangements, and dual relationships. Boundaries can be tested by clients, challenged by external circumstances, or blurred by counsellors’ own histories and vulnerabilities. Owen (1997) notes that boundaries in humanistic counselling are often negotiated relationally rather than imposed rigidly, requiring a balance of flexibility and firmness. Gabbard (1994) reinforces this by warning that ethical safeguards must remain intact even when flexibility is exercised.</w:t>
      </w:r>
    </w:p>
    <w:p w14:paraId="3CE678CB" w14:textId="77777777" w:rsidR="00B02B08" w:rsidRPr="00B02B08" w:rsidRDefault="00B02B08" w:rsidP="00B02B08">
      <w:pPr>
        <w:rPr>
          <w:rFonts w:ascii="Times New Roman" w:hAnsi="Times New Roman" w:cs="Times New Roman"/>
          <w:sz w:val="28"/>
          <w:szCs w:val="28"/>
        </w:rPr>
      </w:pPr>
      <w:r w:rsidRPr="00B02B08">
        <w:rPr>
          <w:rFonts w:ascii="Times New Roman" w:hAnsi="Times New Roman" w:cs="Times New Roman"/>
          <w:sz w:val="28"/>
          <w:szCs w:val="28"/>
        </w:rPr>
        <w:t>This study uses qualitative thematic analysis of an interview with a humanistic integrative counsellor, “Chrissy,” to investigate how boundaries are conceptualised, negotiated, and enacted in practice. The findings are situated within existing literature, demonstrating how counsellors experience boundaries as compassionate structures, therapeutic boundaries, ethical practice, and collaborative boundaries.</w:t>
      </w:r>
    </w:p>
    <w:p w14:paraId="0A71DB20" w14:textId="77777777" w:rsidR="001D7A23" w:rsidRPr="001D7A23" w:rsidRDefault="001D7A23" w:rsidP="00A347ED">
      <w:pPr>
        <w:rPr>
          <w:rFonts w:ascii="Times New Roman" w:hAnsi="Times New Roman" w:cs="Times New Roman"/>
          <w:sz w:val="28"/>
          <w:szCs w:val="28"/>
        </w:rPr>
      </w:pPr>
    </w:p>
    <w:p w14:paraId="3E7BA39D" w14:textId="77777777" w:rsidR="00B02B08" w:rsidRDefault="00B02B08" w:rsidP="00B02B08">
      <w:pPr>
        <w:rPr>
          <w:rFonts w:ascii="Times New Roman" w:hAnsi="Times New Roman" w:cs="Times New Roman"/>
          <w:b/>
          <w:bCs/>
          <w:sz w:val="28"/>
          <w:szCs w:val="28"/>
        </w:rPr>
      </w:pPr>
      <w:r w:rsidRPr="00B02B08">
        <w:rPr>
          <w:rFonts w:ascii="Times New Roman" w:hAnsi="Times New Roman" w:cs="Times New Roman"/>
          <w:b/>
          <w:bCs/>
          <w:sz w:val="28"/>
          <w:szCs w:val="28"/>
        </w:rPr>
        <w:t xml:space="preserve">Method </w:t>
      </w:r>
    </w:p>
    <w:p w14:paraId="16D218BF" w14:textId="4D332768" w:rsidR="00B02B08" w:rsidRPr="00B02B08" w:rsidRDefault="00B02B08" w:rsidP="00B02B08">
      <w:pPr>
        <w:rPr>
          <w:rFonts w:ascii="Times New Roman" w:hAnsi="Times New Roman" w:cs="Times New Roman"/>
          <w:sz w:val="28"/>
          <w:szCs w:val="28"/>
        </w:rPr>
      </w:pPr>
      <w:r w:rsidRPr="00B02B08">
        <w:rPr>
          <w:rFonts w:ascii="Times New Roman" w:hAnsi="Times New Roman" w:cs="Times New Roman"/>
          <w:sz w:val="28"/>
          <w:szCs w:val="28"/>
        </w:rPr>
        <w:t>A qualitative design was chosen to explore the nuanced ways counsellors understand and experience boundaries. Qualitative methods are particularly suited to examining lived experience and meaning-making, allowing researchers to capture the complexity of counsellors’ perspectives (Braun &amp; Clarke, 2006).</w:t>
      </w:r>
    </w:p>
    <w:p w14:paraId="150C03F9" w14:textId="77777777" w:rsidR="00B02B08" w:rsidRPr="00B02B08" w:rsidRDefault="00B02B08" w:rsidP="00B02B08">
      <w:pPr>
        <w:rPr>
          <w:rFonts w:ascii="Times New Roman" w:hAnsi="Times New Roman" w:cs="Times New Roman"/>
          <w:sz w:val="28"/>
          <w:szCs w:val="28"/>
        </w:rPr>
      </w:pPr>
      <w:r w:rsidRPr="00B02B08">
        <w:rPr>
          <w:rFonts w:ascii="Times New Roman" w:hAnsi="Times New Roman" w:cs="Times New Roman"/>
          <w:sz w:val="28"/>
          <w:szCs w:val="28"/>
        </w:rPr>
        <w:t>Procedure The data consisted of a semi</w:t>
      </w:r>
      <w:r w:rsidRPr="00B02B08">
        <w:rPr>
          <w:rFonts w:ascii="Times New Roman" w:hAnsi="Times New Roman" w:cs="Times New Roman"/>
          <w:sz w:val="28"/>
          <w:szCs w:val="28"/>
        </w:rPr>
        <w:noBreakHyphen/>
        <w:t>structured interview transcript with a counsellor. The interview schedule covered topics such as contracting, time boundaries, physical space, digital communication, self</w:t>
      </w:r>
      <w:r w:rsidRPr="00B02B08">
        <w:rPr>
          <w:rFonts w:ascii="Times New Roman" w:hAnsi="Times New Roman" w:cs="Times New Roman"/>
          <w:sz w:val="28"/>
          <w:szCs w:val="28"/>
        </w:rPr>
        <w:noBreakHyphen/>
        <w:t>disclosure, money, gifts, dual relationships, endings, supervision, and flexibility. Semi</w:t>
      </w:r>
      <w:r w:rsidRPr="00B02B08">
        <w:rPr>
          <w:rFonts w:ascii="Times New Roman" w:hAnsi="Times New Roman" w:cs="Times New Roman"/>
          <w:sz w:val="28"/>
          <w:szCs w:val="28"/>
        </w:rPr>
        <w:noBreakHyphen/>
        <w:t>structured interviews are particularly useful in counselling research because they allow participants to express their experiences in their own words while providing enough structure to ensure relevant topics are explored. The transcript was then analysed using thematic analysis, a flexible and rigorous approach for identifying and interpreting patterns of meaning within qualitative data.</w:t>
      </w:r>
    </w:p>
    <w:p w14:paraId="09011DDC" w14:textId="77777777" w:rsidR="00B02B08" w:rsidRPr="00B02B08" w:rsidRDefault="00B02B08" w:rsidP="00B02B08">
      <w:pPr>
        <w:rPr>
          <w:rFonts w:ascii="Times New Roman" w:hAnsi="Times New Roman" w:cs="Times New Roman"/>
          <w:sz w:val="28"/>
          <w:szCs w:val="28"/>
        </w:rPr>
      </w:pPr>
      <w:r w:rsidRPr="00B02B08">
        <w:rPr>
          <w:rFonts w:ascii="Times New Roman" w:hAnsi="Times New Roman" w:cs="Times New Roman"/>
          <w:sz w:val="28"/>
          <w:szCs w:val="28"/>
        </w:rPr>
        <w:t>Thematic analysis was conducted in accordance with Braun and Clarke’s (2006) six</w:t>
      </w:r>
      <w:r w:rsidRPr="00B02B08">
        <w:rPr>
          <w:rFonts w:ascii="Times New Roman" w:hAnsi="Times New Roman" w:cs="Times New Roman"/>
          <w:sz w:val="28"/>
          <w:szCs w:val="28"/>
        </w:rPr>
        <w:noBreakHyphen/>
        <w:t xml:space="preserve">phase model, which provided a framework for qualitative data analysis. The process began with repeated reading of the transcript to enable immersion and preliminary identification of salient features. Initial coding was then undertaken to capture meaningful segments, with particular attention to counsellors’ </w:t>
      </w:r>
      <w:r w:rsidRPr="00B02B08">
        <w:rPr>
          <w:rFonts w:ascii="Times New Roman" w:hAnsi="Times New Roman" w:cs="Times New Roman"/>
          <w:sz w:val="28"/>
          <w:szCs w:val="28"/>
        </w:rPr>
        <w:lastRenderedPageBreak/>
        <w:t>descriptions and experiences of boundaries. These codes were subsequently refined through focused coding, allowing related ideas to be clustered into coherent categories. From these categories, broader themes were developed to represent overarching patterns within the data. The themes were reviewed against the transcript to ensure internal coherence and consistency with the dataset, before being written up with the inclusion of illustrative quotations and integration of relevant literature. This analytic approach facilitated both inductive analysis, in which themes emerged directly from the data, and deductive analysis, in which existing theory and research informed the interpretation of findings.</w:t>
      </w:r>
    </w:p>
    <w:p w14:paraId="0AE32F75" w14:textId="77777777" w:rsidR="00B02B08" w:rsidRPr="00B02B08" w:rsidRDefault="00B02B08" w:rsidP="00B02B08">
      <w:pPr>
        <w:rPr>
          <w:rFonts w:ascii="Times New Roman" w:hAnsi="Times New Roman" w:cs="Times New Roman"/>
          <w:sz w:val="28"/>
          <w:szCs w:val="28"/>
        </w:rPr>
      </w:pPr>
      <w:r w:rsidRPr="00B02B08">
        <w:rPr>
          <w:rFonts w:ascii="Times New Roman" w:hAnsi="Times New Roman" w:cs="Times New Roman"/>
          <w:sz w:val="28"/>
          <w:szCs w:val="28"/>
        </w:rPr>
        <w:t>The analysis was conducted with attention to ethical principles. Reflexivity was maintained, recognising the researcher’s interpretive role and potential biases. Confidentiality was respected, with the counsellor anonymised with the name “Chrissy.” The analysis aligned with the BACP Ethical Framework (2024), which emphasises transparency, respect, and professional responsibility.</w:t>
      </w:r>
    </w:p>
    <w:p w14:paraId="424F48D5" w14:textId="5C5DE91C" w:rsidR="00A347ED" w:rsidRPr="00A347ED" w:rsidRDefault="00A347ED" w:rsidP="00A347ED">
      <w:pPr>
        <w:rPr>
          <w:rFonts w:ascii="Times New Roman" w:hAnsi="Times New Roman" w:cs="Times New Roman"/>
          <w:b/>
          <w:bCs/>
          <w:sz w:val="28"/>
          <w:szCs w:val="28"/>
        </w:rPr>
      </w:pPr>
      <w:r w:rsidRPr="00A347ED">
        <w:rPr>
          <w:rFonts w:ascii="Times New Roman" w:hAnsi="Times New Roman" w:cs="Times New Roman"/>
          <w:b/>
          <w:bCs/>
          <w:sz w:val="28"/>
          <w:szCs w:val="28"/>
        </w:rPr>
        <w:t>Findings</w:t>
      </w:r>
    </w:p>
    <w:p w14:paraId="66711785" w14:textId="42B570EF" w:rsidR="00B02B08" w:rsidRPr="00B02B08" w:rsidRDefault="00B02B08" w:rsidP="00B02B08">
      <w:pPr>
        <w:rPr>
          <w:rFonts w:ascii="Times New Roman" w:hAnsi="Times New Roman" w:cs="Times New Roman"/>
          <w:sz w:val="28"/>
          <w:szCs w:val="28"/>
        </w:rPr>
      </w:pPr>
      <w:r w:rsidRPr="00B02B08">
        <w:rPr>
          <w:rFonts w:ascii="Times New Roman" w:hAnsi="Times New Roman" w:cs="Times New Roman"/>
          <w:sz w:val="28"/>
          <w:szCs w:val="28"/>
        </w:rPr>
        <w:t>The analysis generated four overarching themes, each supported by transcript excerpts and situated within the wider literature. Chrissy described boundaries as “the frame that lets trust and depth develop,” highlighting how clarity can paradoxically create greater freedom. Boundaries were interpreted not as restrictive barriers but as essential conditions for psychological safety. This interpretation aligns with Rogers’ (19</w:t>
      </w:r>
      <w:r w:rsidR="007B3F04">
        <w:rPr>
          <w:rFonts w:ascii="Times New Roman" w:hAnsi="Times New Roman" w:cs="Times New Roman"/>
          <w:sz w:val="28"/>
          <w:szCs w:val="28"/>
        </w:rPr>
        <w:t>92</w:t>
      </w:r>
      <w:r w:rsidRPr="00B02B08">
        <w:rPr>
          <w:rFonts w:ascii="Times New Roman" w:hAnsi="Times New Roman" w:cs="Times New Roman"/>
          <w:sz w:val="28"/>
          <w:szCs w:val="28"/>
        </w:rPr>
        <w:t>) proposition that empathy, congruence, and unconditional positive regard are only possible within a secure relational frame. Similarly, Knox (2008) found that counsellors often regard boundaries as enabling trust and facilitating therapeutic risk-taking, reinforcing the idea that safety and structure are prerequisites for deeper relational engagement.</w:t>
      </w:r>
    </w:p>
    <w:p w14:paraId="6FFB82E0" w14:textId="77777777" w:rsidR="00B02B08" w:rsidRDefault="00B02B08" w:rsidP="00B02B08">
      <w:pPr>
        <w:rPr>
          <w:rFonts w:ascii="Times New Roman" w:hAnsi="Times New Roman" w:cs="Times New Roman"/>
          <w:sz w:val="28"/>
          <w:szCs w:val="28"/>
        </w:rPr>
      </w:pPr>
      <w:r w:rsidRPr="00B02B08">
        <w:rPr>
          <w:rFonts w:ascii="Times New Roman" w:hAnsi="Times New Roman" w:cs="Times New Roman"/>
          <w:sz w:val="28"/>
          <w:szCs w:val="28"/>
        </w:rPr>
        <w:t xml:space="preserve">Theme 1 – Compassionate Structure </w:t>
      </w:r>
    </w:p>
    <w:p w14:paraId="1BA03C55" w14:textId="3F09A493" w:rsidR="00B02B08" w:rsidRPr="00B02B08" w:rsidRDefault="00B02B08" w:rsidP="00B02B08">
      <w:pPr>
        <w:rPr>
          <w:rFonts w:ascii="Times New Roman" w:hAnsi="Times New Roman" w:cs="Times New Roman"/>
          <w:sz w:val="28"/>
          <w:szCs w:val="28"/>
        </w:rPr>
      </w:pPr>
      <w:r w:rsidRPr="00B02B08">
        <w:rPr>
          <w:rFonts w:ascii="Times New Roman" w:hAnsi="Times New Roman" w:cs="Times New Roman"/>
          <w:sz w:val="28"/>
          <w:szCs w:val="28"/>
        </w:rPr>
        <w:t xml:space="preserve">Boundaries were experienced as compassionate structures, described by the interviewee as “love with edges.” This metaphor conveys how boundaries provide definition without rigidity, allowing counsellors to offer warmth within a safe environment. Consistency in the therapeutic frame was interpreted not as restriction but as care, enabling trust and psychological security. This reflects the humanistic view that structure and predictability are essential conditions for empathy, congruence, and unconditional positive regard. Daymond and Millward (2021), writing for the BACP, emphasise boundaries as essential for psychological safety, while Owen (1997) similarly argues that boundaries in </w:t>
      </w:r>
      <w:r w:rsidRPr="00B02B08">
        <w:rPr>
          <w:rFonts w:ascii="Times New Roman" w:hAnsi="Times New Roman" w:cs="Times New Roman"/>
          <w:sz w:val="28"/>
          <w:szCs w:val="28"/>
        </w:rPr>
        <w:lastRenderedPageBreak/>
        <w:t>humanistic counselling function as enabling structures, supporting both safety and authentic relational engagement.</w:t>
      </w:r>
    </w:p>
    <w:p w14:paraId="7D23A8A7" w14:textId="77777777" w:rsidR="00B02B08" w:rsidRDefault="00B02B08" w:rsidP="00B02B08">
      <w:pPr>
        <w:rPr>
          <w:rFonts w:ascii="Times New Roman" w:hAnsi="Times New Roman" w:cs="Times New Roman"/>
          <w:sz w:val="28"/>
          <w:szCs w:val="28"/>
        </w:rPr>
      </w:pPr>
      <w:r w:rsidRPr="00B02B08">
        <w:rPr>
          <w:rFonts w:ascii="Times New Roman" w:hAnsi="Times New Roman" w:cs="Times New Roman"/>
          <w:sz w:val="28"/>
          <w:szCs w:val="28"/>
        </w:rPr>
        <w:t xml:space="preserve">Theme 2 – Collaborative Boundaries </w:t>
      </w:r>
    </w:p>
    <w:p w14:paraId="6D375BBF" w14:textId="1ED8C5A9" w:rsidR="00B02B08" w:rsidRPr="00B02B08" w:rsidRDefault="00B02B08" w:rsidP="00B02B08">
      <w:pPr>
        <w:rPr>
          <w:rFonts w:ascii="Times New Roman" w:hAnsi="Times New Roman" w:cs="Times New Roman"/>
          <w:sz w:val="28"/>
          <w:szCs w:val="28"/>
        </w:rPr>
      </w:pPr>
      <w:r w:rsidRPr="00B02B08">
        <w:rPr>
          <w:rFonts w:ascii="Times New Roman" w:hAnsi="Times New Roman" w:cs="Times New Roman"/>
          <w:sz w:val="28"/>
          <w:szCs w:val="28"/>
        </w:rPr>
        <w:t>Financial boundaries were explained relationally, with fees contextualised as part of consistent care. Gifts were reflected upon symbolically, with modest items sometimes accepted. Digital boundaries were clarified, with strict separation between personal and professional communication. Wu and Sonne (2021) emphasise that therapists increasingly face boundary challenges in the digital age, particularly around email, texting, and social media, where blurred lines can compromise professional integrity. They argue that clear policies and proactive communication are essential to prevent dual relationships and maintain ethical clarity. The BACP (2023) guidance on boundaries similarly emphasises that financial arrangements, gift exchanges, and digital communication all form part of ethical practice, ensuring clarity and safety while supporting the therapeutic relationship.</w:t>
      </w:r>
    </w:p>
    <w:p w14:paraId="7FC7AA8A" w14:textId="77777777" w:rsidR="00B02B08" w:rsidRPr="00B02B08" w:rsidRDefault="00B02B08" w:rsidP="00B02B08">
      <w:pPr>
        <w:rPr>
          <w:rFonts w:ascii="Times New Roman" w:hAnsi="Times New Roman" w:cs="Times New Roman"/>
          <w:sz w:val="28"/>
          <w:szCs w:val="28"/>
        </w:rPr>
      </w:pPr>
      <w:r w:rsidRPr="00B02B08">
        <w:rPr>
          <w:rFonts w:ascii="Times New Roman" w:hAnsi="Times New Roman" w:cs="Times New Roman"/>
          <w:sz w:val="28"/>
          <w:szCs w:val="28"/>
        </w:rPr>
        <w:t>Time boundaries were discussed as significant learning opportunities, with rituals marking the beginnings and endings of sessions. Endings were not treated as administrative closure but as live therapeutic material, particularly when clients associated them with experiences of abandonment. The counsellor recounted working with a client who repeatedly tested the ending of sessions, transforming the temporal boundary into a focus for therapeutic exploration. Knox et al. (2021) highlight that termination frequently evokes attachment dynamics, positioning endings as sites of potential growth rather than loss. Similarly, Yalom (2002) argues that endings are integral to the therapeutic process, offering opportunities for reflection and integration. In this way, boundaries around time became occasions for clients to encounter safe, predictable endings, fostering trust and resilience within the therapeutic relationship.</w:t>
      </w:r>
    </w:p>
    <w:p w14:paraId="29E66F96" w14:textId="77777777" w:rsidR="00B02B08" w:rsidRPr="00B02B08" w:rsidRDefault="00B02B08" w:rsidP="00B02B08">
      <w:pPr>
        <w:rPr>
          <w:rFonts w:ascii="Times New Roman" w:hAnsi="Times New Roman" w:cs="Times New Roman"/>
          <w:sz w:val="28"/>
          <w:szCs w:val="28"/>
        </w:rPr>
      </w:pPr>
      <w:r w:rsidRPr="00B02B08">
        <w:rPr>
          <w:rFonts w:ascii="Times New Roman" w:hAnsi="Times New Roman" w:cs="Times New Roman"/>
          <w:sz w:val="28"/>
          <w:szCs w:val="28"/>
        </w:rPr>
        <w:t>Physical space was carefully managed in practice, with chairs placed at comfortable angles, tissues within reach, and lighting adjusted to avoid harshness. These seemingly small details were described as part of the boundary work, creating a safe and predictable environment. The counsellor emphasised how the room itself becomes a container for therapeutic work, with spatial boundaries reinforcing the sense of safety. Rickard, Hevey, and Wilson (2021) found that seating arrangements significantly influence the formation of therapeutic alliance, underscoring how physical boundaries shape client experience and relational depth.</w:t>
      </w:r>
    </w:p>
    <w:p w14:paraId="0853A649" w14:textId="77777777" w:rsidR="00B02B08" w:rsidRPr="00B02B08" w:rsidRDefault="00B02B08" w:rsidP="00B02B08">
      <w:pPr>
        <w:rPr>
          <w:rFonts w:ascii="Times New Roman" w:hAnsi="Times New Roman" w:cs="Times New Roman"/>
          <w:sz w:val="28"/>
          <w:szCs w:val="28"/>
        </w:rPr>
      </w:pPr>
      <w:r w:rsidRPr="00B02B08">
        <w:rPr>
          <w:rFonts w:ascii="Times New Roman" w:hAnsi="Times New Roman" w:cs="Times New Roman"/>
          <w:sz w:val="28"/>
          <w:szCs w:val="28"/>
        </w:rPr>
        <w:lastRenderedPageBreak/>
        <w:t>Touch was discussed as generally avoided due to its complexity, but in rare circumstances, with explicit consent, it could be appropriate. Non-verbal cues such as eye contact, pacing, and tone were emphasised as safer forms of embodied connection. This reflects Owen’s (1997) observation that humanistic counsellors often negotiate spatial boundaries relationally, rather than imposing rigid rules. Spatial boundaries therefore extended beyond physical distance to include embodied presence, highlighting how counsellors use their bodies and the environment to communicate safety, therapeutic connection, and respect.</w:t>
      </w:r>
    </w:p>
    <w:p w14:paraId="47DB3193" w14:textId="77777777" w:rsidR="00B02B08" w:rsidRDefault="00B02B08" w:rsidP="00B02B08">
      <w:pPr>
        <w:rPr>
          <w:rFonts w:ascii="Times New Roman" w:hAnsi="Times New Roman" w:cs="Times New Roman"/>
          <w:sz w:val="28"/>
          <w:szCs w:val="28"/>
        </w:rPr>
      </w:pPr>
      <w:r w:rsidRPr="00B02B08">
        <w:rPr>
          <w:rFonts w:ascii="Times New Roman" w:hAnsi="Times New Roman" w:cs="Times New Roman"/>
          <w:sz w:val="28"/>
          <w:szCs w:val="28"/>
        </w:rPr>
        <w:t xml:space="preserve">Theme 3 – Ethical Practice </w:t>
      </w:r>
    </w:p>
    <w:p w14:paraId="0C1EFB5D" w14:textId="542C7040" w:rsidR="00B02B08" w:rsidRPr="00B02B08" w:rsidRDefault="00B02B08" w:rsidP="00B02B08">
      <w:pPr>
        <w:rPr>
          <w:rFonts w:ascii="Times New Roman" w:hAnsi="Times New Roman" w:cs="Times New Roman"/>
          <w:sz w:val="28"/>
          <w:szCs w:val="28"/>
        </w:rPr>
      </w:pPr>
      <w:r w:rsidRPr="00B02B08">
        <w:rPr>
          <w:rFonts w:ascii="Times New Roman" w:hAnsi="Times New Roman" w:cs="Times New Roman"/>
          <w:sz w:val="28"/>
          <w:szCs w:val="28"/>
        </w:rPr>
        <w:t>Ethical considerations were central to the counsellor’s understanding of boundaries. She emphasised proportionality in self-disclosure, noting that counsellors must carefully weigh whether sharing personal information serves the client’s needs. Confidentiality was described as a cornerstone, with clear communication about its limits. The BACP (2024) Ethical Framework reinforces this, highlighting that disclosure must be guided by client welfare and that confidentiality requires transparent boundaries. Owen (1997) similarly argues that boundaries in humanistic counselling are relationally negotiated, which includes careful consideration of when and how counsellors disclose personal information. Cooper (2007) adds that pluralistic counselling requires relational adaptation, meaning that decisions about self-disclosure are not fixed rules but negotiated practices responsive to client needs and therapeutic context.</w:t>
      </w:r>
    </w:p>
    <w:p w14:paraId="1B9DE525" w14:textId="67E2625E" w:rsidR="00B02B08" w:rsidRPr="00B02B08" w:rsidRDefault="00B02B08" w:rsidP="00B02B08">
      <w:pPr>
        <w:rPr>
          <w:rFonts w:ascii="Times New Roman" w:hAnsi="Times New Roman" w:cs="Times New Roman"/>
          <w:sz w:val="28"/>
          <w:szCs w:val="28"/>
        </w:rPr>
      </w:pPr>
      <w:r w:rsidRPr="00B02B08">
        <w:rPr>
          <w:rFonts w:ascii="Times New Roman" w:hAnsi="Times New Roman" w:cs="Times New Roman"/>
          <w:sz w:val="28"/>
          <w:szCs w:val="28"/>
        </w:rPr>
        <w:t>Record keeping was approached with restraint</w:t>
      </w:r>
      <w:r>
        <w:rPr>
          <w:rFonts w:ascii="Times New Roman" w:hAnsi="Times New Roman" w:cs="Times New Roman"/>
          <w:sz w:val="28"/>
          <w:szCs w:val="28"/>
        </w:rPr>
        <w:t>,</w:t>
      </w:r>
      <w:r w:rsidRPr="00B02B08">
        <w:rPr>
          <w:rFonts w:ascii="Times New Roman" w:hAnsi="Times New Roman" w:cs="Times New Roman"/>
          <w:sz w:val="28"/>
          <w:szCs w:val="28"/>
        </w:rPr>
        <w:t xml:space="preserve"> “writing only what’s necessary and remembering the person may one day see what I wrote.” Cohen (1992) highlighted that documentation in counselling carries significant legal and ethical implications, reinforcing the need for careful, restrained record keeping. Supervision was described as a safeguard, a place to “reality check judgments and tend my own edges.” Hawkins and Shohet (2012) emphasise supervision as a critical safeguard for ethical practice, supporting counsellors in maintaining boundaries and reflective judgment.</w:t>
      </w:r>
    </w:p>
    <w:p w14:paraId="136C856D" w14:textId="77777777" w:rsidR="00B02B08" w:rsidRPr="00B02B08" w:rsidRDefault="00B02B08" w:rsidP="00B02B08">
      <w:pPr>
        <w:rPr>
          <w:rFonts w:ascii="Times New Roman" w:hAnsi="Times New Roman" w:cs="Times New Roman"/>
          <w:sz w:val="28"/>
          <w:szCs w:val="28"/>
        </w:rPr>
      </w:pPr>
      <w:r w:rsidRPr="00B02B08">
        <w:rPr>
          <w:rFonts w:ascii="Times New Roman" w:hAnsi="Times New Roman" w:cs="Times New Roman"/>
          <w:sz w:val="28"/>
          <w:szCs w:val="28"/>
        </w:rPr>
        <w:t>Referrals were framed as care rather than rejection, consistent with ethical responsibility. When a client’s needs exceeded competence, referral was offered as an act of respect and protection. This aligns with the BACP Ethical Framework (2024), which emphasises client welfare as the primary consideration.</w:t>
      </w:r>
    </w:p>
    <w:p w14:paraId="05E415A0" w14:textId="77777777" w:rsidR="00B02B08" w:rsidRDefault="00B02B08" w:rsidP="00B02B08">
      <w:pPr>
        <w:rPr>
          <w:rFonts w:ascii="Times New Roman" w:hAnsi="Times New Roman" w:cs="Times New Roman"/>
          <w:sz w:val="28"/>
          <w:szCs w:val="28"/>
        </w:rPr>
      </w:pPr>
      <w:r w:rsidRPr="00B02B08">
        <w:rPr>
          <w:rFonts w:ascii="Times New Roman" w:hAnsi="Times New Roman" w:cs="Times New Roman"/>
          <w:sz w:val="28"/>
          <w:szCs w:val="28"/>
        </w:rPr>
        <w:t xml:space="preserve">Theme 4 – Therapeutic Boundaries </w:t>
      </w:r>
    </w:p>
    <w:p w14:paraId="454756ED" w14:textId="5C09FAB7" w:rsidR="00B02B08" w:rsidRPr="00B02B08" w:rsidRDefault="00B02B08" w:rsidP="00B02B08">
      <w:pPr>
        <w:rPr>
          <w:rFonts w:ascii="Times New Roman" w:hAnsi="Times New Roman" w:cs="Times New Roman"/>
          <w:sz w:val="28"/>
          <w:szCs w:val="28"/>
        </w:rPr>
      </w:pPr>
      <w:r w:rsidRPr="00B02B08">
        <w:rPr>
          <w:rFonts w:ascii="Times New Roman" w:hAnsi="Times New Roman" w:cs="Times New Roman"/>
          <w:sz w:val="28"/>
          <w:szCs w:val="28"/>
        </w:rPr>
        <w:t>Boundaries were described as flexible in delivery but firm in principle. Flexible elements included session rituals, metaphors, and creative methods, while non-</w:t>
      </w:r>
      <w:r w:rsidRPr="00B02B08">
        <w:rPr>
          <w:rFonts w:ascii="Times New Roman" w:hAnsi="Times New Roman" w:cs="Times New Roman"/>
          <w:sz w:val="28"/>
          <w:szCs w:val="28"/>
        </w:rPr>
        <w:lastRenderedPageBreak/>
        <w:t>negotiables encompassed confidentiality limits, safety, fees, and supervision. For example, the counsellor adjusted the five-minute warning to a gentler cue after client feedback, demonstrating responsiveness without compromising structure.</w:t>
      </w:r>
    </w:p>
    <w:p w14:paraId="5CDEA201" w14:textId="77777777" w:rsidR="00B02B08" w:rsidRPr="00B02B08" w:rsidRDefault="00B02B08" w:rsidP="00B02B08">
      <w:pPr>
        <w:rPr>
          <w:rFonts w:ascii="Times New Roman" w:hAnsi="Times New Roman" w:cs="Times New Roman"/>
          <w:sz w:val="28"/>
          <w:szCs w:val="28"/>
        </w:rPr>
      </w:pPr>
      <w:r w:rsidRPr="00B02B08">
        <w:rPr>
          <w:rFonts w:ascii="Times New Roman" w:hAnsi="Times New Roman" w:cs="Times New Roman"/>
          <w:sz w:val="28"/>
          <w:szCs w:val="28"/>
        </w:rPr>
        <w:t>Cooper (2007) argues that pluralistic counselling requires relational adaptation, blending approaches to suit the client. This practice reflects that balance. Boundaries are negotiated and responsive, yet grounded in ethical principles. Flexibility was framed not as weakness but as relational atonement. By adapting boundaries to context, counsellors demonstrate respect for client autonomy while maintaining professional responsibility.</w:t>
      </w:r>
    </w:p>
    <w:p w14:paraId="1152D248" w14:textId="02E56486" w:rsidR="00A347ED" w:rsidRPr="00A347ED" w:rsidRDefault="00A347ED" w:rsidP="00A347ED">
      <w:pPr>
        <w:rPr>
          <w:rFonts w:ascii="Times New Roman" w:hAnsi="Times New Roman" w:cs="Times New Roman"/>
          <w:b/>
          <w:bCs/>
          <w:sz w:val="28"/>
          <w:szCs w:val="28"/>
        </w:rPr>
      </w:pPr>
      <w:r w:rsidRPr="00A347ED">
        <w:rPr>
          <w:rFonts w:ascii="Times New Roman" w:hAnsi="Times New Roman" w:cs="Times New Roman"/>
          <w:b/>
          <w:bCs/>
          <w:sz w:val="28"/>
          <w:szCs w:val="28"/>
        </w:rPr>
        <w:t xml:space="preserve">Discussion </w:t>
      </w:r>
    </w:p>
    <w:p w14:paraId="2C6F3F1B" w14:textId="22A8127C" w:rsidR="00B02B08" w:rsidRPr="00B02B08" w:rsidRDefault="00B02B08" w:rsidP="00B02B08">
      <w:pPr>
        <w:rPr>
          <w:rFonts w:ascii="Times New Roman" w:hAnsi="Times New Roman" w:cs="Times New Roman"/>
          <w:sz w:val="28"/>
          <w:szCs w:val="28"/>
        </w:rPr>
      </w:pPr>
      <w:r w:rsidRPr="00B02B08">
        <w:rPr>
          <w:rFonts w:ascii="Times New Roman" w:hAnsi="Times New Roman" w:cs="Times New Roman"/>
          <w:sz w:val="28"/>
          <w:szCs w:val="28"/>
        </w:rPr>
        <w:t>The findings demonstrate that counsellors understand boundaries as compassionate structures, therapeutic boundaries, ethical practice, and collaborative boundaries. Boundaries were experienced as enabling safety, co</w:t>
      </w:r>
      <w:r w:rsidRPr="00B02B08">
        <w:rPr>
          <w:rFonts w:ascii="Times New Roman" w:hAnsi="Times New Roman" w:cs="Times New Roman"/>
          <w:sz w:val="28"/>
          <w:szCs w:val="28"/>
        </w:rPr>
        <w:noBreakHyphen/>
        <w:t>created agreements, therapeutic material, ethical safeguards, and compassionate care.</w:t>
      </w:r>
    </w:p>
    <w:p w14:paraId="42D4CB32" w14:textId="77777777" w:rsidR="00B02B08" w:rsidRPr="00B02B08" w:rsidRDefault="00B02B08" w:rsidP="00B02B08">
      <w:pPr>
        <w:rPr>
          <w:rFonts w:ascii="Times New Roman" w:hAnsi="Times New Roman" w:cs="Times New Roman"/>
          <w:sz w:val="28"/>
          <w:szCs w:val="28"/>
        </w:rPr>
      </w:pPr>
      <w:r w:rsidRPr="00B02B08">
        <w:rPr>
          <w:rFonts w:ascii="Times New Roman" w:hAnsi="Times New Roman" w:cs="Times New Roman"/>
          <w:sz w:val="28"/>
          <w:szCs w:val="28"/>
        </w:rPr>
        <w:t>This analysis aligns with Rogers’ (1992) humanistic emphasis on safety, Yalom’s (2002) focus on endings, and BACP’s (2024) ethical framework. Boundaries are not barriers but conditions that allow authenticity and growth. They are reframed as care, with Chrissy’s phrase “boundaries are love with edges” encapsulating the humanistic perspective that consistency is experienced by clients as care, not coldness.</w:t>
      </w:r>
    </w:p>
    <w:p w14:paraId="78841594" w14:textId="77777777" w:rsidR="00B02B08" w:rsidRPr="00B02B08" w:rsidRDefault="00B02B08" w:rsidP="00B02B08">
      <w:pPr>
        <w:rPr>
          <w:rFonts w:ascii="Times New Roman" w:hAnsi="Times New Roman" w:cs="Times New Roman"/>
          <w:sz w:val="28"/>
          <w:szCs w:val="28"/>
        </w:rPr>
      </w:pPr>
      <w:r w:rsidRPr="00B02B08">
        <w:rPr>
          <w:rFonts w:ascii="Times New Roman" w:hAnsi="Times New Roman" w:cs="Times New Roman"/>
          <w:sz w:val="28"/>
          <w:szCs w:val="28"/>
        </w:rPr>
        <w:t>The findings also highlighted the importance of supervision and reflexivity. Chrissy described how a personal history of over</w:t>
      </w:r>
      <w:r w:rsidRPr="00B02B08">
        <w:rPr>
          <w:rFonts w:ascii="Times New Roman" w:hAnsi="Times New Roman" w:cs="Times New Roman"/>
          <w:sz w:val="28"/>
          <w:szCs w:val="28"/>
        </w:rPr>
        <w:noBreakHyphen/>
        <w:t>giving led to burnout, shaping current boundary practices. This reflects Cooper’s (2007) emphasis on counselling as a pluralistic and relational process, where boundaries are negotiated and adapted in response to both client needs and the counsellor’s. Boundaries are therefore not only professional constructs but personal practices shaped by counsellors’ experiences and reflexive engagement.</w:t>
      </w:r>
    </w:p>
    <w:p w14:paraId="7E3CB57D" w14:textId="77777777" w:rsidR="00B02B08" w:rsidRPr="00B02B08" w:rsidRDefault="00B02B08" w:rsidP="00B02B08">
      <w:pPr>
        <w:rPr>
          <w:rFonts w:ascii="Times New Roman" w:hAnsi="Times New Roman" w:cs="Times New Roman"/>
          <w:sz w:val="28"/>
          <w:szCs w:val="28"/>
        </w:rPr>
      </w:pPr>
      <w:r w:rsidRPr="00B02B08">
        <w:rPr>
          <w:rFonts w:ascii="Times New Roman" w:hAnsi="Times New Roman" w:cs="Times New Roman"/>
          <w:sz w:val="28"/>
          <w:szCs w:val="28"/>
        </w:rPr>
        <w:t>Spatial boundaries illustrated how the counselling environment itself becomes part of the therapeutic frame. Owen (1992) emphasised that physical and embodied boundaries require careful negotiation, particularly in humanistic practice. Chrissy’s approach demonstrated how counsellors use space and presence to communicate safety and respect.</w:t>
      </w:r>
    </w:p>
    <w:p w14:paraId="7A0B7DCF" w14:textId="77777777" w:rsidR="00B02B08" w:rsidRPr="00B02B08" w:rsidRDefault="00B02B08" w:rsidP="00B02B08">
      <w:pPr>
        <w:rPr>
          <w:rFonts w:ascii="Times New Roman" w:hAnsi="Times New Roman" w:cs="Times New Roman"/>
          <w:sz w:val="28"/>
          <w:szCs w:val="28"/>
        </w:rPr>
      </w:pPr>
      <w:r w:rsidRPr="00B02B08">
        <w:rPr>
          <w:rFonts w:ascii="Times New Roman" w:hAnsi="Times New Roman" w:cs="Times New Roman"/>
          <w:sz w:val="28"/>
          <w:szCs w:val="28"/>
        </w:rPr>
        <w:t xml:space="preserve">Flexibility emerged as a key theme, with boundaries adapted to client needs while maintaining ethical principles. This reflects Cooper’s (2007) pluralistic framework, which emphasises relational adaptation and collaboration with </w:t>
      </w:r>
      <w:r w:rsidRPr="00B02B08">
        <w:rPr>
          <w:rFonts w:ascii="Times New Roman" w:hAnsi="Times New Roman" w:cs="Times New Roman"/>
          <w:sz w:val="28"/>
          <w:szCs w:val="28"/>
        </w:rPr>
        <w:lastRenderedPageBreak/>
        <w:t>clients. Boundaries were therefore not static rules but dynamic agreements responsive to context.</w:t>
      </w:r>
    </w:p>
    <w:p w14:paraId="25E662B7" w14:textId="77777777" w:rsidR="00B02B08" w:rsidRPr="00B02B08" w:rsidRDefault="00B02B08" w:rsidP="00B02B08">
      <w:pPr>
        <w:rPr>
          <w:rFonts w:ascii="Times New Roman" w:hAnsi="Times New Roman" w:cs="Times New Roman"/>
          <w:sz w:val="28"/>
          <w:szCs w:val="28"/>
        </w:rPr>
      </w:pPr>
      <w:r w:rsidRPr="00B02B08">
        <w:rPr>
          <w:rFonts w:ascii="Times New Roman" w:hAnsi="Times New Roman" w:cs="Times New Roman"/>
          <w:sz w:val="28"/>
          <w:szCs w:val="28"/>
        </w:rPr>
        <w:t>Overall, the findings suggest that counsellors experienced boundaries as compassionate structures that protect both counsellor and client, enabling depth and honesty in the therapeutic relationship. Boundaries were understood not as restrictions but as conditions for care, trust, and growth.</w:t>
      </w:r>
    </w:p>
    <w:p w14:paraId="35E1B1F2" w14:textId="77777777" w:rsidR="00B02B08" w:rsidRPr="007B3F04" w:rsidRDefault="00B02B08" w:rsidP="00B02B08">
      <w:pPr>
        <w:rPr>
          <w:rFonts w:ascii="Times New Roman" w:hAnsi="Times New Roman" w:cs="Times New Roman"/>
          <w:b/>
          <w:bCs/>
          <w:sz w:val="28"/>
          <w:szCs w:val="28"/>
        </w:rPr>
      </w:pPr>
      <w:r w:rsidRPr="00B02B08">
        <w:rPr>
          <w:rFonts w:ascii="Times New Roman" w:hAnsi="Times New Roman" w:cs="Times New Roman"/>
          <w:b/>
          <w:bCs/>
          <w:sz w:val="28"/>
          <w:szCs w:val="28"/>
        </w:rPr>
        <w:t xml:space="preserve">Conclusion </w:t>
      </w:r>
    </w:p>
    <w:p w14:paraId="1265CB58" w14:textId="215430D2" w:rsidR="00B02B08" w:rsidRPr="00B02B08" w:rsidRDefault="00B02B08" w:rsidP="00B02B08">
      <w:pPr>
        <w:rPr>
          <w:rFonts w:ascii="Times New Roman" w:hAnsi="Times New Roman" w:cs="Times New Roman"/>
          <w:sz w:val="28"/>
          <w:szCs w:val="28"/>
        </w:rPr>
      </w:pPr>
      <w:r w:rsidRPr="00B02B08">
        <w:rPr>
          <w:rFonts w:ascii="Times New Roman" w:hAnsi="Times New Roman" w:cs="Times New Roman"/>
          <w:sz w:val="28"/>
          <w:szCs w:val="28"/>
        </w:rPr>
        <w:t>This qualitative analysis shows that counsellors understand and experience boundaries as compassionate structures, therapeutic boundaries, ethical practice, and collaborative boundaries. Boundaries are not rigid fences but dynamic, co</w:t>
      </w:r>
      <w:r w:rsidRPr="00B02B08">
        <w:rPr>
          <w:rFonts w:ascii="Times New Roman" w:hAnsi="Times New Roman" w:cs="Times New Roman"/>
          <w:sz w:val="28"/>
          <w:szCs w:val="28"/>
        </w:rPr>
        <w:noBreakHyphen/>
        <w:t>created conditions that enable trust, safety, and growth.</w:t>
      </w:r>
    </w:p>
    <w:p w14:paraId="66369FAC" w14:textId="6FA76B39" w:rsidR="00B02B08" w:rsidRPr="00B02B08" w:rsidRDefault="00B02B08" w:rsidP="00B02B08">
      <w:pPr>
        <w:rPr>
          <w:rFonts w:ascii="Times New Roman" w:hAnsi="Times New Roman" w:cs="Times New Roman"/>
          <w:sz w:val="28"/>
          <w:szCs w:val="28"/>
        </w:rPr>
      </w:pPr>
      <w:r w:rsidRPr="00B02B08">
        <w:rPr>
          <w:rFonts w:ascii="Times New Roman" w:hAnsi="Times New Roman" w:cs="Times New Roman"/>
          <w:sz w:val="28"/>
          <w:szCs w:val="28"/>
        </w:rPr>
        <w:t xml:space="preserve">The findings resonate with existing literature, including Rogers’ (1992) humanistic theory, Yalom’s (2002) work on endings, Owen’s (1997) exploration of spatial boundaries, and BACP’s (2024) ethical framework. Boundaries are reframed as care, exemplified by </w:t>
      </w:r>
      <w:r w:rsidR="007B3F04">
        <w:rPr>
          <w:rFonts w:ascii="Times New Roman" w:hAnsi="Times New Roman" w:cs="Times New Roman"/>
          <w:sz w:val="28"/>
          <w:szCs w:val="28"/>
        </w:rPr>
        <w:t>Chrissy’s</w:t>
      </w:r>
      <w:r w:rsidRPr="00B02B08">
        <w:rPr>
          <w:rFonts w:ascii="Times New Roman" w:hAnsi="Times New Roman" w:cs="Times New Roman"/>
          <w:sz w:val="28"/>
          <w:szCs w:val="28"/>
        </w:rPr>
        <w:t xml:space="preserve"> phrase “love with edges.”</w:t>
      </w:r>
    </w:p>
    <w:p w14:paraId="589865DF" w14:textId="77777777" w:rsidR="00B02B08" w:rsidRPr="00B02B08" w:rsidRDefault="00B02B08" w:rsidP="00B02B08">
      <w:pPr>
        <w:rPr>
          <w:rFonts w:ascii="Times New Roman" w:hAnsi="Times New Roman" w:cs="Times New Roman"/>
          <w:sz w:val="28"/>
          <w:szCs w:val="28"/>
        </w:rPr>
      </w:pPr>
      <w:r w:rsidRPr="00B02B08">
        <w:rPr>
          <w:rFonts w:ascii="Times New Roman" w:hAnsi="Times New Roman" w:cs="Times New Roman"/>
          <w:sz w:val="28"/>
          <w:szCs w:val="28"/>
        </w:rPr>
        <w:t>In conclusion, boundaries are integral to counselling practice, shaping safety, trust, and therapeutic depth. They are experienced as both protective and enabling, requiring clarity, warmth, and adaptability. This study highlights the importance of boundaries as compassionate structures, demonstrating how counsellors negotiate, adapt, and embody them in practice, and how they can also benefit the client therapeutically.</w:t>
      </w:r>
    </w:p>
    <w:p w14:paraId="65B40CD5" w14:textId="77777777" w:rsidR="00A347ED" w:rsidRPr="001D7A23" w:rsidRDefault="00A347ED" w:rsidP="00A347ED">
      <w:pPr>
        <w:rPr>
          <w:rFonts w:ascii="Times New Roman" w:hAnsi="Times New Roman" w:cs="Times New Roman"/>
          <w:b/>
          <w:bCs/>
          <w:sz w:val="28"/>
          <w:szCs w:val="28"/>
        </w:rPr>
      </w:pPr>
    </w:p>
    <w:bookmarkEnd w:id="0"/>
    <w:p w14:paraId="5F1481DF" w14:textId="77777777" w:rsidR="00A347ED" w:rsidRPr="001D7A23" w:rsidRDefault="00A347ED" w:rsidP="00A347ED">
      <w:pPr>
        <w:rPr>
          <w:rFonts w:ascii="Times New Roman" w:hAnsi="Times New Roman" w:cs="Times New Roman"/>
          <w:b/>
          <w:bCs/>
          <w:sz w:val="28"/>
          <w:szCs w:val="28"/>
        </w:rPr>
      </w:pPr>
    </w:p>
    <w:p w14:paraId="6361AEBE" w14:textId="77777777" w:rsidR="00A347ED" w:rsidRPr="001D7A23" w:rsidRDefault="00A347ED" w:rsidP="00A347ED">
      <w:pPr>
        <w:rPr>
          <w:rFonts w:ascii="Times New Roman" w:hAnsi="Times New Roman" w:cs="Times New Roman"/>
          <w:b/>
          <w:bCs/>
          <w:sz w:val="28"/>
          <w:szCs w:val="28"/>
        </w:rPr>
      </w:pPr>
    </w:p>
    <w:p w14:paraId="16D4264C" w14:textId="77777777" w:rsidR="00A347ED" w:rsidRPr="001D7A23" w:rsidRDefault="00A347ED" w:rsidP="00A347ED">
      <w:pPr>
        <w:rPr>
          <w:rFonts w:ascii="Times New Roman" w:hAnsi="Times New Roman" w:cs="Times New Roman"/>
          <w:b/>
          <w:bCs/>
          <w:sz w:val="28"/>
          <w:szCs w:val="28"/>
        </w:rPr>
      </w:pPr>
    </w:p>
    <w:p w14:paraId="7118DDC7" w14:textId="77777777" w:rsidR="00A347ED" w:rsidRPr="001D7A23" w:rsidRDefault="00A347ED" w:rsidP="00A347ED">
      <w:pPr>
        <w:rPr>
          <w:rFonts w:ascii="Times New Roman" w:hAnsi="Times New Roman" w:cs="Times New Roman"/>
          <w:b/>
          <w:bCs/>
          <w:sz w:val="28"/>
          <w:szCs w:val="28"/>
        </w:rPr>
      </w:pPr>
    </w:p>
    <w:p w14:paraId="5BFC51C0" w14:textId="77777777" w:rsidR="00A347ED" w:rsidRPr="001D7A23" w:rsidRDefault="00A347ED" w:rsidP="00A347ED">
      <w:pPr>
        <w:rPr>
          <w:rFonts w:ascii="Times New Roman" w:hAnsi="Times New Roman" w:cs="Times New Roman"/>
          <w:b/>
          <w:bCs/>
          <w:sz w:val="28"/>
          <w:szCs w:val="28"/>
        </w:rPr>
      </w:pPr>
    </w:p>
    <w:p w14:paraId="176E66E6" w14:textId="77777777" w:rsidR="00A347ED" w:rsidRDefault="00A347ED" w:rsidP="00A347ED">
      <w:pPr>
        <w:rPr>
          <w:rFonts w:ascii="Times New Roman" w:hAnsi="Times New Roman" w:cs="Times New Roman"/>
          <w:b/>
          <w:bCs/>
          <w:sz w:val="28"/>
          <w:szCs w:val="28"/>
        </w:rPr>
      </w:pPr>
    </w:p>
    <w:p w14:paraId="3D03FE9F" w14:textId="77777777" w:rsidR="001D7A23" w:rsidRDefault="001D7A23" w:rsidP="00A347ED">
      <w:pPr>
        <w:rPr>
          <w:rFonts w:ascii="Times New Roman" w:hAnsi="Times New Roman" w:cs="Times New Roman"/>
          <w:b/>
          <w:bCs/>
          <w:sz w:val="28"/>
          <w:szCs w:val="28"/>
        </w:rPr>
      </w:pPr>
    </w:p>
    <w:p w14:paraId="462368BD" w14:textId="77777777" w:rsidR="001D7A23" w:rsidRPr="001D7A23" w:rsidRDefault="001D7A23" w:rsidP="00A347ED">
      <w:pPr>
        <w:rPr>
          <w:rFonts w:ascii="Times New Roman" w:hAnsi="Times New Roman" w:cs="Times New Roman"/>
          <w:b/>
          <w:bCs/>
          <w:sz w:val="28"/>
          <w:szCs w:val="28"/>
        </w:rPr>
      </w:pPr>
    </w:p>
    <w:p w14:paraId="004ECE63" w14:textId="77777777" w:rsidR="00A347ED" w:rsidRPr="001D7A23" w:rsidRDefault="00A347ED" w:rsidP="00A347ED">
      <w:pPr>
        <w:rPr>
          <w:rFonts w:ascii="Times New Roman" w:hAnsi="Times New Roman" w:cs="Times New Roman"/>
          <w:b/>
          <w:bCs/>
          <w:sz w:val="28"/>
          <w:szCs w:val="28"/>
        </w:rPr>
      </w:pPr>
    </w:p>
    <w:p w14:paraId="521F0816" w14:textId="77777777" w:rsidR="00972FEB" w:rsidRPr="001D7A23" w:rsidRDefault="00972FEB" w:rsidP="00A347ED">
      <w:pPr>
        <w:rPr>
          <w:rFonts w:ascii="Times New Roman" w:hAnsi="Times New Roman" w:cs="Times New Roman"/>
          <w:b/>
          <w:bCs/>
          <w:sz w:val="28"/>
          <w:szCs w:val="28"/>
        </w:rPr>
      </w:pPr>
    </w:p>
    <w:p w14:paraId="40B47F23" w14:textId="67C574D0" w:rsidR="00A347ED" w:rsidRPr="00A347ED" w:rsidRDefault="00972FEB" w:rsidP="00A347ED">
      <w:pPr>
        <w:rPr>
          <w:rFonts w:ascii="Times New Roman" w:hAnsi="Times New Roman" w:cs="Times New Roman"/>
          <w:b/>
          <w:bCs/>
          <w:sz w:val="28"/>
          <w:szCs w:val="28"/>
        </w:rPr>
      </w:pPr>
      <w:r w:rsidRPr="001D7A23">
        <w:rPr>
          <w:rFonts w:ascii="Times New Roman" w:hAnsi="Times New Roman" w:cs="Times New Roman"/>
          <w:b/>
          <w:bCs/>
          <w:sz w:val="28"/>
          <w:szCs w:val="28"/>
        </w:rPr>
        <w:lastRenderedPageBreak/>
        <w:t>References</w:t>
      </w:r>
    </w:p>
    <w:p w14:paraId="5C51462B" w14:textId="77777777" w:rsidR="00972FEB" w:rsidRPr="00972FEB" w:rsidRDefault="00972FEB" w:rsidP="00972FEB">
      <w:pPr>
        <w:rPr>
          <w:rFonts w:ascii="Times New Roman" w:hAnsi="Times New Roman" w:cs="Times New Roman"/>
          <w:sz w:val="28"/>
          <w:szCs w:val="28"/>
        </w:rPr>
      </w:pPr>
      <w:r w:rsidRPr="00972FEB">
        <w:rPr>
          <w:rFonts w:ascii="Times New Roman" w:hAnsi="Times New Roman" w:cs="Times New Roman"/>
          <w:sz w:val="28"/>
          <w:szCs w:val="28"/>
        </w:rPr>
        <w:t>Braun, V., &amp; Clarke, V. (2006). Using thematic analysis in psychology.</w:t>
      </w:r>
      <w:r w:rsidRPr="00972FEB">
        <w:rPr>
          <w:rFonts w:ascii="Times New Roman" w:hAnsi="Times New Roman" w:cs="Times New Roman"/>
          <w:i/>
          <w:iCs/>
          <w:sz w:val="28"/>
          <w:szCs w:val="28"/>
        </w:rPr>
        <w:t> Qualitative Research in Psychology, 3</w:t>
      </w:r>
      <w:r w:rsidRPr="00972FEB">
        <w:rPr>
          <w:rFonts w:ascii="Times New Roman" w:hAnsi="Times New Roman" w:cs="Times New Roman"/>
          <w:sz w:val="28"/>
          <w:szCs w:val="28"/>
        </w:rPr>
        <w:t>(2), 77–101. 10.1191/1478088706qp063oa</w:t>
      </w:r>
    </w:p>
    <w:p w14:paraId="34FDD99B" w14:textId="77777777" w:rsidR="00972FEB" w:rsidRPr="001D7A23" w:rsidRDefault="00972FEB">
      <w:pPr>
        <w:rPr>
          <w:rFonts w:ascii="Times New Roman" w:hAnsi="Times New Roman" w:cs="Times New Roman"/>
          <w:sz w:val="28"/>
          <w:szCs w:val="28"/>
        </w:rPr>
      </w:pPr>
      <w:r w:rsidRPr="001D7A23">
        <w:rPr>
          <w:rFonts w:ascii="Times New Roman" w:hAnsi="Times New Roman" w:cs="Times New Roman"/>
          <w:sz w:val="28"/>
          <w:szCs w:val="28"/>
        </w:rPr>
        <w:t xml:space="preserve">British Association for Counselling and Psychotherapy (BACP). (2023). </w:t>
      </w:r>
      <w:r w:rsidRPr="001D7A23">
        <w:rPr>
          <w:rFonts w:ascii="Times New Roman" w:hAnsi="Times New Roman" w:cs="Times New Roman"/>
          <w:i/>
          <w:iCs/>
          <w:sz w:val="28"/>
          <w:szCs w:val="28"/>
        </w:rPr>
        <w:t>Boundaries within the counselling professions: Good Practice in Action 110 Fact Sheet</w:t>
      </w:r>
      <w:r w:rsidRPr="001D7A23">
        <w:rPr>
          <w:rFonts w:ascii="Times New Roman" w:hAnsi="Times New Roman" w:cs="Times New Roman"/>
          <w:sz w:val="28"/>
          <w:szCs w:val="28"/>
        </w:rPr>
        <w:t xml:space="preserve">. Lutterworth: BACP. Retrieved from </w:t>
      </w:r>
      <w:hyperlink r:id="rId6" w:history="1">
        <w:r w:rsidRPr="001D7A23">
          <w:rPr>
            <w:rStyle w:val="Hyperlink"/>
            <w:rFonts w:ascii="Times New Roman" w:hAnsi="Times New Roman" w:cs="Times New Roman"/>
            <w:sz w:val="28"/>
            <w:szCs w:val="28"/>
          </w:rPr>
          <w:t>https://www.bacp.co.uk/media/18188/gpia-110-fs-boundaries-within-the-clg-profs-update-2023.pdf</w:t>
        </w:r>
      </w:hyperlink>
    </w:p>
    <w:p w14:paraId="0991DE10" w14:textId="77777777" w:rsidR="00972FEB" w:rsidRPr="00A347ED" w:rsidRDefault="00972FEB" w:rsidP="00972FEB">
      <w:pPr>
        <w:rPr>
          <w:rFonts w:ascii="Times New Roman" w:hAnsi="Times New Roman" w:cs="Times New Roman"/>
          <w:sz w:val="28"/>
          <w:szCs w:val="28"/>
        </w:rPr>
      </w:pPr>
      <w:r w:rsidRPr="00A347ED">
        <w:rPr>
          <w:rFonts w:ascii="Times New Roman" w:hAnsi="Times New Roman" w:cs="Times New Roman"/>
          <w:sz w:val="28"/>
          <w:szCs w:val="28"/>
        </w:rPr>
        <w:t xml:space="preserve">British Association for Counselling and Psychotherapy (BACP). (2023). </w:t>
      </w:r>
      <w:r w:rsidRPr="00A347ED">
        <w:rPr>
          <w:rFonts w:ascii="Times New Roman" w:hAnsi="Times New Roman" w:cs="Times New Roman"/>
          <w:i/>
          <w:iCs/>
          <w:sz w:val="28"/>
          <w:szCs w:val="28"/>
        </w:rPr>
        <w:t>Good Practice in Action: Contracting in Counselling and Psychotherapy.</w:t>
      </w:r>
      <w:r w:rsidRPr="00A347ED">
        <w:rPr>
          <w:rFonts w:ascii="Times New Roman" w:hAnsi="Times New Roman" w:cs="Times New Roman"/>
          <w:sz w:val="28"/>
          <w:szCs w:val="28"/>
        </w:rPr>
        <w:t xml:space="preserve"> Lutterworth: BACP.</w:t>
      </w:r>
    </w:p>
    <w:p w14:paraId="3C00BB9E" w14:textId="77777777" w:rsidR="00972FEB" w:rsidRPr="00972FEB" w:rsidRDefault="00972FEB" w:rsidP="00972FEB">
      <w:pPr>
        <w:rPr>
          <w:rFonts w:ascii="Times New Roman" w:hAnsi="Times New Roman" w:cs="Times New Roman"/>
          <w:sz w:val="28"/>
          <w:szCs w:val="28"/>
        </w:rPr>
      </w:pPr>
      <w:r w:rsidRPr="00A347ED">
        <w:rPr>
          <w:rFonts w:ascii="Times New Roman" w:hAnsi="Times New Roman" w:cs="Times New Roman"/>
          <w:sz w:val="28"/>
          <w:szCs w:val="28"/>
        </w:rPr>
        <w:t xml:space="preserve">British Association for Counselling and Psychotherapy (BACP). (2024). </w:t>
      </w:r>
      <w:r w:rsidRPr="00A347ED">
        <w:rPr>
          <w:rFonts w:ascii="Times New Roman" w:hAnsi="Times New Roman" w:cs="Times New Roman"/>
          <w:i/>
          <w:iCs/>
          <w:sz w:val="28"/>
          <w:szCs w:val="28"/>
        </w:rPr>
        <w:t>Ethical Framework for the Counselling Professions.</w:t>
      </w:r>
      <w:r w:rsidRPr="00A347ED">
        <w:rPr>
          <w:rFonts w:ascii="Times New Roman" w:hAnsi="Times New Roman" w:cs="Times New Roman"/>
          <w:sz w:val="28"/>
          <w:szCs w:val="28"/>
        </w:rPr>
        <w:t xml:space="preserve"> Lutterworth: BACP.</w:t>
      </w:r>
    </w:p>
    <w:p w14:paraId="032A71E5" w14:textId="77777777" w:rsidR="00972FEB" w:rsidRPr="00972FEB" w:rsidRDefault="00972FEB" w:rsidP="00972FEB">
      <w:pPr>
        <w:rPr>
          <w:rFonts w:ascii="Times New Roman" w:hAnsi="Times New Roman" w:cs="Times New Roman"/>
          <w:sz w:val="28"/>
          <w:szCs w:val="28"/>
        </w:rPr>
      </w:pPr>
      <w:r w:rsidRPr="00972FEB">
        <w:rPr>
          <w:rFonts w:ascii="Times New Roman" w:hAnsi="Times New Roman" w:cs="Times New Roman"/>
          <w:sz w:val="28"/>
          <w:szCs w:val="28"/>
        </w:rPr>
        <w:t xml:space="preserve">Button, E. (1994). Reflections on counselling. by windy </w:t>
      </w:r>
      <w:proofErr w:type="spellStart"/>
      <w:r w:rsidRPr="00972FEB">
        <w:rPr>
          <w:rFonts w:ascii="Times New Roman" w:hAnsi="Times New Roman" w:cs="Times New Roman"/>
          <w:sz w:val="28"/>
          <w:szCs w:val="28"/>
        </w:rPr>
        <w:t>dryden</w:t>
      </w:r>
      <w:proofErr w:type="spellEnd"/>
      <w:r w:rsidRPr="00972FEB">
        <w:rPr>
          <w:rFonts w:ascii="Times New Roman" w:hAnsi="Times New Roman" w:cs="Times New Roman"/>
          <w:sz w:val="28"/>
          <w:szCs w:val="28"/>
        </w:rPr>
        <w:t xml:space="preserve">. </w:t>
      </w:r>
      <w:proofErr w:type="spellStart"/>
      <w:r w:rsidRPr="00972FEB">
        <w:rPr>
          <w:rFonts w:ascii="Times New Roman" w:hAnsi="Times New Roman" w:cs="Times New Roman"/>
          <w:sz w:val="28"/>
          <w:szCs w:val="28"/>
        </w:rPr>
        <w:t>london</w:t>
      </w:r>
      <w:proofErr w:type="spellEnd"/>
      <w:r w:rsidRPr="00972FEB">
        <w:rPr>
          <w:rFonts w:ascii="Times New Roman" w:hAnsi="Times New Roman" w:cs="Times New Roman"/>
          <w:sz w:val="28"/>
          <w:szCs w:val="28"/>
        </w:rPr>
        <w:t xml:space="preserve">: </w:t>
      </w:r>
      <w:proofErr w:type="spellStart"/>
      <w:r w:rsidRPr="00972FEB">
        <w:rPr>
          <w:rFonts w:ascii="Times New Roman" w:hAnsi="Times New Roman" w:cs="Times New Roman"/>
          <w:sz w:val="28"/>
          <w:szCs w:val="28"/>
        </w:rPr>
        <w:t>Whurr</w:t>
      </w:r>
      <w:proofErr w:type="spellEnd"/>
      <w:r w:rsidRPr="00972FEB">
        <w:rPr>
          <w:rFonts w:ascii="Times New Roman" w:hAnsi="Times New Roman" w:cs="Times New Roman"/>
          <w:sz w:val="28"/>
          <w:szCs w:val="28"/>
        </w:rPr>
        <w:t>. 1993. 105 pp. £16.00 (pb).</w:t>
      </w:r>
      <w:r w:rsidRPr="00972FEB">
        <w:rPr>
          <w:rFonts w:ascii="Times New Roman" w:hAnsi="Times New Roman" w:cs="Times New Roman"/>
          <w:i/>
          <w:iCs/>
          <w:sz w:val="28"/>
          <w:szCs w:val="28"/>
        </w:rPr>
        <w:t> British Journal of Psychiatry, 164</w:t>
      </w:r>
      <w:r w:rsidRPr="00972FEB">
        <w:rPr>
          <w:rFonts w:ascii="Times New Roman" w:hAnsi="Times New Roman" w:cs="Times New Roman"/>
          <w:sz w:val="28"/>
          <w:szCs w:val="28"/>
        </w:rPr>
        <w:t>(6), 858. 10.1192/S0007125000143119</w:t>
      </w:r>
    </w:p>
    <w:p w14:paraId="0E601B56" w14:textId="77777777" w:rsidR="00972FEB" w:rsidRPr="00972FEB" w:rsidRDefault="00972FEB" w:rsidP="00972FEB">
      <w:pPr>
        <w:rPr>
          <w:rFonts w:ascii="Times New Roman" w:hAnsi="Times New Roman" w:cs="Times New Roman"/>
          <w:sz w:val="28"/>
          <w:szCs w:val="28"/>
        </w:rPr>
      </w:pPr>
      <w:r w:rsidRPr="00972FEB">
        <w:rPr>
          <w:rFonts w:ascii="Times New Roman" w:hAnsi="Times New Roman" w:cs="Times New Roman"/>
          <w:sz w:val="28"/>
          <w:szCs w:val="28"/>
        </w:rPr>
        <w:t>Cohen, K. (1992). Some legal issues in counselling and psychotherapy.</w:t>
      </w:r>
      <w:r w:rsidRPr="00972FEB">
        <w:rPr>
          <w:rFonts w:ascii="Times New Roman" w:hAnsi="Times New Roman" w:cs="Times New Roman"/>
          <w:i/>
          <w:iCs/>
          <w:sz w:val="28"/>
          <w:szCs w:val="28"/>
        </w:rPr>
        <w:t> British Journal of Guidance &amp; Counselling, 20</w:t>
      </w:r>
      <w:r w:rsidRPr="00972FEB">
        <w:rPr>
          <w:rFonts w:ascii="Times New Roman" w:hAnsi="Times New Roman" w:cs="Times New Roman"/>
          <w:sz w:val="28"/>
          <w:szCs w:val="28"/>
        </w:rPr>
        <w:t>(1), 10–26. 10.1080/03069889208253606</w:t>
      </w:r>
    </w:p>
    <w:p w14:paraId="18056E1D" w14:textId="77777777" w:rsidR="00972FEB" w:rsidRPr="00972FEB" w:rsidRDefault="00972FEB" w:rsidP="00972FEB">
      <w:pPr>
        <w:rPr>
          <w:rFonts w:ascii="Times New Roman" w:hAnsi="Times New Roman" w:cs="Times New Roman"/>
          <w:sz w:val="28"/>
          <w:szCs w:val="28"/>
        </w:rPr>
      </w:pPr>
      <w:r w:rsidRPr="00972FEB">
        <w:rPr>
          <w:rFonts w:ascii="Times New Roman" w:hAnsi="Times New Roman" w:cs="Times New Roman"/>
          <w:sz w:val="28"/>
          <w:szCs w:val="28"/>
        </w:rPr>
        <w:t>Cooper, M., &amp; McLeod, J. (2007). A pluralistic framework for counselling and psychotherapy: Implications for research.</w:t>
      </w:r>
      <w:r w:rsidRPr="00972FEB">
        <w:rPr>
          <w:rFonts w:ascii="Times New Roman" w:hAnsi="Times New Roman" w:cs="Times New Roman"/>
          <w:i/>
          <w:iCs/>
          <w:sz w:val="28"/>
          <w:szCs w:val="28"/>
        </w:rPr>
        <w:t> Counselling and Psychotherapy Research, 7</w:t>
      </w:r>
      <w:r w:rsidRPr="00972FEB">
        <w:rPr>
          <w:rFonts w:ascii="Times New Roman" w:hAnsi="Times New Roman" w:cs="Times New Roman"/>
          <w:sz w:val="28"/>
          <w:szCs w:val="28"/>
        </w:rPr>
        <w:t>(3), 135–143. 10.1080/14733140701566282</w:t>
      </w:r>
    </w:p>
    <w:p w14:paraId="235E1E09" w14:textId="77777777" w:rsidR="00972FEB" w:rsidRPr="001D7A23" w:rsidRDefault="00972FEB">
      <w:pPr>
        <w:rPr>
          <w:rFonts w:ascii="Times New Roman" w:hAnsi="Times New Roman" w:cs="Times New Roman"/>
          <w:sz w:val="28"/>
          <w:szCs w:val="28"/>
        </w:rPr>
      </w:pPr>
      <w:r w:rsidRPr="001D7A23">
        <w:rPr>
          <w:rFonts w:ascii="Times New Roman" w:hAnsi="Times New Roman" w:cs="Times New Roman"/>
          <w:sz w:val="28"/>
          <w:szCs w:val="28"/>
        </w:rPr>
        <w:t xml:space="preserve">Daymond, K., &amp; Millward, S. (2021). </w:t>
      </w:r>
      <w:r w:rsidRPr="001D7A23">
        <w:rPr>
          <w:rFonts w:ascii="Times New Roman" w:hAnsi="Times New Roman" w:cs="Times New Roman"/>
          <w:i/>
          <w:iCs/>
          <w:sz w:val="28"/>
          <w:szCs w:val="28"/>
        </w:rPr>
        <w:t>What do counsellors and psychotherapists mean by boundaries?</w:t>
      </w:r>
      <w:r w:rsidRPr="001D7A23">
        <w:rPr>
          <w:rFonts w:ascii="Times New Roman" w:hAnsi="Times New Roman" w:cs="Times New Roman"/>
          <w:sz w:val="28"/>
          <w:szCs w:val="28"/>
        </w:rPr>
        <w:t xml:space="preserve"> British Association for Counselling and Psychotherapy (BACP). Retrieved from </w:t>
      </w:r>
      <w:hyperlink r:id="rId7" w:history="1">
        <w:r w:rsidRPr="001D7A23">
          <w:rPr>
            <w:rStyle w:val="Hyperlink"/>
            <w:rFonts w:ascii="Times New Roman" w:hAnsi="Times New Roman" w:cs="Times New Roman"/>
            <w:sz w:val="28"/>
            <w:szCs w:val="28"/>
          </w:rPr>
          <w:t>https://www.bacp.co.uk/media/11059/bacp-boundaries-client-information-sheet-march-21.pdf</w:t>
        </w:r>
      </w:hyperlink>
    </w:p>
    <w:p w14:paraId="6CB30E64" w14:textId="77777777" w:rsidR="00972FEB" w:rsidRPr="00972FEB" w:rsidRDefault="00972FEB" w:rsidP="00972FEB">
      <w:pPr>
        <w:rPr>
          <w:rFonts w:ascii="Times New Roman" w:hAnsi="Times New Roman" w:cs="Times New Roman"/>
          <w:sz w:val="28"/>
          <w:szCs w:val="28"/>
        </w:rPr>
      </w:pPr>
      <w:r w:rsidRPr="00972FEB">
        <w:rPr>
          <w:rFonts w:ascii="Times New Roman" w:hAnsi="Times New Roman" w:cs="Times New Roman"/>
          <w:sz w:val="28"/>
          <w:szCs w:val="28"/>
        </w:rPr>
        <w:t xml:space="preserve">Gabbard, G. O. (1994). Teetering on the precipice: A commentary on </w:t>
      </w:r>
      <w:proofErr w:type="spellStart"/>
      <w:r w:rsidRPr="00972FEB">
        <w:rPr>
          <w:rFonts w:ascii="Times New Roman" w:hAnsi="Times New Roman" w:cs="Times New Roman"/>
          <w:sz w:val="28"/>
          <w:szCs w:val="28"/>
        </w:rPr>
        <w:t>lazarus's</w:t>
      </w:r>
      <w:proofErr w:type="spellEnd"/>
      <w:r w:rsidRPr="00972FEB">
        <w:rPr>
          <w:rFonts w:ascii="Times New Roman" w:hAnsi="Times New Roman" w:cs="Times New Roman"/>
          <w:sz w:val="28"/>
          <w:szCs w:val="28"/>
        </w:rPr>
        <w:t xml:space="preserve"> "how certain boundaries and ethics diminish therapeutic effectiveness".</w:t>
      </w:r>
      <w:r w:rsidRPr="00972FEB">
        <w:rPr>
          <w:rFonts w:ascii="Times New Roman" w:hAnsi="Times New Roman" w:cs="Times New Roman"/>
          <w:i/>
          <w:iCs/>
          <w:sz w:val="28"/>
          <w:szCs w:val="28"/>
        </w:rPr>
        <w:t xml:space="preserve"> Ethics &amp; </w:t>
      </w:r>
      <w:proofErr w:type="spellStart"/>
      <w:r w:rsidRPr="00972FEB">
        <w:rPr>
          <w:rFonts w:ascii="Times New Roman" w:hAnsi="Times New Roman" w:cs="Times New Roman"/>
          <w:i/>
          <w:iCs/>
          <w:sz w:val="28"/>
          <w:szCs w:val="28"/>
        </w:rPr>
        <w:t>Behavior</w:t>
      </w:r>
      <w:proofErr w:type="spellEnd"/>
      <w:r w:rsidRPr="00972FEB">
        <w:rPr>
          <w:rFonts w:ascii="Times New Roman" w:hAnsi="Times New Roman" w:cs="Times New Roman"/>
          <w:i/>
          <w:iCs/>
          <w:sz w:val="28"/>
          <w:szCs w:val="28"/>
        </w:rPr>
        <w:t>, 4</w:t>
      </w:r>
      <w:r w:rsidRPr="00972FEB">
        <w:rPr>
          <w:rFonts w:ascii="Times New Roman" w:hAnsi="Times New Roman" w:cs="Times New Roman"/>
          <w:sz w:val="28"/>
          <w:szCs w:val="28"/>
        </w:rPr>
        <w:t>(3), 283–386. 10.1207/s15327019eb0403_14</w:t>
      </w:r>
    </w:p>
    <w:p w14:paraId="2C3C0B57" w14:textId="77777777" w:rsidR="00972FEB" w:rsidRPr="00972FEB" w:rsidRDefault="00972FEB" w:rsidP="00972FEB">
      <w:pPr>
        <w:rPr>
          <w:rFonts w:ascii="Times New Roman" w:hAnsi="Times New Roman" w:cs="Times New Roman"/>
          <w:sz w:val="28"/>
          <w:szCs w:val="28"/>
        </w:rPr>
      </w:pPr>
      <w:r w:rsidRPr="00972FEB">
        <w:rPr>
          <w:rFonts w:ascii="Times New Roman" w:hAnsi="Times New Roman" w:cs="Times New Roman"/>
          <w:sz w:val="28"/>
          <w:szCs w:val="28"/>
        </w:rPr>
        <w:t>Hawkins, P., Shohet, R., Ryde, J., &amp; Wilmot, J. (2012). </w:t>
      </w:r>
      <w:r w:rsidRPr="00972FEB">
        <w:rPr>
          <w:rFonts w:ascii="Times New Roman" w:hAnsi="Times New Roman" w:cs="Times New Roman"/>
          <w:i/>
          <w:iCs/>
          <w:sz w:val="28"/>
          <w:szCs w:val="28"/>
        </w:rPr>
        <w:t>Supervision in the helping professions</w:t>
      </w:r>
      <w:r w:rsidRPr="00972FEB">
        <w:rPr>
          <w:rFonts w:ascii="Times New Roman" w:hAnsi="Times New Roman" w:cs="Times New Roman"/>
          <w:sz w:val="28"/>
          <w:szCs w:val="28"/>
        </w:rPr>
        <w:t>. McGraw-Hill.</w:t>
      </w:r>
    </w:p>
    <w:p w14:paraId="168BC992" w14:textId="77777777" w:rsidR="00972FEB" w:rsidRPr="00972FEB" w:rsidRDefault="00972FEB" w:rsidP="00972FEB">
      <w:pPr>
        <w:rPr>
          <w:rFonts w:ascii="Times New Roman" w:hAnsi="Times New Roman" w:cs="Times New Roman"/>
          <w:sz w:val="28"/>
          <w:szCs w:val="28"/>
        </w:rPr>
      </w:pPr>
      <w:r w:rsidRPr="00972FEB">
        <w:rPr>
          <w:rFonts w:ascii="Times New Roman" w:hAnsi="Times New Roman" w:cs="Times New Roman"/>
          <w:sz w:val="28"/>
          <w:szCs w:val="28"/>
        </w:rPr>
        <w:lastRenderedPageBreak/>
        <w:t>Hollanders, H. (2012). </w:t>
      </w:r>
      <w:r w:rsidRPr="00972FEB">
        <w:rPr>
          <w:rFonts w:ascii="Times New Roman" w:hAnsi="Times New Roman" w:cs="Times New Roman"/>
          <w:i/>
          <w:iCs/>
          <w:sz w:val="28"/>
          <w:szCs w:val="28"/>
        </w:rPr>
        <w:t xml:space="preserve">Integrative counselling and psychotherapy: A relational approach, by </w:t>
      </w:r>
      <w:proofErr w:type="spellStart"/>
      <w:r w:rsidRPr="00972FEB">
        <w:rPr>
          <w:rFonts w:ascii="Times New Roman" w:hAnsi="Times New Roman" w:cs="Times New Roman"/>
          <w:i/>
          <w:iCs/>
          <w:sz w:val="28"/>
          <w:szCs w:val="28"/>
        </w:rPr>
        <w:t>ariana</w:t>
      </w:r>
      <w:proofErr w:type="spellEnd"/>
      <w:r w:rsidRPr="00972FEB">
        <w:rPr>
          <w:rFonts w:ascii="Times New Roman" w:hAnsi="Times New Roman" w:cs="Times New Roman"/>
          <w:i/>
          <w:iCs/>
          <w:sz w:val="28"/>
          <w:szCs w:val="28"/>
        </w:rPr>
        <w:t xml:space="preserve"> </w:t>
      </w:r>
      <w:proofErr w:type="spellStart"/>
      <w:r w:rsidRPr="00972FEB">
        <w:rPr>
          <w:rFonts w:ascii="Times New Roman" w:hAnsi="Times New Roman" w:cs="Times New Roman"/>
          <w:i/>
          <w:iCs/>
          <w:sz w:val="28"/>
          <w:szCs w:val="28"/>
        </w:rPr>
        <w:t>faris</w:t>
      </w:r>
      <w:proofErr w:type="spellEnd"/>
      <w:r w:rsidRPr="00972FEB">
        <w:rPr>
          <w:rFonts w:ascii="Times New Roman" w:hAnsi="Times New Roman" w:cs="Times New Roman"/>
          <w:i/>
          <w:iCs/>
          <w:sz w:val="28"/>
          <w:szCs w:val="28"/>
        </w:rPr>
        <w:t xml:space="preserve"> and </w:t>
      </w:r>
      <w:proofErr w:type="spellStart"/>
      <w:r w:rsidRPr="00972FEB">
        <w:rPr>
          <w:rFonts w:ascii="Times New Roman" w:hAnsi="Times New Roman" w:cs="Times New Roman"/>
          <w:i/>
          <w:iCs/>
          <w:sz w:val="28"/>
          <w:szCs w:val="28"/>
        </w:rPr>
        <w:t>els</w:t>
      </w:r>
      <w:proofErr w:type="spellEnd"/>
      <w:r w:rsidRPr="00972FEB">
        <w:rPr>
          <w:rFonts w:ascii="Times New Roman" w:hAnsi="Times New Roman" w:cs="Times New Roman"/>
          <w:i/>
          <w:iCs/>
          <w:sz w:val="28"/>
          <w:szCs w:val="28"/>
        </w:rPr>
        <w:t xml:space="preserve"> van </w:t>
      </w:r>
      <w:proofErr w:type="spellStart"/>
      <w:r w:rsidRPr="00972FEB">
        <w:rPr>
          <w:rFonts w:ascii="Times New Roman" w:hAnsi="Times New Roman" w:cs="Times New Roman"/>
          <w:i/>
          <w:iCs/>
          <w:sz w:val="28"/>
          <w:szCs w:val="28"/>
        </w:rPr>
        <w:t>ooijen</w:t>
      </w:r>
      <w:proofErr w:type="spellEnd"/>
      <w:r w:rsidRPr="00972FEB">
        <w:rPr>
          <w:rFonts w:ascii="Times New Roman" w:hAnsi="Times New Roman" w:cs="Times New Roman"/>
          <w:sz w:val="28"/>
          <w:szCs w:val="28"/>
        </w:rPr>
        <w:t>. Routledge. 10.1080/13642537.2012.712814</w:t>
      </w:r>
    </w:p>
    <w:p w14:paraId="0BC0AC07" w14:textId="77777777" w:rsidR="00972FEB" w:rsidRPr="00972FEB" w:rsidRDefault="00972FEB" w:rsidP="00972FEB">
      <w:pPr>
        <w:rPr>
          <w:rFonts w:ascii="Times New Roman" w:hAnsi="Times New Roman" w:cs="Times New Roman"/>
          <w:sz w:val="28"/>
          <w:szCs w:val="28"/>
        </w:rPr>
      </w:pPr>
      <w:r w:rsidRPr="00972FEB">
        <w:rPr>
          <w:rFonts w:ascii="Times New Roman" w:hAnsi="Times New Roman" w:cs="Times New Roman"/>
          <w:sz w:val="28"/>
          <w:szCs w:val="28"/>
        </w:rPr>
        <w:t>Knox, R. (2007). Experiencing risk in person-centred counselling: A qualitative exploration of therapist risk-taking.</w:t>
      </w:r>
      <w:r w:rsidRPr="00972FEB">
        <w:rPr>
          <w:rFonts w:ascii="Times New Roman" w:hAnsi="Times New Roman" w:cs="Times New Roman"/>
          <w:i/>
          <w:iCs/>
          <w:sz w:val="28"/>
          <w:szCs w:val="28"/>
        </w:rPr>
        <w:t> British Journal of Guidance &amp; Counselling, 35</w:t>
      </w:r>
      <w:r w:rsidRPr="00972FEB">
        <w:rPr>
          <w:rFonts w:ascii="Times New Roman" w:hAnsi="Times New Roman" w:cs="Times New Roman"/>
          <w:sz w:val="28"/>
          <w:szCs w:val="28"/>
        </w:rPr>
        <w:t>(3), 317–330. 10.1080/03069880701419449</w:t>
      </w:r>
    </w:p>
    <w:p w14:paraId="79942EAE" w14:textId="77777777" w:rsidR="00972FEB" w:rsidRPr="00972FEB" w:rsidRDefault="00972FEB" w:rsidP="00972FEB">
      <w:pPr>
        <w:rPr>
          <w:rFonts w:ascii="Times New Roman" w:hAnsi="Times New Roman" w:cs="Times New Roman"/>
          <w:sz w:val="28"/>
          <w:szCs w:val="28"/>
        </w:rPr>
      </w:pPr>
      <w:r w:rsidRPr="00972FEB">
        <w:rPr>
          <w:rFonts w:ascii="Times New Roman" w:hAnsi="Times New Roman" w:cs="Times New Roman"/>
          <w:sz w:val="28"/>
          <w:szCs w:val="28"/>
        </w:rPr>
        <w:t>Owen, I. R. (1997). Boundaries in the practice of humanistic counselling.</w:t>
      </w:r>
      <w:r w:rsidRPr="00972FEB">
        <w:rPr>
          <w:rFonts w:ascii="Times New Roman" w:hAnsi="Times New Roman" w:cs="Times New Roman"/>
          <w:i/>
          <w:iCs/>
          <w:sz w:val="28"/>
          <w:szCs w:val="28"/>
        </w:rPr>
        <w:t> British Journal of Guidance &amp; Counselling, 25</w:t>
      </w:r>
      <w:r w:rsidRPr="00972FEB">
        <w:rPr>
          <w:rFonts w:ascii="Times New Roman" w:hAnsi="Times New Roman" w:cs="Times New Roman"/>
          <w:sz w:val="28"/>
          <w:szCs w:val="28"/>
        </w:rPr>
        <w:t>(2), 163–174. 10.1080/03069889708253799</w:t>
      </w:r>
    </w:p>
    <w:p w14:paraId="44CFB482" w14:textId="77777777" w:rsidR="00972FEB" w:rsidRPr="00972FEB" w:rsidRDefault="00972FEB" w:rsidP="00972FEB">
      <w:pPr>
        <w:rPr>
          <w:rFonts w:ascii="Times New Roman" w:hAnsi="Times New Roman" w:cs="Times New Roman"/>
          <w:sz w:val="28"/>
          <w:szCs w:val="28"/>
        </w:rPr>
      </w:pPr>
      <w:r w:rsidRPr="00972FEB">
        <w:rPr>
          <w:rFonts w:ascii="Times New Roman" w:hAnsi="Times New Roman" w:cs="Times New Roman"/>
          <w:sz w:val="28"/>
          <w:szCs w:val="28"/>
        </w:rPr>
        <w:t>Rickard, E. ó, Hevey, D., &amp; Wilson, C. (2021). The impact of seating arrangement and therapy task on therapeutic alliance formation.</w:t>
      </w:r>
      <w:r w:rsidRPr="00972FEB">
        <w:rPr>
          <w:rFonts w:ascii="Times New Roman" w:hAnsi="Times New Roman" w:cs="Times New Roman"/>
          <w:i/>
          <w:iCs/>
          <w:sz w:val="28"/>
          <w:szCs w:val="28"/>
        </w:rPr>
        <w:t> Counselling and Psychotherapy Research, 21</w:t>
      </w:r>
      <w:r w:rsidRPr="00972FEB">
        <w:rPr>
          <w:rFonts w:ascii="Times New Roman" w:hAnsi="Times New Roman" w:cs="Times New Roman"/>
          <w:sz w:val="28"/>
          <w:szCs w:val="28"/>
        </w:rPr>
        <w:t>(3), 683–696. 10.1002/capr.12341</w:t>
      </w:r>
    </w:p>
    <w:p w14:paraId="6F4CBD42" w14:textId="77777777" w:rsidR="00972FEB" w:rsidRPr="00972FEB" w:rsidRDefault="00972FEB" w:rsidP="00972FEB">
      <w:pPr>
        <w:rPr>
          <w:rFonts w:ascii="Times New Roman" w:hAnsi="Times New Roman" w:cs="Times New Roman"/>
          <w:sz w:val="28"/>
          <w:szCs w:val="28"/>
        </w:rPr>
      </w:pPr>
      <w:r w:rsidRPr="00972FEB">
        <w:rPr>
          <w:rFonts w:ascii="Times New Roman" w:hAnsi="Times New Roman" w:cs="Times New Roman"/>
          <w:sz w:val="28"/>
          <w:szCs w:val="28"/>
        </w:rPr>
        <w:t>Rogers, C. R. (1992). The necessary and sufficient conditions of therapeutic personality change.</w:t>
      </w:r>
      <w:r w:rsidRPr="00972FEB">
        <w:rPr>
          <w:rFonts w:ascii="Times New Roman" w:hAnsi="Times New Roman" w:cs="Times New Roman"/>
          <w:i/>
          <w:iCs/>
          <w:sz w:val="28"/>
          <w:szCs w:val="28"/>
        </w:rPr>
        <w:t> Journal of Consulting and Clinical Psychology, 60</w:t>
      </w:r>
      <w:r w:rsidRPr="00972FEB">
        <w:rPr>
          <w:rFonts w:ascii="Times New Roman" w:hAnsi="Times New Roman" w:cs="Times New Roman"/>
          <w:sz w:val="28"/>
          <w:szCs w:val="28"/>
        </w:rPr>
        <w:t>(6), 827–832. 10.1037/0022-006X.60.6.827</w:t>
      </w:r>
    </w:p>
    <w:p w14:paraId="6E058B9A" w14:textId="77777777" w:rsidR="00972FEB" w:rsidRPr="00972FEB" w:rsidRDefault="00972FEB" w:rsidP="00972FEB">
      <w:pPr>
        <w:rPr>
          <w:rFonts w:ascii="Times New Roman" w:hAnsi="Times New Roman" w:cs="Times New Roman"/>
          <w:sz w:val="28"/>
          <w:szCs w:val="28"/>
        </w:rPr>
      </w:pPr>
      <w:r w:rsidRPr="00972FEB">
        <w:rPr>
          <w:rFonts w:ascii="Times New Roman" w:hAnsi="Times New Roman" w:cs="Times New Roman"/>
          <w:sz w:val="28"/>
          <w:szCs w:val="28"/>
        </w:rPr>
        <w:t>Yalom, I. D., &amp; Crouch, E. C. (1990). The theory and practice of group psychotherapy.</w:t>
      </w:r>
      <w:r w:rsidRPr="00972FEB">
        <w:rPr>
          <w:rFonts w:ascii="Times New Roman" w:hAnsi="Times New Roman" w:cs="Times New Roman"/>
          <w:i/>
          <w:iCs/>
          <w:sz w:val="28"/>
          <w:szCs w:val="28"/>
        </w:rPr>
        <w:t> British Journal of Psychiatry, 157</w:t>
      </w:r>
      <w:r w:rsidRPr="00972FEB">
        <w:rPr>
          <w:rFonts w:ascii="Times New Roman" w:hAnsi="Times New Roman" w:cs="Times New Roman"/>
          <w:sz w:val="28"/>
          <w:szCs w:val="28"/>
        </w:rPr>
        <w:t>(2), 304–306. 10.1192/S0007125000062723</w:t>
      </w:r>
    </w:p>
    <w:p w14:paraId="01034B35" w14:textId="77777777" w:rsidR="00972FEB" w:rsidRPr="00A347ED" w:rsidRDefault="00972FEB" w:rsidP="00972FEB"/>
    <w:p w14:paraId="3659C496" w14:textId="77777777" w:rsidR="00972FEB" w:rsidRDefault="00972FEB"/>
    <w:p w14:paraId="77CCB1CD" w14:textId="77777777" w:rsidR="007B3F04" w:rsidRDefault="007B3F04"/>
    <w:p w14:paraId="3232ECD3" w14:textId="77777777" w:rsidR="007B3F04" w:rsidRDefault="007B3F04"/>
    <w:p w14:paraId="2721330D" w14:textId="77777777" w:rsidR="007B3F04" w:rsidRDefault="007B3F04"/>
    <w:p w14:paraId="65A3051C" w14:textId="77777777" w:rsidR="007B3F04" w:rsidRDefault="007B3F04"/>
    <w:p w14:paraId="5E376569" w14:textId="77777777" w:rsidR="007B3F04" w:rsidRDefault="007B3F04"/>
    <w:p w14:paraId="6F79A3EB" w14:textId="77777777" w:rsidR="007B3F04" w:rsidRDefault="007B3F04"/>
    <w:p w14:paraId="149D4FAB" w14:textId="77777777" w:rsidR="007B3F04" w:rsidRDefault="007B3F04"/>
    <w:p w14:paraId="6FAA658C" w14:textId="77777777" w:rsidR="007B3F04" w:rsidRDefault="007B3F04"/>
    <w:p w14:paraId="5614F2C8" w14:textId="77777777" w:rsidR="007B3F04" w:rsidRDefault="007B3F04"/>
    <w:p w14:paraId="72FE42E3" w14:textId="77777777" w:rsidR="007B3F04" w:rsidRDefault="007B3F04"/>
    <w:p w14:paraId="3417B8E7" w14:textId="77777777" w:rsidR="007B3F04" w:rsidRDefault="007B3F04"/>
    <w:p w14:paraId="38B4B536" w14:textId="77777777" w:rsidR="007B3F04" w:rsidRDefault="007B3F04"/>
    <w:p w14:paraId="6A2B045B" w14:textId="77777777" w:rsidR="007B3F04" w:rsidRDefault="007B3F04"/>
    <w:p w14:paraId="51DFB82A" w14:textId="0A43B478" w:rsidR="007B3F04" w:rsidRPr="007B3F04" w:rsidRDefault="007B3F04">
      <w:pPr>
        <w:rPr>
          <w:rFonts w:ascii="Times New Roman" w:hAnsi="Times New Roman" w:cs="Times New Roman"/>
          <w:b/>
          <w:bCs/>
          <w:sz w:val="28"/>
          <w:szCs w:val="28"/>
        </w:rPr>
      </w:pPr>
      <w:r w:rsidRPr="007B3F04">
        <w:rPr>
          <w:rFonts w:ascii="Times New Roman" w:hAnsi="Times New Roman" w:cs="Times New Roman"/>
          <w:b/>
          <w:bCs/>
          <w:sz w:val="28"/>
          <w:szCs w:val="28"/>
        </w:rPr>
        <w:lastRenderedPageBreak/>
        <w:t>Append</w:t>
      </w:r>
      <w:r>
        <w:rPr>
          <w:rFonts w:ascii="Times New Roman" w:hAnsi="Times New Roman" w:cs="Times New Roman"/>
          <w:b/>
          <w:bCs/>
          <w:sz w:val="28"/>
          <w:szCs w:val="28"/>
        </w:rPr>
        <w:t>i</w:t>
      </w:r>
      <w:r w:rsidRPr="007B3F04">
        <w:rPr>
          <w:rFonts w:ascii="Times New Roman" w:hAnsi="Times New Roman" w:cs="Times New Roman"/>
          <w:b/>
          <w:bCs/>
          <w:sz w:val="28"/>
          <w:szCs w:val="28"/>
        </w:rPr>
        <w:t>ces</w:t>
      </w:r>
    </w:p>
    <w:p w14:paraId="7F884FD7" w14:textId="77777777" w:rsidR="007B3F04" w:rsidRDefault="007B3F04"/>
    <w:p w14:paraId="34AA902D" w14:textId="4E5D30EC" w:rsidR="007B3F04" w:rsidRPr="007B3F04" w:rsidRDefault="007B3F04" w:rsidP="007B3F04">
      <w:r w:rsidRPr="007B3F04">
        <w:drawing>
          <wp:inline distT="0" distB="0" distL="0" distR="0" wp14:anchorId="485309C4" wp14:editId="5C758C79">
            <wp:extent cx="5731510" cy="7645400"/>
            <wp:effectExtent l="0" t="0" r="2540" b="0"/>
            <wp:docPr id="1410641593" name="Picture 1" descr="A piece of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641593" name="Picture 1" descr="A piece of paper with text on i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7645400"/>
                    </a:xfrm>
                    <a:prstGeom prst="rect">
                      <a:avLst/>
                    </a:prstGeom>
                    <a:noFill/>
                    <a:ln>
                      <a:noFill/>
                    </a:ln>
                  </pic:spPr>
                </pic:pic>
              </a:graphicData>
            </a:graphic>
          </wp:inline>
        </w:drawing>
      </w:r>
    </w:p>
    <w:p w14:paraId="63F5E10D" w14:textId="77777777" w:rsidR="007B3F04" w:rsidRDefault="007B3F04"/>
    <w:p w14:paraId="67B3AC79" w14:textId="77777777" w:rsidR="007B3F04" w:rsidRDefault="007B3F04"/>
    <w:p w14:paraId="60CA9CEC" w14:textId="33BD6727" w:rsidR="007B3F04" w:rsidRDefault="007B3F04" w:rsidP="007B3F04">
      <w:r w:rsidRPr="007B3F04">
        <w:lastRenderedPageBreak/>
        <w:drawing>
          <wp:inline distT="0" distB="0" distL="0" distR="0" wp14:anchorId="572FD351" wp14:editId="029DF351">
            <wp:extent cx="5731510" cy="7643495"/>
            <wp:effectExtent l="0" t="0" r="2540" b="0"/>
            <wp:docPr id="1320626838" name="Picture 3" descr="A piece of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626838" name="Picture 3" descr="A piece of paper with text on it&#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7643495"/>
                    </a:xfrm>
                    <a:prstGeom prst="rect">
                      <a:avLst/>
                    </a:prstGeom>
                    <a:noFill/>
                    <a:ln>
                      <a:noFill/>
                    </a:ln>
                  </pic:spPr>
                </pic:pic>
              </a:graphicData>
            </a:graphic>
          </wp:inline>
        </w:drawing>
      </w:r>
    </w:p>
    <w:p w14:paraId="198F422A" w14:textId="77777777" w:rsidR="007B3F04" w:rsidRDefault="007B3F04" w:rsidP="007B3F04"/>
    <w:p w14:paraId="590E58EA" w14:textId="77777777" w:rsidR="007B3F04" w:rsidRDefault="007B3F04" w:rsidP="007B3F04"/>
    <w:p w14:paraId="4577FA64" w14:textId="77777777" w:rsidR="007B3F04" w:rsidRDefault="007B3F04" w:rsidP="007B3F04"/>
    <w:p w14:paraId="3888C483" w14:textId="77777777" w:rsidR="007B3F04" w:rsidRPr="007B3F04" w:rsidRDefault="007B3F04" w:rsidP="007B3F04"/>
    <w:p w14:paraId="7E091807" w14:textId="36F82BEB" w:rsidR="007B3F04" w:rsidRPr="007B3F04" w:rsidRDefault="007B3F04" w:rsidP="007B3F04">
      <w:r w:rsidRPr="007B3F04">
        <w:lastRenderedPageBreak/>
        <w:drawing>
          <wp:inline distT="0" distB="0" distL="0" distR="0" wp14:anchorId="6B538458" wp14:editId="477F052C">
            <wp:extent cx="5731510" cy="7643495"/>
            <wp:effectExtent l="0" t="0" r="2540" b="0"/>
            <wp:docPr id="1847861976" name="Picture 5" descr="A piece of paper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861976" name="Picture 5" descr="A piece of paper with tex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7643495"/>
                    </a:xfrm>
                    <a:prstGeom prst="rect">
                      <a:avLst/>
                    </a:prstGeom>
                    <a:noFill/>
                    <a:ln>
                      <a:noFill/>
                    </a:ln>
                  </pic:spPr>
                </pic:pic>
              </a:graphicData>
            </a:graphic>
          </wp:inline>
        </w:drawing>
      </w:r>
    </w:p>
    <w:p w14:paraId="75E4B175" w14:textId="77777777" w:rsidR="007B3F04" w:rsidRDefault="007B3F04"/>
    <w:p w14:paraId="7726B910" w14:textId="77777777" w:rsidR="007B3F04" w:rsidRDefault="007B3F04"/>
    <w:p w14:paraId="651EAAAE" w14:textId="77777777" w:rsidR="007B3F04" w:rsidRDefault="007B3F04"/>
    <w:p w14:paraId="1F9164E7" w14:textId="77777777" w:rsidR="007B3F04" w:rsidRDefault="007B3F04"/>
    <w:p w14:paraId="09D97813" w14:textId="5615F262" w:rsidR="007B3F04" w:rsidRPr="007B3F04" w:rsidRDefault="007B3F04" w:rsidP="007B3F04">
      <w:r w:rsidRPr="007B3F04">
        <w:lastRenderedPageBreak/>
        <w:drawing>
          <wp:inline distT="0" distB="0" distL="0" distR="0" wp14:anchorId="5FD502CE" wp14:editId="4039C339">
            <wp:extent cx="5731510" cy="7643495"/>
            <wp:effectExtent l="0" t="0" r="2540" b="0"/>
            <wp:docPr id="1944416901" name="Picture 7" descr="A piece of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416901" name="Picture 7" descr="A piece of paper with text on i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7643495"/>
                    </a:xfrm>
                    <a:prstGeom prst="rect">
                      <a:avLst/>
                    </a:prstGeom>
                    <a:noFill/>
                    <a:ln>
                      <a:noFill/>
                    </a:ln>
                  </pic:spPr>
                </pic:pic>
              </a:graphicData>
            </a:graphic>
          </wp:inline>
        </w:drawing>
      </w:r>
    </w:p>
    <w:p w14:paraId="40E89BDA" w14:textId="77777777" w:rsidR="007B3F04" w:rsidRDefault="007B3F04"/>
    <w:p w14:paraId="2D470496" w14:textId="77777777" w:rsidR="007B3F04" w:rsidRDefault="007B3F04"/>
    <w:p w14:paraId="2948EE25" w14:textId="77777777" w:rsidR="007B3F04" w:rsidRDefault="007B3F04"/>
    <w:p w14:paraId="7EB79698" w14:textId="77777777" w:rsidR="007B3F04" w:rsidRDefault="007B3F04"/>
    <w:p w14:paraId="6CD4F5C0" w14:textId="32FEB737" w:rsidR="007B3F04" w:rsidRPr="007B3F04" w:rsidRDefault="007B3F04" w:rsidP="007B3F04">
      <w:r w:rsidRPr="007B3F04">
        <w:lastRenderedPageBreak/>
        <w:drawing>
          <wp:inline distT="0" distB="0" distL="0" distR="0" wp14:anchorId="08D4F558" wp14:editId="615723B1">
            <wp:extent cx="5731510" cy="7643495"/>
            <wp:effectExtent l="0" t="0" r="2540" b="0"/>
            <wp:docPr id="574414816" name="Picture 9" descr="A piece of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414816" name="Picture 9" descr="A piece of paper with text on it&#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7643495"/>
                    </a:xfrm>
                    <a:prstGeom prst="rect">
                      <a:avLst/>
                    </a:prstGeom>
                    <a:noFill/>
                    <a:ln>
                      <a:noFill/>
                    </a:ln>
                  </pic:spPr>
                </pic:pic>
              </a:graphicData>
            </a:graphic>
          </wp:inline>
        </w:drawing>
      </w:r>
    </w:p>
    <w:p w14:paraId="37302180" w14:textId="77777777" w:rsidR="007B3F04" w:rsidRDefault="007B3F04"/>
    <w:p w14:paraId="2FDBD203" w14:textId="77777777" w:rsidR="007B3F04" w:rsidRDefault="007B3F04"/>
    <w:p w14:paraId="6F5A2EE5" w14:textId="77777777" w:rsidR="007B3F04" w:rsidRDefault="007B3F04"/>
    <w:p w14:paraId="54084B98" w14:textId="77777777" w:rsidR="007B3F04" w:rsidRDefault="007B3F04"/>
    <w:p w14:paraId="53FA163A" w14:textId="17F51BC0" w:rsidR="007B3F04" w:rsidRPr="007B3F04" w:rsidRDefault="007B3F04" w:rsidP="007B3F04">
      <w:r w:rsidRPr="007B3F04">
        <w:lastRenderedPageBreak/>
        <w:drawing>
          <wp:inline distT="0" distB="0" distL="0" distR="0" wp14:anchorId="142E6C36" wp14:editId="307A4653">
            <wp:extent cx="5731510" cy="7643495"/>
            <wp:effectExtent l="0" t="0" r="2540" b="0"/>
            <wp:docPr id="1137353542" name="Picture 11" descr="A piece of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353542" name="Picture 11" descr="A piece of paper with text on it&#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7643495"/>
                    </a:xfrm>
                    <a:prstGeom prst="rect">
                      <a:avLst/>
                    </a:prstGeom>
                    <a:noFill/>
                    <a:ln>
                      <a:noFill/>
                    </a:ln>
                  </pic:spPr>
                </pic:pic>
              </a:graphicData>
            </a:graphic>
          </wp:inline>
        </w:drawing>
      </w:r>
    </w:p>
    <w:p w14:paraId="51551F46" w14:textId="77777777" w:rsidR="007B3F04" w:rsidRDefault="007B3F04"/>
    <w:p w14:paraId="670DA940" w14:textId="77777777" w:rsidR="007B3F04" w:rsidRDefault="007B3F04"/>
    <w:p w14:paraId="5DDADDC2" w14:textId="77777777" w:rsidR="007B3F04" w:rsidRDefault="007B3F04"/>
    <w:p w14:paraId="44041BA7" w14:textId="77777777" w:rsidR="007B3F04" w:rsidRDefault="007B3F04"/>
    <w:p w14:paraId="65D4FEDD" w14:textId="0C0D7E03" w:rsidR="007B3F04" w:rsidRPr="007B3F04" w:rsidRDefault="007B3F04" w:rsidP="007B3F04">
      <w:r w:rsidRPr="007B3F04">
        <w:lastRenderedPageBreak/>
        <w:drawing>
          <wp:inline distT="0" distB="0" distL="0" distR="0" wp14:anchorId="37F24F32" wp14:editId="77DD7152">
            <wp:extent cx="5731510" cy="7643495"/>
            <wp:effectExtent l="0" t="0" r="2540" b="0"/>
            <wp:docPr id="749339120" name="Picture 13"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339120" name="Picture 13" descr="A paper with writing on it&#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7643495"/>
                    </a:xfrm>
                    <a:prstGeom prst="rect">
                      <a:avLst/>
                    </a:prstGeom>
                    <a:noFill/>
                    <a:ln>
                      <a:noFill/>
                    </a:ln>
                  </pic:spPr>
                </pic:pic>
              </a:graphicData>
            </a:graphic>
          </wp:inline>
        </w:drawing>
      </w:r>
    </w:p>
    <w:p w14:paraId="2ACC6597" w14:textId="77777777" w:rsidR="007B3F04" w:rsidRDefault="007B3F04"/>
    <w:sectPr w:rsidR="007B3F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E5159F"/>
    <w:multiLevelType w:val="multilevel"/>
    <w:tmpl w:val="57A4A4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CF2B85"/>
    <w:multiLevelType w:val="multilevel"/>
    <w:tmpl w:val="B510C8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D233782"/>
    <w:multiLevelType w:val="multilevel"/>
    <w:tmpl w:val="792E68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EB97B0F"/>
    <w:multiLevelType w:val="multilevel"/>
    <w:tmpl w:val="75AE1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7515888">
    <w:abstractNumId w:val="2"/>
  </w:num>
  <w:num w:numId="2" w16cid:durableId="1470627974">
    <w:abstractNumId w:val="0"/>
  </w:num>
  <w:num w:numId="3" w16cid:durableId="331640874">
    <w:abstractNumId w:val="1"/>
  </w:num>
  <w:num w:numId="4" w16cid:durableId="4404982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7ED"/>
    <w:rsid w:val="001D7A23"/>
    <w:rsid w:val="00700F21"/>
    <w:rsid w:val="007B3F04"/>
    <w:rsid w:val="00830B59"/>
    <w:rsid w:val="00972FEB"/>
    <w:rsid w:val="00A347ED"/>
    <w:rsid w:val="00B02B08"/>
    <w:rsid w:val="00DA52AE"/>
    <w:rsid w:val="00F155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679D5"/>
  <w15:chartTrackingRefBased/>
  <w15:docId w15:val="{54087554-3957-471B-A5BA-0610FF9818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47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47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47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47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47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47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47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47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47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47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47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47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47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47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47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47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47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47ED"/>
    <w:rPr>
      <w:rFonts w:eastAsiaTheme="majorEastAsia" w:cstheme="majorBidi"/>
      <w:color w:val="272727" w:themeColor="text1" w:themeTint="D8"/>
    </w:rPr>
  </w:style>
  <w:style w:type="paragraph" w:styleId="Title">
    <w:name w:val="Title"/>
    <w:basedOn w:val="Normal"/>
    <w:next w:val="Normal"/>
    <w:link w:val="TitleChar"/>
    <w:uiPriority w:val="10"/>
    <w:qFormat/>
    <w:rsid w:val="00A347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47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47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47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47ED"/>
    <w:pPr>
      <w:spacing w:before="160"/>
      <w:jc w:val="center"/>
    </w:pPr>
    <w:rPr>
      <w:i/>
      <w:iCs/>
      <w:color w:val="404040" w:themeColor="text1" w:themeTint="BF"/>
    </w:rPr>
  </w:style>
  <w:style w:type="character" w:customStyle="1" w:styleId="QuoteChar">
    <w:name w:val="Quote Char"/>
    <w:basedOn w:val="DefaultParagraphFont"/>
    <w:link w:val="Quote"/>
    <w:uiPriority w:val="29"/>
    <w:rsid w:val="00A347ED"/>
    <w:rPr>
      <w:i/>
      <w:iCs/>
      <w:color w:val="404040" w:themeColor="text1" w:themeTint="BF"/>
    </w:rPr>
  </w:style>
  <w:style w:type="paragraph" w:styleId="ListParagraph">
    <w:name w:val="List Paragraph"/>
    <w:basedOn w:val="Normal"/>
    <w:uiPriority w:val="34"/>
    <w:qFormat/>
    <w:rsid w:val="00A347ED"/>
    <w:pPr>
      <w:ind w:left="720"/>
      <w:contextualSpacing/>
    </w:pPr>
  </w:style>
  <w:style w:type="character" w:styleId="IntenseEmphasis">
    <w:name w:val="Intense Emphasis"/>
    <w:basedOn w:val="DefaultParagraphFont"/>
    <w:uiPriority w:val="21"/>
    <w:qFormat/>
    <w:rsid w:val="00A347ED"/>
    <w:rPr>
      <w:i/>
      <w:iCs/>
      <w:color w:val="0F4761" w:themeColor="accent1" w:themeShade="BF"/>
    </w:rPr>
  </w:style>
  <w:style w:type="paragraph" w:styleId="IntenseQuote">
    <w:name w:val="Intense Quote"/>
    <w:basedOn w:val="Normal"/>
    <w:next w:val="Normal"/>
    <w:link w:val="IntenseQuoteChar"/>
    <w:uiPriority w:val="30"/>
    <w:qFormat/>
    <w:rsid w:val="00A347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47ED"/>
    <w:rPr>
      <w:i/>
      <w:iCs/>
      <w:color w:val="0F4761" w:themeColor="accent1" w:themeShade="BF"/>
    </w:rPr>
  </w:style>
  <w:style w:type="character" w:styleId="IntenseReference">
    <w:name w:val="Intense Reference"/>
    <w:basedOn w:val="DefaultParagraphFont"/>
    <w:uiPriority w:val="32"/>
    <w:qFormat/>
    <w:rsid w:val="00A347ED"/>
    <w:rPr>
      <w:b/>
      <w:bCs/>
      <w:smallCaps/>
      <w:color w:val="0F4761" w:themeColor="accent1" w:themeShade="BF"/>
      <w:spacing w:val="5"/>
    </w:rPr>
  </w:style>
  <w:style w:type="character" w:styleId="Hyperlink">
    <w:name w:val="Hyperlink"/>
    <w:basedOn w:val="DefaultParagraphFont"/>
    <w:uiPriority w:val="99"/>
    <w:unhideWhenUsed/>
    <w:rsid w:val="00972FEB"/>
    <w:rPr>
      <w:color w:val="467886" w:themeColor="hyperlink"/>
      <w:u w:val="single"/>
    </w:rPr>
  </w:style>
  <w:style w:type="character" w:styleId="UnresolvedMention">
    <w:name w:val="Unresolved Mention"/>
    <w:basedOn w:val="DefaultParagraphFont"/>
    <w:uiPriority w:val="99"/>
    <w:semiHidden/>
    <w:unhideWhenUsed/>
    <w:rsid w:val="00972F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hyperlink" Target="https://www.bacp.co.uk/media/11059/bacp-boundaries-client-information-sheet-march-21.pdf" TargetMode="Externa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bacp.co.uk/media/18188/gpia-110-fs-boundaries-within-the-clg-profs-update-2023.pdf" TargetMode="Externa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D2CC1D-ACEB-4248-B322-8DFC3592D1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2829</Words>
  <Characters>17882</Characters>
  <Application>Microsoft Office Word</Application>
  <DocSecurity>0</DocSecurity>
  <Lines>1117</Lines>
  <Paragraphs>647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Lewis-Richards (2419999)</dc:creator>
  <cp:keywords/>
  <dc:description/>
  <cp:lastModifiedBy>Emily Lewis-Richards (2419999)</cp:lastModifiedBy>
  <cp:revision>2</cp:revision>
  <dcterms:created xsi:type="dcterms:W3CDTF">2025-12-09T19:59:00Z</dcterms:created>
  <dcterms:modified xsi:type="dcterms:W3CDTF">2025-12-09T19:59:00Z</dcterms:modified>
</cp:coreProperties>
</file>