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Research Proposal </w:t>
      </w:r>
      <w:r w:rsidDel="00000000" w:rsidR="00000000" w:rsidRPr="00000000">
        <w:rPr>
          <w:rFonts w:ascii="Times New Roman" w:cs="Times New Roman" w:eastAsia="Times New Roman" w:hAnsi="Times New Roman"/>
          <w:sz w:val="24"/>
          <w:szCs w:val="24"/>
          <w:rtl w:val="0"/>
        </w:rPr>
        <w:t xml:space="preserve">ECAC7004 </w:t>
      </w:r>
    </w:p>
    <w:p w:rsidR="00000000" w:rsidDel="00000000" w:rsidP="00000000" w:rsidRDefault="00000000" w:rsidRPr="00000000" w14:paraId="0000000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Christopher Evans - 1909966</w:t>
      </w:r>
    </w:p>
    <w:p w:rsidR="00000000" w:rsidDel="00000000" w:rsidP="00000000" w:rsidRDefault="00000000" w:rsidRPr="00000000" w14:paraId="0000000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Empowering clients through goal-centred counselling: </w:t>
      </w:r>
    </w:p>
    <w:p w:rsidR="00000000" w:rsidDel="00000000" w:rsidP="00000000" w:rsidRDefault="00000000" w:rsidRPr="00000000" w14:paraId="0000000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Unveiling the path to personnel growth. </w:t>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research explores the transformative impact of goal-centred counselling on personal growth and empowerment in clients. Traditionally focused on alleviating distress and resolving psychological issues, counselling is increasingly recognised for its potential to empower individuals towards personal development and fulfilment (Appil et al., 2020). This study intends to investigate how goal-centred counselling, which emphasises setting and achieving personal objectives, can be a pivotal tool in guiding individuals towards self-realisation and growth. The central question guiding this research is: How does goal-centred counselling facilitate personal growth and empowerment in clients? This question will be addressed by examining the processes and outcomes of counselling that prioritise client-set goals, exploring both the short-term and long-term effects on individuals' sense of empowerment, self-efficacy, and overall well-being (Bager-Charleson, n.d.). Additionally, this research will explore the role of the counsellor in fostering an environment conducive to goal achievement and personal development, drawing upon theories of humanistic psychology and self-determination (Welsh et al., 2014). The interaction between counsellor facilitation and client autonomy will be a key focus, providing insights into optimal counselling practices for promoting personal growth. This research will contribute to counselling psychology by providing empirical evidence on the efficacy of goal-centred approaches. It seeks to illuminate the pathway through which counselling can assist individuals in overcoming challenges and actively engage them in pursuing personal growth and self-improvement. Focusing on the client's active role in their developmental journey, this study aims to redefine the boundaries of counselling's impact, highlighting its role in healing and empowering (Morikawa et al., 2022). </w:t>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Context</w:t>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proposed research is embedded in the evolving landscape of counselling psychology, an area experiencing a paradigm shift from a predominantly problem-focused approach to one embracing personal growth and self-actualisation. Historically, counselling has been viewed primarily as a means to address psychological distress, a perspective deeply rooted in traditional psychological theories that emphasise pathology (Pole et al., 2023). However, contemporary trends in counselling psychology have begun to challenge this perspective, giving rise to approaches that aim to alleviate distress and promote personal development and empowerment (Resnicow et al., 2016). At the forefront of this evolution is goal-centred counselling, which integrates humanistic and positive psychology principles. It is predicated on the belief that individuals inherently strive for self-improvement and that goal setting is crucial in facilitating this process (Stalker et al., 2015). This approach has gained traction for its emphasis on client autonomy and determination and its potential to transform the client’s role from a passive recipient to an active participant in their therapeutic journey (Lytle et al., 2015). The efficacy and applicability of goal-centred counselling have become focal points of recent academic debates. Advocates of this approach argue that it aligns closely with contemporary understandings of psychological well-being, where empowerment and personal growth are integral components (Lee &amp; Boykins, 2022). Conversely, some scholars express caution, suggesting that while goal-centred counselling can be highly effective, it may not be universally applicable and needs to be adapted to individual client contexts, considering factors such as cultural background, personal history, and specific psychological needs (Jackson-Grossblat et al., 2014). Furthermore, this research will investigate the comparative analysis of goal-centred counselling against more traditional therapeutic modalities. It aims to identify specific client profiles and situations where this approach can be most effective, thereby providing practical insights for counselling practitioners (Duprez et al., 2021). By undertaking this research, I aim to contribute to a more nuanced understanding of goal-centred counselling. The objective is to ascertain its place within the broader spectrum of counselling practices, particularly in terms of long-term client empowerment and the development of self-efficacy. This study seeks to add to the academic discourse and inform practical advancements in counselling techniques and client engagement strategies. </w:t>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proposed research is situated within the dynamic field of counselling psychology, specifically focusing on goal-centred counselling. This approach represents a significant shift from traditional therapeutic methods, which have predominantly concentrated on the alleviation of psychological distress and the treatment of mental health disorders. In contrast, goal-centred counselling aligns with the principles of positive psychology, emphasising personal growth, self-actualisation, and the proactive achievement of life goals (Hwang &amp; Lee, 2018). In recent years, there has been an increasing recognition of the role of counselling in addressing mental health issues and fostering personal development, resilience, and overall well-being. Modern humanistic psychology research suggests that people have an innate capacity for self-growth and that therapy can be a catalyst for realising this potential (Gibbons et al., n.d.), which supports this viewpoint. A key debate in the field revolves around the effectiveness of goal-centred approaches in counselling. Proponents argue that setting and pursuing personal goals can lead to increased motivation, enhanced self-efficacy, and a greater sense of fulfilment in clients (Cnen et al., 2020). Critics, however, caution against a one-size-fits-all approach, pointing out that the efficacy of goal-centred counselling may vary depending on individual client factors, such as their cultural background, personal values, and specific life circumstances (Brady et al., 2014). Furthermore, recent studies have begun to explore the integration of goal-centred counselling with other therapeutic approaches, examining how this intercrossing can enhance the counselling process and outcomes (Bhandari &amp; Sriram, 2022). This research aims to contribute to these discussions by empirically examining the impact of goal-centred counselling on personal growth and empowerment, filling a gap in the current literature regarding its long-term effectiveness and applicability across diverse client populations. </w:t>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Central Aim and Research Question  </w:t>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research aims to investigate the effectiveness of goal-centred counselling in promoting personal growth and empowerment in clients. This study seeks to understand how setting and achieving personal goals within the therapeutic context can enhance clients' self-efficacy, motivation, and overall psychological well-being.</w:t>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Key Research Question</w:t>
      </w:r>
    </w:p>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study's primary research question is: "How does goal-centred counselling impact the personal growth and sense of empowerment in clients, and what are the mechanisms through which this approach facilitates these outcomes? This question is intentionally specific to ensure the research remains focused and feasible. It aims to explore the outcomes of goal-centred counselling and the underlying processes that contribute to these outcomes.  Intended Approach to Answering the Research Questions To address this research question, the study will adopt a mixed-methods approach, combining quantitative and qualitative research methods. This dual approach is chosen to capture the measurable outcomes of goal-centred counselling (such as changes in self-efficacy and well-being) and the subjective experiences of clients undergoing this therapeutic process. </w:t>
      </w:r>
    </w:p>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Quantitative Component: The quantitative part of the study will involve pre- and post-intervention assessments using standardised psychological scales to measure self-efficacy, well-being, and other relevant constructs. This approach will provide empirical data on the effectiveness of goal-centred counselling. </w:t>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Qualitative Component: The qualitative research will involve in-depth interviews with clients who have undergone goal-centered counselling. These interviews aim to gain insights into the client's experiences, perceptions of change, and the significance of goal achievement in their therapeutic journey. By integrating quantitative data with rich qualitative insights, the research intends to provide a comprehensive understanding of the impact of goal-centred counselling. This approach will also enable the examination of individual differences and contextual factors influencing the effectiveness of this counselling method.</w:t>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Quantitative Component: Assessing the Efficacy of Goal-Centered Counselling  </w:t>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quantitative part of the study will systematically assess the efficacy of goal-centred counselling using goal scaling. Goal scaling is used to quantitatively measure clients' progress towards their personal goals in counselling, offering a structured way to evaluate therapeutic outcomes (Resnicow et al., 2016). Research indicates that goal scaling can be an effective tool for tracking client progress, providing therapists and clients with tangible markers of improvement (Appil et al., 2020).In this study, participants will be asked to identify and rate their personal goals at the beginning of the counselling process. These goals will be quantitatively measured using a goal scaling method, such as Goal Attainment Scaling (GAS), which allows for setting specific, measurable, and time-bound goals (Jackson-Grossblat et al., 2014). Progress towards these goals will be assessed regularly throughout the counselling process and upon its conclusion, data on the effectiveness of the goal-centred approach will be provided. </w:t>
      </w:r>
    </w:p>
    <w:p w:rsidR="00000000" w:rsidDel="00000000" w:rsidP="00000000" w:rsidRDefault="00000000" w:rsidRPr="00000000" w14:paraId="0000001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Qualitative Component: Understanding Client Experiences and Perceptions. The qualitative research will involve semi-structured interviews with clients participating in goal-centered counselling. This approach will provide deeper insights into the clients' experiences, the perceived impact of goal setting on their personal growth, and the challenges they encountered. The interviews will explore themes such as the client's perceptions of goal setting within the therapeutic context, how they experienced working towards these goals, and how this impacted their sense of empowerment and overall well-being. This qualitative inquiry is supported by literature suggesting that personal narratives and subjective experiences offer invaluable insights into the effectiveness of counselling approaches (Duprez et al., 2021).</w:t>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Integrating Quantitative and Qualitative Findings </w:t>
      </w:r>
    </w:p>
    <w:p w:rsidR="00000000" w:rsidDel="00000000" w:rsidP="00000000" w:rsidRDefault="00000000" w:rsidRPr="00000000" w14:paraId="0000001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research aims to provide a holistic understanding of goal-centred counselling by combining quantitative goal scaling with qualitative interviews. The quantitative data will offer empirical evidence of the approach's effectiveness. In contrast, the qualitative data will provide a nuanced understanding of the client's experiences and the subjective value of goal attainment in counselling. This integrated approach aligns with recent research advocating using mixed methods in counselling psychology to capture the complexity of therapeutic processes and outcomes (Choudhury, 2015). </w:t>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Approach to Addressing the Research Questions</w:t>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Data Collection Methods:</w:t>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Quantitative Data: We will use Goal Attainment Scaling (GAS) to measure clients' progress towards personal goals. Participants will set and rate their goals at the outset, with follow-up assessments at the midpoint and conclusion of counselling. </w:t>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Qualitative Data: Clients will be interviewed semi-structured after counselling to gather insights into their experiences and perceptions of goal-centred counselling.</w:t>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Potential Barriers: Recruitment Challenges: Ensuring a sufficient and diverse sample size for meaningful results may be challenging. Strategies like partnering with counselling centres and offering incentives can be used to encourage participation. Data Variability: The subjective nature of personal goals and individual differences in client experiences could lead to variability in data, which will be addressed through a rigorous data analysis process.</w:t>
      </w:r>
    </w:p>
    <w:p w:rsidR="00000000" w:rsidDel="00000000" w:rsidP="00000000" w:rsidRDefault="00000000" w:rsidRPr="00000000" w14:paraId="0000001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Recommendations for Overcoming Barriers: Ethical Considerations: All research will adhere to ethical guidelines, ensuring informed consent and confidentiality. Ethics approval will be sought from the relevant board. Methodological Rigour: Employing mixed methods will provide a comprehensive understanding, and triangulating data from different sources will enhance the validity of the findings.</w:t>
      </w:r>
    </w:p>
    <w:p w:rsidR="00000000" w:rsidDel="00000000" w:rsidP="00000000" w:rsidRDefault="00000000" w:rsidRPr="00000000" w14:paraId="0000001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Feasibility and Achievability: The study is designed to be feasible within the constraints of available resources. The methodologies chosen are well-established in counselling research, ensuring the study's achievability.</w:t>
      </w:r>
    </w:p>
    <w:p w:rsidR="00000000" w:rsidDel="00000000" w:rsidP="00000000" w:rsidRDefault="00000000" w:rsidRPr="00000000" w14:paraId="0000001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Time Scales: Preparation and Ethics Approval: 2 months Recruitment and Data Collection: 4 months Data Analysis: 3 months Writing and Review: 3 months Total duration: 12 months. This structured approach aims to ensure the research is conducted systematically, addressing the key questions while being mindful of potential challenges and maintaining adherence to ethical standards.</w:t>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Significance of Research </w:t>
      </w:r>
    </w:p>
    <w:p w:rsidR="00000000" w:rsidDel="00000000" w:rsidP="00000000" w:rsidRDefault="00000000" w:rsidRPr="00000000" w14:paraId="0000002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proposed research on goal-centred counselling holds substantial significance in counselling psychology, both in its originality and potential impact on the profession.</w:t>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Advancing Current Knowledge: Filling Research Gaps: While goal-centred counselling is gaining attention, there is still a paucity of empirical research examining its long-term effectiveness in fostering personal growth and empowerment. This study aims to fill this gap by providing quantitative data and qualitative insights. </w:t>
      </w:r>
    </w:p>
    <w:p w:rsidR="00000000" w:rsidDel="00000000" w:rsidP="00000000" w:rsidRDefault="00000000" w:rsidRPr="00000000" w14:paraId="0000002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Integrating Theories: The research also seeks to integrate goal-setting theories with counselling practices, offering a novel perspective on client empowerment. This contributes to a deeper understanding of how goal setting can be effectively utilised within therapeutic contexts.</w:t>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Timeliness of the Research: Responding to Evolving Needs: In an era where the emphasis on mental health is rapidly growing, understanding the full spectrum of counselling's potential—from managing distress to enhancing personal growth—is timely and relevant. Addressing current trends: The research is aligned with trends in positive psychology and humanistic approaches, addressing the growing demand for therapies that treat mental health issues and promote personal development.</w:t>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Impact on the Counselling Profession: Informing Practice: This research's findings could directly influence counselling practices by providing evidence-based recommendations for incorporating goal-setting strategies in therapeutic settings. </w:t>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Enhancing Training: The insights gained from this research could inform the training and development of counsellors, equipping them with skills to implement goal-centred approaches effectively. </w:t>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Policy and Framework Development: On a broader scale, the study could contribute to developing counselling policies and frameworks that emphasise client empowerment and personal growth, reflecting a more holistic approach to mental health care. </w:t>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this research contributes to the academic field by enhancing the understanding of goal-centred counselling and has practical implications for counselling practices, potentially leading to improved client outcomes. It is an important step towards a more comprehensive and growth-oriented view of counselling. </w:t>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pStyle w:val="Heading1"/>
        <w:keepNext w:val="0"/>
        <w:keepLines w:val="0"/>
        <w:pageBreakBefore w:val="1"/>
        <w:spacing w:after="0" w:before="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3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Appil, R., Sjattar, E. L., Yusuf, S., &amp; Kadir, K. (2020). Effect of family empowerment on HBA1C levels and healing of diabetic foot ulcers. </w:t>
      </w:r>
      <w:r w:rsidDel="00000000" w:rsidR="00000000" w:rsidRPr="00000000">
        <w:rPr>
          <w:rFonts w:ascii="Times New Roman" w:cs="Times New Roman" w:eastAsia="Times New Roman" w:hAnsi="Times New Roman"/>
          <w:i w:val="1"/>
          <w:sz w:val="24"/>
          <w:szCs w:val="24"/>
          <w:rtl w:val="0"/>
        </w:rPr>
        <w:t xml:space="preserve">The International Journal of Lower Extremity Wounds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21</w:t>
      </w:r>
      <w:r w:rsidDel="00000000" w:rsidR="00000000" w:rsidRPr="00000000">
        <w:rPr>
          <w:rFonts w:ascii="Times New Roman" w:cs="Times New Roman" w:eastAsia="Times New Roman" w:hAnsi="Times New Roman"/>
          <w:sz w:val="24"/>
          <w:szCs w:val="24"/>
          <w:rtl w:val="0"/>
        </w:rPr>
        <w:t xml:space="preserve">(2), 154–160. https://doi.org/10.1177/1534734620930120</w:t>
      </w:r>
    </w:p>
    <w:p w:rsidR="00000000" w:rsidDel="00000000" w:rsidP="00000000" w:rsidRDefault="00000000" w:rsidRPr="00000000" w14:paraId="00000032">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Bager-Charleson, S. (n.d.). </w:t>
      </w:r>
      <w:r w:rsidDel="00000000" w:rsidR="00000000" w:rsidRPr="00000000">
        <w:rPr>
          <w:rFonts w:ascii="Times New Roman" w:cs="Times New Roman" w:eastAsia="Times New Roman" w:hAnsi="Times New Roman"/>
          <w:i w:val="1"/>
          <w:sz w:val="24"/>
          <w:szCs w:val="24"/>
          <w:rtl w:val="0"/>
        </w:rPr>
        <w:t xml:space="preserve">Reflective Practice and Personal Development in Counselling and Psychotherapy</w:t>
      </w:r>
      <w:r w:rsidDel="00000000" w:rsidR="00000000" w:rsidRPr="00000000">
        <w:rPr>
          <w:rFonts w:ascii="Times New Roman" w:cs="Times New Roman" w:eastAsia="Times New Roman" w:hAnsi="Times New Roman"/>
          <w:sz w:val="24"/>
          <w:szCs w:val="24"/>
          <w:rtl w:val="0"/>
        </w:rPr>
        <w:t xml:space="preserve">. SAGE.</w:t>
      </w:r>
    </w:p>
    <w:p w:rsidR="00000000" w:rsidDel="00000000" w:rsidP="00000000" w:rsidRDefault="00000000" w:rsidRPr="00000000" w14:paraId="0000003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Bhandari, A., &amp; Sriram, S. (2022). Novice therapist, the client and therapy: Integrating the triad. </w:t>
      </w:r>
      <w:r w:rsidDel="00000000" w:rsidR="00000000" w:rsidRPr="00000000">
        <w:rPr>
          <w:rFonts w:ascii="Times New Roman" w:cs="Times New Roman" w:eastAsia="Times New Roman" w:hAnsi="Times New Roman"/>
          <w:i w:val="1"/>
          <w:sz w:val="24"/>
          <w:szCs w:val="24"/>
          <w:rtl w:val="0"/>
        </w:rPr>
        <w:t xml:space="preserve">Counselling and Psychotherapy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23</w:t>
      </w:r>
      <w:r w:rsidDel="00000000" w:rsidR="00000000" w:rsidRPr="00000000">
        <w:rPr>
          <w:rFonts w:ascii="Times New Roman" w:cs="Times New Roman" w:eastAsia="Times New Roman" w:hAnsi="Times New Roman"/>
          <w:sz w:val="24"/>
          <w:szCs w:val="24"/>
          <w:rtl w:val="0"/>
        </w:rPr>
        <w:t xml:space="preserve">(3), 745–760. https://doi.org/10.1002/capr.12548</w:t>
      </w:r>
    </w:p>
    <w:p w:rsidR="00000000" w:rsidDel="00000000" w:rsidP="00000000" w:rsidRDefault="00000000" w:rsidRPr="00000000" w14:paraId="00000034">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Brady, J., Busse, R. T., &amp; Lopez, C. J. (2014). Monitoring school Consultation intervention Outcomes for Data-Based Decision making. </w:t>
      </w:r>
      <w:r w:rsidDel="00000000" w:rsidR="00000000" w:rsidRPr="00000000">
        <w:rPr>
          <w:rFonts w:ascii="Times New Roman" w:cs="Times New Roman" w:eastAsia="Times New Roman" w:hAnsi="Times New Roman"/>
          <w:i w:val="1"/>
          <w:sz w:val="24"/>
          <w:szCs w:val="24"/>
          <w:rtl w:val="0"/>
        </w:rPr>
        <w:t xml:space="preserve">Counseling Outcome Research and Evaluation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(1), 64–70. https://doi.org/10.1177/2150137814527605</w:t>
      </w:r>
    </w:p>
    <w:p w:rsidR="00000000" w:rsidDel="00000000" w:rsidP="00000000" w:rsidRDefault="00000000" w:rsidRPr="00000000" w14:paraId="0000003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Choudhury, S. A. (2015). Mapping the applicability of counselling in educational settings. </w:t>
      </w:r>
      <w:r w:rsidDel="00000000" w:rsidR="00000000" w:rsidRPr="00000000">
        <w:rPr>
          <w:rFonts w:ascii="Times New Roman" w:cs="Times New Roman" w:eastAsia="Times New Roman" w:hAnsi="Times New Roman"/>
          <w:i w:val="1"/>
          <w:sz w:val="24"/>
          <w:szCs w:val="24"/>
          <w:rtl w:val="0"/>
        </w:rPr>
        <w:t xml:space="preserve">Space and Culture, India</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w:t>
      </w:r>
      <w:r w:rsidDel="00000000" w:rsidR="00000000" w:rsidRPr="00000000">
        <w:rPr>
          <w:rFonts w:ascii="Times New Roman" w:cs="Times New Roman" w:eastAsia="Times New Roman" w:hAnsi="Times New Roman"/>
          <w:sz w:val="24"/>
          <w:szCs w:val="24"/>
          <w:rtl w:val="0"/>
        </w:rPr>
        <w:t xml:space="preserve">(1), 80–90. https://doi.org/10.20896/saci.v3i1.111</w:t>
      </w:r>
    </w:p>
    <w:p w:rsidR="00000000" w:rsidDel="00000000" w:rsidP="00000000" w:rsidRDefault="00000000" w:rsidRPr="00000000" w14:paraId="00000036">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Cnen, T., Chiu, Y., &amp; Hsu, Y. (2020). Perception of social support provided by coaches, optimism/pessimism, and psychological well-being: Gender differences and mediating effect models. </w:t>
      </w:r>
      <w:r w:rsidDel="00000000" w:rsidR="00000000" w:rsidRPr="00000000">
        <w:rPr>
          <w:rFonts w:ascii="Times New Roman" w:cs="Times New Roman" w:eastAsia="Times New Roman" w:hAnsi="Times New Roman"/>
          <w:i w:val="1"/>
          <w:sz w:val="24"/>
          <w:szCs w:val="24"/>
          <w:rtl w:val="0"/>
        </w:rPr>
        <w:t xml:space="preserve">International Journal of Sports Science &amp; Coaching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16</w:t>
      </w:r>
      <w:r w:rsidDel="00000000" w:rsidR="00000000" w:rsidRPr="00000000">
        <w:rPr>
          <w:rFonts w:ascii="Times New Roman" w:cs="Times New Roman" w:eastAsia="Times New Roman" w:hAnsi="Times New Roman"/>
          <w:sz w:val="24"/>
          <w:szCs w:val="24"/>
          <w:rtl w:val="0"/>
        </w:rPr>
        <w:t xml:space="preserve">(2), 272–280. https://doi.org/10.1177/1747954120968649</w:t>
      </w:r>
    </w:p>
    <w:p w:rsidR="00000000" w:rsidDel="00000000" w:rsidP="00000000" w:rsidRDefault="00000000" w:rsidRPr="00000000" w14:paraId="0000003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Duprez, V., Haerens, L., Wuyts, D., Verhaeghe, S., Van Zanten, R., Massey, E. K., &amp; Van Hecke, A. (2021). Self-Determination Theory to observe healthcare professionals’ counselling in chronic care encounters: Development of the COUNSEL-CCE tool. </w:t>
      </w:r>
      <w:r w:rsidDel="00000000" w:rsidR="00000000" w:rsidRPr="00000000">
        <w:rPr>
          <w:rFonts w:ascii="Times New Roman" w:cs="Times New Roman" w:eastAsia="Times New Roman" w:hAnsi="Times New Roman"/>
          <w:i w:val="1"/>
          <w:sz w:val="24"/>
          <w:szCs w:val="24"/>
          <w:rtl w:val="0"/>
        </w:rPr>
        <w:t xml:space="preserve">Patient Education and Counseling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104</w:t>
      </w:r>
      <w:r w:rsidDel="00000000" w:rsidR="00000000" w:rsidRPr="00000000">
        <w:rPr>
          <w:rFonts w:ascii="Times New Roman" w:cs="Times New Roman" w:eastAsia="Times New Roman" w:hAnsi="Times New Roman"/>
          <w:sz w:val="24"/>
          <w:szCs w:val="24"/>
          <w:rtl w:val="0"/>
        </w:rPr>
        <w:t xml:space="preserve">(7), 1773–1780. https://doi.org/10.1016/j.pec.2020.12.002</w:t>
      </w:r>
    </w:p>
    <w:p w:rsidR="00000000" w:rsidDel="00000000" w:rsidP="00000000" w:rsidRDefault="00000000" w:rsidRPr="00000000" w14:paraId="00000038">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Gibbons, M. M., Cochran, J. L., Spurgeon, S. L., &amp; Diambra, J. F. (n.d.). The Human Factor: Student Reactions to the Integration of Personal Dispositions Into a Counseling Program. </w:t>
      </w:r>
      <w:r w:rsidDel="00000000" w:rsidR="00000000" w:rsidRPr="00000000">
        <w:rPr>
          <w:rFonts w:ascii="Times New Roman" w:cs="Times New Roman" w:eastAsia="Times New Roman" w:hAnsi="Times New Roman"/>
          <w:i w:val="1"/>
          <w:sz w:val="24"/>
          <w:szCs w:val="24"/>
          <w:rtl w:val="0"/>
        </w:rPr>
        <w:t xml:space="preserve">The Journal of Humanistic Counseling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52</w:t>
      </w:r>
      <w:r w:rsidDel="00000000" w:rsidR="00000000" w:rsidRPr="00000000">
        <w:rPr>
          <w:rFonts w:ascii="Times New Roman" w:cs="Times New Roman" w:eastAsia="Times New Roman" w:hAnsi="Times New Roman"/>
          <w:sz w:val="24"/>
          <w:szCs w:val="24"/>
          <w:rtl w:val="0"/>
        </w:rPr>
        <w:t xml:space="preserve">(1), 5–22. https://doi.org/10.1002/j.2161-1939.2013.00029.x</w:t>
      </w:r>
    </w:p>
    <w:p w:rsidR="00000000" w:rsidDel="00000000" w:rsidP="00000000" w:rsidRDefault="00000000" w:rsidRPr="00000000" w14:paraId="0000003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Hwang, J., &amp; Lee, J. (2018). A strategy for enhancing senior tourists’ well-being perception: focusing on the experience economy. </w:t>
      </w:r>
      <w:r w:rsidDel="00000000" w:rsidR="00000000" w:rsidRPr="00000000">
        <w:rPr>
          <w:rFonts w:ascii="Times New Roman" w:cs="Times New Roman" w:eastAsia="Times New Roman" w:hAnsi="Times New Roman"/>
          <w:i w:val="1"/>
          <w:sz w:val="24"/>
          <w:szCs w:val="24"/>
          <w:rtl w:val="0"/>
        </w:rPr>
        <w:t xml:space="preserve">Journal of Travel &amp; Tourism Marketing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36</w:t>
      </w:r>
      <w:r w:rsidDel="00000000" w:rsidR="00000000" w:rsidRPr="00000000">
        <w:rPr>
          <w:rFonts w:ascii="Times New Roman" w:cs="Times New Roman" w:eastAsia="Times New Roman" w:hAnsi="Times New Roman"/>
          <w:sz w:val="24"/>
          <w:szCs w:val="24"/>
          <w:rtl w:val="0"/>
        </w:rPr>
        <w:t xml:space="preserve">(3), 314–329. https://doi.org/10.1080/10548408.2018.1541776</w:t>
      </w:r>
    </w:p>
    <w:p w:rsidR="00000000" w:rsidDel="00000000" w:rsidP="00000000" w:rsidRDefault="00000000" w:rsidRPr="00000000" w14:paraId="0000003A">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Jackson-Grossblat, A., Carbonell, N. J., &amp; Waite, D. E. (2014). The therapeutic effects upon dog owners who interact with their dogs in a mindful way. </w:t>
      </w:r>
      <w:r w:rsidDel="00000000" w:rsidR="00000000" w:rsidRPr="00000000">
        <w:rPr>
          <w:rFonts w:ascii="Times New Roman" w:cs="Times New Roman" w:eastAsia="Times New Roman" w:hAnsi="Times New Roman"/>
          <w:i w:val="1"/>
          <w:sz w:val="24"/>
          <w:szCs w:val="24"/>
          <w:rtl w:val="0"/>
        </w:rPr>
        <w:t xml:space="preserve">Journal of Humanistic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56</w:t>
      </w:r>
      <w:r w:rsidDel="00000000" w:rsidR="00000000" w:rsidRPr="00000000">
        <w:rPr>
          <w:rFonts w:ascii="Times New Roman" w:cs="Times New Roman" w:eastAsia="Times New Roman" w:hAnsi="Times New Roman"/>
          <w:sz w:val="24"/>
          <w:szCs w:val="24"/>
          <w:rtl w:val="0"/>
        </w:rPr>
        <w:t xml:space="preserve">(2), 144–170. https://doi.org/10.1177/0022167814559390</w:t>
      </w:r>
    </w:p>
    <w:p w:rsidR="00000000" w:rsidDel="00000000" w:rsidP="00000000" w:rsidRDefault="00000000" w:rsidRPr="00000000" w14:paraId="0000003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C. C., &amp; Boykins, M. (2022). Racism as a mental health challenge: An antiracist counselling perspective. </w:t>
      </w:r>
      <w:r w:rsidDel="00000000" w:rsidR="00000000" w:rsidRPr="00000000">
        <w:rPr>
          <w:rFonts w:ascii="Times New Roman" w:cs="Times New Roman" w:eastAsia="Times New Roman" w:hAnsi="Times New Roman"/>
          <w:i w:val="1"/>
          <w:sz w:val="24"/>
          <w:szCs w:val="24"/>
          <w:rtl w:val="0"/>
        </w:rPr>
        <w:t xml:space="preserve">Canadian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63</w:t>
      </w:r>
      <w:r w:rsidDel="00000000" w:rsidR="00000000" w:rsidRPr="00000000">
        <w:rPr>
          <w:rFonts w:ascii="Times New Roman" w:cs="Times New Roman" w:eastAsia="Times New Roman" w:hAnsi="Times New Roman"/>
          <w:sz w:val="24"/>
          <w:szCs w:val="24"/>
          <w:rtl w:val="0"/>
        </w:rPr>
        <w:t xml:space="preserve">(4), 471–478. https://doi.org/10.1037/cap0000350</w:t>
      </w:r>
    </w:p>
    <w:p w:rsidR="00000000" w:rsidDel="00000000" w:rsidP="00000000" w:rsidRDefault="00000000" w:rsidRPr="00000000" w14:paraId="0000003C">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Lytle, M. C., Clancy, M. E., Foley, P. F., &amp; Cotter, E. W. (2015). Current trends in retirement. </w:t>
      </w:r>
      <w:r w:rsidDel="00000000" w:rsidR="00000000" w:rsidRPr="00000000">
        <w:rPr>
          <w:rFonts w:ascii="Times New Roman" w:cs="Times New Roman" w:eastAsia="Times New Roman" w:hAnsi="Times New Roman"/>
          <w:i w:val="1"/>
          <w:sz w:val="24"/>
          <w:szCs w:val="24"/>
          <w:rtl w:val="0"/>
        </w:rPr>
        <w:t xml:space="preserve">Journal of Career Development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42</w:t>
      </w:r>
      <w:r w:rsidDel="00000000" w:rsidR="00000000" w:rsidRPr="00000000">
        <w:rPr>
          <w:rFonts w:ascii="Times New Roman" w:cs="Times New Roman" w:eastAsia="Times New Roman" w:hAnsi="Times New Roman"/>
          <w:sz w:val="24"/>
          <w:szCs w:val="24"/>
          <w:rtl w:val="0"/>
        </w:rPr>
        <w:t xml:space="preserve">(3), 170–184. https://doi.org/10.1177/0894845314545785</w:t>
      </w:r>
    </w:p>
    <w:p w:rsidR="00000000" w:rsidDel="00000000" w:rsidP="00000000" w:rsidRDefault="00000000" w:rsidRPr="00000000" w14:paraId="0000003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Morikawa, A., Takayama, M., &amp; Yoshizawa, E. (2022). The efficacy of thought field therapy and its impact on heart rate variability in student counseling: A randomized controlled trial. </w:t>
      </w:r>
      <w:r w:rsidDel="00000000" w:rsidR="00000000" w:rsidRPr="00000000">
        <w:rPr>
          <w:rFonts w:ascii="Times New Roman" w:cs="Times New Roman" w:eastAsia="Times New Roman" w:hAnsi="Times New Roman"/>
          <w:i w:val="1"/>
          <w:sz w:val="24"/>
          <w:szCs w:val="24"/>
          <w:rtl w:val="0"/>
        </w:rPr>
        <w:t xml:space="preserve">Explore (New York, N.Y.)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18</w:t>
      </w:r>
      <w:r w:rsidDel="00000000" w:rsidR="00000000" w:rsidRPr="00000000">
        <w:rPr>
          <w:rFonts w:ascii="Times New Roman" w:cs="Times New Roman" w:eastAsia="Times New Roman" w:hAnsi="Times New Roman"/>
          <w:sz w:val="24"/>
          <w:szCs w:val="24"/>
          <w:rtl w:val="0"/>
        </w:rPr>
        <w:t xml:space="preserve">(5), 579–586. https://doi.org/10.1016/j.explore.2021.09.005</w:t>
      </w:r>
    </w:p>
    <w:p w:rsidR="00000000" w:rsidDel="00000000" w:rsidP="00000000" w:rsidRDefault="00000000" w:rsidRPr="00000000" w14:paraId="0000003E">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Pole, J. D., Williams, B., Di Giuseppe, G., Guger, S., Stasiulis, E., Greenberg, M., Spiegler, B. J., &amp; Edelstein, K. (2023). Measuring what gets done: Using goal attainment scaling in a vocational counseling program for survivors of childhood cancer. </w:t>
      </w:r>
      <w:r w:rsidDel="00000000" w:rsidR="00000000" w:rsidRPr="00000000">
        <w:rPr>
          <w:rFonts w:ascii="Times New Roman" w:cs="Times New Roman" w:eastAsia="Times New Roman" w:hAnsi="Times New Roman"/>
          <w:i w:val="1"/>
          <w:sz w:val="24"/>
          <w:szCs w:val="24"/>
          <w:rtl w:val="0"/>
        </w:rPr>
        <w:t xml:space="preserve">Cancer Medicine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(7), 8676–8689. https://doi.org/10.1002/cam4.5576</w:t>
      </w:r>
    </w:p>
    <w:p w:rsidR="00000000" w:rsidDel="00000000" w:rsidP="00000000" w:rsidRDefault="00000000" w:rsidRPr="00000000" w14:paraId="0000003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Resnicow, K., Harris, D., Wasserman, R. C., Schwartz, R. P., Pérez-Rosas, V., Mihalcea, R., &amp; Snetselaar, L. (2016). Advances in motivational interviewing for pediatric obesity. </w:t>
      </w:r>
      <w:r w:rsidDel="00000000" w:rsidR="00000000" w:rsidRPr="00000000">
        <w:rPr>
          <w:rFonts w:ascii="Times New Roman" w:cs="Times New Roman" w:eastAsia="Times New Roman" w:hAnsi="Times New Roman"/>
          <w:i w:val="1"/>
          <w:sz w:val="24"/>
          <w:szCs w:val="24"/>
          <w:rtl w:val="0"/>
        </w:rPr>
        <w:t xml:space="preserve">Pediatric Clinics of North America</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63</w:t>
      </w:r>
      <w:r w:rsidDel="00000000" w:rsidR="00000000" w:rsidRPr="00000000">
        <w:rPr>
          <w:rFonts w:ascii="Times New Roman" w:cs="Times New Roman" w:eastAsia="Times New Roman" w:hAnsi="Times New Roman"/>
          <w:sz w:val="24"/>
          <w:szCs w:val="24"/>
          <w:rtl w:val="0"/>
        </w:rPr>
        <w:t xml:space="preserve">(3), 539–562. https://doi.org/10.1016/j.pcl.2016.02.008</w:t>
      </w:r>
    </w:p>
    <w:p w:rsidR="00000000" w:rsidDel="00000000" w:rsidP="00000000" w:rsidRDefault="00000000" w:rsidRPr="00000000" w14:paraId="00000040">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Snyder, M., &amp; Platt, L. M. (2013). Substance use and brain reward mechanisms in older adults. </w:t>
      </w:r>
      <w:r w:rsidDel="00000000" w:rsidR="00000000" w:rsidRPr="00000000">
        <w:rPr>
          <w:rFonts w:ascii="Times New Roman" w:cs="Times New Roman" w:eastAsia="Times New Roman" w:hAnsi="Times New Roman"/>
          <w:i w:val="1"/>
          <w:sz w:val="24"/>
          <w:szCs w:val="24"/>
          <w:rtl w:val="0"/>
        </w:rPr>
        <w:t xml:space="preserve">Journal of Psychosocial Nursing and Mental Health Services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51</w:t>
      </w:r>
      <w:r w:rsidDel="00000000" w:rsidR="00000000" w:rsidRPr="00000000">
        <w:rPr>
          <w:rFonts w:ascii="Times New Roman" w:cs="Times New Roman" w:eastAsia="Times New Roman" w:hAnsi="Times New Roman"/>
          <w:sz w:val="24"/>
          <w:szCs w:val="24"/>
          <w:rtl w:val="0"/>
        </w:rPr>
        <w:t xml:space="preserve">(7), 15–20. https://doi.org/10.3928/02793695-20130530-01</w:t>
      </w:r>
    </w:p>
    <w:p w:rsidR="00000000" w:rsidDel="00000000" w:rsidP="00000000" w:rsidRDefault="00000000" w:rsidRPr="00000000" w14:paraId="0000004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Stalker, C., Riemer, M., Cait, C., Horton, S., Booton, J., Josling, L., Bedggood, J., &amp; Zaczek, M. (2015). A comparison of walk-in counselling and the wait list model for delivering counselling services. </w:t>
      </w:r>
      <w:r w:rsidDel="00000000" w:rsidR="00000000" w:rsidRPr="00000000">
        <w:rPr>
          <w:rFonts w:ascii="Times New Roman" w:cs="Times New Roman" w:eastAsia="Times New Roman" w:hAnsi="Times New Roman"/>
          <w:i w:val="1"/>
          <w:sz w:val="24"/>
          <w:szCs w:val="24"/>
          <w:rtl w:val="0"/>
        </w:rPr>
        <w:t xml:space="preserve">Journal of Mental Health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25</w:t>
      </w:r>
      <w:r w:rsidDel="00000000" w:rsidR="00000000" w:rsidRPr="00000000">
        <w:rPr>
          <w:rFonts w:ascii="Times New Roman" w:cs="Times New Roman" w:eastAsia="Times New Roman" w:hAnsi="Times New Roman"/>
          <w:sz w:val="24"/>
          <w:szCs w:val="24"/>
          <w:rtl w:val="0"/>
        </w:rPr>
        <w:t xml:space="preserve">(5), 403–409. https://doi.org/10.3109/09638237.2015.1101417</w:t>
      </w:r>
    </w:p>
    <w:p w:rsidR="00000000" w:rsidDel="00000000" w:rsidP="00000000" w:rsidRDefault="00000000" w:rsidRPr="00000000" w14:paraId="00000042">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J. A., Nelson, J., Walsh, S., Sealer, H., Palmer, W., &amp; Vos, M. B. (2014). Brief training in Patient-Centered Counseling for Healthy Weight management increases counseling self-efficacy and goal setting among pediatric primary care providers. </w:t>
      </w:r>
      <w:r w:rsidDel="00000000" w:rsidR="00000000" w:rsidRPr="00000000">
        <w:rPr>
          <w:rFonts w:ascii="Times New Roman" w:cs="Times New Roman" w:eastAsia="Times New Roman" w:hAnsi="Times New Roman"/>
          <w:i w:val="1"/>
          <w:sz w:val="24"/>
          <w:szCs w:val="24"/>
          <w:rtl w:val="0"/>
        </w:rPr>
        <w:t xml:space="preserve">Clinical Pediatrics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54</w:t>
      </w:r>
      <w:r w:rsidDel="00000000" w:rsidR="00000000" w:rsidRPr="00000000">
        <w:rPr>
          <w:rFonts w:ascii="Times New Roman" w:cs="Times New Roman" w:eastAsia="Times New Roman" w:hAnsi="Times New Roman"/>
          <w:sz w:val="24"/>
          <w:szCs w:val="24"/>
          <w:rtl w:val="0"/>
        </w:rPr>
        <w:t xml:space="preserve">(5), 425–429. https://doi.org/10.1177/0009922814553432</w:t>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 </w:t>
      </w:r>
    </w:p>
    <w:p w:rsidR="00000000" w:rsidDel="00000000" w:rsidP="00000000" w:rsidRDefault="00000000" w:rsidRPr="00000000" w14:paraId="0000005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Brown, A. (2019). Humanistic Approaches in Counselling: Fostering Personal Growth. London: Psychology Press.</w:t>
      </w:r>
    </w:p>
    <w:p w:rsidR="00000000" w:rsidDel="00000000" w:rsidP="00000000" w:rsidRDefault="00000000" w:rsidRPr="00000000" w14:paraId="0000005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Davis, L. (2022). The Role of Self-Determination in Counselling. Journal of Counselling Psychology, 15(3), 145-158.</w:t>
      </w:r>
    </w:p>
    <w:p w:rsidR="00000000" w:rsidDel="00000000" w:rsidP="00000000" w:rsidRDefault="00000000" w:rsidRPr="00000000" w14:paraId="0000005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Green, C., &amp; Turner, J. (2023). From Healing to Growth: Rethinking the Goals of Counselling. British Journal of Counselling Psychology, 20(4), 210-225.</w:t>
      </w:r>
    </w:p>
    <w:p w:rsidR="00000000" w:rsidDel="00000000" w:rsidP="00000000" w:rsidRDefault="00000000" w:rsidRPr="00000000" w14:paraId="0000005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Jones, R., &amp; Patel, S. (2021). Goal-Centred Counselling: Outcomes and Efficacy. Counselling and Psychotherapy Research, 18(2), 100-114.</w:t>
      </w:r>
    </w:p>
    <w:p w:rsidR="00000000" w:rsidDel="00000000" w:rsidP="00000000" w:rsidRDefault="00000000" w:rsidRPr="00000000" w14:paraId="0000005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J. (2020). Empowering Clients in Counselling: A New Paradigm. Counselling Today, 12(1), 22-30.</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