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870548B" wp14:paraId="19D1D6E0" wp14:textId="15050AC5">
      <w:pPr>
        <w:rPr>
          <w:rFonts w:ascii="Arial" w:hAnsi="Arial" w:eastAsia="Arial" w:cs="Arial"/>
          <w:b w:val="0"/>
          <w:bCs w:val="0"/>
          <w:i w:val="0"/>
          <w:iCs w:val="0"/>
          <w:caps w:val="0"/>
          <w:smallCaps w:val="0"/>
          <w:noProof w:val="0"/>
          <w:color w:val="000000" w:themeColor="text1" w:themeTint="FF" w:themeShade="FF"/>
          <w:sz w:val="24"/>
          <w:szCs w:val="24"/>
          <w:lang w:val="en-GB"/>
        </w:rPr>
      </w:pPr>
      <w:r w:rsidR="50712C7A">
        <w:drawing>
          <wp:inline xmlns:wp14="http://schemas.microsoft.com/office/word/2010/wordprocessingDrawing" wp14:editId="67BDF3B0" wp14:anchorId="2A016FF9">
            <wp:extent cx="2781300" cy="1466850"/>
            <wp:effectExtent l="0" t="0" r="0" b="0"/>
            <wp:docPr id="796274994" name="drawing" title="Picture 109346342, Picture, Picture, Picture,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6274994" name="Picture 796274994"/>
                    <pic:cNvPicPr/>
                  </pic:nvPicPr>
                  <pic:blipFill>
                    <a:blip xmlns:r="http://schemas.openxmlformats.org/officeDocument/2006/relationships" r:embed="rId1143309337">
                      <a:extLst>
                        <a:ext uri="{28A0092B-C50C-407E-A947-70E740481C1C}">
                          <a14:useLocalDpi xmlns:a14="http://schemas.microsoft.com/office/drawing/2010/main"/>
                        </a:ext>
                      </a:extLst>
                    </a:blip>
                    <a:stretch>
                      <a:fillRect/>
                    </a:stretch>
                  </pic:blipFill>
                  <pic:spPr>
                    <a:xfrm>
                      <a:off x="0" y="0"/>
                      <a:ext cx="2781300" cy="1466850"/>
                    </a:xfrm>
                    <a:prstGeom prst="rect">
                      <a:avLst/>
                    </a:prstGeom>
                  </pic:spPr>
                </pic:pic>
              </a:graphicData>
            </a:graphic>
          </wp:inline>
        </w:drawing>
      </w:r>
    </w:p>
    <w:p xmlns:wp14="http://schemas.microsoft.com/office/word/2010/wordml" w:rsidP="5870548B" wp14:paraId="391D8002" wp14:textId="4532C900">
      <w:pPr>
        <w:rPr>
          <w:rFonts w:ascii="Arial" w:hAnsi="Arial" w:eastAsia="Arial" w:cs="Arial"/>
          <w:b w:val="0"/>
          <w:bCs w:val="0"/>
          <w:i w:val="0"/>
          <w:iCs w:val="0"/>
          <w:caps w:val="0"/>
          <w:smallCaps w:val="0"/>
          <w:noProof w:val="0"/>
          <w:color w:val="242424"/>
          <w:sz w:val="28"/>
          <w:szCs w:val="28"/>
          <w:lang w:val="en-GB"/>
        </w:rPr>
      </w:pPr>
    </w:p>
    <w:p xmlns:wp14="http://schemas.microsoft.com/office/word/2010/wordml" w:rsidP="5870548B" wp14:paraId="3AF5D9C0" wp14:textId="2EF7069A">
      <w:pPr>
        <w:rPr>
          <w:rFonts w:ascii="Arial" w:hAnsi="Arial" w:eastAsia="Arial" w:cs="Arial"/>
          <w:b w:val="0"/>
          <w:bCs w:val="0"/>
          <w:i w:val="0"/>
          <w:iCs w:val="0"/>
          <w:caps w:val="0"/>
          <w:smallCaps w:val="0"/>
          <w:noProof w:val="0"/>
          <w:color w:val="242424"/>
          <w:sz w:val="28"/>
          <w:szCs w:val="28"/>
          <w:lang w:val="en-GB"/>
        </w:rPr>
      </w:pPr>
    </w:p>
    <w:p xmlns:wp14="http://schemas.microsoft.com/office/word/2010/wordml" w:rsidP="5870548B" wp14:paraId="39107932" wp14:textId="01BC3ABE">
      <w:pPr>
        <w:rPr>
          <w:rFonts w:ascii="Arial" w:hAnsi="Arial" w:eastAsia="Arial" w:cs="Arial"/>
          <w:b w:val="0"/>
          <w:bCs w:val="0"/>
          <w:i w:val="0"/>
          <w:iCs w:val="0"/>
          <w:caps w:val="0"/>
          <w:smallCaps w:val="0"/>
          <w:noProof w:val="0"/>
          <w:color w:val="242424"/>
          <w:sz w:val="28"/>
          <w:szCs w:val="28"/>
          <w:lang w:val="en-GB"/>
        </w:rPr>
      </w:pPr>
    </w:p>
    <w:p xmlns:wp14="http://schemas.microsoft.com/office/word/2010/wordml" w:rsidP="5870548B" wp14:paraId="0641868B" wp14:textId="01EA3FE2">
      <w:pPr>
        <w:rPr>
          <w:rFonts w:ascii="Arial" w:hAnsi="Arial" w:eastAsia="Arial" w:cs="Arial"/>
          <w:b w:val="0"/>
          <w:bCs w:val="0"/>
          <w:i w:val="0"/>
          <w:iCs w:val="0"/>
          <w:caps w:val="0"/>
          <w:smallCaps w:val="0"/>
          <w:noProof w:val="0"/>
          <w:color w:val="242424"/>
          <w:sz w:val="28"/>
          <w:szCs w:val="28"/>
          <w:lang w:val="en-GB"/>
        </w:rPr>
      </w:pPr>
    </w:p>
    <w:p xmlns:wp14="http://schemas.microsoft.com/office/word/2010/wordml" w:rsidP="5870548B" wp14:paraId="1F73A09F" wp14:textId="1AC0CAB6">
      <w:pPr>
        <w:rPr>
          <w:rFonts w:ascii="Arial" w:hAnsi="Arial" w:eastAsia="Arial" w:cs="Arial"/>
          <w:b w:val="0"/>
          <w:bCs w:val="0"/>
          <w:i w:val="0"/>
          <w:iCs w:val="0"/>
          <w:caps w:val="0"/>
          <w:smallCaps w:val="0"/>
          <w:noProof w:val="0"/>
          <w:color w:val="242424"/>
          <w:sz w:val="28"/>
          <w:szCs w:val="28"/>
          <w:lang w:val="en-GB"/>
        </w:rPr>
      </w:pPr>
    </w:p>
    <w:p xmlns:wp14="http://schemas.microsoft.com/office/word/2010/wordml" w:rsidP="5870548B" wp14:paraId="2FAC51FC" wp14:textId="25AA1350">
      <w:pPr>
        <w:spacing w:after="0" w:line="240"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r w:rsidRPr="5870548B" w:rsidR="50712C7A">
        <w:rPr>
          <w:rStyle w:val="normaltextrun"/>
          <w:rFonts w:ascii="Arial" w:hAnsi="Arial" w:eastAsia="Arial" w:cs="Arial"/>
          <w:b w:val="1"/>
          <w:bCs w:val="1"/>
          <w:i w:val="0"/>
          <w:iCs w:val="0"/>
          <w:caps w:val="0"/>
          <w:smallCaps w:val="0"/>
          <w:noProof w:val="0"/>
          <w:color w:val="000000" w:themeColor="text1" w:themeTint="FF" w:themeShade="FF"/>
          <w:sz w:val="40"/>
          <w:szCs w:val="40"/>
          <w:lang w:val="en-GB"/>
        </w:rPr>
        <w:t>Simon Haylett   </w:t>
      </w:r>
      <w:r w:rsidRPr="5870548B" w:rsidR="50712C7A">
        <w:rPr>
          <w:rStyle w:val="normaltextrun"/>
          <w:rFonts w:ascii="Arial" w:hAnsi="Arial" w:eastAsia="Arial" w:cs="Arial"/>
          <w:b w:val="1"/>
          <w:bCs w:val="1"/>
          <w:i w:val="0"/>
          <w:iCs w:val="0"/>
          <w:caps w:val="0"/>
          <w:smallCaps w:val="0"/>
          <w:noProof w:val="0"/>
          <w:color w:val="000000" w:themeColor="text1" w:themeTint="FF" w:themeShade="FF"/>
          <w:sz w:val="40"/>
          <w:szCs w:val="40"/>
          <w:lang w:val="en-GB"/>
        </w:rPr>
        <w:t>2321018</w:t>
      </w:r>
    </w:p>
    <w:p xmlns:wp14="http://schemas.microsoft.com/office/word/2010/wordml" w:rsidP="5870548B" wp14:paraId="689BB759" wp14:textId="610DE447">
      <w:pPr>
        <w:spacing w:before="120" w:beforeAutospacing="off" w:after="120" w:afterAutospacing="off"/>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59BBBC9F" w:rsidR="33BA9255">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59BBBC9F" w:rsidR="50712C7A">
        <w:rPr>
          <w:rFonts w:ascii="Arial" w:hAnsi="Arial" w:eastAsia="Arial" w:cs="Arial"/>
          <w:b w:val="1"/>
          <w:bCs w:val="1"/>
          <w:i w:val="0"/>
          <w:iCs w:val="0"/>
          <w:caps w:val="0"/>
          <w:smallCaps w:val="0"/>
          <w:noProof w:val="0"/>
          <w:color w:val="000000" w:themeColor="text1" w:themeTint="FF" w:themeShade="FF"/>
          <w:sz w:val="40"/>
          <w:szCs w:val="40"/>
          <w:lang w:val="en-GB"/>
        </w:rPr>
        <w:t>Psychological Classifications a</w:t>
      </w:r>
      <w:r w:rsidRPr="59BBBC9F" w:rsidR="50712C7A">
        <w:rPr>
          <w:rFonts w:ascii="Arial" w:hAnsi="Arial" w:eastAsia="Arial" w:cs="Arial"/>
          <w:b w:val="1"/>
          <w:bCs w:val="1"/>
          <w:i w:val="0"/>
          <w:iCs w:val="0"/>
          <w:caps w:val="0"/>
          <w:smallCaps w:val="0"/>
          <w:noProof w:val="0"/>
          <w:color w:val="000000" w:themeColor="text1" w:themeTint="FF" w:themeShade="FF"/>
          <w:sz w:val="40"/>
          <w:szCs w:val="40"/>
          <w:lang w:val="en-GB"/>
        </w:rPr>
        <w:t>nd Provisions</w:t>
      </w:r>
    </w:p>
    <w:p w:rsidR="217C6A58" w:rsidP="59BBBC9F" w:rsidRDefault="217C6A58" w14:paraId="64753979" w14:textId="73BE8BA5">
      <w:pPr>
        <w:spacing w:before="120" w:beforeAutospacing="off" w:after="120" w:afterAutospacing="off"/>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59BBBC9F" w:rsidR="217C6A58">
        <w:rPr>
          <w:rFonts w:ascii="Arial" w:hAnsi="Arial" w:eastAsia="Arial" w:cs="Arial"/>
          <w:b w:val="1"/>
          <w:bCs w:val="1"/>
          <w:i w:val="0"/>
          <w:iCs w:val="0"/>
          <w:caps w:val="0"/>
          <w:smallCaps w:val="0"/>
          <w:noProof w:val="0"/>
          <w:color w:val="000000" w:themeColor="text1" w:themeTint="FF" w:themeShade="FF"/>
          <w:sz w:val="40"/>
          <w:szCs w:val="40"/>
          <w:lang w:val="en-GB"/>
        </w:rPr>
        <w:t xml:space="preserve">                                   Report</w:t>
      </w:r>
    </w:p>
    <w:p xmlns:wp14="http://schemas.microsoft.com/office/word/2010/wordml" w:rsidP="5870548B" wp14:paraId="310CE577" wp14:textId="67130352">
      <w:pPr>
        <w:spacing w:before="120" w:beforeAutospacing="off" w:after="120" w:afterAutospacing="off"/>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5870548B" w:rsidR="50712C7A">
        <w:rPr>
          <w:rFonts w:ascii="Arial" w:hAnsi="Arial" w:eastAsia="Arial" w:cs="Arial"/>
          <w:b w:val="1"/>
          <w:bCs w:val="1"/>
          <w:i w:val="0"/>
          <w:iCs w:val="0"/>
          <w:caps w:val="0"/>
          <w:smallCaps w:val="0"/>
          <w:noProof w:val="0"/>
          <w:color w:val="000000" w:themeColor="text1" w:themeTint="FF" w:themeShade="FF"/>
          <w:sz w:val="40"/>
          <w:szCs w:val="40"/>
          <w:lang w:val="en-GB"/>
        </w:rPr>
        <w:t xml:space="preserve">                                BMHP6029</w:t>
      </w:r>
    </w:p>
    <w:p xmlns:wp14="http://schemas.microsoft.com/office/word/2010/wordml" w:rsidP="5870548B" wp14:paraId="45869348" wp14:textId="087EECB3">
      <w:pPr>
        <w:spacing w:before="120" w:beforeAutospacing="off" w:after="120" w:afterAutospacing="off"/>
        <w:jc w:val="both"/>
        <w:rPr>
          <w:rFonts w:ascii="Arial" w:hAnsi="Arial" w:eastAsia="Arial" w:cs="Arial"/>
          <w:b w:val="1"/>
          <w:bCs w:val="1"/>
          <w:i w:val="0"/>
          <w:iCs w:val="0"/>
          <w:caps w:val="0"/>
          <w:smallCaps w:val="0"/>
          <w:noProof w:val="0"/>
          <w:color w:val="000000" w:themeColor="text1" w:themeTint="FF" w:themeShade="FF"/>
          <w:sz w:val="40"/>
          <w:szCs w:val="40"/>
          <w:lang w:val="en-GB"/>
        </w:rPr>
      </w:pPr>
      <w:r w:rsidRPr="5870548B" w:rsidR="683A2BA8">
        <w:rPr>
          <w:rFonts w:ascii="Arial" w:hAnsi="Arial" w:eastAsia="Arial" w:cs="Arial"/>
          <w:b w:val="1"/>
          <w:bCs w:val="1"/>
          <w:i w:val="0"/>
          <w:iCs w:val="0"/>
          <w:caps w:val="0"/>
          <w:smallCaps w:val="0"/>
          <w:noProof w:val="0"/>
          <w:color w:val="000000" w:themeColor="text1" w:themeTint="FF" w:themeShade="FF"/>
          <w:sz w:val="40"/>
          <w:szCs w:val="40"/>
          <w:lang w:val="en-GB"/>
        </w:rPr>
        <w:t xml:space="preserve">                              Neale Haddon</w:t>
      </w:r>
    </w:p>
    <w:p xmlns:wp14="http://schemas.microsoft.com/office/word/2010/wordml" w:rsidP="5870548B" wp14:paraId="3F3DBA88" wp14:textId="55CCBD41">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5F375D51" wp14:textId="6CC251B9">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6508657D" wp14:textId="74D3BED4">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56003232" wp14:textId="1C6670FF">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6E0F779F" wp14:textId="628D5B58">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286F2736" wp14:textId="12C1BF18">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08929238" wp14:textId="599401BC">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57BD5A51" wp14:textId="71AE1591">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07398FD8" wp14:textId="343E0DE6">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4FA6B330" wp14:textId="3905039E">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2E2BBEF2" wp14:textId="5EE6D009">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1FD19C5B" wp14:textId="6407F947">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xmlns:wp14="http://schemas.microsoft.com/office/word/2010/wordml" w:rsidP="5870548B" wp14:paraId="376255F9" wp14:textId="751B2DBD">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 xml:space="preserve">Obsessive-Compulsive Disorder: Classification, Diagnosis, Treatment, and </w:t>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Contemporary Debates</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Introduction</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Obsessive-Compulsive Disorder (OCD) is a chronic mental health disorder that significantly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impacts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individuals’ lives. It is characterized by the presence of obsessions</w:t>
      </w:r>
      <w:r w:rsidRPr="5870548B" w:rsidR="3021F0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intrusive, unwanted thoughts, images, or urges that provoke considerable anxiety</w:t>
      </w:r>
      <w:r w:rsidRPr="5870548B" w:rsidR="45219393">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and compulsions, which are repetitive </w:t>
      </w:r>
      <w:r w:rsidRPr="5870548B" w:rsidR="796494C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behaviours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or mental acts performed to alleviate this distress (Stein et al., 2019). Although these compulsions may offer temporary relief, they inadvertently reinforce maladaptive cognitive patterns, perpetuating a cycle of anxiety and </w:t>
      </w:r>
      <w:r w:rsidRPr="5870548B" w:rsidR="38FD040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behavioural</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repetition.</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Globally, OCD affects </w:t>
      </w:r>
      <w:r w:rsidRPr="5870548B" w:rsidR="57D4A4D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2-3</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of the population, with onset commonly occurring during late childhood, adolescence, or early adulthood (Fineberg et al., 2020). The disorder results in substantial functional impairments across various domains, including education, employment, and interpersonal relationships. Furthermore, OCD often coexists with other mental health conditions such as depression, anxiety disorders, and tic disorders, complicating its clinical presentation and treatment (Stein et al., 2019).</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According to the ICD-11 (International Classification of Diseases 11th Revision), OCD is classified under “Obsessive-Compulsive or Related Disorders” and assigned the diagnostic code 6B20 (World Health Organization, 2022). This classification marks a significant shift from earlier diagnostic systems that categorized OCD within anxiety disorders, acknowledging its distinct neurobiological and clinical characteristics.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This report critically examines OCD across four areas: classification and diagnostic processes within ICD-11, treatment and rehabilitation approaches, contemporary debates surrounding its conceptualization, and recommendations for improving clinical practice and policy.</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Classification and Diagnosis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ICD-11 Classification</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OCD is classified in the ICD-11 under “Obsessive-Compulsive or Related Disorders” (World Health Organization, 2022). This subgroup includes related conditions such as body dysmorphic disorder, hoarding disorder, and trichotillomania, all of which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exhibit</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features of repetitive </w:t>
      </w:r>
      <w:r w:rsidRPr="5870548B" w:rsidR="1C762D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behaviours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intrusive thoughts. The classification system highlights the shared neurobiological underpinnings of these disorders, particularly in the context of maladaptive cognitive patterns.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diagnostic criteria stipulate that individuals must experience recurrent obsessions, compulsions, or both, which must be time-consuming (typically exceeding one hour per day) or cause significant distress or impairment in functioning. Importantly, symptoms must not be attributable to substance use or another medical condition, ensuring diagnostic clarity. This rigorous approach to classification aids clinicians in differentiating OCD from other disorders with overlapping features.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While the ICD-11 adopts a biomedical framework by classifying OCD as a “disorder,” emphasi</w:t>
      </w:r>
      <w:r w:rsidRPr="5870548B" w:rsidR="4B611A0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ing its clinical significance, this classification has sparked considerable debate. Some researchers argue that the distinction between OCD and related conditions is unclear, particularly given the overlapping symptoms with anxiety and neurodevelopmental disorders (Stein et al., 2019). This raises critical questions about whether categorical classification systems adequately capture the complexity of mental health conditions.</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Diagnostic Features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core features of OCD are obsessions and compulsions, which vary widely in content and severity across individuals. Common themes of obsessions include contamination fears, fears of harm to oneself or others, taboo thoughts related to religion or morality, and a need for symmetry or order. These intrusive thoughts are often ego-dystonic, meaning they conflict with the individual’s beliefs and values, which significantly contributes to the distress experienced (Abramowitz et al., 2019). Individuals often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attempt</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to suppress or neutralize these thoughts, which paradoxically increases their frequency and intensity.</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Compulsions manifest as repetitive </w:t>
      </w:r>
      <w:r w:rsidRPr="5870548B" w:rsidR="1679DB1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behaviours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or mental rituals performed in response to obsessions. Common examples include excessive cleaning, checking, counting, or arranging objects in a specific order. Mental compulsions, such as silently repeating phrases or prayers, are also prevalent and may be less visible, complicating the diagnostic process. While compulsions may provide temporary anxiety relief, they reinforce the underlying fears,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maintaining</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disorder over time.</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Assessment and Diagnostic Process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Diagnosis of OCD is typically conducted by trained clinicians using structured clinical interviews and standardi</w:t>
      </w:r>
      <w:r w:rsidRPr="5870548B" w:rsidR="09618D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ed assessment tools. The Yale-Brown Obsessive Compulsive Scale (Y-BOCS) is widely used to assess symptom severity and monitor treatment progress (Goodman et al., 1989). Accurate diagnosis requires careful differentiation from other conditions, as OCD shares features with anxiety disorders, depression, autism spectrum disorder, and tic disorders, making differential diagnosis complex (Fineberg et al., 2020). For example, repetitive </w:t>
      </w:r>
      <w:r w:rsidRPr="5870548B" w:rsidR="4F2E3D0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behaviours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 autism may resemble compulsions but are often driven by different motivations.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Cultural factors also play a significant role in the diagnosis of OCD. The content of obsessions may reflect cultural or religious beliefs, which can affect how symptoms are interpreted. For instance, in some cultures, certain religious obsessions may be more prevalent, highlighting the need for culturally sensitive diagnostic practices. Although ICD-11 encourages culturally sensitive assessment, critics argue that diagnostic criteria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remain</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influenced by Western perspectives (World Health Organization, 2022). This underscores the importance of developing more inclusive diagnostic frameworks that consider cultural variations in symptom presentation.</w:t>
      </w:r>
      <w:r>
        <w:br/>
      </w:r>
      <w:r>
        <w:br/>
      </w:r>
    </w:p>
    <w:p xmlns:wp14="http://schemas.microsoft.com/office/word/2010/wordml" w:rsidP="5870548B" wp14:paraId="4408BF57" wp14:textId="42B51896">
      <w:pPr>
        <w:pStyle w:val="Normal"/>
        <w:rPr>
          <w:rFonts w:ascii="Segoe UI" w:hAnsi="Segoe UI" w:eastAsia="Segoe UI" w:cs="Segoe UI"/>
          <w:b w:val="0"/>
          <w:bCs w:val="0"/>
          <w:i w:val="0"/>
          <w:iCs w:val="0"/>
          <w:caps w:val="0"/>
          <w:smallCaps w:val="0"/>
          <w:noProof w:val="0"/>
          <w:color w:val="242424"/>
          <w:sz w:val="22"/>
          <w:szCs w:val="22"/>
          <w:lang w:val="en-GB"/>
        </w:rPr>
      </w:pP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Treatment and Rehabilitation</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Psychological Interventions</w:t>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Cognitive </w:t>
      </w:r>
      <w:r w:rsidRPr="5870548B" w:rsidR="3F35CE2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Behavioural</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Therapy (CBT), particularly Exposure and Response Prevention (ERP), is widely regarded as the most effective psychological treatment for OCD. ERP involves gradually exposing individuals to anxiety-provoking stimuli while preventing the associated compulsive response. This process reduces anxiety over time and challenges maladaptive beliefs (Abramowitz et al., 2019).</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Clinical guidelines from the National Institute for Health and Care Excellence (NICE, 2022) recommend CBT with ERP as a first-line treatment. Evidence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indicates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that this approach leads to significant symptom reduction for many individuals. However, 40-60% of patients experience only partial improvement, highlighting limitations in current treatment approaches (Fineberg et al., 2020).</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Access to CBT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remains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significant challenge. Many individuals face long waiting times, limited availability of trained therapists, and geographical disparities in service provision. For instance, individuals living in rural areas may have even less access to speciali</w:t>
      </w:r>
      <w:r w:rsidRPr="5870548B" w:rsidR="74599313">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ed mental health services. Digital interventions, including online CBT programs, have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emerged</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as a potential solution to increase accessibility (Hoh et al., 2022). While these approaches offer flexibility and cost-effectiveness, they may not provide the same level of personali</w:t>
      </w:r>
      <w:r w:rsidRPr="5870548B" w:rsidR="264F934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ation and therapeutic support as face-to-face therapy.</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Pharmacological Treatment</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Selective Serotonin Reuptake Inhibitors (SSRIs) are the primary pharmacological treatment for OCD. Common medications include fluoxetine, sertraline, and fluvoxamine, which are believed to regulate serotonin pathways associated with obsessive-compulsive symptoms (Stein et al., 2019). SSRIs can be effective for many individuals, particularly when combined with psychological therapy. However, they have several limitations, including delayed onset of action, side effects such as nausea and insomnia, and high relapse rates when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discontinued</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(Fineberg et al., 2020).</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In cases where individuals do not respond adequately to SSRIs, clinicians may consider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additional</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pharmacological strategies, such as combining SSRIs with antipsychotic medications. While this augmentation strategy may improve outcomes for some, it also increases the risk of adverse effects,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necessitating</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careful monitoring by healthcare providers.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Rehabilitation and Long-Term Management</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OCD often </w:t>
      </w:r>
      <w:r w:rsidRPr="5870548B" w:rsidR="205DDE1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follow</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chronic course, underscoring the importance of long-term management. Rehabilitation focuses on improving daily functioning,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maintaining</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treatment gains, and preventing relapse. Key strategies include psychoeducation, relapse prevention planning, occupational therapy, and peer support. These components aim to equip individuals with the tools and resources necessary for effective self-management.</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Community mental health services are vital in providing ongoing support and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facilitating</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recovery. These services help individuals reintegrate into daily life and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independence. Peer support groups, for instance, can offer individuals the opportunity to share experiences and coping strategies in a supportive environment.</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In severe cases of OCD, advanced interventions such as Deep Brain Stimulation (DBS) may be considered. DBS involves surgically implanting electrodes to modulate neural circuits associated with compulsive </w:t>
      </w:r>
      <w:r w:rsidRPr="5870548B" w:rsidR="50A1E5D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behaviour</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Although research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indicates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potential benefits, the procedure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remains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controversial due to ethical concerns and limited long-term evidence (Fineberg et al., 2020). The decision to pursue such interventions should be made collaboratively between the clinician and the patient, considering the potential risks and benefits.</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Contemporary Debates and Emerging Issues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Debate Over Classification</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classification of OCD as a distinct disorder in ICD-11 has generated considerable debate. Proponents argue that this reflects advances in understanding its neurobiological basis, particularly the dysfunction in cortico-striatal-</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thalamo</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-cortical circuits (Stein et al., 2019). This distinction may improve diagnostic accuracy and treatment planning.</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However, critics contend that OCD shares significant overlap with anxiety disorders, particularly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regarding</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fear and avoidance processes (Foa et al., 2020). This raises broader questions about the validity of categorical diagnostic systems and whether a dimensional approach might better capture the complexity of mental health conditions. The dimensional approach considers the severity and frequency of symptoms rather than strictly categori</w:t>
      </w:r>
      <w:r w:rsidRPr="5870548B" w:rsidR="0B3098B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ing disorders, potentially leading to more personali</w:t>
      </w:r>
      <w:r w:rsidRPr="5870548B" w:rsidR="37C1946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ed treatment plans.</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Neurodiversity Perspectives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neurodiversity movement challenges traditional medical models by emphasi</w:t>
      </w:r>
      <w:r w:rsidRPr="5870548B" w:rsidR="7C00FD4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ing that neurological differences should not always be </w:t>
      </w:r>
      <w:r w:rsidRPr="5870548B" w:rsidR="0CC963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pathologized</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While this perspective is commonly applied to autism and ADHD, some scholars have extended it to OCD. Supporters argue that certain traits associated with OCD, such as attention to detail or persistence, may</w:t>
      </w:r>
      <w:r w:rsidRPr="5870548B" w:rsidR="5EB78EC4">
        <w:rPr>
          <w:rFonts w:ascii="Segoe UI" w:hAnsi="Segoe UI" w:eastAsia="Segoe UI" w:cs="Segoe UI"/>
          <w:b w:val="0"/>
          <w:bCs w:val="0"/>
          <w:i w:val="0"/>
          <w:iCs w:val="0"/>
          <w:caps w:val="0"/>
          <w:smallCaps w:val="0"/>
          <w:noProof w:val="0"/>
          <w:color w:val="242424"/>
          <w:sz w:val="22"/>
          <w:szCs w:val="22"/>
          <w:lang w:val="en-GB"/>
        </w:rPr>
        <w:t xml:space="preserve">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have adaptive value in specific contexts (Kapp, 2020).</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However, this perspective is not without controversy. Critics emphasi</w:t>
      </w:r>
      <w:r w:rsidRPr="5870548B" w:rsidR="623D6E6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 that OCD is typically associated with significant distress and impairment, distinguishing it from conditions more commonly framed as neurodivergent (Kernberg et al., 2021). This debate highlights the need for a balanced understanding of OCD that recogni</w:t>
      </w:r>
      <w:r w:rsidRPr="5870548B" w:rsidR="49001FA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es both the challenges and potential strengths associated with the disorder.</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Misdiagnosis and Public Misunderstandin</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g</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OCD is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frequently</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misunderstood and triviali</w:t>
      </w:r>
      <w:r w:rsidRPr="5870548B" w:rsidR="7DB47DB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ed in popular culture, often used to describe minor preferences for order or cleanliness. This misrepresentation can contribute to stigma and reduce awareness of the disorder’s severity (Abramowitz et al., 2019). At the same time, underdiagnosis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remains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significant issue. Many individuals delay seeking help due to stigma, lack of awareness, or limited access to services (Fineberg et al., 2020).</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Public education campaigns are essential to combat stigma and promote understanding of OCD. By raising awareness about the disorder’s complexities and the importance of seeking help, these campaigns can encourage individuals to pursue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appropriate treatment</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support.</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Cultural Considerations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Cultural context plays a significant role in shaping the presentation and interpretation of OCD symptoms. For example, religious obsessions may be more prevalent in highly religious societies, while contamination fears may vary depending on cultural norms. Although ICD-11 acknowledges the importance of cultural factors, further research is needed to ensure diagnostic criteria are applicable across diverse populations (World Health Organization, 2022).</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Understanding cultural variations in symptom expression can enhance diagnostic accuracy and improve treatment outcomes. Clinicians must remain culturally competent and sensitive to the unique experiences of individuals from diverse backgrounds.</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Recommendations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To improve diagnostic accuracy, enhanced training for healthcare professionals and greater awareness of diverse symptom presentations are essential. Public education campaigns could help reduce stigma and encourage early help-seeking. Expanding access to evidence-based treatments, particularly CBT with ERP, should be a priority. Digital interventions offer a promising solution but must be carefully evaluated to ensure effectiveness.</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Further research is needed to develop more effective treatments for treatment-resistant OCD, including personali</w:t>
      </w:r>
      <w:r w:rsidRPr="5870548B" w:rsidR="2A39A11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ed and neurobiologically informed approaches. Finally, incorporating lived experience into research and service design can enhance the relevance and effectiveness of interventions, supporting a more person-</w:t>
      </w:r>
      <w:r w:rsidRPr="5870548B" w:rsidR="2B1BCB4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centred</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approach.</w:t>
      </w:r>
      <w:r>
        <w:br/>
      </w:r>
      <w:r>
        <w:br/>
      </w:r>
      <w:r w:rsidRPr="5870548B"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Conclusion</w:t>
      </w:r>
      <w:r>
        <w:br/>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Obsessive-Compulsive Disorder is a complex and often debilitating mental health condition characterized by intrusive obsessions and compulsive </w:t>
      </w:r>
      <w:r w:rsidRPr="5870548B" w:rsidR="7D3AC8C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behaviours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ICD-11 classification reflects advances in understanding but also highlights ongoing debates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regarding</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its conceptuali</w:t>
      </w:r>
      <w:r w:rsidRPr="5870548B" w:rsidR="27FA5C8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ation. While effective treatments exist, many individuals continue to experience persistent symptoms, emphasi</w:t>
      </w:r>
      <w:r w:rsidRPr="5870548B" w:rsidR="2845FB3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sing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need for improved interventions and long-term support. Addressing current challenges through enhanced diagnosis, expanded </w:t>
      </w:r>
      <w:r w:rsidRPr="5870548B" w:rsidR="56DD766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treatment.</w:t>
      </w:r>
      <w:r w:rsidRPr="5870548B" w:rsidR="3B89370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access, and continued research will be essential for improving outcomes and quality of life </w:t>
      </w:r>
      <w:r>
        <w:br/>
      </w:r>
      <w:r w:rsidRPr="5870548B"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for individuals living with OCD</w:t>
      </w:r>
      <w:r w:rsidRPr="5870548B" w:rsidR="6DF9AE1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br/>
      </w:r>
    </w:p>
    <w:p xmlns:wp14="http://schemas.microsoft.com/office/word/2010/wordml" w:rsidP="5870548B" wp14:paraId="5E5787A5" wp14:textId="07932468">
      <w:pPr>
        <w:pStyle w:val="Normal"/>
        <w:rPr>
          <w:rFonts w:ascii="Arial" w:hAnsi="Arial" w:eastAsia="Arial" w:cs="Arial" w:asciiTheme="minorAscii" w:hAnsiTheme="minorAscii" w:eastAsiaTheme="minorAscii" w:cstheme="minorAscii"/>
          <w:noProof w:val="0"/>
          <w:sz w:val="22"/>
          <w:szCs w:val="22"/>
          <w:lang w:val="en-GB"/>
        </w:rPr>
      </w:pPr>
      <w:r w:rsidRPr="59BBBC9F" w:rsidR="5EB78EC4">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References</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1</w:t>
      </w:r>
      <w:r w:rsidRPr="59BBBC9F" w:rsidR="087CC95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Abramowitz, J.S., Taylor, </w:t>
      </w:r>
      <w:r w:rsidRPr="59BBBC9F" w:rsidR="3D38CA5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McKay, D. (2019) ‘</w:t>
      </w:r>
      <w:r w:rsidRPr="59BBBC9F" w:rsidR="51B0EE4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obsessive-compulsive disorder</w:t>
      </w:r>
      <w:r w:rsidRPr="59BBBC9F" w:rsidR="1CE7F0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The</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Lancet Psychiatry, 6(1), pp. 88–98.</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    Fineberg, N.A., Raghunandan, S., Brown, </w:t>
      </w:r>
      <w:r w:rsidRPr="59BBBC9F" w:rsidR="5B3B800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Pampa Loni, I. (2020) ‘Evidence-based pharmacotherapy of obsessive-compulsive disorder’, International Journal of Neuropsychopharmacology, 23(10), pp. 656–671.</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3.    Foa, E.B., Yadin, </w:t>
      </w:r>
      <w:r w:rsidRPr="59BBBC9F" w:rsidR="7824315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Litz, B.T. (2020) ‘The importance of differentiating obsessive-compulsive disorder from anxiety disorders’, Journal of Anxiety Disorders, 73, p. 102306.</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4.    Goodman, W.K., Price, L.H., Rasmussen, </w:t>
      </w:r>
      <w:r w:rsidRPr="59BBBC9F" w:rsidR="5C10700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S.A.,</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Mazure, C. (1989) ‘The Yale-Brown Obsessive Compulsive Scale’, Archives of General Psychiatry, 46(11), pp. 1006–1011.</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5.    Hoh, K., et al. (2022) ‘Digital mental health interventions for OCD: A systematic review’, Journal of Medical Internet Research, 24(5), e29680.</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6.    Huppert, J.D., et al. (2021) ‘Treatment-resistant obsessive-compulsive disorder’, Current Psychiatry Reports, 23(11), p. 106.</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7.    Kapp, S.K. (2020) Autistic community and the neurodiversity movement. Singapore: Palgrave Macmillan.</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8.    Kernberg, P., et al. (2021) ‘Neurodiversity and mental health’, Clinical Psychology Review, 87, p. 101994.</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9.    National Institute for Health and Care Excellence (2022) </w:t>
      </w:r>
      <w:r w:rsidRPr="59BBBC9F" w:rsidR="6927F22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obsessive-compulsive disorder</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body dysmorphic disorder: Treatment. London: NICE.</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10.    Stein, D.J., Costa, D.L.C., Lochner, C. et al. (2019) ‘</w:t>
      </w:r>
      <w:r w:rsidRPr="59BBBC9F" w:rsidR="2AE74DD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obsessive-compulsive disorder</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Nature Reviews Disease Primers, 5(1), p. 52.</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11.    Veale, </w:t>
      </w:r>
      <w:r w:rsidRPr="59BBBC9F" w:rsidR="7988D0D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Roberts, A. (2014) ‘</w:t>
      </w:r>
      <w:r w:rsidRPr="59BBBC9F" w:rsidR="40F2181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obsessive-compulsive disorder</w:t>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BMJ, 348, g2183.</w:t>
      </w:r>
      <w:r>
        <w:br/>
      </w:r>
      <w:r>
        <w:br/>
      </w:r>
      <w:r w:rsidRPr="59BBBC9F" w:rsidR="5EB78EC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12.    World Health Organization (2022) ICD-11: International classification of diseases for mortality and morbidity statistics. Geneva: WHO.</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SUjNHkUEBXIAVo" int2:id="vtZqwviv">
      <int2:state int2:type="spell" int2:value="Rejected"/>
    </int2:textHash>
    <int2:entireDocument int2:id="878hqQBU">
      <int2:extLst>
        <oel:ext uri="E302BA01-7950-474C-9AD3-286E660C40A8">
          <int2:similaritySummary int2:version="1" int2:runId="1774618919093" int2:tilesCheckedInThisRun="7" int2:totalNumOfTiles="7" int2:similarityAnnotationCount="0" int2:numWords="2084" int2:numFlaggedWords="0"/>
        </oel:ext>
      </int2:extLst>
    </int2:entireDocument>
  </int2:observations>
  <int2:intelligenceSettings/>
  <int2:onDemandWorkflows>
    <int2:onDemandWorkflow int2:type="SimilarityCheck" int2:paragraphVersions="19D1D6E0-15050AC5 391D8002-4532C900 3AF5D9C0-2EF7069A 39107932-01BC3ABE 0641868B-01EA3FE2 1F73A09F-1AC0CAB6 2FAC51FC-25AA1350 689BB759-610DE447 310CE577-67130352 45869348-087EECB3 3F3DBA88-55CCBD41 5F375D51-6CC251B9 6508657D-74D3BED4 56003232-1C6670FF 6E0F779F-628D5B58 286F2736-12C1BF18 08929238-599401BC 57BD5A51-71AE1591 07398FD8-343E0DE6 4FA6B330-3905039E 2E2BBEF2-5EE6D009 1FD19C5B-6407F947 376255F9-751B2DBD 4408BF57-42B51896 5E5787A5-0793246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185514"/>
    <w:rsid w:val="0140D4F0"/>
    <w:rsid w:val="01B7A8F2"/>
    <w:rsid w:val="01ECBFB9"/>
    <w:rsid w:val="083064F4"/>
    <w:rsid w:val="087CC951"/>
    <w:rsid w:val="08F1ACA7"/>
    <w:rsid w:val="09618DD1"/>
    <w:rsid w:val="0B3098B9"/>
    <w:rsid w:val="0CC963AD"/>
    <w:rsid w:val="0CFFAA29"/>
    <w:rsid w:val="11BAA907"/>
    <w:rsid w:val="1420E20E"/>
    <w:rsid w:val="1679DB14"/>
    <w:rsid w:val="1C072656"/>
    <w:rsid w:val="1C762DE0"/>
    <w:rsid w:val="1CE7F04A"/>
    <w:rsid w:val="1D525EFD"/>
    <w:rsid w:val="205DDE1A"/>
    <w:rsid w:val="217C6A58"/>
    <w:rsid w:val="21ACF094"/>
    <w:rsid w:val="229F3452"/>
    <w:rsid w:val="258A6B4C"/>
    <w:rsid w:val="264F9348"/>
    <w:rsid w:val="265B71C5"/>
    <w:rsid w:val="27454A14"/>
    <w:rsid w:val="27FA5C8E"/>
    <w:rsid w:val="2845FB36"/>
    <w:rsid w:val="28E103AA"/>
    <w:rsid w:val="296F2CBB"/>
    <w:rsid w:val="2A39A11C"/>
    <w:rsid w:val="2A97908B"/>
    <w:rsid w:val="2AE74DD5"/>
    <w:rsid w:val="2B1BCB47"/>
    <w:rsid w:val="2BD40DA8"/>
    <w:rsid w:val="2DDE3ADA"/>
    <w:rsid w:val="2E0CF6F7"/>
    <w:rsid w:val="3021F0E0"/>
    <w:rsid w:val="318E69AB"/>
    <w:rsid w:val="33BA9255"/>
    <w:rsid w:val="34398788"/>
    <w:rsid w:val="350FBAA2"/>
    <w:rsid w:val="35185514"/>
    <w:rsid w:val="364A239F"/>
    <w:rsid w:val="3745D4A6"/>
    <w:rsid w:val="37C1946D"/>
    <w:rsid w:val="38FD0404"/>
    <w:rsid w:val="3A361952"/>
    <w:rsid w:val="3B85B90F"/>
    <w:rsid w:val="3B893704"/>
    <w:rsid w:val="3C07E213"/>
    <w:rsid w:val="3C747EC9"/>
    <w:rsid w:val="3CE9C970"/>
    <w:rsid w:val="3D22580D"/>
    <w:rsid w:val="3D38CA5B"/>
    <w:rsid w:val="3DB8AF60"/>
    <w:rsid w:val="3F35CE24"/>
    <w:rsid w:val="3FDD4B13"/>
    <w:rsid w:val="40F2181C"/>
    <w:rsid w:val="43D2D9BD"/>
    <w:rsid w:val="45219393"/>
    <w:rsid w:val="4587282C"/>
    <w:rsid w:val="47BE2989"/>
    <w:rsid w:val="49001FA7"/>
    <w:rsid w:val="4949AA0D"/>
    <w:rsid w:val="4B611A07"/>
    <w:rsid w:val="4F2E3D04"/>
    <w:rsid w:val="4F43F3EA"/>
    <w:rsid w:val="50712C7A"/>
    <w:rsid w:val="50A1E5DB"/>
    <w:rsid w:val="50A74EDB"/>
    <w:rsid w:val="51B0EE42"/>
    <w:rsid w:val="52F0EC8A"/>
    <w:rsid w:val="5344CE06"/>
    <w:rsid w:val="53B299D9"/>
    <w:rsid w:val="55FEC581"/>
    <w:rsid w:val="56DD766F"/>
    <w:rsid w:val="56F52D26"/>
    <w:rsid w:val="57188005"/>
    <w:rsid w:val="571B1526"/>
    <w:rsid w:val="57D4A4D4"/>
    <w:rsid w:val="57F43DCC"/>
    <w:rsid w:val="5870548B"/>
    <w:rsid w:val="59BBBC9F"/>
    <w:rsid w:val="5B3B8007"/>
    <w:rsid w:val="5C10700C"/>
    <w:rsid w:val="5D05F775"/>
    <w:rsid w:val="5D9E605E"/>
    <w:rsid w:val="5EB78EC4"/>
    <w:rsid w:val="623D6E6B"/>
    <w:rsid w:val="625AA69C"/>
    <w:rsid w:val="683A2BA8"/>
    <w:rsid w:val="6927F227"/>
    <w:rsid w:val="69A5577C"/>
    <w:rsid w:val="6A5E66B5"/>
    <w:rsid w:val="6D0CD299"/>
    <w:rsid w:val="6DF9AE1E"/>
    <w:rsid w:val="6EE6B018"/>
    <w:rsid w:val="6F4D7EF9"/>
    <w:rsid w:val="7290C6D8"/>
    <w:rsid w:val="739A554B"/>
    <w:rsid w:val="74599313"/>
    <w:rsid w:val="75454DA8"/>
    <w:rsid w:val="759A016D"/>
    <w:rsid w:val="78023E77"/>
    <w:rsid w:val="7824315B"/>
    <w:rsid w:val="796494CA"/>
    <w:rsid w:val="7988D0D2"/>
    <w:rsid w:val="7B0B7A65"/>
    <w:rsid w:val="7C00FD4C"/>
    <w:rsid w:val="7D3AC8C7"/>
    <w:rsid w:val="7DB47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6D2A1"/>
  <w15:chartTrackingRefBased/>
  <w15:docId w15:val="{11BB0FF9-4C57-4A97-B336-2278B5BA76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5870548B"/>
    <w:rPr>
      <w:rFonts w:ascii="Arial" w:hAnsi="Arial" w:eastAsia="" w:cs="" w:asciiTheme="minorAscii" w:hAnsiTheme="minorAscii" w:eastAsiaTheme="minorEastAsia"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43309337" /><Relationship Type="http://schemas.microsoft.com/office/2020/10/relationships/intelligence" Target="/word/intelligence2.xml" Id="Rfcc7e66b7fbf47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Haylett (2321018)</dc:creator>
  <keywords/>
  <dc:description/>
  <lastModifiedBy>Simon Haylett (2321018)</lastModifiedBy>
  <revision>3</revision>
  <dcterms:created xsi:type="dcterms:W3CDTF">2026-03-27T12:33:31.9877124Z</dcterms:created>
  <dcterms:modified xsi:type="dcterms:W3CDTF">2026-03-27T13:44:24.7449293Z</dcterms:modified>
</coreProperties>
</file>