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2DA2" w:rsidP="00C62DA2" w:rsidRDefault="00C62DA2" w14:paraId="3772E813" w14:textId="77777777">
      <w:pPr>
        <w:spacing w:line="360" w:lineRule="auto"/>
        <w:jc w:val="both"/>
        <w:rPr>
          <w:sz w:val="22"/>
          <w:szCs w:val="22"/>
        </w:rPr>
      </w:pPr>
    </w:p>
    <w:p w:rsidR="00C62DA2" w:rsidP="00C62DA2" w:rsidRDefault="00C62DA2" w14:paraId="3739E5B1" w14:textId="77777777">
      <w:pPr>
        <w:spacing w:line="360" w:lineRule="auto"/>
        <w:jc w:val="both"/>
        <w:rPr>
          <w:sz w:val="22"/>
          <w:szCs w:val="22"/>
        </w:rPr>
      </w:pPr>
    </w:p>
    <w:p w:rsidR="00C62DA2" w:rsidP="00C62DA2" w:rsidRDefault="00C62DA2" w14:paraId="46624109" w14:textId="77777777">
      <w:pPr>
        <w:spacing w:line="360" w:lineRule="auto"/>
        <w:jc w:val="both"/>
        <w:rPr>
          <w:sz w:val="22"/>
          <w:szCs w:val="22"/>
        </w:rPr>
      </w:pPr>
    </w:p>
    <w:p w:rsidR="00C62DA2" w:rsidP="00C62DA2" w:rsidRDefault="00C62DA2" w14:paraId="5563C58F" w14:textId="77777777">
      <w:pPr>
        <w:spacing w:line="360" w:lineRule="auto"/>
        <w:jc w:val="both"/>
        <w:rPr>
          <w:sz w:val="22"/>
          <w:szCs w:val="22"/>
        </w:rPr>
      </w:pPr>
    </w:p>
    <w:p w:rsidR="00C62DA2" w:rsidP="00C62DA2" w:rsidRDefault="00C62DA2" w14:paraId="3FFD405E" w14:textId="77777777">
      <w:pPr>
        <w:spacing w:line="360" w:lineRule="auto"/>
        <w:jc w:val="both"/>
        <w:rPr>
          <w:sz w:val="22"/>
          <w:szCs w:val="22"/>
        </w:rPr>
      </w:pPr>
    </w:p>
    <w:p w:rsidR="00C62DA2" w:rsidP="00C62DA2" w:rsidRDefault="00C62DA2" w14:paraId="6AC3409D" w14:textId="77777777">
      <w:pPr>
        <w:spacing w:line="360" w:lineRule="auto"/>
        <w:jc w:val="both"/>
        <w:rPr>
          <w:sz w:val="22"/>
          <w:szCs w:val="22"/>
        </w:rPr>
      </w:pPr>
    </w:p>
    <w:p w:rsidR="00C62DA2" w:rsidP="00C62DA2" w:rsidRDefault="00C62DA2" w14:paraId="1971692F" w14:textId="77777777">
      <w:pPr>
        <w:spacing w:line="360" w:lineRule="auto"/>
        <w:jc w:val="both"/>
        <w:rPr>
          <w:sz w:val="22"/>
          <w:szCs w:val="22"/>
        </w:rPr>
      </w:pPr>
    </w:p>
    <w:p w:rsidR="00C62DA2" w:rsidP="00C62DA2" w:rsidRDefault="00C62DA2" w14:paraId="6DF80887" w14:textId="77777777">
      <w:pPr>
        <w:spacing w:line="360" w:lineRule="auto"/>
        <w:jc w:val="both"/>
        <w:rPr>
          <w:sz w:val="22"/>
          <w:szCs w:val="22"/>
        </w:rPr>
      </w:pPr>
    </w:p>
    <w:p w:rsidRPr="00C62DA2" w:rsidR="00FF7096" w:rsidP="00C62DA2" w:rsidRDefault="00000000" w14:paraId="5D5E6D02" w14:textId="07C67A1F">
      <w:pPr>
        <w:spacing w:line="360" w:lineRule="auto"/>
        <w:jc w:val="center"/>
        <w:rPr>
          <w:sz w:val="22"/>
          <w:szCs w:val="22"/>
        </w:rPr>
      </w:pPr>
      <w:r w:rsidRPr="00C62DA2">
        <w:rPr>
          <w:sz w:val="22"/>
          <w:szCs w:val="22"/>
        </w:rPr>
        <w:t xml:space="preserve">A </w:t>
      </w:r>
      <w:r w:rsidR="004C729C">
        <w:rPr>
          <w:sz w:val="22"/>
          <w:szCs w:val="22"/>
        </w:rPr>
        <w:t>C</w:t>
      </w:r>
      <w:r w:rsidRPr="00C62DA2">
        <w:rPr>
          <w:sz w:val="22"/>
          <w:szCs w:val="22"/>
        </w:rPr>
        <w:t>ritical Examination of Attention-Deficit/Hyperactivity Disorder under ICD-11</w:t>
      </w:r>
    </w:p>
    <w:p w:rsidR="00E338DD" w:rsidP="00C62DA2" w:rsidRDefault="00E338DD" w14:paraId="4C90BF2E" w14:textId="68103BE5">
      <w:pPr>
        <w:spacing w:line="360" w:lineRule="auto"/>
        <w:jc w:val="center"/>
        <w:rPr>
          <w:sz w:val="22"/>
          <w:szCs w:val="22"/>
        </w:rPr>
      </w:pPr>
      <w:r w:rsidRPr="00C62DA2">
        <w:rPr>
          <w:sz w:val="22"/>
          <w:szCs w:val="22"/>
        </w:rPr>
        <w:t>Student Name:</w:t>
      </w:r>
      <w:r w:rsidR="00CE1E94">
        <w:rPr>
          <w:sz w:val="22"/>
          <w:szCs w:val="22"/>
        </w:rPr>
        <w:t xml:space="preserve"> </w:t>
      </w:r>
      <w:r w:rsidRPr="00CE1E94" w:rsidR="00CE1E94">
        <w:rPr>
          <w:sz w:val="22"/>
          <w:szCs w:val="22"/>
        </w:rPr>
        <w:t>Surayya khan</w:t>
      </w:r>
    </w:p>
    <w:p w:rsidRPr="00C62DA2" w:rsidR="00CE1E94" w:rsidP="00C62DA2" w:rsidRDefault="00CE1E94" w14:paraId="41F8FB25" w14:textId="50F50F66">
      <w:pPr>
        <w:spacing w:line="360" w:lineRule="auto"/>
        <w:jc w:val="center"/>
        <w:rPr>
          <w:sz w:val="22"/>
          <w:szCs w:val="22"/>
        </w:rPr>
      </w:pPr>
      <w:r>
        <w:rPr>
          <w:sz w:val="22"/>
          <w:szCs w:val="22"/>
        </w:rPr>
        <w:t xml:space="preserve">Student id: </w:t>
      </w:r>
      <w:r w:rsidRPr="00CE1E94">
        <w:rPr>
          <w:sz w:val="22"/>
          <w:szCs w:val="22"/>
        </w:rPr>
        <w:t>2323459</w:t>
      </w:r>
    </w:p>
    <w:p w:rsidRPr="00C62DA2" w:rsidR="00E338DD" w:rsidP="00C62DA2" w:rsidRDefault="00E338DD" w14:paraId="6D98D027" w14:textId="66B4FFCE">
      <w:pPr>
        <w:spacing w:line="360" w:lineRule="auto"/>
        <w:jc w:val="center"/>
        <w:rPr>
          <w:sz w:val="22"/>
          <w:szCs w:val="22"/>
        </w:rPr>
      </w:pPr>
      <w:r w:rsidRPr="00C62DA2">
        <w:rPr>
          <w:sz w:val="22"/>
          <w:szCs w:val="22"/>
        </w:rPr>
        <w:t>Lecturer Name:</w:t>
      </w:r>
      <w:r w:rsidR="00CE1E94">
        <w:rPr>
          <w:sz w:val="22"/>
          <w:szCs w:val="22"/>
        </w:rPr>
        <w:t xml:space="preserve"> </w:t>
      </w:r>
      <w:r w:rsidRPr="00CE1E94" w:rsidR="00CE1E94">
        <w:rPr>
          <w:sz w:val="22"/>
          <w:szCs w:val="22"/>
        </w:rPr>
        <w:t>Neale Haddon</w:t>
      </w:r>
    </w:p>
    <w:p w:rsidRPr="00C62DA2" w:rsidR="00FF7096" w:rsidP="00C62DA2" w:rsidRDefault="00FF7096" w14:paraId="648CCCF6" w14:textId="6F551CF8">
      <w:pPr>
        <w:spacing w:line="360" w:lineRule="auto"/>
        <w:jc w:val="center"/>
        <w:rPr>
          <w:sz w:val="22"/>
          <w:szCs w:val="22"/>
        </w:rPr>
      </w:pPr>
      <w:r w:rsidRPr="00C62DA2">
        <w:rPr>
          <w:sz w:val="22"/>
          <w:szCs w:val="22"/>
        </w:rPr>
        <w:t xml:space="preserve">Module Name: </w:t>
      </w:r>
      <w:r w:rsidRPr="00C62DA2">
        <w:rPr>
          <w:sz w:val="22"/>
          <w:szCs w:val="22"/>
        </w:rPr>
        <w:t>Psychological Classifications and Provisions</w:t>
      </w:r>
    </w:p>
    <w:p w:rsidRPr="00C62DA2" w:rsidR="00FF7096" w:rsidP="00C62DA2" w:rsidRDefault="00FF7096" w14:paraId="0D8EA717" w14:textId="469F6B0F">
      <w:pPr>
        <w:spacing w:line="360" w:lineRule="auto"/>
        <w:jc w:val="center"/>
        <w:rPr>
          <w:sz w:val="22"/>
          <w:szCs w:val="22"/>
        </w:rPr>
      </w:pPr>
      <w:r w:rsidRPr="00C62DA2">
        <w:rPr>
          <w:sz w:val="22"/>
          <w:szCs w:val="22"/>
        </w:rPr>
        <w:t xml:space="preserve">Module Code: </w:t>
      </w:r>
      <w:r w:rsidRPr="00C62DA2" w:rsidR="00E338DD">
        <w:rPr>
          <w:sz w:val="22"/>
          <w:szCs w:val="22"/>
        </w:rPr>
        <w:t>BMHP6029</w:t>
      </w:r>
    </w:p>
    <w:p w:rsidRPr="00C62DA2" w:rsidR="00E338DD" w:rsidP="00C62DA2" w:rsidRDefault="00E338DD" w14:paraId="025C4B9C" w14:textId="565BAD11">
      <w:pPr>
        <w:spacing w:line="360" w:lineRule="auto"/>
        <w:jc w:val="both"/>
        <w:rPr>
          <w:sz w:val="22"/>
          <w:szCs w:val="22"/>
        </w:rPr>
      </w:pPr>
    </w:p>
    <w:p w:rsidRPr="00C62DA2" w:rsidR="00FF7096" w:rsidP="00C62DA2" w:rsidRDefault="00FF7096" w14:paraId="10EE695F" w14:textId="77777777">
      <w:pPr>
        <w:spacing w:line="360" w:lineRule="auto"/>
        <w:jc w:val="both"/>
        <w:rPr>
          <w:sz w:val="22"/>
          <w:szCs w:val="22"/>
        </w:rPr>
      </w:pPr>
    </w:p>
    <w:p w:rsidRPr="00C62DA2" w:rsidR="00FF7096" w:rsidP="00C62DA2" w:rsidRDefault="00FF7096" w14:paraId="1A13D51C" w14:textId="77777777">
      <w:pPr>
        <w:spacing w:line="360" w:lineRule="auto"/>
        <w:jc w:val="both"/>
        <w:rPr>
          <w:sz w:val="22"/>
          <w:szCs w:val="22"/>
        </w:rPr>
      </w:pPr>
    </w:p>
    <w:p w:rsidRPr="00C62DA2" w:rsidR="00FF7096" w:rsidP="00C62DA2" w:rsidRDefault="00FF7096" w14:paraId="7CC0ACF6" w14:textId="77777777">
      <w:pPr>
        <w:spacing w:line="360" w:lineRule="auto"/>
        <w:jc w:val="both"/>
        <w:rPr>
          <w:sz w:val="22"/>
          <w:szCs w:val="22"/>
        </w:rPr>
      </w:pPr>
    </w:p>
    <w:p w:rsidRPr="00C62DA2" w:rsidR="00C62DA2" w:rsidP="00C62DA2" w:rsidRDefault="00C62DA2" w14:paraId="246C57F4" w14:textId="77777777">
      <w:pPr>
        <w:spacing w:line="360" w:lineRule="auto"/>
        <w:jc w:val="both"/>
        <w:rPr>
          <w:sz w:val="22"/>
          <w:szCs w:val="22"/>
        </w:rPr>
      </w:pPr>
      <w:r w:rsidRPr="00C62DA2">
        <w:rPr>
          <w:sz w:val="22"/>
          <w:szCs w:val="22"/>
        </w:rPr>
        <w:br w:type="page"/>
      </w:r>
    </w:p>
    <w:p w:rsidRPr="00C62DA2" w:rsidR="00FF7096" w:rsidP="00C62DA2" w:rsidRDefault="00FF7096" w14:paraId="219BD325" w14:textId="52AF26B2">
      <w:pPr>
        <w:spacing w:line="360" w:lineRule="auto"/>
        <w:jc w:val="both"/>
        <w:rPr>
          <w:b/>
          <w:bCs/>
          <w:sz w:val="22"/>
          <w:szCs w:val="22"/>
        </w:rPr>
      </w:pPr>
      <w:r w:rsidRPr="00C62DA2">
        <w:rPr>
          <w:b/>
          <w:bCs/>
          <w:sz w:val="22"/>
          <w:szCs w:val="22"/>
        </w:rPr>
        <w:lastRenderedPageBreak/>
        <w:t>Introduction</w:t>
      </w:r>
    </w:p>
    <w:p w:rsidRPr="00C62DA2" w:rsidR="00FF7096" w:rsidP="00C62DA2" w:rsidRDefault="00FF7096" w14:paraId="71FFF606" w14:textId="0563DBDE">
      <w:pPr>
        <w:spacing w:line="360" w:lineRule="auto"/>
        <w:jc w:val="both"/>
        <w:rPr>
          <w:sz w:val="22"/>
          <w:szCs w:val="22"/>
        </w:rPr>
      </w:pPr>
      <w:r w:rsidRPr="24C7B229" w:rsidR="662C1AC6">
        <w:rPr>
          <w:sz w:val="22"/>
          <w:szCs w:val="22"/>
        </w:rPr>
        <w:t xml:space="preserve">Attention-deficit/hyperactivity disorder (ADHD) is a widely diagnosed neurodevelopmental disorder in the </w:t>
      </w:r>
      <w:r w:rsidRPr="24C7B229" w:rsidR="3F4E84B4">
        <w:rPr>
          <w:sz w:val="22"/>
          <w:szCs w:val="22"/>
        </w:rPr>
        <w:t>UK,</w:t>
      </w:r>
      <w:r w:rsidRPr="24C7B229" w:rsidR="662C1AC6">
        <w:rPr>
          <w:sz w:val="22"/>
          <w:szCs w:val="22"/>
        </w:rPr>
        <w:t xml:space="preserve"> but it is also one of the most controversial. The present report critically reviews ADHD, as categorized in the ICD-11 (WHO, 2024), the World Health Organization's most recent classification of diseases. It covers the classification and diagnostic pathway, treatment and rehabilitation routes and the debates that are currently ongoing about the condition, before summarizing recommendations for practice and policy. The report makes a critical evaluation of the classification of mental and behavioural disorders in the ICD (LO1</w:t>
      </w:r>
      <w:r w:rsidRPr="24C7B229" w:rsidR="6C17FA59">
        <w:rPr>
          <w:sz w:val="22"/>
          <w:szCs w:val="22"/>
        </w:rPr>
        <w:t>) and</w:t>
      </w:r>
      <w:r w:rsidRPr="24C7B229" w:rsidR="662C1AC6">
        <w:rPr>
          <w:sz w:val="22"/>
          <w:szCs w:val="22"/>
        </w:rPr>
        <w:t xml:space="preserve"> discusses how historical and contemporary provision for the mentally ill and behaviourally disordered relates</w:t>
      </w:r>
      <w:r w:rsidRPr="24C7B229" w:rsidR="0334C7FD">
        <w:rPr>
          <w:sz w:val="22"/>
          <w:szCs w:val="22"/>
        </w:rPr>
        <w:t>.</w:t>
      </w:r>
    </w:p>
    <w:p w:rsidRPr="00C62DA2" w:rsidR="00FF7096" w:rsidP="00C62DA2" w:rsidRDefault="00FF7096" w14:paraId="038E3E3E" w14:textId="17A26F85">
      <w:pPr>
        <w:spacing w:line="360" w:lineRule="auto"/>
        <w:jc w:val="both"/>
        <w:rPr>
          <w:b/>
          <w:bCs/>
          <w:sz w:val="22"/>
          <w:szCs w:val="22"/>
        </w:rPr>
      </w:pPr>
      <w:r w:rsidRPr="00C62DA2">
        <w:rPr>
          <w:b/>
          <w:bCs/>
          <w:sz w:val="22"/>
          <w:szCs w:val="22"/>
        </w:rPr>
        <w:t>Classification and Diagnosis</w:t>
      </w:r>
    </w:p>
    <w:p w:rsidRPr="00C62DA2" w:rsidR="00FF7096" w:rsidP="00C62DA2" w:rsidRDefault="00FF7096" w14:paraId="02F67FF5" w14:textId="54B9D506">
      <w:pPr>
        <w:spacing w:line="360" w:lineRule="auto"/>
        <w:jc w:val="both"/>
        <w:rPr>
          <w:b/>
          <w:bCs/>
          <w:sz w:val="22"/>
          <w:szCs w:val="22"/>
        </w:rPr>
      </w:pPr>
      <w:r w:rsidRPr="00C62DA2">
        <w:rPr>
          <w:b/>
          <w:bCs/>
          <w:sz w:val="22"/>
          <w:szCs w:val="22"/>
        </w:rPr>
        <w:t>Position within ICD-11</w:t>
      </w:r>
    </w:p>
    <w:p w:rsidRPr="00C62DA2" w:rsidR="00FF7096" w:rsidP="00C62DA2" w:rsidRDefault="00FF7096" w14:paraId="45978CA8" w14:textId="739E3C8F">
      <w:pPr>
        <w:spacing w:line="360" w:lineRule="auto"/>
        <w:jc w:val="both"/>
        <w:rPr>
          <w:sz w:val="22"/>
          <w:szCs w:val="22"/>
        </w:rPr>
      </w:pPr>
      <w:r w:rsidRPr="24C7B229" w:rsidR="662C1AC6">
        <w:rPr>
          <w:sz w:val="22"/>
          <w:szCs w:val="22"/>
        </w:rPr>
        <w:t xml:space="preserve">ICD-11 places ADHD under the larger category of neurodevelopmental disorders (6A0), which is a group of conditions that includes some disorders of intellectual development (Karasch et al., 2025; WHO, 2024). What is remarkable about this placement is that ADHD is not grouped with the more </w:t>
      </w:r>
      <w:r w:rsidRPr="24C7B229" w:rsidR="662C1AC6">
        <w:rPr>
          <w:sz w:val="22"/>
          <w:szCs w:val="22"/>
        </w:rPr>
        <w:t>general categories</w:t>
      </w:r>
      <w:r w:rsidRPr="24C7B229" w:rsidR="662C1AC6">
        <w:rPr>
          <w:sz w:val="22"/>
          <w:szCs w:val="22"/>
        </w:rPr>
        <w:t xml:space="preserve"> of ‘mental' and ‘behavioural</w:t>
      </w:r>
      <w:r w:rsidRPr="24C7B229" w:rsidR="18281BED">
        <w:rPr>
          <w:sz w:val="22"/>
          <w:szCs w:val="22"/>
        </w:rPr>
        <w:t>' but</w:t>
      </w:r>
      <w:r w:rsidRPr="24C7B229" w:rsidR="662C1AC6">
        <w:rPr>
          <w:sz w:val="22"/>
          <w:szCs w:val="22"/>
        </w:rPr>
        <w:t xml:space="preserve"> is considered a developmental disorder which suggests that its causes are more than simply psychosocial. Specific Code: 6A05 is subdivided into presentations: </w:t>
      </w:r>
      <w:r w:rsidRPr="24C7B229" w:rsidR="662C1AC6">
        <w:rPr>
          <w:sz w:val="22"/>
          <w:szCs w:val="22"/>
        </w:rPr>
        <w:t>predominantly inattentive</w:t>
      </w:r>
      <w:r w:rsidRPr="24C7B229" w:rsidR="662C1AC6">
        <w:rPr>
          <w:sz w:val="22"/>
          <w:szCs w:val="22"/>
        </w:rPr>
        <w:t xml:space="preserve"> (6A05.0), predominant hyperactive-impulsive (6A05.1), combined (6A05.2), and other specified (6A05.Y), and unspecified (6A05.Z) (WHO, 2024). This subtyping follows the DSM-5 structure and is an international convergence to a certain extent between the two major classification systems (</w:t>
      </w:r>
      <w:r w:rsidRPr="24C7B229" w:rsidR="662C1AC6">
        <w:rPr>
          <w:sz w:val="22"/>
          <w:szCs w:val="22"/>
        </w:rPr>
        <w:t>QbTech</w:t>
      </w:r>
      <w:r w:rsidRPr="24C7B229" w:rsidR="662C1AC6">
        <w:rPr>
          <w:sz w:val="22"/>
          <w:szCs w:val="22"/>
        </w:rPr>
        <w:t>, 2025).</w:t>
      </w:r>
    </w:p>
    <w:p w:rsidRPr="00C62DA2" w:rsidR="00FF7096" w:rsidP="00C62DA2" w:rsidRDefault="00FF7096" w14:paraId="61FBDAC7" w14:textId="1B421F3D">
      <w:pPr>
        <w:spacing w:line="360" w:lineRule="auto"/>
        <w:jc w:val="both"/>
        <w:rPr>
          <w:b/>
          <w:bCs/>
          <w:sz w:val="22"/>
          <w:szCs w:val="22"/>
        </w:rPr>
      </w:pPr>
      <w:r w:rsidRPr="00C62DA2">
        <w:rPr>
          <w:b/>
          <w:bCs/>
          <w:sz w:val="22"/>
          <w:szCs w:val="22"/>
        </w:rPr>
        <w:t xml:space="preserve">The diagnosis and diagnostic process </w:t>
      </w:r>
    </w:p>
    <w:p w:rsidRPr="00C62DA2" w:rsidR="00FF7096" w:rsidP="00C62DA2" w:rsidRDefault="00FF7096" w14:paraId="1604FBA8" w14:textId="77777777">
      <w:pPr>
        <w:spacing w:line="360" w:lineRule="auto"/>
        <w:jc w:val="both"/>
        <w:rPr>
          <w:sz w:val="22"/>
          <w:szCs w:val="22"/>
        </w:rPr>
      </w:pPr>
      <w:r w:rsidRPr="00C62DA2">
        <w:rPr>
          <w:sz w:val="22"/>
          <w:szCs w:val="22"/>
        </w:rPr>
        <w:t>ICD-11: persistent pattern of inattention and/or hyperactivity-impulsivity that is beyond developmentally expected levels, occurring in at least two settings (home, school, work, . . .), and causing significant impairment in functioning (WHO, 2024). ICD-11 expands the age of onset criterion from five to 12 years and explicitly includes adults with a broader presentation than children, which may be more subtle (Karasch et al., 2025). This relaxation of criteria, however, was referred to as adding more ambiguity than DSM-5, which some scholars believe may lead to an expansion of the number of individuals who will be diagnosed (Karasch et al., 2025).</w:t>
      </w:r>
    </w:p>
    <w:p w:rsidRPr="00C62DA2" w:rsidR="00FF7096" w:rsidP="00C62DA2" w:rsidRDefault="00FF7096" w14:paraId="58371D11" w14:textId="77777777">
      <w:pPr>
        <w:spacing w:line="360" w:lineRule="auto"/>
        <w:jc w:val="both"/>
        <w:rPr>
          <w:b/>
          <w:bCs/>
          <w:sz w:val="22"/>
          <w:szCs w:val="22"/>
        </w:rPr>
      </w:pPr>
      <w:r w:rsidRPr="00C62DA2">
        <w:rPr>
          <w:b/>
          <w:bCs/>
          <w:sz w:val="22"/>
          <w:szCs w:val="22"/>
        </w:rPr>
        <w:t>Understands the implications of the language and its use.</w:t>
      </w:r>
    </w:p>
    <w:p w:rsidRPr="00C62DA2" w:rsidR="00FF7096" w:rsidP="00C62DA2" w:rsidRDefault="00FF7096" w14:paraId="53499227" w14:textId="3D5C5BFA">
      <w:pPr>
        <w:spacing w:line="360" w:lineRule="auto"/>
        <w:jc w:val="both"/>
        <w:rPr>
          <w:sz w:val="22"/>
          <w:szCs w:val="22"/>
        </w:rPr>
      </w:pPr>
      <w:r w:rsidRPr="24C7B229" w:rsidR="662C1AC6">
        <w:rPr>
          <w:sz w:val="22"/>
          <w:szCs w:val="22"/>
        </w:rPr>
        <w:t xml:space="preserve">The language of ICD-11 is entirely medical: ADHD is written as a ‘disorder' and not a ‘condition' or ‘difference,' and thus firmly rooted in a deficit-based clinical model. This </w:t>
      </w:r>
      <w:r w:rsidRPr="24C7B229" w:rsidR="6BC3D439">
        <w:rPr>
          <w:sz w:val="22"/>
          <w:szCs w:val="22"/>
        </w:rPr>
        <w:t>contrasts with</w:t>
      </w:r>
      <w:r w:rsidRPr="24C7B229" w:rsidR="662C1AC6">
        <w:rPr>
          <w:sz w:val="22"/>
          <w:szCs w:val="22"/>
        </w:rPr>
        <w:t xml:space="preserve"> the language that is growing more common in the lived-experience and advocacy communities, where ADHD is seen as a type of neurodivergence</w:t>
      </w:r>
      <w:r w:rsidRPr="24C7B229" w:rsidR="0334C7FD">
        <w:rPr>
          <w:sz w:val="22"/>
          <w:szCs w:val="22"/>
        </w:rPr>
        <w:t xml:space="preserve">, </w:t>
      </w:r>
      <w:r w:rsidRPr="24C7B229" w:rsidR="662C1AC6">
        <w:rPr>
          <w:sz w:val="22"/>
          <w:szCs w:val="22"/>
        </w:rPr>
        <w:t xml:space="preserve">a natural variation in brain functioning, rather than a pathology (Tiimo App, 2025). The conflict between clinical and social-model </w:t>
      </w:r>
      <w:r w:rsidRPr="24C7B229" w:rsidR="662C1AC6">
        <w:rPr>
          <w:sz w:val="22"/>
          <w:szCs w:val="22"/>
        </w:rPr>
        <w:t>language is not a matter of mere semantics, but rather of how diagnosis is pursued, the impact of stigma, and funding of services, as explored more deeply in section 4.</w:t>
      </w:r>
      <w:r w:rsidRPr="24C7B229" w:rsidR="0334C7FD">
        <w:rPr>
          <w:sz w:val="22"/>
          <w:szCs w:val="22"/>
        </w:rPr>
        <w:t xml:space="preserve"> </w:t>
      </w:r>
      <w:r w:rsidRPr="24C7B229" w:rsidR="662C1AC6">
        <w:rPr>
          <w:sz w:val="22"/>
          <w:szCs w:val="22"/>
        </w:rPr>
        <w:t>Typical practice in the UK involves a structured interview, information from relatives or teachers, and rating scales for diagnosis, while the National Institute for Health and Care Excellence (NICE) guideline NG87, updated in 2024, outlines the clinical pathways that are based on ICD criteria (NICE, 2018).</w:t>
      </w:r>
    </w:p>
    <w:p w:rsidRPr="00C62DA2" w:rsidR="00FF7096" w:rsidP="00C62DA2" w:rsidRDefault="00FF7096" w14:paraId="4878CDD7" w14:textId="69A869C3">
      <w:pPr>
        <w:spacing w:line="360" w:lineRule="auto"/>
        <w:jc w:val="both"/>
        <w:rPr>
          <w:b/>
          <w:bCs/>
          <w:sz w:val="22"/>
          <w:szCs w:val="22"/>
        </w:rPr>
      </w:pPr>
      <w:r w:rsidRPr="00C62DA2">
        <w:rPr>
          <w:b/>
          <w:bCs/>
          <w:sz w:val="22"/>
          <w:szCs w:val="22"/>
        </w:rPr>
        <w:t>Treatment and Rehabilitation</w:t>
      </w:r>
    </w:p>
    <w:p w:rsidRPr="00C62DA2" w:rsidR="00FF7096" w:rsidP="00C62DA2" w:rsidRDefault="00FF7096" w14:paraId="5D7D8B9E" w14:textId="33D87D77">
      <w:pPr>
        <w:spacing w:line="360" w:lineRule="auto"/>
        <w:jc w:val="both"/>
        <w:rPr>
          <w:b/>
          <w:bCs/>
          <w:sz w:val="22"/>
          <w:szCs w:val="22"/>
        </w:rPr>
      </w:pPr>
      <w:r w:rsidRPr="00C62DA2">
        <w:rPr>
          <w:b/>
          <w:bCs/>
          <w:sz w:val="22"/>
          <w:szCs w:val="22"/>
        </w:rPr>
        <w:t>Standard approaches</w:t>
      </w:r>
    </w:p>
    <w:p w:rsidRPr="00C62DA2" w:rsidR="00FF7096" w:rsidP="00C62DA2" w:rsidRDefault="00FF7096" w14:paraId="3462166C" w14:textId="77777777">
      <w:pPr>
        <w:spacing w:line="360" w:lineRule="auto"/>
        <w:jc w:val="both"/>
        <w:rPr>
          <w:sz w:val="22"/>
          <w:szCs w:val="22"/>
        </w:rPr>
      </w:pPr>
      <w:r w:rsidRPr="00C62DA2">
        <w:rPr>
          <w:sz w:val="22"/>
          <w:szCs w:val="22"/>
        </w:rPr>
        <w:t>A ‘stepped' approach is suggested by NICE guidance, involving either environmental or psychoeducational modifications before the use of pharmacological interventions (usually a stimulant drug like methylphenidate), and, if these are being used, a combination with behavioural intervention in adults (parent training, classroom or cognitive behavioural therapy) (NICE, 2018). There is evidence on 70-90% of people benefiting from drug treatment (NHS England, 2025a) from randomised controlled trials. Even so, taskforce data reveal that just about 25% of children and 15% of adults with a diagnosis are currently prescribed medication, and there are 12-fold differences in prescribing by region in England (NHS England, 2025a).</w:t>
      </w:r>
    </w:p>
    <w:p w:rsidRPr="00C62DA2" w:rsidR="00FF7096" w:rsidP="00C62DA2" w:rsidRDefault="00FF7096" w14:paraId="320307E6" w14:textId="2439EE0E">
      <w:pPr>
        <w:spacing w:line="360" w:lineRule="auto"/>
        <w:jc w:val="both"/>
        <w:rPr>
          <w:sz w:val="22"/>
          <w:szCs w:val="22"/>
        </w:rPr>
      </w:pPr>
      <w:r w:rsidRPr="00C62DA2">
        <w:rPr>
          <w:sz w:val="22"/>
          <w:szCs w:val="22"/>
        </w:rPr>
        <w:t>Rehabilitation in ICD-11 and in practice</w:t>
      </w:r>
    </w:p>
    <w:p w:rsidRPr="00C62DA2" w:rsidR="00FF7096" w:rsidP="00C62DA2" w:rsidRDefault="00FF7096" w14:paraId="3952D427" w14:textId="77777777">
      <w:pPr>
        <w:spacing w:line="360" w:lineRule="auto"/>
        <w:jc w:val="both"/>
        <w:rPr>
          <w:sz w:val="22"/>
          <w:szCs w:val="22"/>
        </w:rPr>
      </w:pPr>
      <w:r w:rsidRPr="00C62DA2">
        <w:rPr>
          <w:sz w:val="22"/>
          <w:szCs w:val="22"/>
        </w:rPr>
        <w:t>ICD-11 is a diagnostic classification, not a treatment manual; however, the WHO's accompanying International Classification of Functioning, Disability and Health (ICF) is starting to be utilized concurrently with ICD-11 to account for functional impairment and rehabilitation needs (Karasch et al., 2025). In real terms, therefore, UK ADHD rehabilitation isn't just about medication, it's also about helping children and young people to adapt their educational settings, their work environment, and, increasingly, the justice system (NHS England, 2025b). The Task force's final report clearly calls for support to be delivered in a needs-led manner, without a formal diagnosis or evaluation, using coaching, classroom resources and parenting guidance (NHS England, 2025b).</w:t>
      </w:r>
    </w:p>
    <w:p w:rsidRPr="00C62DA2" w:rsidR="00FF7096" w:rsidP="00C62DA2" w:rsidRDefault="00FF7096" w14:paraId="39A1AE97" w14:textId="057CC144">
      <w:pPr>
        <w:spacing w:line="360" w:lineRule="auto"/>
        <w:jc w:val="both"/>
        <w:rPr>
          <w:b/>
          <w:bCs/>
          <w:sz w:val="22"/>
          <w:szCs w:val="22"/>
        </w:rPr>
      </w:pPr>
      <w:r w:rsidRPr="00C62DA2">
        <w:rPr>
          <w:b/>
          <w:bCs/>
          <w:sz w:val="22"/>
          <w:szCs w:val="22"/>
        </w:rPr>
        <w:t>Effectiveness and limitations</w:t>
      </w:r>
    </w:p>
    <w:p w:rsidRPr="00C62DA2" w:rsidR="00FF7096" w:rsidP="00C62DA2" w:rsidRDefault="00FF7096" w14:paraId="0AB3A935" w14:textId="77777777">
      <w:pPr>
        <w:spacing w:line="360" w:lineRule="auto"/>
        <w:jc w:val="both"/>
        <w:rPr>
          <w:sz w:val="22"/>
          <w:szCs w:val="22"/>
        </w:rPr>
      </w:pPr>
      <w:r w:rsidRPr="00C62DA2">
        <w:rPr>
          <w:sz w:val="22"/>
          <w:szCs w:val="22"/>
        </w:rPr>
        <w:t xml:space="preserve">Although there is good trial evidence supporting the use of pharmacological treatment, access barriers limit its effectiveness in real practice. Adult assessments are often delayed for more than two years, with some areas taking ten to fifteen years (NHS England, 2025a) and the national waiting time for adult assessment often exceeding two years (Taskforce, 2025). Many wait a long time for diagnosis, leading to equity issues because of the higher number of people that may be able to pay for private assessment (British Journal of General Practice 2025). In addition, comorbidity is prevalent as anxiety, depression, and substance use disorders often co-occur with ADHD, making diagnosis and treatment planning more challenging (Karasch et al., 2025). NICE's ongoing recommendation that diagnosis must be made in highly specialised secondary-care assessment has also been criticised by the Taskforce as a delay to timely </w:t>
      </w:r>
      <w:r w:rsidRPr="00C62DA2">
        <w:rPr>
          <w:sz w:val="22"/>
          <w:szCs w:val="22"/>
        </w:rPr>
        <w:lastRenderedPageBreak/>
        <w:t>care, and a call for a more generalist approach to diagnosis, similar to diabetes care, has been put forward (NHS England, 2025a).</w:t>
      </w:r>
    </w:p>
    <w:p w:rsidRPr="00C62DA2" w:rsidR="00FF7096" w:rsidP="00C62DA2" w:rsidRDefault="00FF7096" w14:paraId="296EFB45" w14:textId="578FC2AF">
      <w:pPr>
        <w:spacing w:line="360" w:lineRule="auto"/>
        <w:jc w:val="both"/>
        <w:rPr>
          <w:b/>
          <w:bCs/>
          <w:sz w:val="22"/>
          <w:szCs w:val="22"/>
        </w:rPr>
      </w:pPr>
      <w:r w:rsidRPr="00C62DA2">
        <w:rPr>
          <w:b/>
          <w:bCs/>
          <w:sz w:val="22"/>
          <w:szCs w:val="22"/>
        </w:rPr>
        <w:t>Ongoing debates and new issues.</w:t>
      </w:r>
    </w:p>
    <w:p w:rsidRPr="00C62DA2" w:rsidR="00FF7096" w:rsidP="00C62DA2" w:rsidRDefault="00FF7096" w14:paraId="21AA5591" w14:textId="412CA8D6">
      <w:pPr>
        <w:spacing w:line="360" w:lineRule="auto"/>
        <w:jc w:val="both"/>
        <w:rPr>
          <w:b/>
          <w:bCs/>
          <w:sz w:val="22"/>
          <w:szCs w:val="22"/>
        </w:rPr>
      </w:pPr>
      <w:r w:rsidRPr="00C62DA2">
        <w:rPr>
          <w:b/>
          <w:bCs/>
          <w:sz w:val="22"/>
          <w:szCs w:val="22"/>
        </w:rPr>
        <w:t>The overdiagnosis controversy</w:t>
      </w:r>
    </w:p>
    <w:p w:rsidRPr="00C62DA2" w:rsidR="00FF7096" w:rsidP="00C62DA2" w:rsidRDefault="00FF7096" w14:paraId="1EA16ACD" w14:textId="704E94EC">
      <w:pPr>
        <w:spacing w:line="360" w:lineRule="auto"/>
        <w:jc w:val="both"/>
        <w:rPr>
          <w:sz w:val="22"/>
          <w:szCs w:val="22"/>
        </w:rPr>
      </w:pPr>
      <w:r w:rsidRPr="24C7B229" w:rsidR="662C1AC6">
        <w:rPr>
          <w:sz w:val="22"/>
          <w:szCs w:val="22"/>
        </w:rPr>
        <w:t xml:space="preserve">One of the most recent and well-known controversies is the overdiagnosis of ADHD in the UK. </w:t>
      </w:r>
      <w:r w:rsidRPr="24C7B229" w:rsidR="1C620B5E">
        <w:rPr>
          <w:sz w:val="22"/>
          <w:szCs w:val="22"/>
        </w:rPr>
        <w:t>Increasingly</w:t>
      </w:r>
      <w:r w:rsidRPr="24C7B229" w:rsidR="662C1AC6">
        <w:rPr>
          <w:sz w:val="22"/>
          <w:szCs w:val="22"/>
        </w:rPr>
        <w:t>, it has been suggested in public and political discourse that ‘everyone has ADHD now’ (University of Cambridge, 2026). But a multi-disciplinary team of UK academics and clinicians, publishing in the British Journal of Psychiatry, suggested that unmet need and missed diagnosis, particularly among women, was the greater issue, rather than widespread overdiagnosis (University of Cambridge, 2026). A separate commentary in the British Journal of Psychiatry is more guarded, warning that the term ‘neurodivergence' is being used as a ‘catch-all' for the entire ADHD diagnosis and that the expanded definition of milder symptoms could be driving up the numbers of cases (</w:t>
      </w:r>
      <w:r w:rsidRPr="24C7B229" w:rsidR="662C1AC6">
        <w:rPr>
          <w:sz w:val="22"/>
          <w:szCs w:val="22"/>
        </w:rPr>
        <w:t>Ostinelli</w:t>
      </w:r>
      <w:r w:rsidRPr="24C7B229" w:rsidR="662C1AC6">
        <w:rPr>
          <w:sz w:val="22"/>
          <w:szCs w:val="22"/>
        </w:rPr>
        <w:t xml:space="preserve">, Cortese and Sayal, 2026). This conflict within British experts </w:t>
      </w:r>
      <w:r w:rsidRPr="24C7B229" w:rsidR="662C1AC6">
        <w:rPr>
          <w:sz w:val="22"/>
          <w:szCs w:val="22"/>
        </w:rPr>
        <w:t>indicates</w:t>
      </w:r>
      <w:r w:rsidRPr="24C7B229" w:rsidR="662C1AC6">
        <w:rPr>
          <w:sz w:val="22"/>
          <w:szCs w:val="22"/>
        </w:rPr>
        <w:t xml:space="preserve"> that the discussion is far from </w:t>
      </w:r>
      <w:r w:rsidRPr="24C7B229" w:rsidR="665CC799">
        <w:rPr>
          <w:sz w:val="22"/>
          <w:szCs w:val="22"/>
        </w:rPr>
        <w:t>concluded and</w:t>
      </w:r>
      <w:r w:rsidRPr="24C7B229" w:rsidR="662C1AC6">
        <w:rPr>
          <w:sz w:val="22"/>
          <w:szCs w:val="22"/>
        </w:rPr>
        <w:t xml:space="preserve"> </w:t>
      </w:r>
      <w:r w:rsidRPr="24C7B229" w:rsidR="662C1AC6">
        <w:rPr>
          <w:sz w:val="22"/>
          <w:szCs w:val="22"/>
        </w:rPr>
        <w:t>rather is</w:t>
      </w:r>
      <w:r w:rsidRPr="24C7B229" w:rsidR="662C1AC6">
        <w:rPr>
          <w:sz w:val="22"/>
          <w:szCs w:val="22"/>
        </w:rPr>
        <w:t xml:space="preserve"> </w:t>
      </w:r>
      <w:r w:rsidRPr="24C7B229" w:rsidR="662C1AC6">
        <w:rPr>
          <w:sz w:val="22"/>
          <w:szCs w:val="22"/>
        </w:rPr>
        <w:t>determined</w:t>
      </w:r>
      <w:r w:rsidRPr="24C7B229" w:rsidR="662C1AC6">
        <w:rPr>
          <w:sz w:val="22"/>
          <w:szCs w:val="22"/>
        </w:rPr>
        <w:t xml:space="preserve"> by the classification's boundaries and meaning.</w:t>
      </w:r>
    </w:p>
    <w:p w:rsidRPr="00C62DA2" w:rsidR="00FF7096" w:rsidP="00C62DA2" w:rsidRDefault="00FF7096" w14:paraId="318B0D1F" w14:textId="0ECD514B">
      <w:pPr>
        <w:spacing w:line="360" w:lineRule="auto"/>
        <w:jc w:val="both"/>
        <w:rPr>
          <w:b/>
          <w:bCs/>
          <w:sz w:val="22"/>
          <w:szCs w:val="22"/>
        </w:rPr>
      </w:pPr>
      <w:r w:rsidRPr="00C62DA2">
        <w:rPr>
          <w:b/>
          <w:bCs/>
          <w:sz w:val="22"/>
          <w:szCs w:val="22"/>
        </w:rPr>
        <w:t>Neurodivergence and reclassification</w:t>
      </w:r>
    </w:p>
    <w:p w:rsidRPr="00C62DA2" w:rsidR="00FF7096" w:rsidP="00C62DA2" w:rsidRDefault="00FF7096" w14:paraId="3E831F26" w14:textId="77777777">
      <w:pPr>
        <w:spacing w:line="360" w:lineRule="auto"/>
        <w:jc w:val="both"/>
        <w:rPr>
          <w:sz w:val="22"/>
          <w:szCs w:val="22"/>
        </w:rPr>
      </w:pPr>
      <w:r w:rsidRPr="00C62DA2">
        <w:rPr>
          <w:sz w:val="22"/>
          <w:szCs w:val="22"/>
        </w:rPr>
        <w:t>The neurodiversity movement, which is not within clinical psychiatry, has had a strong impact on the discussion about ADHD (Tiimo App, 2025). The viewpoint of "neurodivergence" (along with being autistic) is a better reflection of lived experience and lessens the stigma for others; others argue that an ICD-style categorical diagnosis fails to capture what may be a more dimorphic or continuous phenotype seen across several neurodevelopmental presentations (PMC, 2025). This dimensional critique argues that the apparent increase in diagnosis (both ADHD and autism) may be due to the limitations of the categorical distinctions, and not necessarily to a real increase in the number of difficulties (PMC, 2025). Such arguments bear directly on LO1 because they raise doubts about the underlying logic of the ICD-11 classifications, and how they differentiate between the various neurodevelopmental disorders.</w:t>
      </w:r>
    </w:p>
    <w:p w:rsidRPr="00C62DA2" w:rsidR="00FF7096" w:rsidP="00C62DA2" w:rsidRDefault="00FF7096" w14:paraId="474EDA2F" w14:textId="77777777">
      <w:pPr>
        <w:spacing w:line="360" w:lineRule="auto"/>
        <w:jc w:val="both"/>
        <w:rPr>
          <w:sz w:val="22"/>
          <w:szCs w:val="22"/>
        </w:rPr>
      </w:pPr>
      <w:r w:rsidRPr="00C62DA2">
        <w:rPr>
          <w:sz w:val="22"/>
          <w:szCs w:val="22"/>
        </w:rPr>
        <w:t>The provision to address pupils' needs has developed effectively over the years.Provision to meet pupils' needs has improved well over the years.</w:t>
      </w:r>
    </w:p>
    <w:p w:rsidRPr="00C62DA2" w:rsidR="00FF7096" w:rsidP="00C62DA2" w:rsidRDefault="00FF7096" w14:paraId="37150DB3" w14:textId="65603643">
      <w:pPr>
        <w:spacing w:line="360" w:lineRule="auto"/>
        <w:jc w:val="both"/>
        <w:rPr>
          <w:sz w:val="22"/>
          <w:szCs w:val="22"/>
        </w:rPr>
      </w:pPr>
      <w:r w:rsidRPr="00C62DA2">
        <w:rPr>
          <w:sz w:val="22"/>
          <w:szCs w:val="22"/>
        </w:rPr>
        <w:t xml:space="preserve">Previously the ICD-10 category was ‘hyperkinetic disorder' and it was more narrowly focused on childhood presentations and had a lower threshold of symptoms (Karasch et al., 2025). Correspondingly, provision was child-centred and comparatively little adult service provision. The continued lifespan of the diagnosis in ICD-11 has been accompanied, and has helped catalyse, significant changes in provision in the UK today – adult services are now more diverse and expanded but evidence suggests that not all young people accessing services from children's to adult services make it to the adult service system, with only around 1 in 6 of this group successfully accessing further care (NHS England, 2025a). This discrepancy </w:t>
      </w:r>
      <w:r w:rsidRPr="00C62DA2">
        <w:rPr>
          <w:sz w:val="22"/>
          <w:szCs w:val="22"/>
        </w:rPr>
        <w:lastRenderedPageBreak/>
        <w:t>between classification change and capacity for service is an obvious instance of tension between historical and contemporary provision.</w:t>
      </w:r>
    </w:p>
    <w:p w:rsidRPr="00C62DA2" w:rsidR="00FF7096" w:rsidP="00C62DA2" w:rsidRDefault="00FF7096" w14:paraId="3DBB5096" w14:textId="2602E831">
      <w:pPr>
        <w:spacing w:line="360" w:lineRule="auto"/>
        <w:jc w:val="both"/>
        <w:rPr>
          <w:sz w:val="22"/>
          <w:szCs w:val="22"/>
        </w:rPr>
      </w:pPr>
      <w:r w:rsidRPr="00C62DA2">
        <w:rPr>
          <w:sz w:val="22"/>
          <w:szCs w:val="22"/>
        </w:rPr>
        <w:t>Another legacy is that of systematic underdiagnosis of women and girls. Previous classification systems, such as ICD-10, were largely based on studies of hyperactive boys, and the inattention and introversion characteristic of girls were not well recognised (Young et al., 2020). A consensus statement from the UK revealed that many adults with ADHD are still not receiving the care they need, and that there are huge disparities in diagnosis of ADHD in women, with many incorrectly diagnosed with anxiety or depression (Young et al., 2021). Other recent qualitative studies of women receiving a late diagnosis in the UK also find that post-diagnostic support is inconsistent and that pathways are long and drawn out (Wills and Chakraborty, 2026). It highlights the continued lack of awareness of a historical blind spot in classification, even decades after the issue of this underlying sex bias in research was identified</w:t>
      </w:r>
      <w:r w:rsidR="00C62DA2">
        <w:rPr>
          <w:sz w:val="22"/>
          <w:szCs w:val="22"/>
        </w:rPr>
        <w:t>.</w:t>
      </w:r>
    </w:p>
    <w:p w:rsidRPr="00C62DA2" w:rsidR="00FF7096" w:rsidP="00C62DA2" w:rsidRDefault="00FF7096" w14:paraId="560F6C0C" w14:textId="6BACF308">
      <w:pPr>
        <w:spacing w:line="360" w:lineRule="auto"/>
        <w:jc w:val="both"/>
        <w:rPr>
          <w:b/>
          <w:bCs/>
          <w:sz w:val="22"/>
          <w:szCs w:val="22"/>
        </w:rPr>
      </w:pPr>
      <w:r w:rsidRPr="00C62DA2">
        <w:rPr>
          <w:b/>
          <w:bCs/>
          <w:sz w:val="22"/>
          <w:szCs w:val="22"/>
        </w:rPr>
        <w:t>Policy and practice implications</w:t>
      </w:r>
    </w:p>
    <w:p w:rsidRPr="00C62DA2" w:rsidR="00FF7096" w:rsidP="00C62DA2" w:rsidRDefault="00FF7096" w14:paraId="28B0F53B" w14:textId="77777777">
      <w:pPr>
        <w:spacing w:line="360" w:lineRule="auto"/>
        <w:jc w:val="both"/>
        <w:rPr>
          <w:sz w:val="22"/>
          <w:szCs w:val="22"/>
        </w:rPr>
      </w:pPr>
      <w:r w:rsidRPr="00C62DA2">
        <w:rPr>
          <w:sz w:val="22"/>
          <w:szCs w:val="22"/>
        </w:rPr>
        <w:t>The Taskforce's findings have policy implications. With an estimated cost to the UK of £17 billion per year due to untreated ADHD's impact on the education system, unemployment, and involvement in the criminal justice system (NHS England, 2025a). However, the discussion about overdiagnosis could distract political debate from one issue (the need for a diagnosis) to another (diagnostic legitimacy) (British Journal of General Practice, 2025). Practitioners are thus forced to tread a tricky balance: acknowledging the risks of diagnostic inflation but not using it to continue to de-fund services.</w:t>
      </w:r>
    </w:p>
    <w:p w:rsidRPr="00C62DA2" w:rsidR="00FF7096" w:rsidP="00C62DA2" w:rsidRDefault="00FF7096" w14:paraId="27BCAF5A" w14:textId="11A21DFB">
      <w:pPr>
        <w:spacing w:line="360" w:lineRule="auto"/>
        <w:jc w:val="both"/>
        <w:rPr>
          <w:b/>
          <w:bCs/>
          <w:sz w:val="22"/>
          <w:szCs w:val="22"/>
        </w:rPr>
      </w:pPr>
      <w:r w:rsidRPr="00C62DA2">
        <w:rPr>
          <w:b/>
          <w:bCs/>
          <w:sz w:val="22"/>
          <w:szCs w:val="22"/>
        </w:rPr>
        <w:t>Recommendations</w:t>
      </w:r>
    </w:p>
    <w:p w:rsidRPr="00C62DA2" w:rsidR="00FF7096" w:rsidP="00C62DA2" w:rsidRDefault="00FF7096" w14:paraId="0C9FDE26" w14:textId="77777777">
      <w:pPr>
        <w:spacing w:line="360" w:lineRule="auto"/>
        <w:jc w:val="both"/>
        <w:rPr>
          <w:sz w:val="22"/>
          <w:szCs w:val="22"/>
        </w:rPr>
      </w:pPr>
      <w:r w:rsidRPr="00C62DA2">
        <w:rPr>
          <w:sz w:val="22"/>
          <w:szCs w:val="22"/>
        </w:rPr>
        <w:t>NICE and NHS England should take a more generalist approach to diagnosing ADHD through training GP and primary care clinicians for the initial ADHD assessment, with secondary care reserved for more complex presentations or those with comorbidities, as advised by the Taskforce (NHS England, 2025a). This would directly tackle existing issues without jeopardising the rigor of the diagnostics.</w:t>
      </w:r>
    </w:p>
    <w:p w:rsidRPr="00C62DA2" w:rsidR="00FF7096" w:rsidP="00C62DA2" w:rsidRDefault="00FF7096" w14:paraId="6C1A1219" w14:textId="77777777">
      <w:pPr>
        <w:spacing w:line="360" w:lineRule="auto"/>
        <w:jc w:val="both"/>
        <w:rPr>
          <w:sz w:val="22"/>
          <w:szCs w:val="22"/>
        </w:rPr>
      </w:pPr>
      <w:r w:rsidRPr="00C62DA2">
        <w:rPr>
          <w:sz w:val="22"/>
          <w:szCs w:val="22"/>
        </w:rPr>
        <w:t>Second, the classification support included with ICD-11 should further differentiate the clinical category of ADHD from the social concept of neurodivergence, thus safeguarding the scientific validity of prevalence-related data and the political agenda of the neurodiversity movement (Ostinelli, Cortese and Sayal, 2026).</w:t>
      </w:r>
    </w:p>
    <w:p w:rsidRPr="00C62DA2" w:rsidR="00FF7096" w:rsidP="00C62DA2" w:rsidRDefault="00FF7096" w14:paraId="3F352F0F" w14:textId="5C7465A5">
      <w:pPr>
        <w:spacing w:line="360" w:lineRule="auto"/>
        <w:jc w:val="both"/>
        <w:rPr>
          <w:sz w:val="22"/>
          <w:szCs w:val="22"/>
        </w:rPr>
      </w:pPr>
      <w:r w:rsidRPr="24C7B229" w:rsidR="662C1AC6">
        <w:rPr>
          <w:sz w:val="22"/>
          <w:szCs w:val="22"/>
        </w:rPr>
        <w:t xml:space="preserve">Third, where </w:t>
      </w:r>
      <w:r w:rsidRPr="24C7B229" w:rsidR="662C1AC6">
        <w:rPr>
          <w:sz w:val="22"/>
          <w:szCs w:val="22"/>
        </w:rPr>
        <w:t>appropriate</w:t>
      </w:r>
      <w:r w:rsidRPr="24C7B229" w:rsidR="662C1AC6">
        <w:rPr>
          <w:sz w:val="22"/>
          <w:szCs w:val="22"/>
        </w:rPr>
        <w:t xml:space="preserve">, support should be separated from formal diagnosis. Needs-led interventions (such as classroom adjustments, workplace coaching and parenting programmes) are available for those awaiting or not meeting full diagnostic </w:t>
      </w:r>
      <w:r w:rsidRPr="24C7B229" w:rsidR="653D7B22">
        <w:rPr>
          <w:sz w:val="22"/>
          <w:szCs w:val="22"/>
        </w:rPr>
        <w:t>thresholds and</w:t>
      </w:r>
      <w:r w:rsidRPr="24C7B229" w:rsidR="662C1AC6">
        <w:rPr>
          <w:sz w:val="22"/>
          <w:szCs w:val="22"/>
        </w:rPr>
        <w:t xml:space="preserve"> should be available as already piloted by the Taskforce (NHS England, 2025b).</w:t>
      </w:r>
    </w:p>
    <w:p w:rsidRPr="00C62DA2" w:rsidR="00FF7096" w:rsidP="00C62DA2" w:rsidRDefault="00FF7096" w14:paraId="765B3487" w14:textId="77777777">
      <w:pPr>
        <w:spacing w:line="360" w:lineRule="auto"/>
        <w:jc w:val="both"/>
        <w:rPr>
          <w:sz w:val="22"/>
          <w:szCs w:val="22"/>
        </w:rPr>
      </w:pPr>
      <w:r w:rsidRPr="00C62DA2">
        <w:rPr>
          <w:sz w:val="22"/>
          <w:szCs w:val="22"/>
        </w:rPr>
        <w:t xml:space="preserve">Fourth, additional UK data is needed on prescribing variation and on the experiences of those who are underrepresented within the current system, such as women and adults, who were </w:t>
      </w:r>
      <w:r w:rsidRPr="00C62DA2">
        <w:rPr>
          <w:sz w:val="22"/>
          <w:szCs w:val="22"/>
        </w:rPr>
        <w:lastRenderedPageBreak/>
        <w:t>likely underdiagnosed in its previous, more restricted classification systems (NHS England, 2025a; Young et al., 2020). Once underrepresented groups are identified and properly recognised, specialist consensus guidance such as that developed by the UK Adult ADHD Network for transition to university shows how it can be developed in this context, and other transition points including children's and adult services should be similarly developed.</w:t>
      </w:r>
    </w:p>
    <w:p w:rsidRPr="00C62DA2" w:rsidR="00FF7096" w:rsidP="00C62DA2" w:rsidRDefault="00FF7096" w14:paraId="23FB1655" w14:textId="77777777">
      <w:pPr>
        <w:spacing w:line="360" w:lineRule="auto"/>
        <w:jc w:val="both"/>
        <w:rPr>
          <w:sz w:val="22"/>
          <w:szCs w:val="22"/>
        </w:rPr>
      </w:pPr>
      <w:r w:rsidRPr="00C62DA2">
        <w:rPr>
          <w:sz w:val="22"/>
          <w:szCs w:val="22"/>
        </w:rPr>
        <w:t>Finally, policy should create a ring-fenced budget for investment in data infrastructure for ADHD, as the Taskforce believes that poor quality national data on waiting times and outcomes is a key challenge to the ability to plan services with accountability (NHS England, 2025a).</w:t>
      </w:r>
    </w:p>
    <w:p w:rsidRPr="00C62DA2" w:rsidR="00FF7096" w:rsidP="00C62DA2" w:rsidRDefault="00FF7096" w14:paraId="729474F2" w14:textId="6BD9DCC9">
      <w:pPr>
        <w:spacing w:line="360" w:lineRule="auto"/>
        <w:jc w:val="both"/>
        <w:rPr>
          <w:b/>
          <w:bCs/>
          <w:sz w:val="22"/>
          <w:szCs w:val="22"/>
        </w:rPr>
      </w:pPr>
      <w:r w:rsidRPr="00C62DA2">
        <w:rPr>
          <w:b/>
          <w:bCs/>
          <w:sz w:val="22"/>
          <w:szCs w:val="22"/>
        </w:rPr>
        <w:t>Conclusion</w:t>
      </w:r>
    </w:p>
    <w:p w:rsidRPr="00C62DA2" w:rsidR="00FF7096" w:rsidP="00C62DA2" w:rsidRDefault="00FF7096" w14:paraId="6A735AA6" w14:textId="44575F5A">
      <w:pPr>
        <w:spacing w:line="360" w:lineRule="auto"/>
        <w:jc w:val="both"/>
        <w:rPr>
          <w:sz w:val="22"/>
          <w:szCs w:val="22"/>
        </w:rPr>
      </w:pPr>
      <w:r w:rsidRPr="00C62DA2">
        <w:rPr>
          <w:sz w:val="22"/>
          <w:szCs w:val="22"/>
        </w:rPr>
        <w:t>There is a very positive development in the ICD-11 classification of ADHD as a neurodevelopmental disorder, with a lifespan approach and a new classification based on presentation. But classification is not enough to overcome the deeper divisions highlighted in this report: medical and neurodiversity perspectives on the condition, between evidence from trials and access to treatment in practice, and between the growing idea of diagnosis and the development of the service system. The coordinated response that is needed to address these tensions will have to draw on a combination of health, education and justice system responses and will need to be based on the historical evolution of the diagnosis as well as the lived experience of those who are described.</w:t>
      </w:r>
    </w:p>
    <w:p w:rsidRPr="00C62DA2" w:rsidR="00FF7096" w:rsidP="00C62DA2" w:rsidRDefault="00FF7096" w14:paraId="7632AFEE" w14:textId="77777777">
      <w:pPr>
        <w:spacing w:line="360" w:lineRule="auto"/>
        <w:jc w:val="both"/>
        <w:rPr>
          <w:sz w:val="22"/>
          <w:szCs w:val="22"/>
        </w:rPr>
      </w:pPr>
    </w:p>
    <w:p w:rsidRPr="00C62DA2" w:rsidR="00FF7096" w:rsidP="00C62DA2" w:rsidRDefault="00FF7096" w14:paraId="7B627EB7" w14:textId="77777777">
      <w:pPr>
        <w:spacing w:line="360" w:lineRule="auto"/>
        <w:jc w:val="both"/>
        <w:rPr>
          <w:sz w:val="22"/>
          <w:szCs w:val="22"/>
        </w:rPr>
      </w:pPr>
    </w:p>
    <w:p w:rsidRPr="00C62DA2" w:rsidR="00FF7096" w:rsidP="00C62DA2" w:rsidRDefault="00FF7096" w14:paraId="12E2CDC5" w14:textId="77777777">
      <w:pPr>
        <w:spacing w:line="360" w:lineRule="auto"/>
        <w:jc w:val="both"/>
        <w:rPr>
          <w:sz w:val="22"/>
          <w:szCs w:val="22"/>
        </w:rPr>
      </w:pPr>
    </w:p>
    <w:p w:rsidRPr="00C62DA2" w:rsidR="00C62DA2" w:rsidP="00C62DA2" w:rsidRDefault="00C62DA2" w14:paraId="328C7D49" w14:textId="77777777">
      <w:pPr>
        <w:spacing w:line="360" w:lineRule="auto"/>
        <w:jc w:val="both"/>
        <w:rPr>
          <w:sz w:val="22"/>
          <w:szCs w:val="22"/>
        </w:rPr>
      </w:pPr>
      <w:r w:rsidRPr="00C62DA2">
        <w:rPr>
          <w:sz w:val="22"/>
          <w:szCs w:val="22"/>
        </w:rPr>
        <w:br w:type="page"/>
      </w:r>
    </w:p>
    <w:p w:rsidRPr="00C62DA2" w:rsidR="0032559E" w:rsidP="00C62DA2" w:rsidRDefault="00000000" w14:paraId="5C98EC67" w14:textId="0C9E5E18">
      <w:pPr>
        <w:spacing w:line="360" w:lineRule="auto"/>
        <w:jc w:val="both"/>
        <w:rPr>
          <w:b/>
          <w:bCs/>
          <w:sz w:val="22"/>
          <w:szCs w:val="22"/>
        </w:rPr>
      </w:pPr>
      <w:r w:rsidRPr="00C62DA2">
        <w:rPr>
          <w:b/>
          <w:bCs/>
          <w:sz w:val="22"/>
          <w:szCs w:val="22"/>
        </w:rPr>
        <w:lastRenderedPageBreak/>
        <w:t>References</w:t>
      </w:r>
    </w:p>
    <w:p w:rsidRPr="00C62DA2" w:rsidR="0032559E" w:rsidP="00C62DA2" w:rsidRDefault="00000000" w14:paraId="71B2137E" w14:textId="77777777">
      <w:pPr>
        <w:spacing w:line="360" w:lineRule="auto"/>
        <w:ind w:left="720" w:hanging="720"/>
        <w:jc w:val="both"/>
        <w:rPr>
          <w:sz w:val="22"/>
          <w:szCs w:val="22"/>
        </w:rPr>
      </w:pPr>
      <w:r w:rsidRPr="00C62DA2">
        <w:rPr>
          <w:sz w:val="22"/>
          <w:szCs w:val="22"/>
        </w:rPr>
        <w:t>British Journal of General Practice (2025) ADHD: overdiagnosis or opportunity? British Journal of General Practice, 75(759), pp.462–463.</w:t>
      </w:r>
    </w:p>
    <w:p w:rsidRPr="00C62DA2" w:rsidR="0032559E" w:rsidP="00C62DA2" w:rsidRDefault="00000000" w14:paraId="57A2AE13" w14:textId="77777777">
      <w:pPr>
        <w:spacing w:line="360" w:lineRule="auto"/>
        <w:ind w:left="720" w:hanging="720"/>
        <w:jc w:val="both"/>
        <w:rPr>
          <w:sz w:val="22"/>
          <w:szCs w:val="22"/>
        </w:rPr>
      </w:pPr>
      <w:r w:rsidRPr="00C62DA2">
        <w:rPr>
          <w:sz w:val="22"/>
          <w:szCs w:val="22"/>
        </w:rPr>
        <w:t>Karasch, O., Wegener, V. and Schaier, S. (2025) ADHD from the perspective of the International Classification of Diseases (ICD-11) and the International Classification of Functioning, Disability and Health (ICF). Exploration of Neuroprotective Therapy.</w:t>
      </w:r>
    </w:p>
    <w:p w:rsidRPr="00C62DA2" w:rsidR="0032559E" w:rsidP="00C62DA2" w:rsidRDefault="00000000" w14:paraId="16FCFEEC" w14:textId="77777777">
      <w:pPr>
        <w:spacing w:line="360" w:lineRule="auto"/>
        <w:ind w:left="720" w:hanging="720"/>
        <w:jc w:val="both"/>
        <w:rPr>
          <w:sz w:val="22"/>
          <w:szCs w:val="22"/>
        </w:rPr>
      </w:pPr>
      <w:r w:rsidRPr="00C62DA2">
        <w:rPr>
          <w:sz w:val="22"/>
          <w:szCs w:val="22"/>
        </w:rPr>
        <w:t>National Institute for Health and Care Excellence (2018, updated 2024) Attention deficit hyperactivity disorder: diagnosis and management (NG87). London: NICE.</w:t>
      </w:r>
    </w:p>
    <w:p w:rsidRPr="00C62DA2" w:rsidR="0032559E" w:rsidP="00C62DA2" w:rsidRDefault="00000000" w14:paraId="02CC6C6B" w14:textId="77777777">
      <w:pPr>
        <w:spacing w:line="360" w:lineRule="auto"/>
        <w:ind w:left="720" w:hanging="720"/>
        <w:jc w:val="both"/>
        <w:rPr>
          <w:sz w:val="22"/>
          <w:szCs w:val="22"/>
        </w:rPr>
      </w:pPr>
      <w:r w:rsidRPr="00C62DA2">
        <w:rPr>
          <w:sz w:val="22"/>
          <w:szCs w:val="22"/>
        </w:rPr>
        <w:t>NHS England (2025a) Report of the independent ADHD Taskforce: Part 1. London: NHS England.</w:t>
      </w:r>
    </w:p>
    <w:p w:rsidRPr="00C62DA2" w:rsidR="0032559E" w:rsidP="00C62DA2" w:rsidRDefault="00000000" w14:paraId="7767FFB0" w14:textId="77777777">
      <w:pPr>
        <w:spacing w:line="360" w:lineRule="auto"/>
        <w:ind w:left="720" w:hanging="720"/>
        <w:jc w:val="both"/>
        <w:rPr>
          <w:sz w:val="22"/>
          <w:szCs w:val="22"/>
        </w:rPr>
      </w:pPr>
      <w:r w:rsidRPr="00C62DA2">
        <w:rPr>
          <w:sz w:val="22"/>
          <w:szCs w:val="22"/>
        </w:rPr>
        <w:t>NHS England (2025b) Report of the independent ADHD Taskforce: Part 2. London: NHS England.</w:t>
      </w:r>
    </w:p>
    <w:p w:rsidRPr="00C62DA2" w:rsidR="0032559E" w:rsidP="00C62DA2" w:rsidRDefault="00000000" w14:paraId="6BC8F354" w14:textId="77777777">
      <w:pPr>
        <w:spacing w:line="360" w:lineRule="auto"/>
        <w:ind w:left="720" w:hanging="720"/>
        <w:jc w:val="both"/>
        <w:rPr>
          <w:sz w:val="22"/>
          <w:szCs w:val="22"/>
        </w:rPr>
      </w:pPr>
      <w:r w:rsidRPr="00C62DA2">
        <w:rPr>
          <w:sz w:val="22"/>
          <w:szCs w:val="22"/>
        </w:rPr>
        <w:t>Ostinelli, E.G., Cortese, S. and Sayal, K. (2026) ADHD (over)diagnosis: fiction, fashion and failure. The British Journal of Psychiatry.</w:t>
      </w:r>
    </w:p>
    <w:p w:rsidRPr="00C62DA2" w:rsidR="0032559E" w:rsidP="00C62DA2" w:rsidRDefault="00000000" w14:paraId="172BE01E" w14:textId="77777777">
      <w:pPr>
        <w:spacing w:line="360" w:lineRule="auto"/>
        <w:ind w:left="720" w:hanging="720"/>
        <w:jc w:val="both"/>
        <w:rPr>
          <w:sz w:val="22"/>
          <w:szCs w:val="22"/>
        </w:rPr>
      </w:pPr>
      <w:r w:rsidRPr="00C62DA2">
        <w:rPr>
          <w:sz w:val="22"/>
          <w:szCs w:val="22"/>
        </w:rPr>
        <w:t>PMC (2025) Beyond overdiagnosis: reframing autism prevalence through a neurodivergent phenotype lens. PubMed Central.</w:t>
      </w:r>
    </w:p>
    <w:p w:rsidRPr="00C62DA2" w:rsidR="0032559E" w:rsidP="00C62DA2" w:rsidRDefault="00000000" w14:paraId="0941A975" w14:textId="77777777">
      <w:pPr>
        <w:spacing w:line="360" w:lineRule="auto"/>
        <w:ind w:left="720" w:hanging="720"/>
        <w:jc w:val="both"/>
        <w:rPr>
          <w:sz w:val="22"/>
          <w:szCs w:val="22"/>
        </w:rPr>
      </w:pPr>
      <w:r w:rsidRPr="00C62DA2">
        <w:rPr>
          <w:sz w:val="22"/>
          <w:szCs w:val="22"/>
        </w:rPr>
        <w:t>QbTech (2025) ADHD diagnostic criteria: comparing DSM-5, ICD-11, NICE. QbTech.</w:t>
      </w:r>
    </w:p>
    <w:p w:rsidRPr="00C62DA2" w:rsidR="0032559E" w:rsidP="00C62DA2" w:rsidRDefault="00000000" w14:paraId="370E96B7" w14:textId="77777777">
      <w:pPr>
        <w:spacing w:line="360" w:lineRule="auto"/>
        <w:ind w:left="720" w:hanging="720"/>
        <w:jc w:val="both"/>
        <w:rPr>
          <w:sz w:val="22"/>
          <w:szCs w:val="22"/>
        </w:rPr>
      </w:pPr>
      <w:r w:rsidRPr="00C62DA2">
        <w:rPr>
          <w:sz w:val="22"/>
          <w:szCs w:val="22"/>
        </w:rPr>
        <w:t>Sedgwick-Müller, J.A., Müller-Sedgwick, U., Adamou, M., Catani, M., Champ, R., Gudjónsson, G., Hank, D., Pitts, M., Young, S. and Asherson, P. (2022) University students with attention deficit hyperactivity disorder (ADHD): a consensus statement from the UK Adult ADHD Network (UKAAN). BMC Psychiatry, 22, p.292.</w:t>
      </w:r>
    </w:p>
    <w:p w:rsidRPr="00C62DA2" w:rsidR="0032559E" w:rsidP="00C62DA2" w:rsidRDefault="00000000" w14:paraId="45B8C093" w14:textId="77777777">
      <w:pPr>
        <w:spacing w:line="360" w:lineRule="auto"/>
        <w:ind w:left="720" w:hanging="720"/>
        <w:jc w:val="both"/>
        <w:rPr>
          <w:sz w:val="22"/>
          <w:szCs w:val="22"/>
        </w:rPr>
      </w:pPr>
      <w:r w:rsidRPr="00C62DA2">
        <w:rPr>
          <w:sz w:val="22"/>
          <w:szCs w:val="22"/>
        </w:rPr>
        <w:t>Tiimo App (2025) Overdiagnosis and neurodivergence: why it’s a harmful myth. Tiimo.</w:t>
      </w:r>
    </w:p>
    <w:p w:rsidRPr="00C62DA2" w:rsidR="0032559E" w:rsidP="00C62DA2" w:rsidRDefault="00000000" w14:paraId="5BC095ED" w14:textId="77777777">
      <w:pPr>
        <w:spacing w:line="360" w:lineRule="auto"/>
        <w:ind w:left="720" w:hanging="720"/>
        <w:jc w:val="both"/>
        <w:rPr>
          <w:sz w:val="22"/>
          <w:szCs w:val="22"/>
        </w:rPr>
      </w:pPr>
      <w:r w:rsidRPr="00C62DA2">
        <w:rPr>
          <w:sz w:val="22"/>
          <w:szCs w:val="22"/>
        </w:rPr>
        <w:t>University of Cambridge (2026) No evidence ADHD is being over-diagnosed, say experts. Cambridge: University of Cambridge.</w:t>
      </w:r>
    </w:p>
    <w:p w:rsidRPr="00C62DA2" w:rsidR="0032559E" w:rsidP="00C62DA2" w:rsidRDefault="00000000" w14:paraId="06448CBA" w14:textId="77777777">
      <w:pPr>
        <w:spacing w:line="360" w:lineRule="auto"/>
        <w:ind w:left="720" w:hanging="720"/>
        <w:jc w:val="both"/>
        <w:rPr>
          <w:sz w:val="22"/>
          <w:szCs w:val="22"/>
        </w:rPr>
      </w:pPr>
      <w:r w:rsidRPr="00C62DA2">
        <w:rPr>
          <w:sz w:val="22"/>
          <w:szCs w:val="22"/>
        </w:rPr>
        <w:t>Wills, V. and Chakraborty, R. (2026) A qualitative study on the experiences of adult females with late diagnosis of ASD and ADHD in the UK. Healthcare, 14(2), p.209.</w:t>
      </w:r>
    </w:p>
    <w:p w:rsidRPr="00C62DA2" w:rsidR="0032559E" w:rsidP="00C62DA2" w:rsidRDefault="00000000" w14:paraId="0ED77711" w14:textId="77777777">
      <w:pPr>
        <w:spacing w:line="360" w:lineRule="auto"/>
        <w:ind w:left="720" w:hanging="720"/>
        <w:jc w:val="both"/>
        <w:rPr>
          <w:sz w:val="22"/>
          <w:szCs w:val="22"/>
        </w:rPr>
      </w:pPr>
      <w:r w:rsidRPr="00C62DA2">
        <w:rPr>
          <w:sz w:val="22"/>
          <w:szCs w:val="22"/>
        </w:rPr>
        <w:t>World Health Organization (2024) ICD-11 for Mortality and Morbidity Statistics: 6A05 Attention deficit hyperactivity disorder. Geneva: WHO.</w:t>
      </w:r>
    </w:p>
    <w:p w:rsidRPr="00C62DA2" w:rsidR="0032559E" w:rsidP="00C62DA2" w:rsidRDefault="00000000" w14:paraId="7AFF8331" w14:textId="77777777">
      <w:pPr>
        <w:spacing w:line="360" w:lineRule="auto"/>
        <w:ind w:left="720" w:hanging="720"/>
        <w:jc w:val="both"/>
        <w:rPr>
          <w:sz w:val="22"/>
          <w:szCs w:val="22"/>
        </w:rPr>
      </w:pPr>
      <w:r w:rsidRPr="00C62DA2">
        <w:rPr>
          <w:sz w:val="22"/>
          <w:szCs w:val="22"/>
        </w:rPr>
        <w:t>Young, S., Adamo, N., Ásgeirsdóttir, B.B., Branney, P., Beckett, M., Colley, W., et al. (2020) Females with ADHD: an expert consensus statement taking a lifespan approach providing guidance for the identification and treatment of attention-deficit/hyperactivity disorder in girls and women. BMC Psychiatry, 20, p.404.</w:t>
      </w:r>
    </w:p>
    <w:p w:rsidRPr="00C62DA2" w:rsidR="0032559E" w:rsidP="00C62DA2" w:rsidRDefault="00000000" w14:paraId="3758DB99" w14:textId="77777777">
      <w:pPr>
        <w:spacing w:line="360" w:lineRule="auto"/>
        <w:ind w:left="720" w:hanging="720"/>
        <w:jc w:val="both"/>
        <w:rPr>
          <w:sz w:val="22"/>
          <w:szCs w:val="22"/>
        </w:rPr>
      </w:pPr>
      <w:r w:rsidRPr="00C62DA2">
        <w:rPr>
          <w:sz w:val="22"/>
          <w:szCs w:val="22"/>
        </w:rPr>
        <w:t>Young, S., Asherson, P., Lloyd, T., Absoud, M., Arif, M., Colley, W.A., et al. (2021) Failure of healthcare provision for attention-deficit/hyperactivity disorder in the United Kingdom: a consensus statement. Frontiers in Psychiatry, 12, p.649399.</w:t>
      </w:r>
    </w:p>
    <w:sectPr w:rsidRPr="00C62DA2" w:rsidR="0032559E">
      <w:pgSz w:w="11906" w:h="16838"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3655D"/>
    <w:multiLevelType w:val="hybridMultilevel"/>
    <w:tmpl w:val="CB8E884A"/>
    <w:lvl w:ilvl="0" w:tplc="E6E0C18C">
      <w:start w:val="1"/>
      <w:numFmt w:val="bullet"/>
      <w:lvlText w:val="●"/>
      <w:lvlJc w:val="left"/>
      <w:pPr>
        <w:ind w:left="720" w:hanging="360"/>
      </w:pPr>
    </w:lvl>
    <w:lvl w:ilvl="1" w:tplc="BF280A9E">
      <w:start w:val="1"/>
      <w:numFmt w:val="bullet"/>
      <w:lvlText w:val="○"/>
      <w:lvlJc w:val="left"/>
      <w:pPr>
        <w:ind w:left="1440" w:hanging="360"/>
      </w:pPr>
    </w:lvl>
    <w:lvl w:ilvl="2" w:tplc="8BA48DC4">
      <w:start w:val="1"/>
      <w:numFmt w:val="bullet"/>
      <w:lvlText w:val="■"/>
      <w:lvlJc w:val="left"/>
      <w:pPr>
        <w:ind w:left="2160" w:hanging="360"/>
      </w:pPr>
    </w:lvl>
    <w:lvl w:ilvl="3" w:tplc="288C043C">
      <w:start w:val="1"/>
      <w:numFmt w:val="bullet"/>
      <w:lvlText w:val="●"/>
      <w:lvlJc w:val="left"/>
      <w:pPr>
        <w:ind w:left="2880" w:hanging="360"/>
      </w:pPr>
    </w:lvl>
    <w:lvl w:ilvl="4" w:tplc="CA3CE2A6">
      <w:start w:val="1"/>
      <w:numFmt w:val="bullet"/>
      <w:lvlText w:val="○"/>
      <w:lvlJc w:val="left"/>
      <w:pPr>
        <w:ind w:left="3600" w:hanging="360"/>
      </w:pPr>
    </w:lvl>
    <w:lvl w:ilvl="5" w:tplc="9ACC076A">
      <w:start w:val="1"/>
      <w:numFmt w:val="bullet"/>
      <w:lvlText w:val="■"/>
      <w:lvlJc w:val="left"/>
      <w:pPr>
        <w:ind w:left="4320" w:hanging="360"/>
      </w:pPr>
    </w:lvl>
    <w:lvl w:ilvl="6" w:tplc="E8744250">
      <w:start w:val="1"/>
      <w:numFmt w:val="bullet"/>
      <w:lvlText w:val="●"/>
      <w:lvlJc w:val="left"/>
      <w:pPr>
        <w:ind w:left="5040" w:hanging="360"/>
      </w:pPr>
    </w:lvl>
    <w:lvl w:ilvl="7" w:tplc="7E8E72B6">
      <w:start w:val="1"/>
      <w:numFmt w:val="bullet"/>
      <w:lvlText w:val="●"/>
      <w:lvlJc w:val="left"/>
      <w:pPr>
        <w:ind w:left="5760" w:hanging="360"/>
      </w:pPr>
    </w:lvl>
    <w:lvl w:ilvl="8" w:tplc="2A2C4546">
      <w:start w:val="1"/>
      <w:numFmt w:val="bullet"/>
      <w:lvlText w:val="●"/>
      <w:lvlJc w:val="left"/>
      <w:pPr>
        <w:ind w:left="6480" w:hanging="360"/>
      </w:pPr>
    </w:lvl>
  </w:abstractNum>
  <w:num w:numId="1" w16cid:durableId="14607985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9E"/>
    <w:rsid w:val="0032559E"/>
    <w:rsid w:val="003D1745"/>
    <w:rsid w:val="004C729C"/>
    <w:rsid w:val="00C62DA2"/>
    <w:rsid w:val="00CE1E94"/>
    <w:rsid w:val="00E338DD"/>
    <w:rsid w:val="00F608BE"/>
    <w:rsid w:val="00FF7096"/>
    <w:rsid w:val="0334C7FD"/>
    <w:rsid w:val="18281BED"/>
    <w:rsid w:val="1C620B5E"/>
    <w:rsid w:val="24C7B229"/>
    <w:rsid w:val="3F4E84B4"/>
    <w:rsid w:val="653D7B22"/>
    <w:rsid w:val="662C1AC6"/>
    <w:rsid w:val="665CC799"/>
    <w:rsid w:val="6BC3D439"/>
    <w:rsid w:val="6C17F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EF0F1"/>
  <w15:docId w15:val="{7506FE93-4FDE-4E27-997F-054B253B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spacing w:before="280" w:after="160"/>
      <w:outlineLvl w:val="0"/>
    </w:pPr>
    <w:rPr>
      <w:b/>
      <w:bCs/>
      <w:sz w:val="28"/>
      <w:szCs w:val="28"/>
    </w:rPr>
  </w:style>
  <w:style w:type="paragraph" w:styleId="Heading2">
    <w:name w:val="heading 2"/>
    <w:uiPriority w:val="9"/>
    <w:unhideWhenUsed/>
    <w:qFormat/>
    <w:pPr>
      <w:spacing w:before="200" w:after="12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Surayya Khan (2323459)</lastModifiedBy>
  <revision>6</revision>
  <dcterms:created xsi:type="dcterms:W3CDTF">2026-06-29T15:29:00.0000000Z</dcterms:created>
  <dcterms:modified xsi:type="dcterms:W3CDTF">2026-07-14T12:06:31.5127492Z</dcterms:modified>
</coreProperties>
</file>