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563C7" w14:textId="30BFEBA9" w:rsidR="001D7545" w:rsidRDefault="001D7545">
      <w:pPr>
        <w:jc w:val="center"/>
        <w:rPr>
          <w:b/>
          <w:sz w:val="32"/>
          <w:szCs w:val="32"/>
        </w:rPr>
      </w:pPr>
    </w:p>
    <w:p w14:paraId="6D2CFE59" w14:textId="77777777" w:rsidR="00517ACC" w:rsidRDefault="00000000">
      <w:pPr>
        <w:jc w:val="center"/>
        <w:rPr>
          <w:b/>
          <w:sz w:val="32"/>
          <w:szCs w:val="32"/>
        </w:rPr>
      </w:pPr>
      <w:r>
        <w:rPr>
          <w:b/>
          <w:sz w:val="32"/>
          <w:szCs w:val="32"/>
        </w:rPr>
        <w:t>Case Study: The Seaview Resort</w:t>
      </w:r>
    </w:p>
    <w:p w14:paraId="354AAEBF" w14:textId="77777777" w:rsidR="00B44425" w:rsidRDefault="00B44425">
      <w:pPr>
        <w:jc w:val="center"/>
      </w:pPr>
      <w:r>
        <w:t xml:space="preserve">Irimia Ionut </w:t>
      </w:r>
    </w:p>
    <w:p w14:paraId="7773A5DE" w14:textId="77777777" w:rsidR="00B44425" w:rsidRDefault="00B44425">
      <w:pPr>
        <w:jc w:val="center"/>
      </w:pPr>
      <w:r>
        <w:t>2125047</w:t>
      </w:r>
    </w:p>
    <w:p w14:paraId="33C1F68B" w14:textId="77777777" w:rsidR="00B44425" w:rsidRDefault="00B44425">
      <w:pPr>
        <w:jc w:val="center"/>
      </w:pPr>
      <w:r>
        <w:t xml:space="preserve">Jaliya De Silva </w:t>
      </w:r>
    </w:p>
    <w:p w14:paraId="7521A7ED" w14:textId="4F9B7319" w:rsidR="001D7545" w:rsidRDefault="00B44425">
      <w:pPr>
        <w:jc w:val="center"/>
        <w:rPr>
          <w:b/>
          <w:sz w:val="32"/>
          <w:szCs w:val="32"/>
        </w:rPr>
      </w:pPr>
      <w:r>
        <w:t>Finacial Management BMIH5007</w:t>
      </w:r>
      <w:r w:rsidR="00000000">
        <w:br w:type="page"/>
      </w:r>
    </w:p>
    <w:p w14:paraId="273418C0" w14:textId="77777777" w:rsidR="001D7545" w:rsidRDefault="00000000">
      <w:pPr>
        <w:jc w:val="center"/>
        <w:rPr>
          <w:b/>
          <w:sz w:val="32"/>
          <w:szCs w:val="32"/>
        </w:rPr>
      </w:pPr>
      <w:r>
        <w:rPr>
          <w:b/>
          <w:sz w:val="32"/>
          <w:szCs w:val="32"/>
        </w:rPr>
        <w:lastRenderedPageBreak/>
        <w:t>Table of contents</w:t>
      </w:r>
    </w:p>
    <w:p w14:paraId="14A635B9" w14:textId="77777777" w:rsidR="001D7545" w:rsidRDefault="001D7545">
      <w:pPr>
        <w:jc w:val="center"/>
      </w:pPr>
    </w:p>
    <w:sdt>
      <w:sdtPr>
        <w:id w:val="310827485"/>
        <w:docPartObj>
          <w:docPartGallery w:val="Table of Contents"/>
          <w:docPartUnique/>
        </w:docPartObj>
      </w:sdtPr>
      <w:sdtContent>
        <w:p w14:paraId="4767C7FC" w14:textId="77777777" w:rsidR="001D7545" w:rsidRDefault="00000000">
          <w:pPr>
            <w:widowControl w:val="0"/>
            <w:tabs>
              <w:tab w:val="right" w:pos="9360"/>
            </w:tabs>
            <w:spacing w:before="60"/>
            <w:jc w:val="left"/>
            <w:rPr>
              <w:color w:val="000000"/>
            </w:rPr>
          </w:pPr>
          <w:r>
            <w:fldChar w:fldCharType="begin"/>
          </w:r>
          <w:r>
            <w:instrText xml:space="preserve"> TOC \h \u \z \t "Heading 1,1,Heading 2,2,Heading 3,3,Heading 4,4,Heading 5,5,Heading 6,6,"</w:instrText>
          </w:r>
          <w:r>
            <w:fldChar w:fldCharType="separate"/>
          </w:r>
          <w:hyperlink w:anchor="_fz4kupa1dd1f">
            <w:r>
              <w:rPr>
                <w:color w:val="000000"/>
              </w:rPr>
              <w:t>Introduction</w:t>
            </w:r>
            <w:r>
              <w:rPr>
                <w:color w:val="000000"/>
              </w:rPr>
              <w:tab/>
            </w:r>
          </w:hyperlink>
          <w:r>
            <w:fldChar w:fldCharType="begin"/>
          </w:r>
          <w:r>
            <w:instrText xml:space="preserve"> PAGEREF _fz4kupa1dd1f \h </w:instrText>
          </w:r>
          <w:r>
            <w:fldChar w:fldCharType="separate"/>
          </w:r>
          <w:r>
            <w:t>3</w:t>
          </w:r>
          <w:r>
            <w:fldChar w:fldCharType="end"/>
          </w:r>
        </w:p>
        <w:p w14:paraId="736FD6DA" w14:textId="77777777" w:rsidR="001D7545" w:rsidRDefault="00000000">
          <w:pPr>
            <w:widowControl w:val="0"/>
            <w:tabs>
              <w:tab w:val="right" w:pos="9360"/>
            </w:tabs>
            <w:spacing w:before="60"/>
            <w:jc w:val="left"/>
            <w:rPr>
              <w:color w:val="000000"/>
            </w:rPr>
          </w:pPr>
          <w:hyperlink w:anchor="_yvs0kspzta98">
            <w:r>
              <w:rPr>
                <w:color w:val="000000"/>
              </w:rPr>
              <w:t>Analysis of the Seaview Resort's financial performance over the past three years</w:t>
            </w:r>
            <w:r>
              <w:rPr>
                <w:color w:val="000000"/>
              </w:rPr>
              <w:tab/>
            </w:r>
          </w:hyperlink>
          <w:r>
            <w:fldChar w:fldCharType="begin"/>
          </w:r>
          <w:r>
            <w:instrText xml:space="preserve"> PAGEREF _yvs0kspzta98 \h </w:instrText>
          </w:r>
          <w:r>
            <w:fldChar w:fldCharType="separate"/>
          </w:r>
          <w:r>
            <w:t>3</w:t>
          </w:r>
          <w:r>
            <w:fldChar w:fldCharType="end"/>
          </w:r>
        </w:p>
        <w:p w14:paraId="24924DE7" w14:textId="77777777" w:rsidR="001D7545" w:rsidRDefault="00000000">
          <w:pPr>
            <w:widowControl w:val="0"/>
            <w:tabs>
              <w:tab w:val="right" w:pos="9360"/>
            </w:tabs>
            <w:spacing w:before="60"/>
            <w:jc w:val="left"/>
            <w:rPr>
              <w:color w:val="000000"/>
            </w:rPr>
          </w:pPr>
          <w:hyperlink w:anchor="_tn0w3lu4cmiu">
            <w:r>
              <w:rPr>
                <w:color w:val="000000"/>
              </w:rPr>
              <w:t>Identification of the key reasons behind the decline in profitability</w:t>
            </w:r>
            <w:r>
              <w:rPr>
                <w:color w:val="000000"/>
              </w:rPr>
              <w:tab/>
            </w:r>
          </w:hyperlink>
          <w:r>
            <w:fldChar w:fldCharType="begin"/>
          </w:r>
          <w:r>
            <w:instrText xml:space="preserve"> PAGEREF _tn0w3lu4cmiu \h </w:instrText>
          </w:r>
          <w:r>
            <w:fldChar w:fldCharType="separate"/>
          </w:r>
          <w:r>
            <w:t>5</w:t>
          </w:r>
          <w:r>
            <w:fldChar w:fldCharType="end"/>
          </w:r>
        </w:p>
        <w:p w14:paraId="1BC34F31" w14:textId="77777777" w:rsidR="001D7545" w:rsidRDefault="00000000">
          <w:pPr>
            <w:widowControl w:val="0"/>
            <w:tabs>
              <w:tab w:val="right" w:pos="9360"/>
            </w:tabs>
            <w:spacing w:before="60"/>
            <w:jc w:val="left"/>
            <w:rPr>
              <w:color w:val="000000"/>
            </w:rPr>
          </w:pPr>
          <w:hyperlink w:anchor="_yv5kjv8kzozn">
            <w:r>
              <w:rPr>
                <w:color w:val="000000"/>
              </w:rPr>
              <w:t>Development of a comprehensive turnaround strategy to revitalize the resort's financial health and restore its reputation as a premier vacation destination or most viable financial outcomes</w:t>
            </w:r>
            <w:r>
              <w:rPr>
                <w:color w:val="000000"/>
              </w:rPr>
              <w:tab/>
            </w:r>
          </w:hyperlink>
          <w:r>
            <w:fldChar w:fldCharType="begin"/>
          </w:r>
          <w:r>
            <w:instrText xml:space="preserve"> PAGEREF _yv5kjv8kzozn \h </w:instrText>
          </w:r>
          <w:r>
            <w:fldChar w:fldCharType="separate"/>
          </w:r>
          <w:r>
            <w:t>6</w:t>
          </w:r>
          <w:r>
            <w:fldChar w:fldCharType="end"/>
          </w:r>
        </w:p>
        <w:p w14:paraId="2EC1CE16" w14:textId="77777777" w:rsidR="001D7545" w:rsidRDefault="00000000">
          <w:pPr>
            <w:widowControl w:val="0"/>
            <w:tabs>
              <w:tab w:val="right" w:pos="9360"/>
            </w:tabs>
            <w:spacing w:before="60"/>
            <w:jc w:val="left"/>
            <w:rPr>
              <w:color w:val="000000"/>
            </w:rPr>
          </w:pPr>
          <w:hyperlink w:anchor="_j30ge6uxdmf">
            <w:r>
              <w:rPr>
                <w:color w:val="000000"/>
              </w:rPr>
              <w:t>Pricing strategy improvement</w:t>
            </w:r>
            <w:r>
              <w:rPr>
                <w:color w:val="000000"/>
              </w:rPr>
              <w:tab/>
            </w:r>
          </w:hyperlink>
          <w:r>
            <w:fldChar w:fldCharType="begin"/>
          </w:r>
          <w:r>
            <w:instrText xml:space="preserve"> PAGEREF _j30ge6uxdmf \h </w:instrText>
          </w:r>
          <w:r>
            <w:fldChar w:fldCharType="separate"/>
          </w:r>
          <w:r>
            <w:t>6</w:t>
          </w:r>
          <w:r>
            <w:fldChar w:fldCharType="end"/>
          </w:r>
        </w:p>
        <w:p w14:paraId="5C0C002D" w14:textId="0E9267A9" w:rsidR="001D7545" w:rsidRDefault="00000000">
          <w:pPr>
            <w:widowControl w:val="0"/>
            <w:tabs>
              <w:tab w:val="right" w:pos="9360"/>
            </w:tabs>
            <w:spacing w:before="60"/>
            <w:jc w:val="left"/>
            <w:rPr>
              <w:color w:val="000000"/>
            </w:rPr>
          </w:pPr>
          <w:hyperlink w:anchor="_7nmc0rafvey3">
            <w:r>
              <w:rPr>
                <w:color w:val="000000"/>
              </w:rPr>
              <w:t xml:space="preserve">With the help of incorporating the </w:t>
            </w:r>
            <w:r w:rsidR="00E155CD">
              <w:rPr>
                <w:color w:val="000000"/>
              </w:rPr>
              <w:t>above-mentioned</w:t>
            </w:r>
            <w:r>
              <w:rPr>
                <w:color w:val="000000"/>
              </w:rPr>
              <w:t xml:space="preserve"> strategy it can become easier for the managers of the resort </w:t>
            </w:r>
            <w:r w:rsidR="00E155CD">
              <w:rPr>
                <w:color w:val="000000"/>
              </w:rPr>
              <w:t>to improve the revenue and enhance</w:t>
            </w:r>
            <w:r>
              <w:rPr>
                <w:color w:val="000000"/>
              </w:rPr>
              <w:t xml:space="preserve"> the financial performance (Jin et al., 2023).</w:t>
            </w:r>
            <w:r>
              <w:rPr>
                <w:color w:val="000000"/>
              </w:rPr>
              <w:tab/>
            </w:r>
          </w:hyperlink>
          <w:r>
            <w:fldChar w:fldCharType="begin"/>
          </w:r>
          <w:r>
            <w:instrText xml:space="preserve"> PAGEREF _7nmc0rafvey3 \h </w:instrText>
          </w:r>
          <w:r>
            <w:fldChar w:fldCharType="separate"/>
          </w:r>
          <w:r>
            <w:t>8</w:t>
          </w:r>
          <w:r>
            <w:fldChar w:fldCharType="end"/>
          </w:r>
        </w:p>
        <w:p w14:paraId="536FA48D" w14:textId="77777777" w:rsidR="001D7545" w:rsidRDefault="00000000">
          <w:pPr>
            <w:widowControl w:val="0"/>
            <w:tabs>
              <w:tab w:val="right" w:pos="9360"/>
            </w:tabs>
            <w:spacing w:before="60"/>
            <w:jc w:val="left"/>
            <w:rPr>
              <w:color w:val="000000"/>
            </w:rPr>
          </w:pPr>
          <w:hyperlink w:anchor="_2iv5m6kxialf">
            <w:r>
              <w:rPr>
                <w:color w:val="000000"/>
              </w:rPr>
              <w:t>Conclusion</w:t>
            </w:r>
            <w:r>
              <w:rPr>
                <w:color w:val="000000"/>
              </w:rPr>
              <w:tab/>
            </w:r>
          </w:hyperlink>
          <w:r>
            <w:fldChar w:fldCharType="begin"/>
          </w:r>
          <w:r>
            <w:instrText xml:space="preserve"> PAGEREF _2iv5m6kxialf \h </w:instrText>
          </w:r>
          <w:r>
            <w:fldChar w:fldCharType="separate"/>
          </w:r>
          <w:r>
            <w:t>8</w:t>
          </w:r>
          <w:r>
            <w:fldChar w:fldCharType="end"/>
          </w:r>
        </w:p>
        <w:p w14:paraId="7D0885C4" w14:textId="77777777" w:rsidR="001D7545" w:rsidRDefault="00000000">
          <w:pPr>
            <w:widowControl w:val="0"/>
            <w:tabs>
              <w:tab w:val="right" w:pos="9360"/>
            </w:tabs>
            <w:spacing w:before="60"/>
            <w:jc w:val="left"/>
            <w:rPr>
              <w:color w:val="000000"/>
            </w:rPr>
          </w:pPr>
          <w:hyperlink w:anchor="_lrx9w2525nut">
            <w:r>
              <w:rPr>
                <w:color w:val="000000"/>
              </w:rPr>
              <w:t>References</w:t>
            </w:r>
            <w:r>
              <w:rPr>
                <w:color w:val="000000"/>
              </w:rPr>
              <w:tab/>
            </w:r>
          </w:hyperlink>
          <w:r>
            <w:fldChar w:fldCharType="begin"/>
          </w:r>
          <w:r>
            <w:instrText xml:space="preserve"> PAGEREF _lrx9w2525nut \h </w:instrText>
          </w:r>
          <w:r>
            <w:fldChar w:fldCharType="separate"/>
          </w:r>
          <w:r>
            <w:t>9</w:t>
          </w:r>
          <w:r>
            <w:fldChar w:fldCharType="end"/>
          </w:r>
          <w:r>
            <w:fldChar w:fldCharType="end"/>
          </w:r>
        </w:p>
      </w:sdtContent>
    </w:sdt>
    <w:p w14:paraId="4B00BA85" w14:textId="77777777" w:rsidR="001D7545" w:rsidRDefault="00000000">
      <w:pPr>
        <w:jc w:val="center"/>
        <w:rPr>
          <w:b/>
          <w:sz w:val="32"/>
          <w:szCs w:val="32"/>
        </w:rPr>
      </w:pPr>
      <w:r>
        <w:br w:type="page"/>
      </w:r>
    </w:p>
    <w:p w14:paraId="76006624" w14:textId="77777777" w:rsidR="001D7545" w:rsidRDefault="00000000">
      <w:pPr>
        <w:pStyle w:val="Heading1"/>
      </w:pPr>
      <w:bookmarkStart w:id="0" w:name="_fz4kupa1dd1f" w:colFirst="0" w:colLast="0"/>
      <w:bookmarkEnd w:id="0"/>
      <w:r>
        <w:lastRenderedPageBreak/>
        <w:t>Introduction</w:t>
      </w:r>
    </w:p>
    <w:p w14:paraId="085B6D84" w14:textId="4998AA07" w:rsidR="001D7545" w:rsidRDefault="00000000">
      <w:r>
        <w:t xml:space="preserve">Once a symbol of luxury and leisure, the Seaview Resort, nestled on a magnificent beach, is now at a crossroads. The resort has had numerous difficulties recently, including dropping income and occupancy rates as well as worries regarding patron happiness. The resort's owner, Mr. James Henderson, has enlisted our assistance since he understands that a calculated intervention is necessary to safely negotiate these choppy waters. This assessment is going to explore the financial picture of Seaview Resort in this thorough analysis, looking at cash flow, balance, and income statements. Investigation </w:t>
      </w:r>
      <w:r w:rsidR="00E155CD">
        <w:t>into</w:t>
      </w:r>
      <w:r>
        <w:t xml:space="preserve"> market dynamics along with revealing changes in consumer inclinations and the competitive environment are also going to be performed in this assessment. To obtain a comprehensive picture of the business, it also carefully examines operational details like Average Room Rates (ARR) and Occupancy Rates (Abadi et al., 2023).</w:t>
      </w:r>
    </w:p>
    <w:p w14:paraId="36850CF0" w14:textId="77777777" w:rsidR="001D7545" w:rsidRDefault="00000000">
      <w:r>
        <w:t>This assessment is also going to identify the problems and plot a plan for a calculated retreat. It also seeks to offer practical suggestions that will reposition the Seaview Resort for success in the fast-paced and cutthroat hospitality sector through meticulous investigation and data-driven insights.</w:t>
      </w:r>
    </w:p>
    <w:p w14:paraId="294E1E91" w14:textId="77777777" w:rsidR="001D7545" w:rsidRDefault="00000000">
      <w:pPr>
        <w:pStyle w:val="Heading1"/>
      </w:pPr>
      <w:bookmarkStart w:id="1" w:name="_yvs0kspzta98" w:colFirst="0" w:colLast="0"/>
      <w:bookmarkEnd w:id="1"/>
      <w:r>
        <w:t>Analysis of the Seaview Resort's financial performance over the past three years</w:t>
      </w:r>
    </w:p>
    <w:p w14:paraId="34F7702D" w14:textId="77777777" w:rsidR="001D7545" w:rsidRDefault="00000000">
      <w:pPr>
        <w:jc w:val="center"/>
        <w:rPr>
          <w:b/>
        </w:rPr>
      </w:pPr>
      <w:r>
        <w:rPr>
          <w:b/>
          <w:noProof/>
        </w:rPr>
        <w:drawing>
          <wp:inline distT="114300" distB="114300" distL="114300" distR="114300" wp14:anchorId="57844936" wp14:editId="08F977CF">
            <wp:extent cx="5943600" cy="1498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1498600"/>
                    </a:xfrm>
                    <a:prstGeom prst="rect">
                      <a:avLst/>
                    </a:prstGeom>
                    <a:ln/>
                  </pic:spPr>
                </pic:pic>
              </a:graphicData>
            </a:graphic>
          </wp:inline>
        </w:drawing>
      </w:r>
    </w:p>
    <w:p w14:paraId="13973D7A" w14:textId="77777777" w:rsidR="001D7545" w:rsidRDefault="00000000">
      <w:pPr>
        <w:jc w:val="center"/>
        <w:rPr>
          <w:b/>
        </w:rPr>
      </w:pPr>
      <w:r>
        <w:rPr>
          <w:b/>
        </w:rPr>
        <w:t xml:space="preserve">Figure 1: income statement </w:t>
      </w:r>
    </w:p>
    <w:p w14:paraId="2C1E1D9B" w14:textId="77777777" w:rsidR="001D7545" w:rsidRDefault="00000000">
      <w:pPr>
        <w:jc w:val="center"/>
      </w:pPr>
      <w:r>
        <w:t>(Source: Case study)</w:t>
      </w:r>
    </w:p>
    <w:p w14:paraId="67F40FEF" w14:textId="2C3F7E90" w:rsidR="00517ACC" w:rsidRDefault="00000000">
      <w:r>
        <w:t xml:space="preserve">As were the above figure it can be set that the income statement has shown the information about the total revenue </w:t>
      </w:r>
      <w:r w:rsidR="00E155CD">
        <w:t>from</w:t>
      </w:r>
      <w:r>
        <w:t xml:space="preserve"> 2020 to 2022. It can be visualized that the total revenue of the organization has decreased in 2022 in comparison to that of 2020. The operating expenses have increased from 2020 to 2022. This is illustrated as the operating expenses were 390 000 in 2020 which will increase to 4500 dollars in 2022. It has been found to decrease in the year 2022 in comparison to 2020. This is illustrated as the growth profit of the company was 13000 dollars in 2020 which has decreased to 20000 dollars in 2022. </w:t>
      </w:r>
    </w:p>
    <w:p w14:paraId="1A628433" w14:textId="1AE71ECD" w:rsidR="001D7545" w:rsidRDefault="00517ACC">
      <w:r>
        <w:lastRenderedPageBreak/>
        <w:t xml:space="preserve">  </w:t>
      </w:r>
      <w:r w:rsidR="00000000">
        <w:t>Net profit has also decreased in the year 2022 in comparison to that of 2020. And it can be analyzed that the net profit margin has turned into minus 11% in 2022 which was 15% in 2020. In this context</w:t>
      </w:r>
      <w:r w:rsidR="00E155CD">
        <w:t>,</w:t>
      </w:r>
      <w:r w:rsidR="00000000">
        <w:t xml:space="preserve"> the gross profit indicates the cost of goods sold and other direct costs exceed the organization. It has also </w:t>
      </w:r>
      <w:r w:rsidR="00E155CD">
        <w:t xml:space="preserve">been </w:t>
      </w:r>
      <w:r w:rsidR="00000000">
        <w:t>identified that the net profit has constantly declined in the organization which has also resulted in a negative in 2022 (Afjal et al., 2023).</w:t>
      </w:r>
    </w:p>
    <w:p w14:paraId="5076578B" w14:textId="77777777" w:rsidR="001D7545" w:rsidRDefault="00000000">
      <w:pPr>
        <w:jc w:val="center"/>
      </w:pPr>
      <w:r>
        <w:rPr>
          <w:noProof/>
        </w:rPr>
        <w:drawing>
          <wp:inline distT="114300" distB="114300" distL="114300" distR="114300" wp14:anchorId="6575F5D9" wp14:editId="796561C4">
            <wp:extent cx="5943600" cy="222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222500"/>
                    </a:xfrm>
                    <a:prstGeom prst="rect">
                      <a:avLst/>
                    </a:prstGeom>
                    <a:ln/>
                  </pic:spPr>
                </pic:pic>
              </a:graphicData>
            </a:graphic>
          </wp:inline>
        </w:drawing>
      </w:r>
    </w:p>
    <w:p w14:paraId="6709401E" w14:textId="77777777" w:rsidR="001D7545" w:rsidRDefault="00000000">
      <w:pPr>
        <w:jc w:val="center"/>
        <w:rPr>
          <w:b/>
        </w:rPr>
      </w:pPr>
      <w:r>
        <w:rPr>
          <w:b/>
        </w:rPr>
        <w:t>Figure 2: Balance sheet</w:t>
      </w:r>
    </w:p>
    <w:p w14:paraId="68EDA9D2" w14:textId="005EF62D" w:rsidR="001D7545" w:rsidRDefault="00000000">
      <w:pPr>
        <w:jc w:val="center"/>
      </w:pPr>
      <w:r>
        <w:t xml:space="preserve">(Source: </w:t>
      </w:r>
      <w:r w:rsidR="00F148A0">
        <w:t>case study</w:t>
      </w:r>
      <w:r>
        <w:t>)</w:t>
      </w:r>
    </w:p>
    <w:p w14:paraId="0098BEDA" w14:textId="01000C4B" w:rsidR="001D7545" w:rsidRDefault="00000000">
      <w:r>
        <w:t>The above figure demonstrates the balance sheet according to which the total asset at the end of 2022 is equivalent to 1030 000. However</w:t>
      </w:r>
      <w:r w:rsidR="00E155CD">
        <w:t>,</w:t>
      </w:r>
      <w:r>
        <w:t xml:space="preserve"> the current assets are 250 000 and the property and equipment </w:t>
      </w:r>
      <w:r w:rsidR="00F148A0">
        <w:t>are</w:t>
      </w:r>
      <w:r>
        <w:t xml:space="preserve"> 630000 at the end of 2022. However</w:t>
      </w:r>
      <w:r w:rsidR="00E155CD">
        <w:t>,</w:t>
      </w:r>
      <w:r>
        <w:t xml:space="preserve"> the other asset was 1500 and </w:t>
      </w:r>
      <w:r w:rsidR="00E155CD">
        <w:t xml:space="preserve">the </w:t>
      </w:r>
      <w:r>
        <w:t xml:space="preserve">total liability was 580000. The current liabilities are equal to 180000 and the long term is equal to 400000 </w:t>
      </w:r>
      <w:r w:rsidR="00A51579">
        <w:t>pound</w:t>
      </w:r>
      <w:r>
        <w:t>s. However</w:t>
      </w:r>
      <w:r w:rsidR="00E155CD">
        <w:t>,</w:t>
      </w:r>
      <w:r>
        <w:t xml:space="preserve"> the equity is equal to 450000 </w:t>
      </w:r>
      <w:r w:rsidR="00A51579">
        <w:t>pounds</w:t>
      </w:r>
      <w:r>
        <w:t>. Based on the provided information, it can be said that at £1,030,000, the resort's overall assets include a sizable amount of real estate and equipment. With current obligations of £180,000 and long-term debt of £400,000, the total liabilities come to £580,000. Equity is the remaining interest after subtracting obligations, and it is £450,000.</w:t>
      </w:r>
    </w:p>
    <w:p w14:paraId="7EDE5156" w14:textId="77777777" w:rsidR="001D7545" w:rsidRDefault="00000000">
      <w:pPr>
        <w:jc w:val="center"/>
      </w:pPr>
      <w:r>
        <w:rPr>
          <w:noProof/>
        </w:rPr>
        <w:drawing>
          <wp:inline distT="114300" distB="114300" distL="114300" distR="114300" wp14:anchorId="41649789" wp14:editId="4B163C02">
            <wp:extent cx="5943600" cy="1117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117600"/>
                    </a:xfrm>
                    <a:prstGeom prst="rect">
                      <a:avLst/>
                    </a:prstGeom>
                    <a:ln/>
                  </pic:spPr>
                </pic:pic>
              </a:graphicData>
            </a:graphic>
          </wp:inline>
        </w:drawing>
      </w:r>
    </w:p>
    <w:p w14:paraId="440D7B8D" w14:textId="77777777" w:rsidR="00517ACC" w:rsidRDefault="00517ACC">
      <w:pPr>
        <w:jc w:val="center"/>
        <w:rPr>
          <w:b/>
        </w:rPr>
      </w:pPr>
    </w:p>
    <w:p w14:paraId="2B4FCAF5" w14:textId="77777777" w:rsidR="00517ACC" w:rsidRDefault="00517ACC">
      <w:pPr>
        <w:jc w:val="center"/>
        <w:rPr>
          <w:b/>
        </w:rPr>
      </w:pPr>
    </w:p>
    <w:p w14:paraId="31E34D86" w14:textId="5449B91F" w:rsidR="001D7545" w:rsidRDefault="00000000">
      <w:pPr>
        <w:jc w:val="center"/>
        <w:rPr>
          <w:b/>
        </w:rPr>
      </w:pPr>
      <w:r>
        <w:rPr>
          <w:b/>
        </w:rPr>
        <w:lastRenderedPageBreak/>
        <w:t>Figure 3: Cash flow analysis</w:t>
      </w:r>
    </w:p>
    <w:p w14:paraId="7821E7AA" w14:textId="7EFCC28D" w:rsidR="001D7545" w:rsidRDefault="00000000">
      <w:pPr>
        <w:jc w:val="center"/>
      </w:pPr>
      <w:r>
        <w:t>(Source:</w:t>
      </w:r>
      <w:r w:rsidR="00F148A0">
        <w:t xml:space="preserve"> case study</w:t>
      </w:r>
      <w:r>
        <w:t>)</w:t>
      </w:r>
    </w:p>
    <w:p w14:paraId="47C16ABB" w14:textId="388D35B7" w:rsidR="001D7545" w:rsidRDefault="00000000">
      <w:r>
        <w:t xml:space="preserve">In 2021, there was a negative net cash flow from operations (-£80,000) and an overall negative net cash flow of -£110,000, suggesting </w:t>
      </w:r>
      <w:r w:rsidR="00E155CD">
        <w:t>liquidity</w:t>
      </w:r>
      <w:r>
        <w:t xml:space="preserve"> issues. Over time, both occupancy rates and average room rates (ARR) have dropped, which has </w:t>
      </w:r>
      <w:r w:rsidR="00E155CD">
        <w:t>affected</w:t>
      </w:r>
      <w:r>
        <w:t xml:space="preserve"> profitability and income. An insufficient amount of cash generated by the resort's core business activities to meet its operational expenses in 2021 is indicated by a negative net cash flow from operations. This could be the result of increased operational costs, a drop in revenue, or both. In 2021, the resort made capital expenditures </w:t>
      </w:r>
      <w:r w:rsidR="00A51579">
        <w:t>totalling</w:t>
      </w:r>
      <w:r>
        <w:t xml:space="preserve"> £30,000. </w:t>
      </w:r>
      <w:r w:rsidR="00E155CD">
        <w:t>Capital</w:t>
      </w:r>
      <w:r>
        <w:t xml:space="preserve"> expenditures are investments made in tangible assets such as buildings, machinery, or equipment. The net cash flow from operations is subtracted from capital expenditures to get the overall net cash flow, which shows the change in the cash balance. A net cash outflow for the year is shown by a negative value of -£110,000 (Bista et al., 2023).</w:t>
      </w:r>
    </w:p>
    <w:p w14:paraId="62285914" w14:textId="77777777" w:rsidR="001D7545" w:rsidRDefault="00000000">
      <w:pPr>
        <w:pStyle w:val="Heading1"/>
      </w:pPr>
      <w:bookmarkStart w:id="2" w:name="_tn0w3lu4cmiu" w:colFirst="0" w:colLast="0"/>
      <w:bookmarkEnd w:id="2"/>
      <w:r>
        <w:t>Identification of the key reasons behind the decline in profitability</w:t>
      </w:r>
    </w:p>
    <w:p w14:paraId="40EE499B" w14:textId="5D0FE7C6" w:rsidR="001D7545" w:rsidRDefault="00000000">
      <w:r>
        <w:t xml:space="preserve">The research has demonstrated that there is a consistent decline in revenue from 2020 to 2022. The average room rate has also decreased in 2022 as the ARR value in 2020 was 250 </w:t>
      </w:r>
      <w:r w:rsidR="00E155CD">
        <w:t>pounds</w:t>
      </w:r>
      <w:r>
        <w:t xml:space="preserve"> which has declined to 210 in 2022. In this context, this declaration has been found to suggest that the resort is charging less per room night which </w:t>
      </w:r>
      <w:r w:rsidR="00E155CD">
        <w:t xml:space="preserve">is </w:t>
      </w:r>
      <w:r>
        <w:t>all so negatively impacting revenue generation. The average room rate declamation might also be due to the lack of demand from the customers (</w:t>
      </w:r>
      <w:r w:rsidR="00E155CD">
        <w:t>Botero</w:t>
      </w:r>
      <w:r>
        <w:t xml:space="preserve"> et al., 2023). In this context</w:t>
      </w:r>
      <w:r w:rsidR="00E155CD">
        <w:t>,</w:t>
      </w:r>
      <w:r>
        <w:t xml:space="preserve"> the lack of demand might be occurring due to the poor services provided in the resort. However, the enhanced services and the quality products might be of value to the organization in terms of increasing the overall demand from the customers. The research has also illustrated that the occupancy rate has also decreased in the company. This is illustrated as in 2020 the occupancy rate was 70% which declined to 65% in 2021 and again it declined to 60% in 2022. By analyzing this </w:t>
      </w:r>
      <w:r w:rsidR="00E155CD">
        <w:t>data,</w:t>
      </w:r>
      <w:r>
        <w:t xml:space="preserve"> it can be demonstrated that </w:t>
      </w:r>
      <w:r w:rsidR="00E155CD">
        <w:t>the low</w:t>
      </w:r>
      <w:r>
        <w:t xml:space="preserve"> occupancy rate is due to the lack of demand from the customers. However</w:t>
      </w:r>
      <w:r w:rsidR="00E155CD">
        <w:t>,</w:t>
      </w:r>
      <w:r>
        <w:t xml:space="preserve"> the fuel rooms are also available </w:t>
      </w:r>
      <w:r w:rsidR="00E155CD">
        <w:t>throughout</w:t>
      </w:r>
      <w:r>
        <w:t xml:space="preserve"> the entire </w:t>
      </w:r>
      <w:r w:rsidR="00E155CD">
        <w:t>season,</w:t>
      </w:r>
      <w:r>
        <w:t xml:space="preserve"> but they have not obtained the customers who can book the rooms for themselves. In this context</w:t>
      </w:r>
      <w:r w:rsidR="00E155CD">
        <w:t>,</w:t>
      </w:r>
      <w:r>
        <w:t xml:space="preserve"> it has also negatively impacted the overall revenue of the resort and profitability (</w:t>
      </w:r>
      <w:r w:rsidR="00E155CD">
        <w:t>Bobita</w:t>
      </w:r>
      <w:r>
        <w:t xml:space="preserve"> et al., 2023).</w:t>
      </w:r>
    </w:p>
    <w:p w14:paraId="72AA4FF0" w14:textId="77777777" w:rsidR="00517ACC" w:rsidRDefault="00517ACC"/>
    <w:p w14:paraId="108A8405" w14:textId="73D78AEA" w:rsidR="001D7545" w:rsidRDefault="00000000">
      <w:r>
        <w:t>The data provided in the case study also shows that the gross profit turned negative in 2022 and the net profit also declined. In this context</w:t>
      </w:r>
      <w:r w:rsidR="00E155CD">
        <w:t>,</w:t>
      </w:r>
      <w:r>
        <w:t xml:space="preserve"> the cost of goods </w:t>
      </w:r>
      <w:r w:rsidR="00E155CD">
        <w:t>sold,</w:t>
      </w:r>
      <w:r>
        <w:t xml:space="preserve"> and other direct costs are also </w:t>
      </w:r>
      <w:r>
        <w:lastRenderedPageBreak/>
        <w:t xml:space="preserve">found to </w:t>
      </w:r>
      <w:r w:rsidR="00E155CD">
        <w:t>exceed</w:t>
      </w:r>
      <w:r>
        <w:t xml:space="preserve"> </w:t>
      </w:r>
      <w:r w:rsidR="00F148A0">
        <w:t>the</w:t>
      </w:r>
      <w:r>
        <w:t xml:space="preserve"> generated revenue which has also resulted in a loss. The high operating expenses </w:t>
      </w:r>
      <w:r w:rsidR="00E155CD">
        <w:t>are</w:t>
      </w:r>
      <w:r>
        <w:t xml:space="preserve"> also found from the above data provided which indicates that the cost is </w:t>
      </w:r>
      <w:r w:rsidR="00E155CD">
        <w:t>increasing</w:t>
      </w:r>
      <w:r>
        <w:t xml:space="preserve"> but it is not sufficient for the </w:t>
      </w:r>
      <w:r w:rsidR="00E155CD">
        <w:t>revenue,</w:t>
      </w:r>
      <w:r>
        <w:t xml:space="preserve"> and it is leading towards reducing the overall profitability (Boudreaux et al., 2023).</w:t>
      </w:r>
    </w:p>
    <w:p w14:paraId="2CF77CF3" w14:textId="33DD3AEA" w:rsidR="001D7545" w:rsidRDefault="00000000">
      <w:r>
        <w:t xml:space="preserve">The research has demonstrated that customer satisfaction and service quality play </w:t>
      </w:r>
      <w:r w:rsidR="00A51579">
        <w:t>a significant role</w:t>
      </w:r>
      <w:r>
        <w:t xml:space="preserve"> in terms of improving revenue and the overall profit margin. In this situation</w:t>
      </w:r>
      <w:r w:rsidR="00E155CD">
        <w:t>,</w:t>
      </w:r>
      <w:r>
        <w:t xml:space="preserve"> it can be illustrated that customer reviews are </w:t>
      </w:r>
      <w:r w:rsidR="00E155CD">
        <w:t>negatively</w:t>
      </w:r>
      <w:r>
        <w:t xml:space="preserve"> associated with this resort due to the service quality. Poor service quality and outdated amenities are the major reasons for the poor customer satisfaction and the service quality within the concerned resort. In this context</w:t>
      </w:r>
      <w:r w:rsidR="00E155CD">
        <w:t>,</w:t>
      </w:r>
      <w:r>
        <w:t xml:space="preserve"> it is leading towards reducing the profit margin in the business as well as reducing the overall profitability.</w:t>
      </w:r>
    </w:p>
    <w:p w14:paraId="2D81348B" w14:textId="5878030A" w:rsidR="001D7545" w:rsidRDefault="00000000">
      <w:r>
        <w:t xml:space="preserve">The market analysis is also found to </w:t>
      </w:r>
      <w:r w:rsidR="00E155CD">
        <w:t>reveal</w:t>
      </w:r>
      <w:r>
        <w:t xml:space="preserve"> that a highly competitive coastal resort market with the new year is found to be providing a modern resort in </w:t>
      </w:r>
      <w:r w:rsidR="00E155CD">
        <w:t xml:space="preserve">the </w:t>
      </w:r>
      <w:r>
        <w:t>vicinity due to which increased competition is associated with the resort. In this context</w:t>
      </w:r>
      <w:r w:rsidR="00E155CD">
        <w:t>,</w:t>
      </w:r>
      <w:r>
        <w:t xml:space="preserve"> the competition is also creating operations for the resort to increase the price as well as enhance </w:t>
      </w:r>
      <w:r w:rsidR="00E155CD">
        <w:t>its</w:t>
      </w:r>
      <w:r>
        <w:t xml:space="preserve"> offerings so that it can remain competitive. Due to the competition the overall marketing strategy and the techniques can also be changed within the organization so that the competition can remain higher (Cavalcante and Huang, 2022).</w:t>
      </w:r>
    </w:p>
    <w:p w14:paraId="50C99029" w14:textId="13BFA6A3" w:rsidR="001D7545" w:rsidRDefault="00000000">
      <w:r>
        <w:t xml:space="preserve">The declaration in ARR is also found to be providing information about the decreased occupancy rate. It also indicates a potential mismatch in the resort pricing and the positioning strategy. However, the pricing structure and the value proposition </w:t>
      </w:r>
      <w:r w:rsidR="00E155CD">
        <w:t>are</w:t>
      </w:r>
      <w:r>
        <w:t xml:space="preserve"> also found to be crucial </w:t>
      </w:r>
      <w:r w:rsidR="00E155CD">
        <w:t>to enhancing</w:t>
      </w:r>
      <w:r>
        <w:t xml:space="preserve"> the competitiveness </w:t>
      </w:r>
      <w:r w:rsidR="00E155CD">
        <w:t>of</w:t>
      </w:r>
      <w:r>
        <w:t xml:space="preserve"> the organization (Deo, 2023).</w:t>
      </w:r>
    </w:p>
    <w:p w14:paraId="5FAC62AA" w14:textId="6343C407" w:rsidR="001D7545" w:rsidRDefault="00000000">
      <w:pPr>
        <w:pStyle w:val="Heading1"/>
      </w:pPr>
      <w:bookmarkStart w:id="3" w:name="_yv5kjv8kzozn" w:colFirst="0" w:colLast="0"/>
      <w:bookmarkEnd w:id="3"/>
      <w:r>
        <w:t xml:space="preserve">Development of a comprehensive turnaround strategy to revitalize the resort's financial health and restore its reputation as a premier vacation destination or </w:t>
      </w:r>
      <w:r w:rsidR="00A51579">
        <w:t xml:space="preserve">the </w:t>
      </w:r>
      <w:r>
        <w:t xml:space="preserve">most viable financial </w:t>
      </w:r>
      <w:r w:rsidR="00E155CD">
        <w:t>outcomes.</w:t>
      </w:r>
    </w:p>
    <w:p w14:paraId="7351F191" w14:textId="77777777" w:rsidR="001D7545" w:rsidRDefault="00000000">
      <w:pPr>
        <w:pStyle w:val="Heading1"/>
        <w:rPr>
          <w:i/>
        </w:rPr>
      </w:pPr>
      <w:bookmarkStart w:id="4" w:name="_j30ge6uxdmf" w:colFirst="0" w:colLast="0"/>
      <w:bookmarkEnd w:id="4"/>
      <w:r>
        <w:rPr>
          <w:i/>
        </w:rPr>
        <w:t xml:space="preserve">Pricing strategy improvement </w:t>
      </w:r>
    </w:p>
    <w:p w14:paraId="3FF6177B" w14:textId="15DD215E" w:rsidR="00517ACC" w:rsidRDefault="00000000">
      <w:r>
        <w:t xml:space="preserve">It has been identified that the pricing strategy can be reevaluated </w:t>
      </w:r>
      <w:r w:rsidR="00E155CD">
        <w:t>to identify</w:t>
      </w:r>
      <w:r>
        <w:t xml:space="preserve"> the balance between affordability and revenue generation. The increased pricing strategy can consider the pricing models which are dynamic and respond to the demand fluctuations.</w:t>
      </w:r>
    </w:p>
    <w:p w14:paraId="29AD3167" w14:textId="12BBD09C" w:rsidR="001D7545" w:rsidRDefault="00000000">
      <w:r>
        <w:t xml:space="preserve"> It can also </w:t>
      </w:r>
      <w:r w:rsidR="00E155CD">
        <w:t>help improve</w:t>
      </w:r>
      <w:r>
        <w:t xml:space="preserve"> overall organizational sustainability and revenue growth (Fabris, 2023).</w:t>
      </w:r>
    </w:p>
    <w:p w14:paraId="744CFB48" w14:textId="77777777" w:rsidR="001D7545" w:rsidRDefault="00000000">
      <w:pPr>
        <w:rPr>
          <w:b/>
          <w:i/>
        </w:rPr>
      </w:pPr>
      <w:r>
        <w:rPr>
          <w:b/>
          <w:i/>
        </w:rPr>
        <w:t xml:space="preserve">The operation efficiency </w:t>
      </w:r>
    </w:p>
    <w:p w14:paraId="4850E235" w14:textId="1AD8B8A8" w:rsidR="001D7545" w:rsidRDefault="00000000">
      <w:r>
        <w:t xml:space="preserve">The operational efficiency can also be increased with the help of conducting a thorough review of operating expenses </w:t>
      </w:r>
      <w:r w:rsidR="00E155CD">
        <w:t>to identify and eliminate</w:t>
      </w:r>
      <w:r>
        <w:t xml:space="preserve"> inefficiencies. This is illustrated as a proper review </w:t>
      </w:r>
      <w:r>
        <w:lastRenderedPageBreak/>
        <w:t xml:space="preserve">of operating expenses can </w:t>
      </w:r>
      <w:r w:rsidR="00E155CD">
        <w:t>help identify</w:t>
      </w:r>
      <w:r>
        <w:t xml:space="preserve"> the expenses which are not utilized. In this context, explaining the opportunity for cost optimization without compromising service quality can </w:t>
      </w:r>
      <w:r w:rsidR="00E155CD">
        <w:t>help increase</w:t>
      </w:r>
      <w:r>
        <w:t xml:space="preserve"> operational efficiency (Georgios, 2023).</w:t>
      </w:r>
    </w:p>
    <w:p w14:paraId="6202D834" w14:textId="77777777" w:rsidR="001D7545" w:rsidRDefault="00000000">
      <w:pPr>
        <w:rPr>
          <w:b/>
          <w:i/>
        </w:rPr>
      </w:pPr>
      <w:r>
        <w:rPr>
          <w:b/>
          <w:i/>
        </w:rPr>
        <w:t xml:space="preserve">Customer experience enhancement </w:t>
      </w:r>
    </w:p>
    <w:p w14:paraId="222D31A3" w14:textId="30F4BCBE" w:rsidR="001D7545" w:rsidRDefault="00000000">
      <w:r>
        <w:t>The customer experience enhancement can be addressed with the help of releasing the customer review</w:t>
      </w:r>
      <w:r w:rsidR="00A51579">
        <w:t xml:space="preserve">. </w:t>
      </w:r>
      <w:r>
        <w:t xml:space="preserve">With the help of this, it can </w:t>
      </w:r>
      <w:r w:rsidR="00E155CD">
        <w:t>help upgrade and improve</w:t>
      </w:r>
      <w:r>
        <w:t xml:space="preserve"> the service quality. Customer experience can also be increased by increasing their satisfaction and positive reviews. </w:t>
      </w:r>
      <w:r w:rsidR="00E155CD">
        <w:t>Customer</w:t>
      </w:r>
      <w:r>
        <w:t xml:space="preserve"> experience enhancement can play </w:t>
      </w:r>
      <w:r w:rsidR="00A51579">
        <w:t>a significant role</w:t>
      </w:r>
      <w:r>
        <w:t xml:space="preserve"> in terms of improving revenue. This is illustrated as the customer experience helps to provide positive reviews within the online portal due to which the other customers are also found to be getting attracted towards the service with the resort. It can also help to improve the overall revenue advancement within the organization (Hammer and </w:t>
      </w:r>
      <w:r w:rsidR="00E155CD">
        <w:t>Zurek</w:t>
      </w:r>
      <w:r>
        <w:t>, 2022).</w:t>
      </w:r>
    </w:p>
    <w:p w14:paraId="3AD5FF86" w14:textId="77777777" w:rsidR="001D7545" w:rsidRDefault="00000000">
      <w:pPr>
        <w:rPr>
          <w:b/>
          <w:i/>
        </w:rPr>
      </w:pPr>
      <w:r>
        <w:rPr>
          <w:b/>
          <w:i/>
        </w:rPr>
        <w:t>Marketing and promotion</w:t>
      </w:r>
    </w:p>
    <w:p w14:paraId="3EB89232" w14:textId="7B4A6C8B" w:rsidR="001D7545" w:rsidRDefault="00000000">
      <w:r>
        <w:t xml:space="preserve">Implementation of marketing strategies </w:t>
      </w:r>
      <w:r w:rsidR="00E155CD">
        <w:t>is</w:t>
      </w:r>
      <w:r>
        <w:t xml:space="preserve"> also essential for improving the visibility of the resort and attracting </w:t>
      </w:r>
      <w:r w:rsidR="00E155CD">
        <w:t>a</w:t>
      </w:r>
      <w:r>
        <w:t xml:space="preserve"> larger audience. With the help of highlighting unique rings and </w:t>
      </w:r>
      <w:r w:rsidR="00E155CD">
        <w:t>experiences</w:t>
      </w:r>
      <w:r>
        <w:t xml:space="preserve"> that align with the current customer preferences the overall marketing and promotion can be improved. The marketing and promotion then also be improved with the help of conducting a thorough analysis of customer preferences and market trends. In this sentence</w:t>
      </w:r>
      <w:r w:rsidR="00E155CD">
        <w:t>,</w:t>
      </w:r>
      <w:r>
        <w:t xml:space="preserve"> the pricing can be done in such a manner that it can provide affordable pricing to the customers. By conducting a detailed pricing </w:t>
      </w:r>
      <w:r w:rsidR="00E155CD">
        <w:t>analysis,</w:t>
      </w:r>
      <w:r>
        <w:t xml:space="preserve"> it can become easier for the managers of the resort to balance </w:t>
      </w:r>
      <w:r w:rsidR="00E155CD">
        <w:t>affordability</w:t>
      </w:r>
      <w:r>
        <w:t xml:space="preserve"> and revenue generation. With the help of incorporating dynamic pricing models based </w:t>
      </w:r>
      <w:r w:rsidR="00E155CD">
        <w:t>on</w:t>
      </w:r>
      <w:r>
        <w:t xml:space="preserve"> seasonality and demand attractive packages can also be offered. It can also be helpful to add </w:t>
      </w:r>
      <w:r w:rsidR="00E155CD">
        <w:t>value-valid</w:t>
      </w:r>
      <w:r>
        <w:t xml:space="preserve"> services and loyalty programs </w:t>
      </w:r>
      <w:r w:rsidR="00E155CD">
        <w:t>to encourage</w:t>
      </w:r>
      <w:r>
        <w:t xml:space="preserve"> repeat visits.</w:t>
      </w:r>
    </w:p>
    <w:p w14:paraId="49CD4BD3" w14:textId="1F9B9496" w:rsidR="001D7545" w:rsidRDefault="00000000">
      <w:pPr>
        <w:pStyle w:val="Heading1"/>
      </w:pPr>
      <w:bookmarkStart w:id="5" w:name="_7nmc0rafvey3" w:colFirst="0" w:colLast="0"/>
      <w:bookmarkEnd w:id="5"/>
      <w:r>
        <w:rPr>
          <w:b w:val="0"/>
        </w:rPr>
        <w:t xml:space="preserve">With the help of incorporating the </w:t>
      </w:r>
      <w:r w:rsidR="00F148A0">
        <w:rPr>
          <w:b w:val="0"/>
        </w:rPr>
        <w:t>above-mentioned</w:t>
      </w:r>
      <w:r>
        <w:rPr>
          <w:b w:val="0"/>
        </w:rPr>
        <w:t xml:space="preserve"> strategy it can become easier for the managers of the resort </w:t>
      </w:r>
      <w:r w:rsidR="00E155CD">
        <w:rPr>
          <w:b w:val="0"/>
        </w:rPr>
        <w:t>to improve the revenue and enhance</w:t>
      </w:r>
      <w:r>
        <w:rPr>
          <w:b w:val="0"/>
        </w:rPr>
        <w:t xml:space="preserve"> the financial performance (Jin et al., 2023).</w:t>
      </w:r>
    </w:p>
    <w:p w14:paraId="63E2B850" w14:textId="77777777" w:rsidR="001D7545" w:rsidRDefault="00000000">
      <w:pPr>
        <w:pStyle w:val="Heading1"/>
      </w:pPr>
      <w:bookmarkStart w:id="6" w:name="_2iv5m6kxialf" w:colFirst="0" w:colLast="0"/>
      <w:bookmarkEnd w:id="6"/>
      <w:r>
        <w:t xml:space="preserve">Conclusion </w:t>
      </w:r>
    </w:p>
    <w:p w14:paraId="0BC5CD07" w14:textId="24EA925C" w:rsidR="001D7545" w:rsidRDefault="00000000">
      <w:r>
        <w:t xml:space="preserve">It can be concluded that the Seaview Resort is suffering difficulties that have affected both its reputation and financial stability at this crucial time. After an extensive evaluation of the resort's financial standing, market conditions, and operational features, the assessment pinpointed the main problems and put up a detailed plan of action meant to bring the resort back to life. There are several reasons for the fall in overall revenue, profitability, and customer happiness. These include </w:t>
      </w:r>
      <w:r>
        <w:lastRenderedPageBreak/>
        <w:t>changes in consumer tastes, heightened competition, and inefficiencies in business operations. Our turnaround plan concentrates on a few essential areas to address these issues. It is suggested that the resort be strategically repositioned to emphasize eco-friendly operations and distinctive experience offerings in line with contemporary hotel trends</w:t>
      </w:r>
      <w:r w:rsidR="00A51579">
        <w:t xml:space="preserve">. </w:t>
      </w:r>
      <w:r>
        <w:t>This is part of an effort to revitalize the resort's image and draw in more guests, along with a focused marketing and promotion strategy.</w:t>
      </w:r>
    </w:p>
    <w:p w14:paraId="3E57319A" w14:textId="7D6D402C" w:rsidR="001D7545" w:rsidRDefault="00E155CD">
      <w:r>
        <w:t>To</w:t>
      </w:r>
      <w:r w:rsidR="00000000">
        <w:t xml:space="preserve"> achieve a balance between affordability and revenue creation, pricing and revenue </w:t>
      </w:r>
      <w:r w:rsidR="00A51579">
        <w:t>optimisation</w:t>
      </w:r>
      <w:r w:rsidR="00000000">
        <w:t xml:space="preserve"> tactics </w:t>
      </w:r>
      <w:proofErr w:type="gramStart"/>
      <w:r w:rsidR="00000000">
        <w:t>are advised</w:t>
      </w:r>
      <w:proofErr w:type="gramEnd"/>
      <w:r w:rsidR="00000000">
        <w:t xml:space="preserve">. Value-added services, loyalty programs, and dynamic pricing models are essential elements to promote repeat business and increase profits. Measures for cost optimization and operational efficiency are also essential. Improved operational performance can be attained by </w:t>
      </w:r>
      <w:r>
        <w:t>carefully examining</w:t>
      </w:r>
      <w:r w:rsidR="00000000">
        <w:t xml:space="preserve"> running costs, employee training initiatives, and environmentally friendly methods. Improving the customer experience is essential to the turnaround plan. Enhancing facilities, emphasizing outstanding customer service, and utilizing technology will all help to increase client happiness and get great ratings. The suggested debt management and financial restructuring plans are made to deal with urgent cash.</w:t>
      </w:r>
    </w:p>
    <w:p w14:paraId="3216B34B" w14:textId="77777777" w:rsidR="001D7545" w:rsidRDefault="00000000">
      <w:pPr>
        <w:pStyle w:val="Heading1"/>
      </w:pPr>
      <w:bookmarkStart w:id="7" w:name="_fjjjnshylajo" w:colFirst="0" w:colLast="0"/>
      <w:bookmarkEnd w:id="7"/>
      <w:r>
        <w:br w:type="page"/>
      </w:r>
    </w:p>
    <w:p w14:paraId="2BE90FA0" w14:textId="77777777" w:rsidR="001D7545" w:rsidRDefault="00000000">
      <w:pPr>
        <w:pStyle w:val="Heading1"/>
      </w:pPr>
      <w:bookmarkStart w:id="8" w:name="_lrx9w2525nut" w:colFirst="0" w:colLast="0"/>
      <w:bookmarkEnd w:id="8"/>
      <w:r>
        <w:lastRenderedPageBreak/>
        <w:t xml:space="preserve">References </w:t>
      </w:r>
    </w:p>
    <w:p w14:paraId="27093CA0" w14:textId="2D1F3138" w:rsidR="001D7545" w:rsidRDefault="00000000" w:rsidP="00517ACC">
      <w:pPr>
        <w:pStyle w:val="ListParagraph"/>
        <w:numPr>
          <w:ilvl w:val="0"/>
          <w:numId w:val="1"/>
        </w:numPr>
      </w:pPr>
      <w:r>
        <w:t xml:space="preserve">Abadi, A.W., </w:t>
      </w:r>
      <w:r w:rsidR="00E155CD">
        <w:t>Sugianto</w:t>
      </w:r>
      <w:r>
        <w:t xml:space="preserve">, S. and Miftah, H. 2023, "Implementation and financial analysis of good agricultural practices (GAPs) of True Cardamom (Amomum compactum </w:t>
      </w:r>
      <w:r w:rsidR="00E155CD">
        <w:t>Sol</w:t>
      </w:r>
      <w:r>
        <w:t xml:space="preserve">): The experience from smallholders’ farmers", IOP Conference </w:t>
      </w:r>
      <w:r w:rsidR="00E155CD">
        <w:t>Series. Earth</w:t>
      </w:r>
      <w:r>
        <w:t xml:space="preserve"> and Environmental Science, vol. 1253, no. 1, pp. 012066.</w:t>
      </w:r>
    </w:p>
    <w:p w14:paraId="28679540" w14:textId="77777777" w:rsidR="001D7545" w:rsidRDefault="001D7545"/>
    <w:p w14:paraId="28D58AE6" w14:textId="77777777" w:rsidR="001D7545" w:rsidRDefault="00000000" w:rsidP="00517ACC">
      <w:pPr>
        <w:pStyle w:val="ListParagraph"/>
        <w:numPr>
          <w:ilvl w:val="0"/>
          <w:numId w:val="1"/>
        </w:numPr>
      </w:pPr>
      <w:r>
        <w:t>Afjal, M. 2023, "Bridging the financial divide: a bibliometric analysis on the role of digital financial services within FinTech in enhancing financial inclusion and economic development", Humanities and Social Sciences Communications, vol. 10, no. 1, pp. 645.</w:t>
      </w:r>
    </w:p>
    <w:p w14:paraId="233E5A72" w14:textId="77777777" w:rsidR="001D7545" w:rsidRDefault="001D7545"/>
    <w:p w14:paraId="2A20866E" w14:textId="77777777" w:rsidR="001D7545" w:rsidRDefault="00000000" w:rsidP="00517ACC">
      <w:pPr>
        <w:pStyle w:val="ListParagraph"/>
        <w:numPr>
          <w:ilvl w:val="0"/>
          <w:numId w:val="1"/>
        </w:numPr>
      </w:pPr>
      <w:r>
        <w:t>Bista, N., Yuan, F., Yao, Y., Miao, R., Hu, X. and Yang, M. 2023, "Parameter Study of Financial Analysis for Implementing Solar Photovoltaics Structural Snow Fences", Sustainability, vol. 15, no. 2, pp. 1599.</w:t>
      </w:r>
    </w:p>
    <w:p w14:paraId="3CD1FA96" w14:textId="77777777" w:rsidR="001D7545" w:rsidRDefault="001D7545"/>
    <w:p w14:paraId="5E87110D" w14:textId="18B60946" w:rsidR="001D7545" w:rsidRDefault="00E155CD" w:rsidP="00517ACC">
      <w:pPr>
        <w:pStyle w:val="ListParagraph"/>
        <w:numPr>
          <w:ilvl w:val="0"/>
          <w:numId w:val="1"/>
        </w:numPr>
      </w:pPr>
      <w:r>
        <w:t>Bobita</w:t>
      </w:r>
      <w:r w:rsidR="00000000">
        <w:t>, N., Dumitrescu, D. and Burca, V. 2023, "Agriculture’s Efficiency in the Context of Sustainable Agriculture—A Benchmarking Analysis of Financial Performance with Data Envelopment Analysis and Malmquist Index", Sustainability, vol. 15, no. 16, pp. 12169.</w:t>
      </w:r>
    </w:p>
    <w:p w14:paraId="7EA60147" w14:textId="77777777" w:rsidR="001D7545" w:rsidRDefault="001D7545"/>
    <w:p w14:paraId="418BEDAA" w14:textId="44CC9412" w:rsidR="001D7545" w:rsidRDefault="00E155CD" w:rsidP="00517ACC">
      <w:pPr>
        <w:pStyle w:val="ListParagraph"/>
        <w:numPr>
          <w:ilvl w:val="0"/>
          <w:numId w:val="1"/>
        </w:numPr>
      </w:pPr>
      <w:r>
        <w:t>Botero</w:t>
      </w:r>
      <w:r w:rsidR="00000000">
        <w:t xml:space="preserve">, M., Caprioli, C., Datola, G., </w:t>
      </w:r>
      <w:r>
        <w:t>Opie</w:t>
      </w:r>
      <w:r w:rsidR="00000000">
        <w:t xml:space="preserve">, A. and Torrieri, F. 2022, "Regeneration of Rogoredo railway: a combined approach using multi-criteria and financial analysis", Valori e </w:t>
      </w:r>
      <w:r>
        <w:t>Valuation</w:t>
      </w:r>
      <w:r w:rsidR="00000000">
        <w:t>, no. 31.</w:t>
      </w:r>
    </w:p>
    <w:p w14:paraId="302969C0" w14:textId="77777777" w:rsidR="001D7545" w:rsidRDefault="001D7545"/>
    <w:p w14:paraId="3FCAC02B" w14:textId="4C17D72D" w:rsidR="001D7545" w:rsidRDefault="00000000" w:rsidP="00517ACC">
      <w:pPr>
        <w:pStyle w:val="ListParagraph"/>
        <w:numPr>
          <w:ilvl w:val="0"/>
          <w:numId w:val="1"/>
        </w:numPr>
      </w:pPr>
      <w:r>
        <w:t xml:space="preserve">Boudreaux, D., Rao, S.P.U. and Adhikari, D.R. 2023, "A Financial Analysis of Domestic Firms </w:t>
      </w:r>
      <w:r w:rsidR="00E155CD">
        <w:t>with</w:t>
      </w:r>
      <w:r>
        <w:t xml:space="preserve"> Highest Returns to Capital During the Worldwide Pandemic", The Journal of Applied Business and Economics, vol. 25, no. 2, pp. 1-9.</w:t>
      </w:r>
    </w:p>
    <w:p w14:paraId="603B0E28" w14:textId="77777777" w:rsidR="001D7545" w:rsidRDefault="001D7545"/>
    <w:p w14:paraId="549AFAE2" w14:textId="77777777" w:rsidR="001D7545" w:rsidRDefault="00000000" w:rsidP="00517ACC">
      <w:pPr>
        <w:pStyle w:val="ListParagraph"/>
        <w:numPr>
          <w:ilvl w:val="0"/>
          <w:numId w:val="1"/>
        </w:numPr>
      </w:pPr>
      <w:r>
        <w:t>Cavalcante, A. and Huang, H. 2022, "Understanding Chinese students’ success in the PISA financial literacy: A praxeological analysis of financial numeracy", Asian Journal for Mathematics Education, vol. 1, no. 1, pp. 66-94.</w:t>
      </w:r>
    </w:p>
    <w:p w14:paraId="58978E96" w14:textId="77777777" w:rsidR="001D7545" w:rsidRDefault="001D7545"/>
    <w:p w14:paraId="4945EC34" w14:textId="77777777" w:rsidR="001D7545" w:rsidRDefault="00000000" w:rsidP="00517ACC">
      <w:pPr>
        <w:pStyle w:val="ListParagraph"/>
        <w:numPr>
          <w:ilvl w:val="0"/>
          <w:numId w:val="1"/>
        </w:numPr>
      </w:pPr>
      <w:r>
        <w:lastRenderedPageBreak/>
        <w:t>Deo, P. 2023, "Project Financial Analysis Within a Firm", Journal of Accounting and Finance, vol. 23, no. 1, pp. 29-43.</w:t>
      </w:r>
    </w:p>
    <w:p w14:paraId="1A836D52" w14:textId="77777777" w:rsidR="001D7545" w:rsidRDefault="001D7545"/>
    <w:p w14:paraId="3F05A1E1" w14:textId="1F919EA0" w:rsidR="001D7545" w:rsidRDefault="00000000" w:rsidP="00517ACC">
      <w:pPr>
        <w:pStyle w:val="ListParagraph"/>
        <w:numPr>
          <w:ilvl w:val="0"/>
          <w:numId w:val="1"/>
        </w:numPr>
      </w:pPr>
      <w:r>
        <w:t xml:space="preserve">Fabris, N. 2023, "COMPARATIVE FINANCIAL ANALYSIS OF AGRICULTURE AND INDUSTRY IN MONTENEGRO", </w:t>
      </w:r>
      <w:r w:rsidR="00E155CD">
        <w:t>Economical</w:t>
      </w:r>
      <w:r>
        <w:t xml:space="preserve"> Poljoprivrede, vol. 70, no. 2, pp. 395-409.</w:t>
      </w:r>
    </w:p>
    <w:p w14:paraId="56200C54" w14:textId="77777777" w:rsidR="001D7545" w:rsidRDefault="001D7545"/>
    <w:p w14:paraId="2685D952" w14:textId="1A002F96" w:rsidR="001D7545" w:rsidRDefault="00000000" w:rsidP="00517ACC">
      <w:pPr>
        <w:pStyle w:val="ListParagraph"/>
        <w:numPr>
          <w:ilvl w:val="0"/>
          <w:numId w:val="1"/>
        </w:numPr>
      </w:pPr>
      <w:r>
        <w:t xml:space="preserve">Georgios, K., </w:t>
      </w:r>
      <w:r w:rsidR="00E155CD">
        <w:t>Mustique</w:t>
      </w:r>
      <w:r>
        <w:t>, E. and Dimitrios, P. 2023, "Mergers and Acquisitions of Cooperative Banks. Before and After a Takeover. A Financial Analysis", Journal of Finance and Investment Analysis, vol. 12, no. 3.</w:t>
      </w:r>
    </w:p>
    <w:p w14:paraId="77EEDA5B" w14:textId="77777777" w:rsidR="001D7545" w:rsidRDefault="001D7545"/>
    <w:p w14:paraId="213BBE69" w14:textId="521F867C" w:rsidR="001D7545" w:rsidRDefault="00000000" w:rsidP="00517ACC">
      <w:pPr>
        <w:pStyle w:val="ListParagraph"/>
        <w:numPr>
          <w:ilvl w:val="0"/>
          <w:numId w:val="1"/>
        </w:numPr>
      </w:pPr>
      <w:r>
        <w:t xml:space="preserve">Hammer, T. and </w:t>
      </w:r>
      <w:r w:rsidR="00E155CD">
        <w:t>Zurek</w:t>
      </w:r>
      <w:r>
        <w:t>, A. 2022, "Analysis of Financial Literacy among High school students, graduates, and young professionals in German", Entrepreneurship and Sustainability Issues, vol. 10, no. 2, pp. 23-42.</w:t>
      </w:r>
    </w:p>
    <w:p w14:paraId="0C04849C" w14:textId="77777777" w:rsidR="001D7545" w:rsidRDefault="001D7545"/>
    <w:p w14:paraId="24600C92" w14:textId="77777777" w:rsidR="001D7545" w:rsidRDefault="00000000" w:rsidP="00517ACC">
      <w:pPr>
        <w:pStyle w:val="ListParagraph"/>
        <w:numPr>
          <w:ilvl w:val="0"/>
          <w:numId w:val="1"/>
        </w:numPr>
      </w:pPr>
      <w:r>
        <w:t>Jin, Y., Lee, S., Kang, T., Park, J. and Kim, Y. 2023, "Capacity Optimization of Rainwater Harvesting Systems Based on a Cost–Benefit Analysis: A Financial Support Program Review and Parametric Sensitivity Analysis", Water, vol. 15, no. 1, pp. 186.</w:t>
      </w:r>
    </w:p>
    <w:p w14:paraId="13CF03D9" w14:textId="77777777" w:rsidR="001D7545" w:rsidRDefault="001D7545"/>
    <w:p w14:paraId="07D36843" w14:textId="79ACB518" w:rsidR="001D7545" w:rsidRDefault="00000000" w:rsidP="00517ACC">
      <w:pPr>
        <w:pStyle w:val="ListParagraph"/>
        <w:numPr>
          <w:ilvl w:val="0"/>
          <w:numId w:val="1"/>
        </w:numPr>
      </w:pPr>
      <w:r>
        <w:t xml:space="preserve">Latifa, D. and </w:t>
      </w:r>
      <w:r w:rsidR="00E155CD">
        <w:t>Kamata</w:t>
      </w:r>
      <w:r>
        <w:t xml:space="preserve">, Y. 2023, "Financial analysis of corn farming on the post-gold mine land reclamation technology package in </w:t>
      </w:r>
      <w:r w:rsidR="00E155CD">
        <w:t>Palauan</w:t>
      </w:r>
      <w:r>
        <w:t xml:space="preserve"> Nagari Sijunjung Regency", IOP Conference </w:t>
      </w:r>
      <w:r w:rsidR="00E155CD">
        <w:t>Series. Earth</w:t>
      </w:r>
      <w:r>
        <w:t xml:space="preserve"> and Environmental Science, vol. 1160, no. 1, pp. 012060.</w:t>
      </w:r>
    </w:p>
    <w:p w14:paraId="5453904E" w14:textId="77777777" w:rsidR="001D7545" w:rsidRDefault="001D7545"/>
    <w:p w14:paraId="24D3E27E" w14:textId="684E726C" w:rsidR="001D7545" w:rsidRDefault="00E155CD" w:rsidP="00517ACC">
      <w:pPr>
        <w:pStyle w:val="ListParagraph"/>
        <w:numPr>
          <w:ilvl w:val="0"/>
          <w:numId w:val="1"/>
        </w:numPr>
      </w:pPr>
      <w:r>
        <w:t>Shambling</w:t>
      </w:r>
      <w:r w:rsidR="00000000">
        <w:t xml:space="preserve">, N. and </w:t>
      </w:r>
      <w:r>
        <w:t>Supriani</w:t>
      </w:r>
      <w:r w:rsidR="00000000">
        <w:t xml:space="preserve">, T. 2023, "Financial analysis and contribution of arabica coffee for sustainable coffee farming in </w:t>
      </w:r>
      <w:r>
        <w:t>Situla</w:t>
      </w:r>
      <w:r w:rsidR="00000000">
        <w:t xml:space="preserve"> Bahal Village, Lintongnihuta Subdistrict, </w:t>
      </w:r>
      <w:r>
        <w:t>Hum bang</w:t>
      </w:r>
      <w:r w:rsidR="00000000">
        <w:t xml:space="preserve"> Hasundutan Regency", IOP Conference </w:t>
      </w:r>
      <w:r>
        <w:t>Series. Earth</w:t>
      </w:r>
      <w:r w:rsidR="00000000">
        <w:t xml:space="preserve"> and Environmental Science, vol. 1241, no. 1, pp. 012057.</w:t>
      </w:r>
    </w:p>
    <w:p w14:paraId="6FA4D3A9" w14:textId="77777777" w:rsidR="001D7545" w:rsidRDefault="001D7545"/>
    <w:p w14:paraId="2158FD12" w14:textId="2525E9E0" w:rsidR="001D7545" w:rsidRDefault="00E155CD" w:rsidP="00517ACC">
      <w:pPr>
        <w:pStyle w:val="ListParagraph"/>
        <w:numPr>
          <w:ilvl w:val="0"/>
          <w:numId w:val="1"/>
        </w:numPr>
      </w:pPr>
      <w:r>
        <w:t>Taigan</w:t>
      </w:r>
      <w:r w:rsidR="00000000">
        <w:t>, E. 2023, "Financial Analysis of Solar Rooftop PV System: Case Study in Indonesia", International Journal of Energy Economics and Policy, vol. 13, no. 3, pp. 15-19.</w:t>
      </w:r>
    </w:p>
    <w:p w14:paraId="6DF16CFC" w14:textId="77777777" w:rsidR="001D7545" w:rsidRDefault="001D7545"/>
    <w:p w14:paraId="61EEEA65" w14:textId="10AD8B86" w:rsidR="001D7545" w:rsidRDefault="00000000" w:rsidP="00517ACC">
      <w:pPr>
        <w:pStyle w:val="ListParagraph"/>
        <w:numPr>
          <w:ilvl w:val="0"/>
          <w:numId w:val="1"/>
        </w:numPr>
      </w:pPr>
      <w:r>
        <w:lastRenderedPageBreak/>
        <w:t>Vitéz-</w:t>
      </w:r>
      <w:r w:rsidR="00E155CD">
        <w:t>Durga</w:t>
      </w:r>
      <w:r>
        <w:t xml:space="preserve">, J., Dunay, A., </w:t>
      </w:r>
      <w:r w:rsidR="00E155CD">
        <w:t>Dahlmeier</w:t>
      </w:r>
      <w:r>
        <w:t xml:space="preserve">, G., Vajai, B. and Pataki, L. 2023, "Financial Analysis and Survival Research of the </w:t>
      </w:r>
      <w:r w:rsidR="00E155CD">
        <w:t>Vise grad</w:t>
      </w:r>
      <w:r>
        <w:t xml:space="preserve"> Countries’ Health Industries", Sustainability, vol. 15, no. 16, pp. 12360.</w:t>
      </w:r>
    </w:p>
    <w:p w14:paraId="25A2FF6E" w14:textId="77777777" w:rsidR="001D7545" w:rsidRDefault="001D7545"/>
    <w:p w14:paraId="792DF786" w14:textId="77777777" w:rsidR="001D7545" w:rsidRDefault="00000000" w:rsidP="00517ACC">
      <w:pPr>
        <w:pStyle w:val="ListParagraph"/>
        <w:numPr>
          <w:ilvl w:val="0"/>
          <w:numId w:val="1"/>
        </w:numPr>
      </w:pPr>
      <w:r>
        <w:t>Wu, N., Zhao, J., Musah, M., Ma, Z., Zhang, L., Zhou, Y., Su, Y., Agyemang, J.K., Asiamah, J.A., Cao, S., Yao, L. and Li, K. 2023, "Do Liquidity and Capital Structure Predict Firms’ Financial Sustainability? A Panel Data Analysis on Quoted Non-Financial Establishments in Ghana", Sustainability, vol. 15, no. 3, pp. 2240.</w:t>
      </w:r>
    </w:p>
    <w:p w14:paraId="737DC457" w14:textId="77777777" w:rsidR="001D7545" w:rsidRDefault="001D7545"/>
    <w:p w14:paraId="3AE236C4" w14:textId="77777777" w:rsidR="001D7545" w:rsidRDefault="00000000" w:rsidP="00517ACC">
      <w:pPr>
        <w:pStyle w:val="ListParagraph"/>
        <w:numPr>
          <w:ilvl w:val="0"/>
          <w:numId w:val="1"/>
        </w:numPr>
      </w:pPr>
      <w:r>
        <w:t>Yan, J. and Liu, H. 2023, "Analysis on the Multimedia Information Retrieval Algorithm Based on Enterprise Correlation Financial Analysis under the Background of Big Data", Advances in Multimedia, vol. 2023.</w:t>
      </w:r>
    </w:p>
    <w:p w14:paraId="135BCC1B" w14:textId="77777777" w:rsidR="001D7545" w:rsidRDefault="001D7545"/>
    <w:p w14:paraId="43B1E58D" w14:textId="1C0A5A60" w:rsidR="001D7545" w:rsidRDefault="00000000" w:rsidP="00517ACC">
      <w:pPr>
        <w:pStyle w:val="ListParagraph"/>
        <w:numPr>
          <w:ilvl w:val="0"/>
          <w:numId w:val="1"/>
        </w:numPr>
      </w:pPr>
      <w:r>
        <w:t xml:space="preserve">Yi-Hua, </w:t>
      </w:r>
      <w:r w:rsidR="00A51579">
        <w:t>L.,</w:t>
      </w:r>
      <w:r>
        <w:t xml:space="preserve"> and Tian-Ming Sheu 2023, "Financial Analysis of the Top Public Universities in Taiwan", Journal of Research in Education Sciences, vol. 68, no. 1, pp. 109-135.</w:t>
      </w:r>
    </w:p>
    <w:p w14:paraId="1AC01F7A" w14:textId="77777777" w:rsidR="001D7545" w:rsidRDefault="001D7545"/>
    <w:sectPr w:rsidR="001D7545" w:rsidSect="00F148A0">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53026" w14:textId="77777777" w:rsidR="008B4B66" w:rsidRDefault="008B4B66">
      <w:pPr>
        <w:spacing w:line="240" w:lineRule="auto"/>
      </w:pPr>
      <w:r>
        <w:separator/>
      </w:r>
    </w:p>
  </w:endnote>
  <w:endnote w:type="continuationSeparator" w:id="0">
    <w:p w14:paraId="743FF18F" w14:textId="77777777" w:rsidR="008B4B66" w:rsidRDefault="008B4B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2DF5D" w14:textId="77777777" w:rsidR="001D7545"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F148A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AB0F3" w14:textId="77777777" w:rsidR="008B4B66" w:rsidRDefault="008B4B66">
      <w:pPr>
        <w:spacing w:line="240" w:lineRule="auto"/>
      </w:pPr>
      <w:r>
        <w:separator/>
      </w:r>
    </w:p>
  </w:footnote>
  <w:footnote w:type="continuationSeparator" w:id="0">
    <w:p w14:paraId="048D0902" w14:textId="77777777" w:rsidR="008B4B66" w:rsidRDefault="008B4B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C0472"/>
    <w:multiLevelType w:val="hybridMultilevel"/>
    <w:tmpl w:val="500C7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974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545"/>
    <w:rsid w:val="001D7545"/>
    <w:rsid w:val="00517ACC"/>
    <w:rsid w:val="008B4B66"/>
    <w:rsid w:val="00A51579"/>
    <w:rsid w:val="00B44425"/>
    <w:rsid w:val="00E155CD"/>
    <w:rsid w:val="00E63346"/>
    <w:rsid w:val="00F148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D4FBB1"/>
  <w15:docId w15:val="{D892D55F-648E-427A-911B-71CCF4E1B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517A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2823</Words>
  <Characters>15307</Characters>
  <Application>Microsoft Office Word</Application>
  <DocSecurity>0</DocSecurity>
  <Lines>259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Irimia (2125047)</cp:lastModifiedBy>
  <cp:revision>2</cp:revision>
  <dcterms:created xsi:type="dcterms:W3CDTF">2023-11-16T20:03:00Z</dcterms:created>
  <dcterms:modified xsi:type="dcterms:W3CDTF">2023-11-16T20:03:00Z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658b2beb479556824f6f5194dcd3b917e443ebc71279669cab9069b3f858e80f</vt:lpwstr>
  </property>
</Properties>
</file>