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9550063"/>
        <w:docPartObj>
          <w:docPartGallery w:val="Cover Pages"/>
          <w:docPartUnique/>
        </w:docPartObj>
      </w:sdtPr>
      <w:sdtEndPr>
        <w:rPr>
          <w:rFonts w:ascii="Arial" w:eastAsia="Arial" w:hAnsi="Arial" w:cs="Arial"/>
          <w:color w:val="000000" w:themeColor="text1"/>
        </w:rPr>
      </w:sdtEndPr>
      <w:sdtContent>
        <w:p w14:paraId="6C4723D5" w14:textId="69B0C719" w:rsidR="007D54C5" w:rsidRDefault="007D54C5">
          <w:r>
            <w:rPr>
              <w:noProof/>
            </w:rPr>
            <w:drawing>
              <wp:inline distT="0" distB="0" distL="0" distR="0" wp14:anchorId="0A1572BB" wp14:editId="03348ED3">
                <wp:extent cx="5410200" cy="2857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10200" cy="2857500"/>
                        </a:xfrm>
                        <a:prstGeom prst="rect">
                          <a:avLst/>
                        </a:prstGeom>
                      </pic:spPr>
                    </pic:pic>
                  </a:graphicData>
                </a:graphic>
              </wp:inline>
            </w:drawing>
          </w:r>
          <w:r>
            <w:rPr>
              <w:noProof/>
            </w:rPr>
            <w:drawing>
              <wp:inline distT="0" distB="0" distL="0" distR="0" wp14:anchorId="0467BB3B" wp14:editId="43BA2BAD">
                <wp:extent cx="5715000" cy="28575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r>
            <w:rPr>
              <w:noProof/>
            </w:rPr>
            <mc:AlternateContent>
              <mc:Choice Requires="wpg">
                <w:drawing>
                  <wp:anchor distT="0" distB="0" distL="114300" distR="114300" simplePos="0" relativeHeight="251659264" behindDoc="0" locked="0" layoutInCell="1" allowOverlap="1" wp14:anchorId="00368909" wp14:editId="27CB416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9EBF3B" id="Group 149"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11FAA418" wp14:editId="3DD2E73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91767" w14:textId="363B515B" w:rsidR="007D54C5" w:rsidRDefault="00E82339">
                                <w:pPr>
                                  <w:pStyle w:val="NoSpacing"/>
                                  <w:jc w:val="right"/>
                                  <w:rPr>
                                    <w:color w:val="4472C4" w:themeColor="accent1"/>
                                    <w:sz w:val="28"/>
                                    <w:szCs w:val="28"/>
                                  </w:rPr>
                                </w:pPr>
                                <w:r>
                                  <w:rPr>
                                    <w:color w:val="4472C4" w:themeColor="accent1"/>
                                    <w:sz w:val="28"/>
                                    <w:szCs w:val="28"/>
                                  </w:rPr>
                                  <w:t>(</w:t>
                                </w:r>
                                <w:r w:rsidR="009E70E0">
                                  <w:rPr>
                                    <w:color w:val="4472C4" w:themeColor="accent1"/>
                                    <w:sz w:val="28"/>
                                    <w:szCs w:val="28"/>
                                  </w:rPr>
                                  <w:t>BMHP5003_LON)</w:t>
                                </w:r>
                              </w:p>
                              <w:p w14:paraId="1CACE1CF" w14:textId="7A0EE85E" w:rsidR="00935323" w:rsidRDefault="00935323">
                                <w:pPr>
                                  <w:pStyle w:val="NoSpacing"/>
                                  <w:jc w:val="right"/>
                                  <w:rPr>
                                    <w:color w:val="4472C4" w:themeColor="accent1"/>
                                    <w:sz w:val="28"/>
                                    <w:szCs w:val="28"/>
                                  </w:rPr>
                                </w:pPr>
                                <w:r>
                                  <w:rPr>
                                    <w:color w:val="4472C4" w:themeColor="accent1"/>
                                    <w:sz w:val="28"/>
                                    <w:szCs w:val="28"/>
                                  </w:rPr>
                                  <w:t>Student name: Teodora Nikolova</w:t>
                                </w:r>
                              </w:p>
                              <w:p w14:paraId="28F54FE4" w14:textId="7CA63B3D" w:rsidR="00935323" w:rsidRDefault="00935323">
                                <w:pPr>
                                  <w:pStyle w:val="NoSpacing"/>
                                  <w:jc w:val="right"/>
                                  <w:rPr>
                                    <w:color w:val="4472C4" w:themeColor="accent1"/>
                                    <w:sz w:val="28"/>
                                    <w:szCs w:val="28"/>
                                  </w:rPr>
                                </w:pPr>
                                <w:r>
                                  <w:rPr>
                                    <w:color w:val="4472C4" w:themeColor="accent1"/>
                                    <w:sz w:val="28"/>
                                    <w:szCs w:val="28"/>
                                  </w:rPr>
                                  <w:t>Student ID</w:t>
                                </w:r>
                                <w:r w:rsidR="00036B6E">
                                  <w:rPr>
                                    <w:color w:val="4472C4" w:themeColor="accent1"/>
                                    <w:sz w:val="28"/>
                                    <w:szCs w:val="28"/>
                                  </w:rPr>
                                  <w:t>: 2009133</w:t>
                                </w:r>
                              </w:p>
                              <w:p w14:paraId="103B8A86" w14:textId="7A31CD00" w:rsidR="00036B6E" w:rsidRDefault="00036B6E">
                                <w:pPr>
                                  <w:pStyle w:val="NoSpacing"/>
                                  <w:jc w:val="right"/>
                                  <w:rPr>
                                    <w:color w:val="4472C4" w:themeColor="accent1"/>
                                    <w:sz w:val="28"/>
                                    <w:szCs w:val="28"/>
                                  </w:rPr>
                                </w:pPr>
                                <w:r>
                                  <w:rPr>
                                    <w:color w:val="4472C4" w:themeColor="accent1"/>
                                    <w:sz w:val="28"/>
                                    <w:szCs w:val="28"/>
                                  </w:rPr>
                                  <w:t xml:space="preserve">Lecturer </w:t>
                                </w:r>
                                <w:r w:rsidR="007E2CEB">
                                  <w:rPr>
                                    <w:color w:val="4472C4" w:themeColor="accent1"/>
                                    <w:sz w:val="28"/>
                                    <w:szCs w:val="28"/>
                                  </w:rPr>
                                  <w:t>name: Laila</w:t>
                                </w:r>
                                <w:r>
                                  <w:rPr>
                                    <w:color w:val="4472C4" w:themeColor="accent1"/>
                                    <w:sz w:val="28"/>
                                    <w:szCs w:val="28"/>
                                  </w:rPr>
                                  <w:t xml:space="preserve"> </w:t>
                                </w:r>
                                <w:r w:rsidR="000C2454">
                                  <w:rPr>
                                    <w:color w:val="4472C4" w:themeColor="accent1"/>
                                    <w:sz w:val="28"/>
                                    <w:szCs w:val="28"/>
                                  </w:rPr>
                                  <w:t>Surani</w:t>
                                </w:r>
                              </w:p>
                              <w:p w14:paraId="33F75F66" w14:textId="77777777" w:rsidR="009E70E0" w:rsidRDefault="009E70E0">
                                <w:pPr>
                                  <w:pStyle w:val="NoSpacing"/>
                                  <w:jc w:val="right"/>
                                  <w:rPr>
                                    <w:color w:val="4472C4" w:themeColor="accent1"/>
                                    <w:sz w:val="28"/>
                                    <w:szCs w:val="28"/>
                                  </w:rPr>
                                </w:pPr>
                              </w:p>
                              <w:p w14:paraId="5653AC46" w14:textId="2FC81117" w:rsidR="007D54C5" w:rsidRDefault="007D54C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1FAA418" id="_x0000_t202" coordsize="21600,21600" o:spt="202" path="m,l,21600r21600,l21600,xe">
                    <v:stroke joinstyle="miter"/>
                    <v:path gradientshapeok="t" o:connecttype="rect"/>
                  </v:shapetype>
                  <v:shape id="Text Box 153" o:spid="_x0000_s1026"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0891767" w14:textId="363B515B" w:rsidR="007D54C5" w:rsidRDefault="00E82339">
                          <w:pPr>
                            <w:pStyle w:val="NoSpacing"/>
                            <w:jc w:val="right"/>
                            <w:rPr>
                              <w:color w:val="4472C4" w:themeColor="accent1"/>
                              <w:sz w:val="28"/>
                              <w:szCs w:val="28"/>
                            </w:rPr>
                          </w:pPr>
                          <w:r>
                            <w:rPr>
                              <w:color w:val="4472C4" w:themeColor="accent1"/>
                              <w:sz w:val="28"/>
                              <w:szCs w:val="28"/>
                            </w:rPr>
                            <w:t>(</w:t>
                          </w:r>
                          <w:r w:rsidR="009E70E0">
                            <w:rPr>
                              <w:color w:val="4472C4" w:themeColor="accent1"/>
                              <w:sz w:val="28"/>
                              <w:szCs w:val="28"/>
                            </w:rPr>
                            <w:t>BMHP5003_LON)</w:t>
                          </w:r>
                        </w:p>
                        <w:p w14:paraId="1CACE1CF" w14:textId="7A0EE85E" w:rsidR="00935323" w:rsidRDefault="00935323">
                          <w:pPr>
                            <w:pStyle w:val="NoSpacing"/>
                            <w:jc w:val="right"/>
                            <w:rPr>
                              <w:color w:val="4472C4" w:themeColor="accent1"/>
                              <w:sz w:val="28"/>
                              <w:szCs w:val="28"/>
                            </w:rPr>
                          </w:pPr>
                          <w:r>
                            <w:rPr>
                              <w:color w:val="4472C4" w:themeColor="accent1"/>
                              <w:sz w:val="28"/>
                              <w:szCs w:val="28"/>
                            </w:rPr>
                            <w:t>Student name: Teodora Nikolova</w:t>
                          </w:r>
                        </w:p>
                        <w:p w14:paraId="28F54FE4" w14:textId="7CA63B3D" w:rsidR="00935323" w:rsidRDefault="00935323">
                          <w:pPr>
                            <w:pStyle w:val="NoSpacing"/>
                            <w:jc w:val="right"/>
                            <w:rPr>
                              <w:color w:val="4472C4" w:themeColor="accent1"/>
                              <w:sz w:val="28"/>
                              <w:szCs w:val="28"/>
                            </w:rPr>
                          </w:pPr>
                          <w:r>
                            <w:rPr>
                              <w:color w:val="4472C4" w:themeColor="accent1"/>
                              <w:sz w:val="28"/>
                              <w:szCs w:val="28"/>
                            </w:rPr>
                            <w:t>Student ID</w:t>
                          </w:r>
                          <w:r w:rsidR="00036B6E">
                            <w:rPr>
                              <w:color w:val="4472C4" w:themeColor="accent1"/>
                              <w:sz w:val="28"/>
                              <w:szCs w:val="28"/>
                            </w:rPr>
                            <w:t>: 2009133</w:t>
                          </w:r>
                        </w:p>
                        <w:p w14:paraId="103B8A86" w14:textId="7A31CD00" w:rsidR="00036B6E" w:rsidRDefault="00036B6E">
                          <w:pPr>
                            <w:pStyle w:val="NoSpacing"/>
                            <w:jc w:val="right"/>
                            <w:rPr>
                              <w:color w:val="4472C4" w:themeColor="accent1"/>
                              <w:sz w:val="28"/>
                              <w:szCs w:val="28"/>
                            </w:rPr>
                          </w:pPr>
                          <w:r>
                            <w:rPr>
                              <w:color w:val="4472C4" w:themeColor="accent1"/>
                              <w:sz w:val="28"/>
                              <w:szCs w:val="28"/>
                            </w:rPr>
                            <w:t xml:space="preserve">Lecturer </w:t>
                          </w:r>
                          <w:r w:rsidR="007E2CEB">
                            <w:rPr>
                              <w:color w:val="4472C4" w:themeColor="accent1"/>
                              <w:sz w:val="28"/>
                              <w:szCs w:val="28"/>
                            </w:rPr>
                            <w:t>name: Laila</w:t>
                          </w:r>
                          <w:r>
                            <w:rPr>
                              <w:color w:val="4472C4" w:themeColor="accent1"/>
                              <w:sz w:val="28"/>
                              <w:szCs w:val="28"/>
                            </w:rPr>
                            <w:t xml:space="preserve"> </w:t>
                          </w:r>
                          <w:r w:rsidR="000C2454">
                            <w:rPr>
                              <w:color w:val="4472C4" w:themeColor="accent1"/>
                              <w:sz w:val="28"/>
                              <w:szCs w:val="28"/>
                            </w:rPr>
                            <w:t>Surani</w:t>
                          </w:r>
                        </w:p>
                        <w:p w14:paraId="33F75F66" w14:textId="77777777" w:rsidR="009E70E0" w:rsidRDefault="009E70E0">
                          <w:pPr>
                            <w:pStyle w:val="NoSpacing"/>
                            <w:jc w:val="right"/>
                            <w:rPr>
                              <w:color w:val="4472C4" w:themeColor="accent1"/>
                              <w:sz w:val="28"/>
                              <w:szCs w:val="28"/>
                            </w:rPr>
                          </w:pPr>
                        </w:p>
                        <w:p w14:paraId="5653AC46" w14:textId="2FC81117" w:rsidR="007D54C5" w:rsidRDefault="007D54C5">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600FB0DE" wp14:editId="55012F0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740BC" w14:textId="40FEBAF3" w:rsidR="007D54C5" w:rsidRDefault="007D54C5">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384">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FB5A5F" w14:textId="5A696932" w:rsidR="007D54C5" w:rsidRDefault="001E71F0">
                                    <w:pPr>
                                      <w:jc w:val="right"/>
                                      <w:rPr>
                                        <w:smallCaps/>
                                        <w:color w:val="404040" w:themeColor="text1" w:themeTint="BF"/>
                                        <w:sz w:val="36"/>
                                        <w:szCs w:val="36"/>
                                      </w:rPr>
                                    </w:pPr>
                                    <w:r>
                                      <w:rPr>
                                        <w:color w:val="404040" w:themeColor="text1" w:themeTint="BF"/>
                                        <w:sz w:val="36"/>
                                        <w:szCs w:val="36"/>
                                      </w:rPr>
                                      <w:t>In</w:t>
                                    </w:r>
                                    <w:r w:rsidR="0004682D">
                                      <w:rPr>
                                        <w:color w:val="404040" w:themeColor="text1" w:themeTint="BF"/>
                                        <w:sz w:val="36"/>
                                        <w:szCs w:val="36"/>
                                      </w:rPr>
                                      <w:t>troduction to Physiolo</w:t>
                                    </w:r>
                                    <w:r w:rsidR="00E82339">
                                      <w:rPr>
                                        <w:color w:val="404040" w:themeColor="text1" w:themeTint="BF"/>
                                        <w:sz w:val="36"/>
                                        <w:szCs w:val="36"/>
                                      </w:rPr>
                                      <w:t>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0FB0DE" id="Text Box 154"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C7740BC" w14:textId="40FEBAF3" w:rsidR="007D54C5" w:rsidRDefault="007D54C5">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384">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FB5A5F" w14:textId="5A696932" w:rsidR="007D54C5" w:rsidRDefault="001E71F0">
                              <w:pPr>
                                <w:jc w:val="right"/>
                                <w:rPr>
                                  <w:smallCaps/>
                                  <w:color w:val="404040" w:themeColor="text1" w:themeTint="BF"/>
                                  <w:sz w:val="36"/>
                                  <w:szCs w:val="36"/>
                                </w:rPr>
                              </w:pPr>
                              <w:r>
                                <w:rPr>
                                  <w:color w:val="404040" w:themeColor="text1" w:themeTint="BF"/>
                                  <w:sz w:val="36"/>
                                  <w:szCs w:val="36"/>
                                </w:rPr>
                                <w:t>In</w:t>
                              </w:r>
                              <w:r w:rsidR="0004682D">
                                <w:rPr>
                                  <w:color w:val="404040" w:themeColor="text1" w:themeTint="BF"/>
                                  <w:sz w:val="36"/>
                                  <w:szCs w:val="36"/>
                                </w:rPr>
                                <w:t>troduction to Physiolo</w:t>
                              </w:r>
                              <w:r w:rsidR="00E82339">
                                <w:rPr>
                                  <w:color w:val="404040" w:themeColor="text1" w:themeTint="BF"/>
                                  <w:sz w:val="36"/>
                                  <w:szCs w:val="36"/>
                                </w:rPr>
                                <w:t>gy</w:t>
                              </w:r>
                            </w:p>
                          </w:sdtContent>
                        </w:sdt>
                      </w:txbxContent>
                    </v:textbox>
                    <w10:wrap type="square" anchorx="page" anchory="page"/>
                  </v:shape>
                </w:pict>
              </mc:Fallback>
            </mc:AlternateContent>
          </w:r>
        </w:p>
        <w:p w14:paraId="4A41EDC4" w14:textId="4E070ED9" w:rsidR="007D54C5" w:rsidRDefault="003E1C28">
          <w:pPr>
            <w:rPr>
              <w:rFonts w:ascii="Arial" w:eastAsia="Arial" w:hAnsi="Arial" w:cs="Arial"/>
              <w:color w:val="000000" w:themeColor="text1"/>
            </w:rPr>
          </w:pPr>
          <w:r>
            <w:rPr>
              <w:rFonts w:ascii="Arial" w:eastAsia="Arial" w:hAnsi="Arial" w:cs="Arial"/>
              <w:noProof/>
              <w:color w:val="000000" w:themeColor="text1"/>
            </w:rPr>
            <w:drawing>
              <wp:inline distT="0" distB="0" distL="0" distR="0" wp14:anchorId="5F2A24C3" wp14:editId="248644B8">
                <wp:extent cx="5718810" cy="28594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8810" cy="2859405"/>
                        </a:xfrm>
                        <a:prstGeom prst="rect">
                          <a:avLst/>
                        </a:prstGeom>
                        <a:noFill/>
                      </pic:spPr>
                    </pic:pic>
                  </a:graphicData>
                </a:graphic>
              </wp:inline>
            </w:drawing>
          </w:r>
          <w:r w:rsidR="007D54C5">
            <w:rPr>
              <w:rFonts w:ascii="Arial" w:eastAsia="Arial" w:hAnsi="Arial" w:cs="Arial"/>
              <w:color w:val="000000" w:themeColor="text1"/>
            </w:rPr>
            <w:br w:type="page"/>
          </w:r>
        </w:p>
      </w:sdtContent>
    </w:sdt>
    <w:p w14:paraId="5EAA699B" w14:textId="6853E240" w:rsidR="007A1846" w:rsidRPr="007D54C5" w:rsidRDefault="007A1846">
      <w:pPr>
        <w:rPr>
          <w:rFonts w:ascii="Arial" w:eastAsia="Arial" w:hAnsi="Arial" w:cs="Arial"/>
          <w:color w:val="000000" w:themeColor="text1"/>
        </w:rPr>
      </w:pPr>
    </w:p>
    <w:p w14:paraId="62E7369E" w14:textId="6B842409" w:rsidR="007A1846" w:rsidRDefault="00C71A46" w:rsidP="09D2728B">
      <w:pPr>
        <w:jc w:val="center"/>
      </w:pPr>
      <w:r>
        <w:br/>
      </w:r>
      <w:r w:rsidR="09D2728B" w:rsidRPr="09D2728B">
        <w:rPr>
          <w:rFonts w:ascii="Arial" w:eastAsia="Arial" w:hAnsi="Arial" w:cs="Arial"/>
          <w:b/>
          <w:bCs/>
          <w:color w:val="000000" w:themeColor="text1"/>
        </w:rPr>
        <w:t>Table of Contents</w:t>
      </w:r>
    </w:p>
    <w:p w14:paraId="76AB9BB9" w14:textId="519B0971" w:rsidR="007A1846" w:rsidRDefault="00C71A46">
      <w:hyperlink r:id="rId13" w:anchor="heading=h.gjdgxs">
        <w:r w:rsidR="09D2728B" w:rsidRPr="09D2728B">
          <w:rPr>
            <w:rStyle w:val="Hyperlink"/>
            <w:rFonts w:ascii="Arial" w:eastAsia="Arial" w:hAnsi="Arial" w:cs="Arial"/>
          </w:rPr>
          <w:t>1.0 Introduction</w:t>
        </w:r>
        <w:r>
          <w:tab/>
        </w:r>
        <w:r w:rsidR="09D2728B" w:rsidRPr="09D2728B">
          <w:rPr>
            <w:rStyle w:val="Hyperlink"/>
            <w:rFonts w:ascii="Arial" w:eastAsia="Arial" w:hAnsi="Arial" w:cs="Arial"/>
          </w:rPr>
          <w:t>3</w:t>
        </w:r>
      </w:hyperlink>
    </w:p>
    <w:p w14:paraId="10377FD1" w14:textId="7509A74A" w:rsidR="007A1846" w:rsidRDefault="00C71A46">
      <w:hyperlink r:id="rId14" w:anchor="heading=h.30j0zll">
        <w:r w:rsidR="09D2728B" w:rsidRPr="09D2728B">
          <w:rPr>
            <w:rStyle w:val="Hyperlink"/>
            <w:rFonts w:ascii="Arial" w:eastAsia="Arial" w:hAnsi="Arial" w:cs="Arial"/>
          </w:rPr>
          <w:t>2.0 Anatomy and Physiology of Diabetes</w:t>
        </w:r>
        <w:r>
          <w:tab/>
        </w:r>
        <w:r w:rsidR="09D2728B" w:rsidRPr="09D2728B">
          <w:rPr>
            <w:rStyle w:val="Hyperlink"/>
            <w:rFonts w:ascii="Arial" w:eastAsia="Arial" w:hAnsi="Arial" w:cs="Arial"/>
          </w:rPr>
          <w:t>3</w:t>
        </w:r>
      </w:hyperlink>
    </w:p>
    <w:p w14:paraId="5364FCFF" w14:textId="0FED66D5" w:rsidR="007A1846" w:rsidRDefault="00C71A46">
      <w:hyperlink r:id="rId15" w:anchor="heading=h.1fob9te">
        <w:r w:rsidR="09D2728B" w:rsidRPr="09D2728B">
          <w:rPr>
            <w:rStyle w:val="Hyperlink"/>
            <w:rFonts w:ascii="Arial" w:eastAsia="Arial" w:hAnsi="Arial" w:cs="Arial"/>
          </w:rPr>
          <w:t>3.0 Health and Lifestyle Routine Measures</w:t>
        </w:r>
        <w:r>
          <w:tab/>
        </w:r>
        <w:r w:rsidR="09D2728B" w:rsidRPr="09D2728B">
          <w:rPr>
            <w:rStyle w:val="Hyperlink"/>
            <w:rFonts w:ascii="Arial" w:eastAsia="Arial" w:hAnsi="Arial" w:cs="Arial"/>
          </w:rPr>
          <w:t>4</w:t>
        </w:r>
      </w:hyperlink>
    </w:p>
    <w:p w14:paraId="03B88ADE" w14:textId="3B2C7EF2" w:rsidR="007A1846" w:rsidRDefault="00C71A46">
      <w:hyperlink r:id="rId16" w:anchor="heading=h.3znysh7">
        <w:r w:rsidR="09D2728B" w:rsidRPr="09D2728B">
          <w:rPr>
            <w:rStyle w:val="Hyperlink"/>
            <w:rFonts w:ascii="Arial" w:eastAsia="Arial" w:hAnsi="Arial" w:cs="Arial"/>
          </w:rPr>
          <w:t>3.1 Cholesterol measurement</w:t>
        </w:r>
        <w:r>
          <w:tab/>
        </w:r>
        <w:r w:rsidR="09D2728B" w:rsidRPr="09D2728B">
          <w:rPr>
            <w:rStyle w:val="Hyperlink"/>
            <w:rFonts w:ascii="Arial" w:eastAsia="Arial" w:hAnsi="Arial" w:cs="Arial"/>
          </w:rPr>
          <w:t>5</w:t>
        </w:r>
      </w:hyperlink>
    </w:p>
    <w:p w14:paraId="737157CC" w14:textId="4B05F35C" w:rsidR="007A1846" w:rsidRDefault="00C71A46">
      <w:hyperlink r:id="rId17" w:anchor="heading=h.2et92p0">
        <w:r w:rsidR="09D2728B" w:rsidRPr="09D2728B">
          <w:rPr>
            <w:rStyle w:val="Hyperlink"/>
            <w:rFonts w:ascii="Arial" w:eastAsia="Arial" w:hAnsi="Arial" w:cs="Arial"/>
          </w:rPr>
          <w:t>3.2 Body mass index (BMI)</w:t>
        </w:r>
        <w:r>
          <w:tab/>
        </w:r>
        <w:r w:rsidR="09D2728B" w:rsidRPr="09D2728B">
          <w:rPr>
            <w:rStyle w:val="Hyperlink"/>
            <w:rFonts w:ascii="Arial" w:eastAsia="Arial" w:hAnsi="Arial" w:cs="Arial"/>
          </w:rPr>
          <w:t>5</w:t>
        </w:r>
      </w:hyperlink>
    </w:p>
    <w:p w14:paraId="546C8B30" w14:textId="0D7931B7" w:rsidR="007A1846" w:rsidRDefault="00C71A46">
      <w:hyperlink r:id="rId18" w:anchor="heading=h.tyjcwt">
        <w:r w:rsidR="09D2728B" w:rsidRPr="09D2728B">
          <w:rPr>
            <w:rStyle w:val="Hyperlink"/>
            <w:rFonts w:ascii="Arial" w:eastAsia="Arial" w:hAnsi="Arial" w:cs="Arial"/>
          </w:rPr>
          <w:t>3.3 Blood pressure measurement</w:t>
        </w:r>
        <w:r>
          <w:tab/>
        </w:r>
        <w:r w:rsidR="09D2728B" w:rsidRPr="09D2728B">
          <w:rPr>
            <w:rStyle w:val="Hyperlink"/>
            <w:rFonts w:ascii="Arial" w:eastAsia="Arial" w:hAnsi="Arial" w:cs="Arial"/>
          </w:rPr>
          <w:t>5</w:t>
        </w:r>
      </w:hyperlink>
    </w:p>
    <w:p w14:paraId="4A50B151" w14:textId="6D450EB6" w:rsidR="007A1846" w:rsidRDefault="00C71A46">
      <w:hyperlink r:id="rId19" w:anchor="heading=h.3dy6vkm">
        <w:r w:rsidR="09D2728B" w:rsidRPr="09D2728B">
          <w:rPr>
            <w:rStyle w:val="Hyperlink"/>
            <w:rFonts w:ascii="Arial" w:eastAsia="Arial" w:hAnsi="Arial" w:cs="Arial"/>
          </w:rPr>
          <w:t>3.4 Hemoglobin A1c test</w:t>
        </w:r>
        <w:r>
          <w:tab/>
        </w:r>
        <w:r w:rsidR="09D2728B" w:rsidRPr="09D2728B">
          <w:rPr>
            <w:rStyle w:val="Hyperlink"/>
            <w:rFonts w:ascii="Arial" w:eastAsia="Arial" w:hAnsi="Arial" w:cs="Arial"/>
          </w:rPr>
          <w:t>6</w:t>
        </w:r>
      </w:hyperlink>
    </w:p>
    <w:p w14:paraId="57F44675" w14:textId="60BA0B06" w:rsidR="007A1846" w:rsidRDefault="00C71A46">
      <w:hyperlink r:id="rId20" w:anchor="heading=h.1t3h5sf">
        <w:r w:rsidR="09D2728B" w:rsidRPr="09D2728B">
          <w:rPr>
            <w:rStyle w:val="Hyperlink"/>
            <w:rFonts w:ascii="Arial" w:eastAsia="Arial" w:hAnsi="Arial" w:cs="Arial"/>
          </w:rPr>
          <w:t>3.5 Serum creatinine and Urine albumin measurement</w:t>
        </w:r>
        <w:r>
          <w:tab/>
        </w:r>
        <w:r w:rsidR="09D2728B" w:rsidRPr="09D2728B">
          <w:rPr>
            <w:rStyle w:val="Hyperlink"/>
            <w:rFonts w:ascii="Arial" w:eastAsia="Arial" w:hAnsi="Arial" w:cs="Arial"/>
          </w:rPr>
          <w:t>6</w:t>
        </w:r>
      </w:hyperlink>
    </w:p>
    <w:p w14:paraId="3E435793" w14:textId="025245E2" w:rsidR="007A1846" w:rsidRDefault="00C71A46">
      <w:hyperlink r:id="rId21" w:anchor="heading=h.4d34og8">
        <w:r w:rsidR="09D2728B" w:rsidRPr="09D2728B">
          <w:rPr>
            <w:rStyle w:val="Hyperlink"/>
            <w:rFonts w:ascii="Arial" w:eastAsia="Arial" w:hAnsi="Arial" w:cs="Arial"/>
          </w:rPr>
          <w:t>3.6 Smoking status</w:t>
        </w:r>
        <w:r>
          <w:tab/>
        </w:r>
        <w:r w:rsidR="09D2728B" w:rsidRPr="09D2728B">
          <w:rPr>
            <w:rStyle w:val="Hyperlink"/>
            <w:rFonts w:ascii="Arial" w:eastAsia="Arial" w:hAnsi="Arial" w:cs="Arial"/>
          </w:rPr>
          <w:t>6</w:t>
        </w:r>
      </w:hyperlink>
    </w:p>
    <w:p w14:paraId="23059632" w14:textId="6AEB111D" w:rsidR="007A1846" w:rsidRDefault="00C71A46">
      <w:hyperlink r:id="rId22" w:anchor="heading=h.2s8eyo1">
        <w:r w:rsidR="09D2728B" w:rsidRPr="09D2728B">
          <w:rPr>
            <w:rStyle w:val="Hyperlink"/>
            <w:rFonts w:ascii="Arial" w:eastAsia="Arial" w:hAnsi="Arial" w:cs="Arial"/>
          </w:rPr>
          <w:t>3.7 Foot examination and eye screening</w:t>
        </w:r>
        <w:r>
          <w:tab/>
        </w:r>
        <w:r w:rsidR="09D2728B" w:rsidRPr="09D2728B">
          <w:rPr>
            <w:rStyle w:val="Hyperlink"/>
            <w:rFonts w:ascii="Arial" w:eastAsia="Arial" w:hAnsi="Arial" w:cs="Arial"/>
          </w:rPr>
          <w:t>6</w:t>
        </w:r>
      </w:hyperlink>
    </w:p>
    <w:p w14:paraId="3E9C8573" w14:textId="35B25A4E" w:rsidR="007A1846" w:rsidRDefault="00C71A46">
      <w:hyperlink r:id="rId23" w:anchor="heading=h.17dp8vu">
        <w:r w:rsidR="09D2728B" w:rsidRPr="09D2728B">
          <w:rPr>
            <w:rStyle w:val="Hyperlink"/>
            <w:rFonts w:ascii="Arial" w:eastAsia="Arial" w:hAnsi="Arial" w:cs="Arial"/>
          </w:rPr>
          <w:t>4.0 Health and Social Care Practice</w:t>
        </w:r>
        <w:r>
          <w:tab/>
        </w:r>
        <w:r w:rsidR="09D2728B" w:rsidRPr="09D2728B">
          <w:rPr>
            <w:rStyle w:val="Hyperlink"/>
            <w:rFonts w:ascii="Arial" w:eastAsia="Arial" w:hAnsi="Arial" w:cs="Arial"/>
          </w:rPr>
          <w:t>7</w:t>
        </w:r>
      </w:hyperlink>
    </w:p>
    <w:p w14:paraId="0C496A31" w14:textId="52DD5553" w:rsidR="007A1846" w:rsidRDefault="00C71A46">
      <w:hyperlink r:id="rId24" w:anchor="heading=h.3rdcrjn">
        <w:r w:rsidR="09D2728B" w:rsidRPr="09D2728B">
          <w:rPr>
            <w:rStyle w:val="Hyperlink"/>
            <w:rFonts w:ascii="Arial" w:eastAsia="Arial" w:hAnsi="Arial" w:cs="Arial"/>
          </w:rPr>
          <w:t>4.1 NICE Guidelines</w:t>
        </w:r>
        <w:r>
          <w:tab/>
        </w:r>
        <w:r w:rsidR="09D2728B" w:rsidRPr="09D2728B">
          <w:rPr>
            <w:rStyle w:val="Hyperlink"/>
            <w:rFonts w:ascii="Arial" w:eastAsia="Arial" w:hAnsi="Arial" w:cs="Arial"/>
          </w:rPr>
          <w:t>7</w:t>
        </w:r>
      </w:hyperlink>
    </w:p>
    <w:p w14:paraId="4B440133" w14:textId="2FBCAEA2" w:rsidR="007A1846" w:rsidRDefault="00C71A46">
      <w:hyperlink r:id="rId25" w:anchor="heading=h.26in1rg">
        <w:r w:rsidR="09D2728B" w:rsidRPr="09D2728B">
          <w:rPr>
            <w:rStyle w:val="Hyperlink"/>
            <w:rFonts w:ascii="Arial" w:eastAsia="Arial" w:hAnsi="Arial" w:cs="Arial"/>
          </w:rPr>
          <w:t xml:space="preserve">4.2 NHS Diabetes Prevention </w:t>
        </w:r>
        <w:r w:rsidR="00593B6C" w:rsidRPr="09D2728B">
          <w:rPr>
            <w:rStyle w:val="Hyperlink"/>
            <w:rFonts w:ascii="Arial" w:eastAsia="Arial" w:hAnsi="Arial" w:cs="Arial"/>
          </w:rPr>
          <w:t>Program</w:t>
        </w:r>
        <w:r w:rsidR="09D2728B" w:rsidRPr="09D2728B">
          <w:rPr>
            <w:rStyle w:val="Hyperlink"/>
            <w:rFonts w:ascii="Arial" w:eastAsia="Arial" w:hAnsi="Arial" w:cs="Arial"/>
          </w:rPr>
          <w:t xml:space="preserve"> (DPP)</w:t>
        </w:r>
        <w:r>
          <w:tab/>
        </w:r>
        <w:r w:rsidR="09D2728B" w:rsidRPr="09D2728B">
          <w:rPr>
            <w:rStyle w:val="Hyperlink"/>
            <w:rFonts w:ascii="Arial" w:eastAsia="Arial" w:hAnsi="Arial" w:cs="Arial"/>
          </w:rPr>
          <w:t>7</w:t>
        </w:r>
      </w:hyperlink>
    </w:p>
    <w:p w14:paraId="60B3C2BC" w14:textId="24956246" w:rsidR="007A1846" w:rsidRDefault="00C71A46">
      <w:hyperlink r:id="rId26" w:anchor="heading=h.lnxbz9">
        <w:r w:rsidR="09D2728B" w:rsidRPr="09D2728B">
          <w:rPr>
            <w:rStyle w:val="Hyperlink"/>
            <w:rFonts w:ascii="Arial" w:eastAsia="Arial" w:hAnsi="Arial" w:cs="Arial"/>
          </w:rPr>
          <w:t>4.3 James Lind Alliance Priority Setting Partnership</w:t>
        </w:r>
        <w:r>
          <w:tab/>
        </w:r>
        <w:r w:rsidR="09D2728B" w:rsidRPr="09D2728B">
          <w:rPr>
            <w:rStyle w:val="Hyperlink"/>
            <w:rFonts w:ascii="Arial" w:eastAsia="Arial" w:hAnsi="Arial" w:cs="Arial"/>
          </w:rPr>
          <w:t>8</w:t>
        </w:r>
      </w:hyperlink>
    </w:p>
    <w:p w14:paraId="5A2C713F" w14:textId="323004FA" w:rsidR="007A1846" w:rsidRDefault="00C71A46">
      <w:hyperlink r:id="rId27" w:anchor="heading=h.35nkun2">
        <w:r w:rsidR="09D2728B" w:rsidRPr="09D2728B">
          <w:rPr>
            <w:rStyle w:val="Hyperlink"/>
            <w:rFonts w:ascii="Arial" w:eastAsia="Arial" w:hAnsi="Arial" w:cs="Arial"/>
          </w:rPr>
          <w:t>5.0 Recommendations</w:t>
        </w:r>
        <w:r>
          <w:tab/>
        </w:r>
        <w:r w:rsidR="09D2728B" w:rsidRPr="09D2728B">
          <w:rPr>
            <w:rStyle w:val="Hyperlink"/>
            <w:rFonts w:ascii="Arial" w:eastAsia="Arial" w:hAnsi="Arial" w:cs="Arial"/>
          </w:rPr>
          <w:t>8</w:t>
        </w:r>
      </w:hyperlink>
    </w:p>
    <w:p w14:paraId="4988012C" w14:textId="36561046" w:rsidR="007A1846" w:rsidRDefault="00C71A46">
      <w:hyperlink r:id="rId28" w:anchor="heading=h.1ksv4uv">
        <w:r w:rsidR="09D2728B" w:rsidRPr="09D2728B">
          <w:rPr>
            <w:rStyle w:val="Hyperlink"/>
            <w:rFonts w:ascii="Arial" w:eastAsia="Arial" w:hAnsi="Arial" w:cs="Arial"/>
          </w:rPr>
          <w:t>6.0 Conclusion</w:t>
        </w:r>
        <w:r>
          <w:tab/>
        </w:r>
        <w:r w:rsidR="09D2728B" w:rsidRPr="09D2728B">
          <w:rPr>
            <w:rStyle w:val="Hyperlink"/>
            <w:rFonts w:ascii="Arial" w:eastAsia="Arial" w:hAnsi="Arial" w:cs="Arial"/>
          </w:rPr>
          <w:t>8</w:t>
        </w:r>
      </w:hyperlink>
    </w:p>
    <w:p w14:paraId="22C8CC92" w14:textId="247698BE" w:rsidR="007A1846" w:rsidRDefault="00C71A46">
      <w:hyperlink r:id="rId29" w:anchor="heading=h.44sinio">
        <w:r w:rsidR="09D2728B" w:rsidRPr="09D2728B">
          <w:rPr>
            <w:rStyle w:val="Hyperlink"/>
            <w:rFonts w:ascii="Arial" w:eastAsia="Arial" w:hAnsi="Arial" w:cs="Arial"/>
          </w:rPr>
          <w:t>Reference List</w:t>
        </w:r>
        <w:r>
          <w:tab/>
        </w:r>
        <w:r w:rsidR="09D2728B" w:rsidRPr="09D2728B">
          <w:rPr>
            <w:rStyle w:val="Hyperlink"/>
            <w:rFonts w:ascii="Arial" w:eastAsia="Arial" w:hAnsi="Arial" w:cs="Arial"/>
          </w:rPr>
          <w:t>9</w:t>
        </w:r>
      </w:hyperlink>
    </w:p>
    <w:p w14:paraId="056A3337" w14:textId="2733B4F6" w:rsidR="007A1846" w:rsidRDefault="00C71A46" w:rsidP="09D2728B">
      <w:pPr>
        <w:pStyle w:val="Heading1"/>
      </w:pPr>
      <w:r>
        <w:br/>
      </w:r>
      <w:r w:rsidR="09D2728B" w:rsidRPr="09D2728B">
        <w:rPr>
          <w:rFonts w:ascii="Arial" w:eastAsia="Arial" w:hAnsi="Arial" w:cs="Arial"/>
          <w:color w:val="000000" w:themeColor="text1"/>
          <w:sz w:val="22"/>
          <w:szCs w:val="22"/>
        </w:rPr>
        <w:t>1.0 Introduction</w:t>
      </w:r>
    </w:p>
    <w:p w14:paraId="5C87DD95" w14:textId="6A5E6EED" w:rsidR="007A1846" w:rsidRDefault="09D2728B" w:rsidP="09D2728B">
      <w:pPr>
        <w:ind w:firstLine="720"/>
      </w:pPr>
      <w:r w:rsidRPr="09D2728B">
        <w:rPr>
          <w:rFonts w:ascii="Arial" w:eastAsia="Arial" w:hAnsi="Arial" w:cs="Arial"/>
          <w:color w:val="000000" w:themeColor="text1"/>
        </w:rPr>
        <w:t>Type 2 diabetes is a chronic, complex heterogeneous metabolic health condition increasingly having a severe impact on the global population. This chronic disease is characterized by high illness and deaths due to microvascular and macrovascular complications and exacerbates the health system's current high economic burden (Finer et al., 2018). The United Kingdom (UK) is experiencing a high diabetes prevalence, particularly Type 2, a major public health priority. Recent estimates published by the UK's National Health System (NHS) indicate that about 2 million people living in England alone were at risk of suffering from Type 2 diabetes in 2020 (NHS, 2020). In 2015, 8.6% of the UK population (3.8 million people) was already believed to be living with the condition (Finer et al., 2018). Diagnoses of this chronic health condition have doubled over the past 15 years, with the number of people living with type 1 or 2 diabetes in the UK rising sharply to about 4.1 million (Lacobucci, 2021). Diabetes UK, the leading charity organization for people with diabetes, forecasts that these figures could increase to 5.5 million (1 in 10 adults) if the current trend persists (Lacobucci, 2021).</w:t>
      </w:r>
    </w:p>
    <w:p w14:paraId="17416EA6" w14:textId="14B4B91F" w:rsidR="007A1846" w:rsidRDefault="09D2728B" w:rsidP="09D2728B">
      <w:pPr>
        <w:pStyle w:val="Heading1"/>
      </w:pPr>
      <w:r w:rsidRPr="09D2728B">
        <w:rPr>
          <w:rFonts w:ascii="Arial" w:eastAsia="Arial" w:hAnsi="Arial" w:cs="Arial"/>
          <w:color w:val="000000" w:themeColor="text1"/>
          <w:sz w:val="22"/>
          <w:szCs w:val="22"/>
        </w:rPr>
        <w:t>2.0 Anatomy and Physiology of Diabetes</w:t>
      </w:r>
    </w:p>
    <w:p w14:paraId="4543DD0B" w14:textId="457C3C1F" w:rsidR="007A1846" w:rsidRDefault="09D2728B" w:rsidP="09D2728B">
      <w:pPr>
        <w:ind w:firstLine="720"/>
      </w:pPr>
      <w:r w:rsidRPr="09D2728B">
        <w:rPr>
          <w:rFonts w:ascii="Arial" w:eastAsia="Arial" w:hAnsi="Arial" w:cs="Arial"/>
          <w:color w:val="000000" w:themeColor="text1"/>
        </w:rPr>
        <w:t xml:space="preserve">Type 2 diabetes is an impairment in how the body regulates and uses sugar (glucose) as a fuel. This long-term (chronic) condition results in too much sugar circulating in the bloodstream (DeFronzo, 2018). Multiple organs play some direct or indirect role in developing type 2 diabetes, including the pancreas, liver, kidneys, brain, and small intestines (Galicia-Garcia et al., 2020). However, as illustrated in Figure 1 below, the pancreas is the primary body organ involved in the onset and progression of this health condition. Attack and destruction of the insulin-producing beta cells found in the pancreas by the body's immune system </w:t>
      </w:r>
      <w:r w:rsidR="00341F13" w:rsidRPr="09D2728B">
        <w:rPr>
          <w:rFonts w:ascii="Arial" w:eastAsia="Arial" w:hAnsi="Arial" w:cs="Arial"/>
          <w:color w:val="000000" w:themeColor="text1"/>
        </w:rPr>
        <w:t>led</w:t>
      </w:r>
      <w:r w:rsidRPr="09D2728B">
        <w:rPr>
          <w:rFonts w:ascii="Arial" w:eastAsia="Arial" w:hAnsi="Arial" w:cs="Arial"/>
          <w:color w:val="000000" w:themeColor="text1"/>
        </w:rPr>
        <w:t xml:space="preserve"> to a shortage in beta cells, resulting in a relative deficiency of the vital hormone. The patient fails to produce </w:t>
      </w:r>
      <w:r w:rsidR="00341F13" w:rsidRPr="09D2728B">
        <w:rPr>
          <w:rFonts w:ascii="Arial" w:eastAsia="Arial" w:hAnsi="Arial" w:cs="Arial"/>
          <w:color w:val="000000" w:themeColor="text1"/>
        </w:rPr>
        <w:t>enough</w:t>
      </w:r>
      <w:r w:rsidRPr="09D2728B">
        <w:rPr>
          <w:rFonts w:ascii="Arial" w:eastAsia="Arial" w:hAnsi="Arial" w:cs="Arial"/>
          <w:color w:val="000000" w:themeColor="text1"/>
        </w:rPr>
        <w:t xml:space="preserve"> insulin to meet the metabolic needs. This impairment results in excessive sugar levels in the blood.</w:t>
      </w:r>
    </w:p>
    <w:p w14:paraId="0D0E8988" w14:textId="111628C5" w:rsidR="007A1846" w:rsidRDefault="00C71A46" w:rsidP="09D2728B">
      <w:pPr>
        <w:ind w:firstLine="720"/>
      </w:pPr>
      <w:r>
        <w:br/>
      </w:r>
      <w:r w:rsidR="09D2728B" w:rsidRPr="09D2728B">
        <w:rPr>
          <w:rFonts w:ascii="Arial" w:eastAsia="Arial" w:hAnsi="Arial" w:cs="Arial"/>
          <w:color w:val="000000" w:themeColor="text1"/>
        </w:rPr>
        <w:t>Type 2 diabetes is an outcome of two primary physiological factors. The first problem that marks the onset of this condition is a defective insulin secretion by beta cells (β-cells) found in the pancreas. In the second related problem, insulin-sensitive tissues become unable to respond usually to insulin and absorb less sugar (Banday et al., 2020; Galicia-Garcia et al., 2020). It is important to note that insulin is the primary hormone responsible for regulating the movement of sugar in human cells. Galicia-Garcia et al. (2020) explain that insulin secretion and its action play a vital role in glucose homeostasis and satisfy the metabolic demand sufficiently; thus, the molecular mechanisms responsible for detecting, synthesizing</w:t>
      </w:r>
      <w:r w:rsidR="00341F13">
        <w:rPr>
          <w:rFonts w:ascii="Arial" w:eastAsia="Arial" w:hAnsi="Arial" w:cs="Arial"/>
          <w:color w:val="000000" w:themeColor="text1"/>
        </w:rPr>
        <w:t>,</w:t>
      </w:r>
      <w:r w:rsidR="09D2728B" w:rsidRPr="09D2728B">
        <w:rPr>
          <w:rFonts w:ascii="Arial" w:eastAsia="Arial" w:hAnsi="Arial" w:cs="Arial"/>
          <w:color w:val="000000" w:themeColor="text1"/>
        </w:rPr>
        <w:t xml:space="preserve"> and secreting insulin are tightly regulated. This implies that any impairment in any of those mechanisms responsible for these critical processes can result in a metabolic imbalance, </w:t>
      </w:r>
      <w:r w:rsidR="00AA5E6E" w:rsidRPr="09D2728B">
        <w:rPr>
          <w:rFonts w:ascii="Arial" w:eastAsia="Arial" w:hAnsi="Arial" w:cs="Arial"/>
          <w:color w:val="000000" w:themeColor="text1"/>
        </w:rPr>
        <w:t>leading</w:t>
      </w:r>
      <w:r w:rsidR="09D2728B" w:rsidRPr="09D2728B">
        <w:rPr>
          <w:rFonts w:ascii="Arial" w:eastAsia="Arial" w:hAnsi="Arial" w:cs="Arial"/>
          <w:color w:val="000000" w:themeColor="text1"/>
        </w:rPr>
        <w:t xml:space="preserve"> to the development of type 2 diabetes. Therefore, the imbalance between the demand and release of insulin causes chronic metabolic disorder</w:t>
      </w:r>
      <w:r w:rsidR="00341F13">
        <w:rPr>
          <w:rFonts w:ascii="Arial" w:eastAsia="Arial" w:hAnsi="Arial" w:cs="Arial"/>
          <w:color w:val="000000" w:themeColor="text1"/>
        </w:rPr>
        <w:t>s</w:t>
      </w:r>
      <w:r w:rsidR="09D2728B" w:rsidRPr="09D2728B">
        <w:rPr>
          <w:rFonts w:ascii="Arial" w:eastAsia="Arial" w:hAnsi="Arial" w:cs="Arial"/>
          <w:color w:val="000000" w:themeColor="text1"/>
        </w:rPr>
        <w:t>.</w:t>
      </w:r>
    </w:p>
    <w:p w14:paraId="2C078E63" w14:textId="329D6225" w:rsidR="007A1846" w:rsidRDefault="00C71A46" w:rsidP="09D2728B">
      <w:r>
        <w:br/>
      </w:r>
      <w:r w:rsidR="09D2728B">
        <w:rPr>
          <w:noProof/>
        </w:rPr>
        <w:drawing>
          <wp:inline distT="0" distB="0" distL="0" distR="0" wp14:anchorId="6FA26934" wp14:editId="207922B1">
            <wp:extent cx="5943600" cy="2990850"/>
            <wp:effectExtent l="0" t="0" r="0" b="0"/>
            <wp:docPr id="360673758" name="Picture 360673758" descr="The Endocrine Pancreas | Anatomy and Physiology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2990850"/>
                    </a:xfrm>
                    <a:prstGeom prst="rect">
                      <a:avLst/>
                    </a:prstGeom>
                  </pic:spPr>
                </pic:pic>
              </a:graphicData>
            </a:graphic>
          </wp:inline>
        </w:drawing>
      </w:r>
    </w:p>
    <w:p w14:paraId="0C7E3407" w14:textId="09D807E7" w:rsidR="09D2728B" w:rsidRDefault="09D2728B" w:rsidP="09D2728B"/>
    <w:p w14:paraId="007C0700" w14:textId="4079D5A6" w:rsidR="09D2728B" w:rsidRDefault="09D2728B">
      <w:r w:rsidRPr="09D2728B">
        <w:rPr>
          <w:rFonts w:ascii="Arial" w:eastAsia="Arial" w:hAnsi="Arial" w:cs="Arial"/>
          <w:color w:val="000000" w:themeColor="text1"/>
        </w:rPr>
        <w:t>Figure 1: Anatomy and Physiology of Type 2 Diabetes</w:t>
      </w:r>
    </w:p>
    <w:p w14:paraId="4620AE65" w14:textId="5CD7A911" w:rsidR="09D2728B" w:rsidRDefault="09D2728B" w:rsidP="09D2728B">
      <w:pPr>
        <w:pStyle w:val="Heading1"/>
      </w:pPr>
      <w:r w:rsidRPr="09D2728B">
        <w:rPr>
          <w:rFonts w:ascii="Arial" w:eastAsia="Arial" w:hAnsi="Arial" w:cs="Arial"/>
          <w:color w:val="000000" w:themeColor="text1"/>
          <w:sz w:val="22"/>
          <w:szCs w:val="22"/>
        </w:rPr>
        <w:t>3.0 Health and Lifestyle Routine Measures</w:t>
      </w:r>
    </w:p>
    <w:p w14:paraId="3233B237" w14:textId="71420EC4" w:rsidR="09D2728B" w:rsidRDefault="09D2728B" w:rsidP="09D2728B">
      <w:pPr>
        <w:ind w:firstLine="720"/>
      </w:pPr>
      <w:r w:rsidRPr="09D2728B">
        <w:rPr>
          <w:rFonts w:ascii="Arial" w:eastAsia="Arial" w:hAnsi="Arial" w:cs="Arial"/>
          <w:color w:val="000000" w:themeColor="text1"/>
        </w:rPr>
        <w:t>Genetic, environmental, lifestyle</w:t>
      </w:r>
      <w:r w:rsidR="00433409">
        <w:rPr>
          <w:rFonts w:ascii="Arial" w:eastAsia="Arial" w:hAnsi="Arial" w:cs="Arial"/>
          <w:color w:val="000000" w:themeColor="text1"/>
        </w:rPr>
        <w:t>,</w:t>
      </w:r>
      <w:r w:rsidRPr="09D2728B">
        <w:rPr>
          <w:rFonts w:ascii="Arial" w:eastAsia="Arial" w:hAnsi="Arial" w:cs="Arial"/>
          <w:color w:val="000000" w:themeColor="text1"/>
        </w:rPr>
        <w:t xml:space="preserve"> and metabolic factors interact with one another leading to the high prevalence of type 2 diabetes in the UK (Said et al., 2018). Empirical evidence shows that non-modifiable risk factors, such as ethnic background, family history, and genetic makeup, strongly predispose people to type 2 diabetes (Galicia-Garcia et al., 2020). However, findings from epidemiological research indicate that this condition can be prevented and managed through lifestyle changes, particularly avoiding a sedentary lifestyle, unhealthy diet, and obesity (Vetter et al., 2018). Particularly alarming is the early onset of Type 2 diabetes, a condition initially termed adult-onset diabetes because it was more common in older adults and unusual in children (Candler et al., 2018). However, research has documented evidence showing the onset of both type 1 and 2 diabetes in childhood and adulthood (Golf, 2019). The early onset has been attributed to poor lifestyles among younger people, especially obesity and overweight. This section discusses existing routine health and lifestyle measures for gathering information on the body functioning of individuals with type 2 diabetes. These assessments are primarily drawn from the National Diabetes Audit (NICE, 2018).</w:t>
      </w:r>
    </w:p>
    <w:p w14:paraId="3534C30A" w14:textId="47B6E75D" w:rsidR="09D2728B" w:rsidRDefault="09D2728B" w:rsidP="09D2728B">
      <w:pPr>
        <w:pStyle w:val="Heading2"/>
      </w:pPr>
      <w:r w:rsidRPr="09D2728B">
        <w:rPr>
          <w:rFonts w:ascii="Arial" w:eastAsia="Arial" w:hAnsi="Arial" w:cs="Arial"/>
          <w:color w:val="000000" w:themeColor="text1"/>
          <w:sz w:val="22"/>
          <w:szCs w:val="22"/>
        </w:rPr>
        <w:t>3.1 Cholesterol measurement</w:t>
      </w:r>
    </w:p>
    <w:p w14:paraId="0555EDCA" w14:textId="1191F55F" w:rsidR="09D2728B" w:rsidRDefault="09D2728B" w:rsidP="09D2728B">
      <w:pPr>
        <w:ind w:firstLine="720"/>
      </w:pPr>
      <w:r w:rsidRPr="09D2728B">
        <w:rPr>
          <w:rFonts w:ascii="Arial" w:eastAsia="Arial" w:hAnsi="Arial" w:cs="Arial"/>
          <w:color w:val="000000" w:themeColor="text1"/>
        </w:rPr>
        <w:t>Cholesterol measurement is one of the most common routine measures of diabetes. This routine health and lifestyle measure involves blood tests critical to assessing cardiovascular disease risk related to type 2 diabetes. Diabetic patients are predisposed to cardiovascular conditions; thus, NICE strongly recommends checking cholesterol lev</w:t>
      </w:r>
      <w:r w:rsidR="00494C65">
        <w:rPr>
          <w:rFonts w:ascii="Arial" w:eastAsia="Arial" w:hAnsi="Arial" w:cs="Arial"/>
          <w:color w:val="000000" w:themeColor="text1"/>
        </w:rPr>
        <w:t>e</w:t>
      </w:r>
      <w:r w:rsidRPr="09D2728B">
        <w:rPr>
          <w:rFonts w:ascii="Arial" w:eastAsia="Arial" w:hAnsi="Arial" w:cs="Arial"/>
          <w:color w:val="000000" w:themeColor="text1"/>
        </w:rPr>
        <w:t>ls at least once a year (NICE, 2018). A simple blood test will generate valuable data that may inform the diagnosis and management of this condition</w:t>
      </w:r>
      <w:r w:rsidR="00A72D82" w:rsidRPr="09D2728B">
        <w:rPr>
          <w:rFonts w:ascii="Arial" w:eastAsia="Arial" w:hAnsi="Arial" w:cs="Arial"/>
          <w:color w:val="000000" w:themeColor="text1"/>
        </w:rPr>
        <w:t xml:space="preserve">. </w:t>
      </w:r>
    </w:p>
    <w:p w14:paraId="1823770D" w14:textId="22551A42" w:rsidR="09D2728B" w:rsidRDefault="09D2728B" w:rsidP="09D2728B">
      <w:pPr>
        <w:pStyle w:val="Heading2"/>
      </w:pPr>
      <w:r w:rsidRPr="09D2728B">
        <w:rPr>
          <w:rFonts w:ascii="Arial" w:eastAsia="Arial" w:hAnsi="Arial" w:cs="Arial"/>
          <w:color w:val="000000" w:themeColor="text1"/>
          <w:sz w:val="22"/>
          <w:szCs w:val="22"/>
        </w:rPr>
        <w:t>3.2 Body mass index (BMI)</w:t>
      </w:r>
    </w:p>
    <w:p w14:paraId="5C566F83" w14:textId="6A7A753D" w:rsidR="09D2728B" w:rsidRDefault="09D2728B" w:rsidP="09D2728B">
      <w:pPr>
        <w:ind w:firstLine="720"/>
      </w:pPr>
      <w:r w:rsidRPr="09D2728B">
        <w:rPr>
          <w:rFonts w:ascii="Arial" w:eastAsia="Arial" w:hAnsi="Arial" w:cs="Arial"/>
          <w:color w:val="000000" w:themeColor="text1"/>
        </w:rPr>
        <w:t>Carrying excessive weight around the middle part of the body, particularly the waist heightens the risk of developing type 2 diabetes. Accumulation of fats around organs such as the pancreas and liver can lead to insulin resistance and impair the normal functioning of the insulin produced in the body. As a result, it is highly recommended to keep one's overall weight and BMI to healthy levels to lower the risk of this metabolic condition. BMI involves a simple procedure where individuals quickly assess their weight to determine their category – underweight, normal, or overweight (NICE, 2018). Overweight and obesity have been strongly linked to an elevated risk of diabetes-related complications (Chatterton et al., 2012). Thus, measuring BMI allows for identifying at-risk individuals who are then referred for appropriate interventions.</w:t>
      </w:r>
    </w:p>
    <w:p w14:paraId="6D2CB5D4" w14:textId="300306C5" w:rsidR="09D2728B" w:rsidRDefault="09D2728B" w:rsidP="09D2728B">
      <w:pPr>
        <w:pStyle w:val="Heading2"/>
      </w:pPr>
      <w:r>
        <w:br/>
      </w:r>
      <w:r w:rsidRPr="09D2728B">
        <w:rPr>
          <w:rFonts w:ascii="Arial" w:eastAsia="Arial" w:hAnsi="Arial" w:cs="Arial"/>
          <w:color w:val="000000" w:themeColor="text1"/>
          <w:sz w:val="22"/>
          <w:szCs w:val="22"/>
        </w:rPr>
        <w:t>3.3 Blood pressure measurement</w:t>
      </w:r>
    </w:p>
    <w:p w14:paraId="4711F32D" w14:textId="745A3912" w:rsidR="09D2728B" w:rsidRDefault="09D2728B" w:rsidP="09D2728B">
      <w:pPr>
        <w:ind w:firstLine="720"/>
      </w:pPr>
      <w:r w:rsidRPr="09D2728B">
        <w:rPr>
          <w:rFonts w:ascii="Arial" w:eastAsia="Arial" w:hAnsi="Arial" w:cs="Arial"/>
          <w:color w:val="000000" w:themeColor="text1"/>
        </w:rPr>
        <w:t xml:space="preserve">Taking blood pressure levels is another essential routine health and lifestyle indicator of type 2 diabetes. This measurement is vital due to the high prevalence of high blood pressure among diabetic patients (Stark et al., 2013). NICE (2015) cautioned that poor tracking and managing this vital sign could exacerbate diabetic complications. Blood pressure needs to be measured after one to three months to evaluate the risk of cardiovascular illness. </w:t>
      </w:r>
    </w:p>
    <w:p w14:paraId="5EDF7AC3" w14:textId="76336B52" w:rsidR="09D2728B" w:rsidRDefault="09D2728B" w:rsidP="09D2728B">
      <w:pPr>
        <w:pStyle w:val="Heading2"/>
      </w:pPr>
      <w:r w:rsidRPr="09D2728B">
        <w:rPr>
          <w:rFonts w:ascii="Arial" w:eastAsia="Arial" w:hAnsi="Arial" w:cs="Arial"/>
          <w:color w:val="000000" w:themeColor="text1"/>
          <w:sz w:val="22"/>
          <w:szCs w:val="22"/>
        </w:rPr>
        <w:t>3.4 Hemoglobin A1c test</w:t>
      </w:r>
    </w:p>
    <w:p w14:paraId="618E4383" w14:textId="67C02D38" w:rsidR="09D2728B" w:rsidRDefault="09D2728B" w:rsidP="09D2728B">
      <w:pPr>
        <w:ind w:firstLine="720"/>
      </w:pPr>
      <w:r w:rsidRPr="09D2728B">
        <w:rPr>
          <w:rFonts w:ascii="Arial" w:eastAsia="Arial" w:hAnsi="Arial" w:cs="Arial"/>
          <w:color w:val="000000" w:themeColor="text1"/>
        </w:rPr>
        <w:t xml:space="preserve">As stated earlier, insulin production and action impairment result in excessive sugar levels in the bloodstream (Banday et al., 2020; Galicia-Garcia et al., 2020). Therefore, a hemoglobin A1c (HbA1c) test is conducted to determine an individual's average blood sugar level over a more extended period (weeks or months). The information collected during this blood test helps diagnose and monitor people living with diabetes. According to NICE (2015) guidelines, a high level of HbA1c indicates an elevated risk of developing diabetes-related complications. NICE has provided explicit recommendations for this measurement. Most importantly, type 2 diabetic people living in the UK are advised to measure their HbA1c levels at least every six months and three to six months if the condition is stable and unstable, respectively (McGuire et al., 2016). People are encouraged to maintain an HbA1c level of 48mmol/mol or lower (NICE, 2015). </w:t>
      </w:r>
    </w:p>
    <w:p w14:paraId="5A6214AF" w14:textId="7868A9C3" w:rsidR="09D2728B" w:rsidRDefault="09D2728B" w:rsidP="09D2728B">
      <w:pPr>
        <w:pStyle w:val="Heading2"/>
      </w:pPr>
      <w:r w:rsidRPr="09D2728B">
        <w:rPr>
          <w:rFonts w:ascii="Arial" w:eastAsia="Arial" w:hAnsi="Arial" w:cs="Arial"/>
          <w:color w:val="000000" w:themeColor="text1"/>
          <w:sz w:val="22"/>
          <w:szCs w:val="22"/>
        </w:rPr>
        <w:t>3.5 Serum creatinine and Urine albumin measurement</w:t>
      </w:r>
    </w:p>
    <w:p w14:paraId="7FFF3884" w14:textId="5A7E038A" w:rsidR="09D2728B" w:rsidRDefault="09D2728B" w:rsidP="09D2728B">
      <w:pPr>
        <w:ind w:firstLine="720"/>
      </w:pPr>
      <w:r w:rsidRPr="09D2728B">
        <w:rPr>
          <w:rFonts w:ascii="Arial" w:eastAsia="Arial" w:hAnsi="Arial" w:cs="Arial"/>
          <w:color w:val="000000" w:themeColor="text1"/>
        </w:rPr>
        <w:t xml:space="preserve">These routine blood tests are also recommended for type 2 diabetic patients. They focus on checking how the human kidney functions and detecting early deterioration warning signs. This test is vital because the kidney plays a critical role in normal glucose homeostasis, </w:t>
      </w:r>
      <w:r w:rsidR="00AA5E6E" w:rsidRPr="09D2728B">
        <w:rPr>
          <w:rFonts w:ascii="Arial" w:eastAsia="Arial" w:hAnsi="Arial" w:cs="Arial"/>
          <w:color w:val="000000" w:themeColor="text1"/>
        </w:rPr>
        <w:t>the</w:t>
      </w:r>
      <w:r w:rsidRPr="09D2728B">
        <w:rPr>
          <w:rFonts w:ascii="Arial" w:eastAsia="Arial" w:hAnsi="Arial" w:cs="Arial"/>
          <w:color w:val="000000" w:themeColor="text1"/>
        </w:rPr>
        <w:t xml:space="preserve"> release and absorption of glucose into and from the circulation, respectively, to meet its metabolic needs (Gerich, 2010; Galicia-Garcia et al., 2020). Given the kidney's active role in diabetic complications, NICE recommends regular monitoring and measurement at least every year.</w:t>
      </w:r>
    </w:p>
    <w:p w14:paraId="0B99DE7F" w14:textId="5D4958FF" w:rsidR="09D2728B" w:rsidRDefault="09D2728B" w:rsidP="09D2728B">
      <w:pPr>
        <w:pStyle w:val="Heading2"/>
      </w:pPr>
      <w:r w:rsidRPr="09D2728B">
        <w:rPr>
          <w:rFonts w:ascii="Arial" w:eastAsia="Arial" w:hAnsi="Arial" w:cs="Arial"/>
          <w:color w:val="000000" w:themeColor="text1"/>
          <w:sz w:val="22"/>
          <w:szCs w:val="22"/>
        </w:rPr>
        <w:t xml:space="preserve">3.6 Smoking status </w:t>
      </w:r>
    </w:p>
    <w:p w14:paraId="60F72923" w14:textId="4973B68F" w:rsidR="09D2728B" w:rsidRDefault="09D2728B" w:rsidP="09D2728B">
      <w:pPr>
        <w:ind w:firstLine="720"/>
      </w:pPr>
      <w:r w:rsidRPr="09D2728B">
        <w:rPr>
          <w:rFonts w:ascii="Arial" w:eastAsia="Arial" w:hAnsi="Arial" w:cs="Arial"/>
          <w:color w:val="000000" w:themeColor="text1"/>
        </w:rPr>
        <w:t>Research shows that both active and passive smoking heightens the risk of developing type 2 diabetes (Pan et al., 2015). Besides that, cardiovascular disease is a leading cause of mortality among people living with this health condition (Said et al., 2018). Given the strong connection with diabetes, NICE recommends an annual assessment of smoking status to determine the cardiovascular risk and prove appropriate clinical and lifestyle intervention.</w:t>
      </w:r>
    </w:p>
    <w:p w14:paraId="0E72382A" w14:textId="49FE053D" w:rsidR="09D2728B" w:rsidRDefault="09D2728B" w:rsidP="09D2728B">
      <w:pPr>
        <w:pStyle w:val="Heading2"/>
      </w:pPr>
      <w:r w:rsidRPr="09D2728B">
        <w:rPr>
          <w:rFonts w:ascii="Arial" w:eastAsia="Arial" w:hAnsi="Arial" w:cs="Arial"/>
          <w:color w:val="000000" w:themeColor="text1"/>
          <w:sz w:val="22"/>
          <w:szCs w:val="22"/>
        </w:rPr>
        <w:t>3.7 Foot examination and eye screening</w:t>
      </w:r>
    </w:p>
    <w:p w14:paraId="1CC9C018" w14:textId="3C66DF41" w:rsidR="09D2728B" w:rsidRDefault="09D2728B" w:rsidP="09D2728B">
      <w:pPr>
        <w:ind w:firstLine="720"/>
      </w:pPr>
      <w:r w:rsidRPr="09D2728B">
        <w:rPr>
          <w:rFonts w:ascii="Arial" w:eastAsia="Arial" w:hAnsi="Arial" w:cs="Arial"/>
          <w:color w:val="000000" w:themeColor="text1"/>
        </w:rPr>
        <w:t>High blood sugar levels in the bloodstream may damage nerves in the feet and compromise normal circulation (NICE, 2018). Similarly, diabetes may cause damage to the blood vessels located in the human eye, damaging the retina. As a result, people are advised to undergo foot examinations and eye screenings annually to reduce the risk of foot ulcers and sight loss.</w:t>
      </w:r>
    </w:p>
    <w:p w14:paraId="70C4729A" w14:textId="58E8E405" w:rsidR="09D2728B" w:rsidRDefault="09D2728B" w:rsidP="09D2728B">
      <w:pPr>
        <w:pStyle w:val="Heading1"/>
      </w:pPr>
      <w:r w:rsidRPr="09D2728B">
        <w:rPr>
          <w:rFonts w:ascii="Arial" w:eastAsia="Arial" w:hAnsi="Arial" w:cs="Arial"/>
          <w:color w:val="000000" w:themeColor="text1"/>
          <w:sz w:val="22"/>
          <w:szCs w:val="22"/>
        </w:rPr>
        <w:t>4.0 Health and Social Care Practice</w:t>
      </w:r>
    </w:p>
    <w:p w14:paraId="1673CD0D" w14:textId="285A3AC8" w:rsidR="09D2728B" w:rsidRDefault="09D2728B" w:rsidP="09D2728B">
      <w:pPr>
        <w:ind w:firstLine="720"/>
      </w:pPr>
      <w:r w:rsidRPr="09D2728B">
        <w:rPr>
          <w:rFonts w:ascii="Arial" w:eastAsia="Arial" w:hAnsi="Arial" w:cs="Arial"/>
          <w:color w:val="000000" w:themeColor="text1"/>
        </w:rPr>
        <w:t>The care of people diagnosed with type 2 diabetes and the prevention of this health condition in the UK involve a multidisciplinary, multiagency collaboration, bringing together different professionals, agencies, and sectors to enhance the quality of diabetes care (NICE, 2015). This provides a brief overview of UK-based examples of health and social care practice, policy, and planning for individuals or communities</w:t>
      </w:r>
    </w:p>
    <w:p w14:paraId="3A8FAD10" w14:textId="052BE711" w:rsidR="09D2728B" w:rsidRDefault="09D2728B" w:rsidP="09D2728B">
      <w:pPr>
        <w:pStyle w:val="Heading2"/>
      </w:pPr>
      <w:r w:rsidRPr="09D2728B">
        <w:rPr>
          <w:rFonts w:ascii="Arial" w:eastAsia="Arial" w:hAnsi="Arial" w:cs="Arial"/>
          <w:color w:val="000000" w:themeColor="text1"/>
          <w:sz w:val="22"/>
          <w:szCs w:val="22"/>
        </w:rPr>
        <w:t>4.1 NICE Guidelines</w:t>
      </w:r>
    </w:p>
    <w:p w14:paraId="29D39414" w14:textId="4E0E6F69" w:rsidR="09D2728B" w:rsidRDefault="09D2728B" w:rsidP="09D2728B">
      <w:pPr>
        <w:ind w:firstLine="720"/>
      </w:pPr>
      <w:r w:rsidRPr="09D2728B">
        <w:rPr>
          <w:rFonts w:ascii="Arial" w:eastAsia="Arial" w:hAnsi="Arial" w:cs="Arial"/>
          <w:color w:val="000000" w:themeColor="text1"/>
        </w:rPr>
        <w:t xml:space="preserve">The NICE has consistently issued evidence-based guidelines which have immensely contributed to improved prevention, detection, and management of diabetes in the UK. The standards focus on adult patients (aged </w:t>
      </w:r>
      <w:r w:rsidR="00A72D82" w:rsidRPr="09D2728B">
        <w:rPr>
          <w:rFonts w:ascii="Arial" w:eastAsia="Arial" w:hAnsi="Arial" w:cs="Arial"/>
          <w:color w:val="000000" w:themeColor="text1"/>
        </w:rPr>
        <w:t>eighteen</w:t>
      </w:r>
      <w:r w:rsidRPr="09D2728B">
        <w:rPr>
          <w:rFonts w:ascii="Arial" w:eastAsia="Arial" w:hAnsi="Arial" w:cs="Arial"/>
          <w:color w:val="000000" w:themeColor="text1"/>
        </w:rPr>
        <w:t xml:space="preserve"> and over) living with type 2 diabetes. The NICE recommendations have been targeted and implemented in priority areas, particularly high-risk adult </w:t>
      </w:r>
      <w:r w:rsidR="00A72D82" w:rsidRPr="09D2728B">
        <w:rPr>
          <w:rFonts w:ascii="Arial" w:eastAsia="Arial" w:hAnsi="Arial" w:cs="Arial"/>
          <w:color w:val="000000" w:themeColor="text1"/>
        </w:rPr>
        <w:t>populations,</w:t>
      </w:r>
      <w:r w:rsidRPr="09D2728B">
        <w:rPr>
          <w:rFonts w:ascii="Arial" w:eastAsia="Arial" w:hAnsi="Arial" w:cs="Arial"/>
          <w:color w:val="000000" w:themeColor="text1"/>
        </w:rPr>
        <w:t xml:space="preserve"> and communities, to help improve outcomes where it matters most. The NICE's Next Steps on the Five Year Forward View outlines three evidence-based interventions for reducing type 2 diabetes risk – tailored and </w:t>
      </w:r>
      <w:r w:rsidR="000E7489" w:rsidRPr="09D2728B">
        <w:rPr>
          <w:rFonts w:ascii="Arial" w:eastAsia="Arial" w:hAnsi="Arial" w:cs="Arial"/>
          <w:color w:val="000000" w:themeColor="text1"/>
        </w:rPr>
        <w:t>personalized</w:t>
      </w:r>
      <w:r w:rsidRPr="09D2728B">
        <w:rPr>
          <w:rFonts w:ascii="Arial" w:eastAsia="Arial" w:hAnsi="Arial" w:cs="Arial"/>
          <w:color w:val="000000" w:themeColor="text1"/>
        </w:rPr>
        <w:t xml:space="preserve"> support, structured education, and use of technology (NICE, 2018). In addition to patient-</w:t>
      </w:r>
      <w:r w:rsidR="000E7489" w:rsidRPr="09D2728B">
        <w:rPr>
          <w:rFonts w:ascii="Arial" w:eastAsia="Arial" w:hAnsi="Arial" w:cs="Arial"/>
          <w:color w:val="000000" w:themeColor="text1"/>
        </w:rPr>
        <w:t>centered</w:t>
      </w:r>
      <w:r w:rsidRPr="09D2728B">
        <w:rPr>
          <w:rFonts w:ascii="Arial" w:eastAsia="Arial" w:hAnsi="Arial" w:cs="Arial"/>
          <w:color w:val="000000" w:themeColor="text1"/>
        </w:rPr>
        <w:t xml:space="preserve"> help and education, the guidance </w:t>
      </w:r>
      <w:r w:rsidR="000E7489" w:rsidRPr="09D2728B">
        <w:rPr>
          <w:rFonts w:ascii="Arial" w:eastAsia="Arial" w:hAnsi="Arial" w:cs="Arial"/>
          <w:color w:val="000000" w:themeColor="text1"/>
        </w:rPr>
        <w:t>emphasizes</w:t>
      </w:r>
      <w:r w:rsidRPr="09D2728B">
        <w:rPr>
          <w:rFonts w:ascii="Arial" w:eastAsia="Arial" w:hAnsi="Arial" w:cs="Arial"/>
          <w:color w:val="000000" w:themeColor="text1"/>
        </w:rPr>
        <w:t xml:space="preserve"> the promotion of a healthy eating and physical activity at all levels - individual, community, and population, maintenance of recommended blood glucose levels, management of cardiovascular risk, and identification and management of long-term diabetic complications (Chatterton et al., 2012; McGuire et al., 2018). The guidance further stresses tailored services in high-risk populations, including </w:t>
      </w:r>
      <w:r w:rsidR="00A72D82" w:rsidRPr="09D2728B">
        <w:rPr>
          <w:rFonts w:ascii="Arial" w:eastAsia="Arial" w:hAnsi="Arial" w:cs="Arial"/>
          <w:color w:val="000000" w:themeColor="text1"/>
        </w:rPr>
        <w:t>Black</w:t>
      </w:r>
      <w:r w:rsidRPr="09D2728B">
        <w:rPr>
          <w:rFonts w:ascii="Arial" w:eastAsia="Arial" w:hAnsi="Arial" w:cs="Arial"/>
          <w:color w:val="000000" w:themeColor="text1"/>
        </w:rPr>
        <w:t>, Asian, and other ethnic minority communities (NICE, 2018).</w:t>
      </w:r>
    </w:p>
    <w:p w14:paraId="3D923D53" w14:textId="761B3388" w:rsidR="09D2728B" w:rsidRDefault="09D2728B" w:rsidP="09D2728B">
      <w:pPr>
        <w:pStyle w:val="Heading2"/>
      </w:pPr>
      <w:r w:rsidRPr="09D2728B">
        <w:rPr>
          <w:rFonts w:ascii="Arial" w:eastAsia="Arial" w:hAnsi="Arial" w:cs="Arial"/>
          <w:color w:val="000000" w:themeColor="text1"/>
          <w:sz w:val="22"/>
          <w:szCs w:val="22"/>
        </w:rPr>
        <w:t xml:space="preserve">4.2 NHS Diabetes Prevention </w:t>
      </w:r>
      <w:r w:rsidR="000E7489" w:rsidRPr="09D2728B">
        <w:rPr>
          <w:rFonts w:ascii="Arial" w:eastAsia="Arial" w:hAnsi="Arial" w:cs="Arial"/>
          <w:color w:val="000000" w:themeColor="text1"/>
          <w:sz w:val="22"/>
          <w:szCs w:val="22"/>
        </w:rPr>
        <w:t>Program</w:t>
      </w:r>
      <w:r w:rsidRPr="09D2728B">
        <w:rPr>
          <w:rFonts w:ascii="Arial" w:eastAsia="Arial" w:hAnsi="Arial" w:cs="Arial"/>
          <w:color w:val="000000" w:themeColor="text1"/>
          <w:sz w:val="22"/>
          <w:szCs w:val="22"/>
        </w:rPr>
        <w:t xml:space="preserve"> (DPP)</w:t>
      </w:r>
    </w:p>
    <w:p w14:paraId="1333D5DB" w14:textId="24EAD1E1" w:rsidR="09D2728B" w:rsidRDefault="09D2728B" w:rsidP="09D2728B">
      <w:pPr>
        <w:ind w:firstLine="720"/>
      </w:pPr>
      <w:r w:rsidRPr="09D2728B">
        <w:rPr>
          <w:rFonts w:ascii="Arial" w:eastAsia="Arial" w:hAnsi="Arial" w:cs="Arial"/>
          <w:color w:val="000000" w:themeColor="text1"/>
        </w:rPr>
        <w:t xml:space="preserve">Since its launch in 2016, the NHS Diabetes Prevention </w:t>
      </w:r>
      <w:r w:rsidR="000E7489" w:rsidRPr="09D2728B">
        <w:rPr>
          <w:rFonts w:ascii="Arial" w:eastAsia="Arial" w:hAnsi="Arial" w:cs="Arial"/>
          <w:color w:val="000000" w:themeColor="text1"/>
        </w:rPr>
        <w:t>Program</w:t>
      </w:r>
      <w:r w:rsidRPr="09D2728B">
        <w:rPr>
          <w:rFonts w:ascii="Arial" w:eastAsia="Arial" w:hAnsi="Arial" w:cs="Arial"/>
          <w:color w:val="000000" w:themeColor="text1"/>
        </w:rPr>
        <w:t xml:space="preserve"> (DPP), popularly referred to Healthier You </w:t>
      </w:r>
      <w:r w:rsidR="000E7489" w:rsidRPr="09D2728B">
        <w:rPr>
          <w:rFonts w:ascii="Arial" w:eastAsia="Arial" w:hAnsi="Arial" w:cs="Arial"/>
          <w:color w:val="000000" w:themeColor="text1"/>
        </w:rPr>
        <w:t>Program</w:t>
      </w:r>
      <w:r w:rsidRPr="09D2728B">
        <w:rPr>
          <w:rFonts w:ascii="Arial" w:eastAsia="Arial" w:hAnsi="Arial" w:cs="Arial"/>
          <w:color w:val="000000" w:themeColor="text1"/>
        </w:rPr>
        <w:t xml:space="preserve">, has become a remarkable milestone in preventing and managing diabetes in the UK, reaching 75% of the England population in one year (NICE, 2018). The program is a strategic partnership bringing together various agencies, including NHS, Diabetes UK, and Public Health England. The program identifies individuals and communities at higher risk of developing diabetes linked to high blood pressure through the NHS Health Check. People diagnosed with diabetes are then referred to a </w:t>
      </w:r>
      <w:r w:rsidR="000E7489" w:rsidRPr="09D2728B">
        <w:rPr>
          <w:rFonts w:ascii="Arial" w:eastAsia="Arial" w:hAnsi="Arial" w:cs="Arial"/>
          <w:color w:val="000000" w:themeColor="text1"/>
        </w:rPr>
        <w:t>behavioral</w:t>
      </w:r>
      <w:r w:rsidRPr="09D2728B">
        <w:rPr>
          <w:rFonts w:ascii="Arial" w:eastAsia="Arial" w:hAnsi="Arial" w:cs="Arial"/>
          <w:color w:val="000000" w:themeColor="text1"/>
        </w:rPr>
        <w:t xml:space="preserve"> change program based on NICE recommendations. Consistent with the NICE guidance, DPP </w:t>
      </w:r>
      <w:r w:rsidR="000E7489" w:rsidRPr="09D2728B">
        <w:rPr>
          <w:rFonts w:ascii="Arial" w:eastAsia="Arial" w:hAnsi="Arial" w:cs="Arial"/>
          <w:color w:val="000000" w:themeColor="text1"/>
        </w:rPr>
        <w:t>emphasizes</w:t>
      </w:r>
      <w:r w:rsidRPr="09D2728B">
        <w:rPr>
          <w:rFonts w:ascii="Arial" w:eastAsia="Arial" w:hAnsi="Arial" w:cs="Arial"/>
          <w:color w:val="000000" w:themeColor="text1"/>
        </w:rPr>
        <w:t xml:space="preserve"> tailored, personali</w:t>
      </w:r>
      <w:r w:rsidR="000E7489">
        <w:rPr>
          <w:rFonts w:ascii="Arial" w:eastAsia="Arial" w:hAnsi="Arial" w:cs="Arial"/>
          <w:color w:val="000000" w:themeColor="text1"/>
        </w:rPr>
        <w:t>z</w:t>
      </w:r>
      <w:r w:rsidRPr="09D2728B">
        <w:rPr>
          <w:rFonts w:ascii="Arial" w:eastAsia="Arial" w:hAnsi="Arial" w:cs="Arial"/>
          <w:color w:val="000000" w:themeColor="text1"/>
        </w:rPr>
        <w:t xml:space="preserve">ed interventions for reducing type 2 diabetes risk, including structured education, focused on promoting healthy eating, physical activity, and weight. DPP's nine-month programs, particularly the </w:t>
      </w:r>
      <w:r w:rsidR="00A72D82" w:rsidRPr="09D2728B">
        <w:rPr>
          <w:rFonts w:ascii="Arial" w:eastAsia="Arial" w:hAnsi="Arial" w:cs="Arial"/>
          <w:color w:val="000000" w:themeColor="text1"/>
        </w:rPr>
        <w:t>thirteen</w:t>
      </w:r>
      <w:r w:rsidRPr="09D2728B">
        <w:rPr>
          <w:rFonts w:ascii="Arial" w:eastAsia="Arial" w:hAnsi="Arial" w:cs="Arial"/>
          <w:color w:val="000000" w:themeColor="text1"/>
        </w:rPr>
        <w:t xml:space="preserve"> structured education and </w:t>
      </w:r>
      <w:r w:rsidR="007E2CEB" w:rsidRPr="09D2728B">
        <w:rPr>
          <w:rFonts w:ascii="Arial" w:eastAsia="Arial" w:hAnsi="Arial" w:cs="Arial"/>
          <w:color w:val="000000" w:themeColor="text1"/>
        </w:rPr>
        <w:t>1–2-hour</w:t>
      </w:r>
      <w:r w:rsidRPr="09D2728B">
        <w:rPr>
          <w:rFonts w:ascii="Arial" w:eastAsia="Arial" w:hAnsi="Arial" w:cs="Arial"/>
          <w:color w:val="000000" w:themeColor="text1"/>
        </w:rPr>
        <w:t xml:space="preserve"> bespoke exercise sessions, have proven effective in reducing diabetic risk (NICE, 2018). </w:t>
      </w:r>
    </w:p>
    <w:p w14:paraId="7EF838AD" w14:textId="1AE82E16" w:rsidR="09D2728B" w:rsidRDefault="09D2728B" w:rsidP="09D2728B">
      <w:pPr>
        <w:pStyle w:val="Heading2"/>
      </w:pPr>
      <w:r w:rsidRPr="09D2728B">
        <w:rPr>
          <w:rFonts w:ascii="Arial" w:eastAsia="Arial" w:hAnsi="Arial" w:cs="Arial"/>
          <w:color w:val="000000" w:themeColor="text1"/>
          <w:sz w:val="22"/>
          <w:szCs w:val="22"/>
        </w:rPr>
        <w:t>4.3 James Lind Alliance Priority Setting Partnership</w:t>
      </w:r>
    </w:p>
    <w:p w14:paraId="7AFDC6E1" w14:textId="11C7D826" w:rsidR="09D2728B" w:rsidRDefault="09D2728B" w:rsidP="09D2728B">
      <w:pPr>
        <w:ind w:firstLine="720"/>
      </w:pPr>
      <w:r w:rsidRPr="09D2728B">
        <w:rPr>
          <w:rFonts w:ascii="Arial" w:eastAsia="Arial" w:hAnsi="Arial" w:cs="Arial"/>
          <w:color w:val="000000" w:themeColor="text1"/>
        </w:rPr>
        <w:t xml:space="preserve">Diabetes UK established this multidisciplinary, multiagency partnership, the leading non-profit charity </w:t>
      </w:r>
      <w:r w:rsidR="000E7489" w:rsidRPr="09D2728B">
        <w:rPr>
          <w:rFonts w:ascii="Arial" w:eastAsia="Arial" w:hAnsi="Arial" w:cs="Arial"/>
          <w:color w:val="000000" w:themeColor="text1"/>
        </w:rPr>
        <w:t>organization</w:t>
      </w:r>
      <w:r w:rsidRPr="09D2728B">
        <w:rPr>
          <w:rFonts w:ascii="Arial" w:eastAsia="Arial" w:hAnsi="Arial" w:cs="Arial"/>
          <w:color w:val="000000" w:themeColor="text1"/>
        </w:rPr>
        <w:t xml:space="preserve"> for people with diabetes across the country, to bring patients, health and social care practitioners, researchers, and other stakeholders together to identify and define uncertainties and challenges related to diabetes, and set priorities for guiding practice, </w:t>
      </w:r>
      <w:r w:rsidR="00A72D82" w:rsidRPr="09D2728B">
        <w:rPr>
          <w:rFonts w:ascii="Arial" w:eastAsia="Arial" w:hAnsi="Arial" w:cs="Arial"/>
          <w:color w:val="000000" w:themeColor="text1"/>
        </w:rPr>
        <w:t>policy,</w:t>
      </w:r>
      <w:r w:rsidRPr="09D2728B">
        <w:rPr>
          <w:rFonts w:ascii="Arial" w:eastAsia="Arial" w:hAnsi="Arial" w:cs="Arial"/>
          <w:color w:val="000000" w:themeColor="text1"/>
        </w:rPr>
        <w:t xml:space="preserve"> and research agenda (Finer et al., 2018). With support from the National Institute for Health Research, this </w:t>
      </w:r>
      <w:r w:rsidR="000E7489" w:rsidRPr="09D2728B">
        <w:rPr>
          <w:rFonts w:ascii="Arial" w:eastAsia="Arial" w:hAnsi="Arial" w:cs="Arial"/>
          <w:color w:val="000000" w:themeColor="text1"/>
        </w:rPr>
        <w:t>emphasizes</w:t>
      </w:r>
      <w:r w:rsidRPr="09D2728B">
        <w:rPr>
          <w:rFonts w:ascii="Arial" w:eastAsia="Arial" w:hAnsi="Arial" w:cs="Arial"/>
          <w:color w:val="000000" w:themeColor="text1"/>
        </w:rPr>
        <w:t xml:space="preserve"> a systematic and transparent approach to diabetes-related design, process</w:t>
      </w:r>
      <w:r w:rsidR="000E7489">
        <w:rPr>
          <w:rFonts w:ascii="Arial" w:eastAsia="Arial" w:hAnsi="Arial" w:cs="Arial"/>
          <w:color w:val="000000" w:themeColor="text1"/>
        </w:rPr>
        <w:t>,</w:t>
      </w:r>
      <w:r w:rsidRPr="09D2728B">
        <w:rPr>
          <w:rFonts w:ascii="Arial" w:eastAsia="Arial" w:hAnsi="Arial" w:cs="Arial"/>
          <w:color w:val="000000" w:themeColor="text1"/>
        </w:rPr>
        <w:t xml:space="preserve"> and outcomes. The </w:t>
      </w:r>
      <w:r w:rsidR="000E7489" w:rsidRPr="09D2728B">
        <w:rPr>
          <w:rFonts w:ascii="Arial" w:eastAsia="Arial" w:hAnsi="Arial" w:cs="Arial"/>
          <w:color w:val="000000" w:themeColor="text1"/>
        </w:rPr>
        <w:t>program</w:t>
      </w:r>
      <w:r w:rsidRPr="09D2728B">
        <w:rPr>
          <w:rFonts w:ascii="Arial" w:eastAsia="Arial" w:hAnsi="Arial" w:cs="Arial"/>
          <w:color w:val="000000" w:themeColor="text1"/>
        </w:rPr>
        <w:t xml:space="preserve"> provides valuable resources to diabetes patients, providers, researchers, and policymakers to help achieve meaningful improvements for patients and health and social care professionals involved in type 2 diabetes prevention and management. </w:t>
      </w:r>
    </w:p>
    <w:p w14:paraId="3AD21CA8" w14:textId="6EEC4977" w:rsidR="09D2728B" w:rsidRDefault="09D2728B" w:rsidP="09D2728B">
      <w:pPr>
        <w:pStyle w:val="Heading1"/>
      </w:pPr>
      <w:r w:rsidRPr="09D2728B">
        <w:rPr>
          <w:rFonts w:ascii="Arial" w:eastAsia="Arial" w:hAnsi="Arial" w:cs="Arial"/>
          <w:color w:val="000000" w:themeColor="text1"/>
          <w:sz w:val="22"/>
          <w:szCs w:val="22"/>
        </w:rPr>
        <w:t>5.0 Recommendations</w:t>
      </w:r>
    </w:p>
    <w:p w14:paraId="0BD575EF" w14:textId="63FD3684" w:rsidR="09D2728B" w:rsidRDefault="09D2728B" w:rsidP="09D2728B">
      <w:pPr>
        <w:ind w:firstLine="720"/>
      </w:pPr>
      <w:r w:rsidRPr="09D2728B">
        <w:rPr>
          <w:rFonts w:ascii="Arial" w:eastAsia="Arial" w:hAnsi="Arial" w:cs="Arial"/>
          <w:color w:val="000000" w:themeColor="text1"/>
        </w:rPr>
        <w:t>A review of routine health and lifestyle measures for gathering information on body functioning of individuals with type 2 diabetes and UK-based interventions provides nuanced insights that can inform future health and social care practice, policy, and planning for individuals or communities at risk of this condition. This report suggests the following recommendations:</w:t>
      </w:r>
    </w:p>
    <w:p w14:paraId="341C3214" w14:textId="5D341D29" w:rsidR="09D2728B" w:rsidRDefault="09D2728B" w:rsidP="09D2728B">
      <w:pPr>
        <w:pStyle w:val="ListParagraph"/>
        <w:numPr>
          <w:ilvl w:val="0"/>
          <w:numId w:val="1"/>
        </w:numPr>
        <w:rPr>
          <w:rFonts w:eastAsiaTheme="minorEastAsia"/>
          <w:color w:val="000000" w:themeColor="text1"/>
        </w:rPr>
      </w:pPr>
      <w:r w:rsidRPr="09D2728B">
        <w:rPr>
          <w:rFonts w:ascii="Arial" w:eastAsia="Arial" w:hAnsi="Arial" w:cs="Arial"/>
          <w:color w:val="000000" w:themeColor="text1"/>
        </w:rPr>
        <w:t xml:space="preserve">Health and social care agencies and professionals should focus on providing tailored and </w:t>
      </w:r>
      <w:r w:rsidR="000E7489" w:rsidRPr="09D2728B">
        <w:rPr>
          <w:rFonts w:ascii="Arial" w:eastAsia="Arial" w:hAnsi="Arial" w:cs="Arial"/>
          <w:color w:val="000000" w:themeColor="text1"/>
        </w:rPr>
        <w:t>personalized</w:t>
      </w:r>
      <w:r w:rsidRPr="09D2728B">
        <w:rPr>
          <w:rFonts w:ascii="Arial" w:eastAsia="Arial" w:hAnsi="Arial" w:cs="Arial"/>
          <w:color w:val="000000" w:themeColor="text1"/>
        </w:rPr>
        <w:t xml:space="preserve"> support to meet the unique needs of high-risk groups, including </w:t>
      </w:r>
      <w:r w:rsidR="00A72D82" w:rsidRPr="09D2728B">
        <w:rPr>
          <w:rFonts w:ascii="Arial" w:eastAsia="Arial" w:hAnsi="Arial" w:cs="Arial"/>
          <w:color w:val="000000" w:themeColor="text1"/>
        </w:rPr>
        <w:t>Black</w:t>
      </w:r>
      <w:r w:rsidRPr="09D2728B">
        <w:rPr>
          <w:rFonts w:ascii="Arial" w:eastAsia="Arial" w:hAnsi="Arial" w:cs="Arial"/>
          <w:color w:val="000000" w:themeColor="text1"/>
        </w:rPr>
        <w:t>, Asian, and other ethnic minority communities (NICE, 2018).</w:t>
      </w:r>
    </w:p>
    <w:p w14:paraId="6772AC0C" w14:textId="40A7601A" w:rsidR="09D2728B" w:rsidRDefault="09D2728B" w:rsidP="09D2728B">
      <w:pPr>
        <w:pStyle w:val="ListParagraph"/>
        <w:numPr>
          <w:ilvl w:val="0"/>
          <w:numId w:val="1"/>
        </w:numPr>
        <w:rPr>
          <w:rFonts w:eastAsiaTheme="minorEastAsia"/>
          <w:color w:val="000000" w:themeColor="text1"/>
        </w:rPr>
      </w:pPr>
      <w:r w:rsidRPr="09D2728B">
        <w:rPr>
          <w:rFonts w:ascii="Arial" w:eastAsia="Arial" w:hAnsi="Arial" w:cs="Arial"/>
          <w:color w:val="000000" w:themeColor="text1"/>
        </w:rPr>
        <w:t>Involved agencies should provide structured education to manage and improve type 2 diabetes prevention and care outcomes (NICE, 2018)</w:t>
      </w:r>
    </w:p>
    <w:p w14:paraId="58B4B977" w14:textId="6F3B98EC" w:rsidR="09D2728B" w:rsidRDefault="09D2728B" w:rsidP="09D2728B">
      <w:pPr>
        <w:pStyle w:val="ListParagraph"/>
        <w:numPr>
          <w:ilvl w:val="0"/>
          <w:numId w:val="1"/>
        </w:numPr>
        <w:rPr>
          <w:rFonts w:eastAsiaTheme="minorEastAsia"/>
          <w:color w:val="000000" w:themeColor="text1"/>
        </w:rPr>
      </w:pPr>
      <w:r w:rsidRPr="09D2728B">
        <w:rPr>
          <w:rFonts w:ascii="Arial" w:eastAsia="Arial" w:hAnsi="Arial" w:cs="Arial"/>
          <w:color w:val="000000" w:themeColor="text1"/>
        </w:rPr>
        <w:t>NHS should invest in technology to enable high-risk, underserved groups, particularly ethnic minority communities, to access quality diabetes prevention and management services.</w:t>
      </w:r>
    </w:p>
    <w:p w14:paraId="7EE0CD93" w14:textId="0E23A840" w:rsidR="09D2728B" w:rsidRDefault="09D2728B" w:rsidP="09D2728B">
      <w:pPr>
        <w:pStyle w:val="ListParagraph"/>
        <w:numPr>
          <w:ilvl w:val="0"/>
          <w:numId w:val="1"/>
        </w:numPr>
        <w:rPr>
          <w:rFonts w:eastAsiaTheme="minorEastAsia"/>
          <w:color w:val="000000" w:themeColor="text1"/>
        </w:rPr>
      </w:pPr>
      <w:r w:rsidRPr="09D2728B">
        <w:rPr>
          <w:rFonts w:ascii="Arial" w:eastAsia="Arial" w:hAnsi="Arial" w:cs="Arial"/>
          <w:color w:val="000000" w:themeColor="text1"/>
        </w:rPr>
        <w:t>Health and social care professionals should focus preventive efforts on promoting healthy eating and physical activity at all levels - individual, community, and population (NICE, 2015).</w:t>
      </w:r>
    </w:p>
    <w:p w14:paraId="3D6FE81E" w14:textId="5A7E5ECD" w:rsidR="09D2728B" w:rsidRDefault="09D2728B" w:rsidP="09D2728B">
      <w:pPr>
        <w:pStyle w:val="ListParagraph"/>
        <w:numPr>
          <w:ilvl w:val="0"/>
          <w:numId w:val="1"/>
        </w:numPr>
        <w:rPr>
          <w:rFonts w:eastAsiaTheme="minorEastAsia"/>
          <w:color w:val="000000" w:themeColor="text1"/>
        </w:rPr>
      </w:pPr>
      <w:r w:rsidRPr="09D2728B">
        <w:rPr>
          <w:rFonts w:ascii="Arial" w:eastAsia="Arial" w:hAnsi="Arial" w:cs="Arial"/>
          <w:color w:val="000000" w:themeColor="text1"/>
        </w:rPr>
        <w:t xml:space="preserve">Prevention efforts should </w:t>
      </w:r>
      <w:r w:rsidR="000E7489" w:rsidRPr="09D2728B">
        <w:rPr>
          <w:rFonts w:ascii="Arial" w:eastAsia="Arial" w:hAnsi="Arial" w:cs="Arial"/>
          <w:color w:val="000000" w:themeColor="text1"/>
        </w:rPr>
        <w:t>emphasize</w:t>
      </w:r>
      <w:r w:rsidRPr="09D2728B">
        <w:rPr>
          <w:rFonts w:ascii="Arial" w:eastAsia="Arial" w:hAnsi="Arial" w:cs="Arial"/>
          <w:color w:val="000000" w:themeColor="text1"/>
        </w:rPr>
        <w:t xml:space="preserve"> the need for type 2 diabetes patients to maintain NICE-recommended blood glucose levels, manage cardiovascular risk, and identify and manage long-term diabetic complications (Chatterton et al., 2012; McGuire et al., 2018). </w:t>
      </w:r>
    </w:p>
    <w:p w14:paraId="71ED2DD9" w14:textId="233995D7" w:rsidR="09D2728B" w:rsidRDefault="09D2728B" w:rsidP="09D2728B">
      <w:pPr>
        <w:pStyle w:val="Heading1"/>
      </w:pPr>
      <w:r w:rsidRPr="09D2728B">
        <w:rPr>
          <w:rFonts w:ascii="Arial" w:eastAsia="Arial" w:hAnsi="Arial" w:cs="Arial"/>
          <w:color w:val="000000" w:themeColor="text1"/>
          <w:sz w:val="22"/>
          <w:szCs w:val="22"/>
        </w:rPr>
        <w:t>6.0 Conclusion</w:t>
      </w:r>
    </w:p>
    <w:p w14:paraId="42FAC678" w14:textId="722185E5" w:rsidR="09D2728B" w:rsidRDefault="09D2728B" w:rsidP="09D2728B">
      <w:pPr>
        <w:ind w:firstLine="720"/>
      </w:pPr>
      <w:r w:rsidRPr="09D2728B">
        <w:rPr>
          <w:rFonts w:ascii="Arial" w:eastAsia="Arial" w:hAnsi="Arial" w:cs="Arial"/>
          <w:color w:val="000000" w:themeColor="text1"/>
        </w:rPr>
        <w:t xml:space="preserve">Type 2 diabetes is a significant public health concern in the UK and is prevalent across all populations. The condition is caused by the attack and destruction of the insulin-producing beta cells found in the pancreas, which compromises insulin release and action, leading to high sugar levels in the bloodstream. The combined influence of genetic, environmental, lifestyle and metabolic factors elevate the risk of developing type 2 diabetes, but unhealthy lifestyle choices have exacerbated the incidence of this condition. Several routine measures are recommended to facilitate early detection and effective preventive and care interventions. Best practices in type 2 diabetes prevention and management </w:t>
      </w:r>
      <w:r w:rsidR="000E7489" w:rsidRPr="09D2728B">
        <w:rPr>
          <w:rFonts w:ascii="Arial" w:eastAsia="Arial" w:hAnsi="Arial" w:cs="Arial"/>
          <w:color w:val="000000" w:themeColor="text1"/>
        </w:rPr>
        <w:t>emphasize</w:t>
      </w:r>
      <w:r w:rsidRPr="09D2728B">
        <w:rPr>
          <w:rFonts w:ascii="Arial" w:eastAsia="Arial" w:hAnsi="Arial" w:cs="Arial"/>
          <w:color w:val="000000" w:themeColor="text1"/>
        </w:rPr>
        <w:t xml:space="preserve"> tailored and </w:t>
      </w:r>
      <w:r w:rsidR="000E7489" w:rsidRPr="09D2728B">
        <w:rPr>
          <w:rFonts w:ascii="Arial" w:eastAsia="Arial" w:hAnsi="Arial" w:cs="Arial"/>
          <w:color w:val="000000" w:themeColor="text1"/>
        </w:rPr>
        <w:t>personalized</w:t>
      </w:r>
      <w:r w:rsidRPr="09D2728B">
        <w:rPr>
          <w:rFonts w:ascii="Arial" w:eastAsia="Arial" w:hAnsi="Arial" w:cs="Arial"/>
          <w:color w:val="000000" w:themeColor="text1"/>
        </w:rPr>
        <w:t xml:space="preserve"> support, structured education, and leveraging technology to help improve diabetes care outcomes. Healthy lifestyle choices, including eating healthy foods, engaging in physical exercises, and maintaining appropriate weight and blood sugar levels, can prevent or slow the progression of type 2 diabetes.</w:t>
      </w:r>
    </w:p>
    <w:p w14:paraId="646FED29" w14:textId="57EDA9C9" w:rsidR="09D2728B" w:rsidRDefault="09D2728B" w:rsidP="09D2728B">
      <w:pPr>
        <w:pStyle w:val="Heading1"/>
      </w:pPr>
      <w:r>
        <w:br/>
      </w:r>
      <w:r w:rsidRPr="09D2728B">
        <w:rPr>
          <w:rFonts w:ascii="Arial" w:eastAsia="Arial" w:hAnsi="Arial" w:cs="Arial"/>
          <w:color w:val="000000" w:themeColor="text1"/>
          <w:sz w:val="22"/>
          <w:szCs w:val="22"/>
        </w:rPr>
        <w:t>Reference List</w:t>
      </w:r>
    </w:p>
    <w:p w14:paraId="3AC56F87" w14:textId="3EA3BA65" w:rsidR="09D2728B" w:rsidRDefault="09D2728B" w:rsidP="09D2728B">
      <w:pPr>
        <w:ind w:left="720" w:hanging="720"/>
      </w:pPr>
      <w:r w:rsidRPr="09D2728B">
        <w:rPr>
          <w:rFonts w:ascii="Arial" w:eastAsia="Arial" w:hAnsi="Arial" w:cs="Arial"/>
          <w:color w:val="000000" w:themeColor="text1"/>
        </w:rPr>
        <w:t xml:space="preserve">Banday, M.Z., Sameer, A.S. and Nissar, S., 2020. Pathophysiology of diabetes: An overview. </w:t>
      </w:r>
      <w:r w:rsidRPr="09D2728B">
        <w:rPr>
          <w:rFonts w:ascii="Arial" w:eastAsia="Arial" w:hAnsi="Arial" w:cs="Arial"/>
          <w:i/>
          <w:iCs/>
          <w:color w:val="000000" w:themeColor="text1"/>
        </w:rPr>
        <w:t>Avicenna Journal of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10</w:t>
      </w:r>
      <w:r w:rsidRPr="09D2728B">
        <w:rPr>
          <w:rFonts w:ascii="Arial" w:eastAsia="Arial" w:hAnsi="Arial" w:cs="Arial"/>
          <w:color w:val="000000" w:themeColor="text1"/>
        </w:rPr>
        <w:t>(04), pp.174-188.</w:t>
      </w:r>
    </w:p>
    <w:p w14:paraId="713AEF16" w14:textId="168FFD21" w:rsidR="09D2728B" w:rsidRDefault="09D2728B" w:rsidP="09D2728B">
      <w:pPr>
        <w:ind w:left="720" w:hanging="720"/>
      </w:pPr>
      <w:r w:rsidRPr="09D2728B">
        <w:rPr>
          <w:rFonts w:ascii="Arial" w:eastAsia="Arial" w:hAnsi="Arial" w:cs="Arial"/>
          <w:color w:val="000000" w:themeColor="text1"/>
        </w:rPr>
        <w:t xml:space="preserve">Candler, T.P., Mahmoud, O., Lynn, R.M., Majbar, A.A., Barrett, T.G. and Shield, J.P.H., 2018. </w:t>
      </w:r>
      <w:r w:rsidR="000E7489">
        <w:rPr>
          <w:rFonts w:ascii="Arial" w:eastAsia="Arial" w:hAnsi="Arial" w:cs="Arial"/>
          <w:color w:val="000000" w:themeColor="text1"/>
        </w:rPr>
        <w:t>The c</w:t>
      </w:r>
      <w:r w:rsidRPr="09D2728B">
        <w:rPr>
          <w:rFonts w:ascii="Arial" w:eastAsia="Arial" w:hAnsi="Arial" w:cs="Arial"/>
          <w:color w:val="000000" w:themeColor="text1"/>
        </w:rPr>
        <w:t xml:space="preserve">ontinuing rise of type 2 diabetes incidence in children and young people in the UK.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35</w:t>
      </w:r>
      <w:r w:rsidRPr="09D2728B">
        <w:rPr>
          <w:rFonts w:ascii="Arial" w:eastAsia="Arial" w:hAnsi="Arial" w:cs="Arial"/>
          <w:color w:val="000000" w:themeColor="text1"/>
        </w:rPr>
        <w:t>(6), pp.737-744.</w:t>
      </w:r>
    </w:p>
    <w:p w14:paraId="175159F5" w14:textId="5EC1EA26" w:rsidR="09D2728B" w:rsidRDefault="09D2728B" w:rsidP="09D2728B">
      <w:pPr>
        <w:ind w:left="720" w:hanging="720"/>
      </w:pPr>
      <w:r w:rsidRPr="09D2728B">
        <w:rPr>
          <w:rFonts w:ascii="Arial" w:eastAsia="Arial" w:hAnsi="Arial" w:cs="Arial"/>
          <w:color w:val="000000" w:themeColor="text1"/>
        </w:rPr>
        <w:t xml:space="preserve">Chatterton, H., Younger, T., Fischer, A. and Khunti, K., 2012. Risk identification and interventions to prevent type 2 diabetes in adults at high risk: summary of NICE guidance. </w:t>
      </w:r>
      <w:r w:rsidRPr="09D2728B">
        <w:rPr>
          <w:rFonts w:ascii="Arial" w:eastAsia="Arial" w:hAnsi="Arial" w:cs="Arial"/>
          <w:i/>
          <w:iCs/>
          <w:color w:val="000000" w:themeColor="text1"/>
        </w:rPr>
        <w:t>Bmj</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345</w:t>
      </w:r>
      <w:r w:rsidRPr="09D2728B">
        <w:rPr>
          <w:rFonts w:ascii="Arial" w:eastAsia="Arial" w:hAnsi="Arial" w:cs="Arial"/>
          <w:color w:val="000000" w:themeColor="text1"/>
        </w:rPr>
        <w:t>.</w:t>
      </w:r>
    </w:p>
    <w:p w14:paraId="5E7F8DAA" w14:textId="0A500366" w:rsidR="09D2728B" w:rsidRDefault="09D2728B" w:rsidP="09D2728B">
      <w:pPr>
        <w:ind w:left="720" w:hanging="720"/>
      </w:pPr>
      <w:r w:rsidRPr="09D2728B">
        <w:rPr>
          <w:rFonts w:ascii="Arial" w:eastAsia="Arial" w:hAnsi="Arial" w:cs="Arial"/>
          <w:color w:val="000000" w:themeColor="text1"/>
        </w:rPr>
        <w:t>DeFronzo, R.A., 2018. Pathogenesis of type 2 diabetes mellitus.</w:t>
      </w:r>
    </w:p>
    <w:p w14:paraId="7847D632" w14:textId="6F759E23" w:rsidR="09D2728B" w:rsidRDefault="09D2728B" w:rsidP="09D2728B">
      <w:pPr>
        <w:ind w:left="720" w:hanging="720"/>
      </w:pPr>
      <w:r w:rsidRPr="09D2728B">
        <w:rPr>
          <w:rFonts w:ascii="Arial" w:eastAsia="Arial" w:hAnsi="Arial" w:cs="Arial"/>
          <w:color w:val="000000" w:themeColor="text1"/>
        </w:rPr>
        <w:t>Finer, S., Robb, P., Cowan, K., Daly, A., Shah, K.</w:t>
      </w:r>
      <w:r w:rsidR="000E7489">
        <w:rPr>
          <w:rFonts w:ascii="Arial" w:eastAsia="Arial" w:hAnsi="Arial" w:cs="Arial"/>
          <w:color w:val="000000" w:themeColor="text1"/>
        </w:rPr>
        <w:t>,</w:t>
      </w:r>
      <w:r w:rsidRPr="09D2728B">
        <w:rPr>
          <w:rFonts w:ascii="Arial" w:eastAsia="Arial" w:hAnsi="Arial" w:cs="Arial"/>
          <w:color w:val="000000" w:themeColor="text1"/>
        </w:rPr>
        <w:t xml:space="preserve"> and Farmer, A., 2018. Setting the top </w:t>
      </w:r>
      <w:r w:rsidR="00A72D82" w:rsidRPr="09D2728B">
        <w:rPr>
          <w:rFonts w:ascii="Arial" w:eastAsia="Arial" w:hAnsi="Arial" w:cs="Arial"/>
          <w:color w:val="000000" w:themeColor="text1"/>
        </w:rPr>
        <w:t>ten</w:t>
      </w:r>
      <w:r w:rsidRPr="09D2728B">
        <w:rPr>
          <w:rFonts w:ascii="Arial" w:eastAsia="Arial" w:hAnsi="Arial" w:cs="Arial"/>
          <w:color w:val="000000" w:themeColor="text1"/>
        </w:rPr>
        <w:t xml:space="preserve"> research priorities to improve the health of people with Type 2 diabetes: a Diabetes UK–James Lind Alliance Priority Setting Partnership.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35</w:t>
      </w:r>
      <w:r w:rsidRPr="09D2728B">
        <w:rPr>
          <w:rFonts w:ascii="Arial" w:eastAsia="Arial" w:hAnsi="Arial" w:cs="Arial"/>
          <w:color w:val="000000" w:themeColor="text1"/>
        </w:rPr>
        <w:t>(7), pp.862-870.</w:t>
      </w:r>
    </w:p>
    <w:p w14:paraId="096A440A" w14:textId="0915D916" w:rsidR="09D2728B" w:rsidRDefault="09D2728B" w:rsidP="09D2728B">
      <w:pPr>
        <w:ind w:left="720" w:hanging="720"/>
      </w:pPr>
      <w:r w:rsidRPr="09D2728B">
        <w:rPr>
          <w:rFonts w:ascii="Arial" w:eastAsia="Arial" w:hAnsi="Arial" w:cs="Arial"/>
          <w:color w:val="000000" w:themeColor="text1"/>
        </w:rPr>
        <w:t xml:space="preserve">Galicia-Garcia, U., Benito-Vicente, A., Jebari, S., Larrea-Sebal, A., Siddiqi, H., Uribe, K.B., Ostolaza, H. and Martín, C., 2020. Pathophysiology of type 2 diabetes mellitus. </w:t>
      </w:r>
      <w:r w:rsidRPr="09D2728B">
        <w:rPr>
          <w:rFonts w:ascii="Arial" w:eastAsia="Arial" w:hAnsi="Arial" w:cs="Arial"/>
          <w:i/>
          <w:iCs/>
          <w:color w:val="000000" w:themeColor="text1"/>
        </w:rPr>
        <w:t>International journal of molecular sciences</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21</w:t>
      </w:r>
      <w:r w:rsidRPr="09D2728B">
        <w:rPr>
          <w:rFonts w:ascii="Arial" w:eastAsia="Arial" w:hAnsi="Arial" w:cs="Arial"/>
          <w:color w:val="000000" w:themeColor="text1"/>
        </w:rPr>
        <w:t>(17), p.6275.</w:t>
      </w:r>
    </w:p>
    <w:p w14:paraId="47BD4526" w14:textId="5B0D6214" w:rsidR="09D2728B" w:rsidRDefault="09D2728B" w:rsidP="09D2728B">
      <w:pPr>
        <w:ind w:left="720" w:hanging="720"/>
      </w:pPr>
      <w:r w:rsidRPr="09D2728B">
        <w:rPr>
          <w:rFonts w:ascii="Arial" w:eastAsia="Arial" w:hAnsi="Arial" w:cs="Arial"/>
          <w:color w:val="000000" w:themeColor="text1"/>
        </w:rPr>
        <w:t xml:space="preserve">Gerich, J.E., 2010. Role of the kidney in normal glucose homeostasis and in the hyperglycemia of diabetes mellitus: therapeutic implications.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27</w:t>
      </w:r>
      <w:r w:rsidRPr="09D2728B">
        <w:rPr>
          <w:rFonts w:ascii="Arial" w:eastAsia="Arial" w:hAnsi="Arial" w:cs="Arial"/>
          <w:color w:val="000000" w:themeColor="text1"/>
        </w:rPr>
        <w:t>(2), pp.136-142.</w:t>
      </w:r>
    </w:p>
    <w:p w14:paraId="46AEACA5" w14:textId="535F6CE6" w:rsidR="09D2728B" w:rsidRDefault="09D2728B" w:rsidP="09D2728B">
      <w:pPr>
        <w:ind w:left="720" w:hanging="720"/>
      </w:pPr>
      <w:r w:rsidRPr="09D2728B">
        <w:rPr>
          <w:rFonts w:ascii="Arial" w:eastAsia="Arial" w:hAnsi="Arial" w:cs="Arial"/>
          <w:color w:val="000000" w:themeColor="text1"/>
        </w:rPr>
        <w:t xml:space="preserve">Goff, L.M., 2019. Ethnicity and type 2 diabetes in the UK.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36</w:t>
      </w:r>
      <w:r w:rsidRPr="09D2728B">
        <w:rPr>
          <w:rFonts w:ascii="Arial" w:eastAsia="Arial" w:hAnsi="Arial" w:cs="Arial"/>
          <w:color w:val="000000" w:themeColor="text1"/>
        </w:rPr>
        <w:t>(8), pp.927-938.</w:t>
      </w:r>
    </w:p>
    <w:p w14:paraId="2C6D3FD5" w14:textId="665F098B" w:rsidR="09D2728B" w:rsidRDefault="09D2728B" w:rsidP="09D2728B">
      <w:pPr>
        <w:ind w:left="720" w:hanging="720"/>
      </w:pPr>
      <w:r w:rsidRPr="09D2728B">
        <w:rPr>
          <w:rFonts w:ascii="Arial" w:eastAsia="Arial" w:hAnsi="Arial" w:cs="Arial"/>
          <w:color w:val="000000" w:themeColor="text1"/>
        </w:rPr>
        <w:t xml:space="preserve">Hex, N., Bartlett, C., Wright, D., Taylor, M. and Varley, D.J.D.M., 2012. Estimating the current and future costs of Type 1 and Type 2 diabetes in the UK, including direct health costs and indirect societal and productivity costs.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29</w:t>
      </w:r>
      <w:r w:rsidRPr="09D2728B">
        <w:rPr>
          <w:rFonts w:ascii="Arial" w:eastAsia="Arial" w:hAnsi="Arial" w:cs="Arial"/>
          <w:color w:val="000000" w:themeColor="text1"/>
        </w:rPr>
        <w:t>(7), pp.855-862.</w:t>
      </w:r>
    </w:p>
    <w:p w14:paraId="30829972" w14:textId="61CDF0DE" w:rsidR="09D2728B" w:rsidRDefault="09D2728B" w:rsidP="09D2728B">
      <w:pPr>
        <w:ind w:left="720" w:hanging="720"/>
      </w:pPr>
      <w:r w:rsidRPr="09D2728B">
        <w:rPr>
          <w:rFonts w:ascii="Arial" w:eastAsia="Arial" w:hAnsi="Arial" w:cs="Arial"/>
          <w:color w:val="000000" w:themeColor="text1"/>
        </w:rPr>
        <w:t>Lacobucci, G., 2021. One in 10 UK adults could have diabetes by 2030, warns charity.</w:t>
      </w:r>
    </w:p>
    <w:p w14:paraId="60DD436C" w14:textId="2B787CEC" w:rsidR="09D2728B" w:rsidRDefault="09D2728B" w:rsidP="09D2728B">
      <w:pPr>
        <w:ind w:left="720" w:hanging="720"/>
      </w:pPr>
      <w:r w:rsidRPr="09D2728B">
        <w:rPr>
          <w:rFonts w:ascii="Arial" w:eastAsia="Arial" w:hAnsi="Arial" w:cs="Arial"/>
          <w:color w:val="000000" w:themeColor="text1"/>
        </w:rPr>
        <w:t>McGuire, H., Longson, D., Adler, A., Farmer, A.</w:t>
      </w:r>
      <w:r w:rsidR="00E8320D">
        <w:rPr>
          <w:rFonts w:ascii="Arial" w:eastAsia="Arial" w:hAnsi="Arial" w:cs="Arial"/>
          <w:color w:val="000000" w:themeColor="text1"/>
        </w:rPr>
        <w:t>,</w:t>
      </w:r>
      <w:r w:rsidRPr="09D2728B">
        <w:rPr>
          <w:rFonts w:ascii="Arial" w:eastAsia="Arial" w:hAnsi="Arial" w:cs="Arial"/>
          <w:color w:val="000000" w:themeColor="text1"/>
        </w:rPr>
        <w:t xml:space="preserve"> and Lewin, I., 2016. Management of type 2 diabetes in adults: summary of updated NICE guidance. </w:t>
      </w:r>
      <w:r w:rsidRPr="09D2728B">
        <w:rPr>
          <w:rFonts w:ascii="Arial" w:eastAsia="Arial" w:hAnsi="Arial" w:cs="Arial"/>
          <w:i/>
          <w:iCs/>
          <w:color w:val="000000" w:themeColor="text1"/>
        </w:rPr>
        <w:t>Bmj</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353</w:t>
      </w:r>
      <w:r w:rsidRPr="09D2728B">
        <w:rPr>
          <w:rFonts w:ascii="Arial" w:eastAsia="Arial" w:hAnsi="Arial" w:cs="Arial"/>
          <w:color w:val="000000" w:themeColor="text1"/>
        </w:rPr>
        <w:t>.</w:t>
      </w:r>
    </w:p>
    <w:p w14:paraId="7773C75F" w14:textId="62FEFE71" w:rsidR="09D2728B" w:rsidRDefault="09D2728B" w:rsidP="09D2728B">
      <w:pPr>
        <w:ind w:left="720" w:hanging="720"/>
      </w:pPr>
      <w:r w:rsidRPr="09D2728B">
        <w:rPr>
          <w:rFonts w:ascii="Arial" w:eastAsia="Arial" w:hAnsi="Arial" w:cs="Arial"/>
          <w:color w:val="000000" w:themeColor="text1"/>
        </w:rPr>
        <w:t xml:space="preserve">NHS, 2020. Record high two million people at risk of Type 2 Diabetes. </w:t>
      </w:r>
      <w:hyperlink r:id="rId31">
        <w:r w:rsidRPr="09D2728B">
          <w:rPr>
            <w:rStyle w:val="Hyperlink"/>
            <w:rFonts w:ascii="Arial" w:eastAsia="Arial" w:hAnsi="Arial" w:cs="Arial"/>
          </w:rPr>
          <w:t>https://www.england.nhs.uk/2020/02/record-high-two-million-people-at-risk-of-type-2-diabetes/</w:t>
        </w:r>
      </w:hyperlink>
      <w:r w:rsidRPr="09D2728B">
        <w:rPr>
          <w:rFonts w:ascii="Arial" w:eastAsia="Arial" w:hAnsi="Arial" w:cs="Arial"/>
          <w:color w:val="000000" w:themeColor="text1"/>
        </w:rPr>
        <w:t xml:space="preserve"> </w:t>
      </w:r>
    </w:p>
    <w:p w14:paraId="3D45183F" w14:textId="193B358F" w:rsidR="09D2728B" w:rsidRDefault="09D2728B" w:rsidP="09D2728B">
      <w:pPr>
        <w:ind w:left="720" w:hanging="720"/>
      </w:pPr>
      <w:r w:rsidRPr="09D2728B">
        <w:rPr>
          <w:rFonts w:ascii="Arial" w:eastAsia="Arial" w:hAnsi="Arial" w:cs="Arial"/>
          <w:color w:val="000000" w:themeColor="text1"/>
        </w:rPr>
        <w:t xml:space="preserve">NICE, 2015. Type 2 diabetes in adults: management. Guidance and guidelines. Available at </w:t>
      </w:r>
      <w:hyperlink r:id="rId32">
        <w:r w:rsidRPr="09D2728B">
          <w:rPr>
            <w:rStyle w:val="Hyperlink"/>
            <w:rFonts w:ascii="Arial" w:eastAsia="Arial" w:hAnsi="Arial" w:cs="Arial"/>
          </w:rPr>
          <w:t>https://www.nice.org.uk/guidance/ng28</w:t>
        </w:r>
      </w:hyperlink>
      <w:r w:rsidRPr="09D2728B">
        <w:rPr>
          <w:rFonts w:ascii="Arial" w:eastAsia="Arial" w:hAnsi="Arial" w:cs="Arial"/>
          <w:color w:val="000000" w:themeColor="text1"/>
        </w:rPr>
        <w:t xml:space="preserve">. Accessed 6 April 2022. </w:t>
      </w:r>
    </w:p>
    <w:p w14:paraId="1AFFC43D" w14:textId="74D396DA" w:rsidR="09D2728B" w:rsidRDefault="09D2728B" w:rsidP="09D2728B">
      <w:pPr>
        <w:ind w:left="720" w:hanging="720"/>
      </w:pPr>
      <w:r w:rsidRPr="09D2728B">
        <w:rPr>
          <w:rFonts w:ascii="Arial" w:eastAsia="Arial" w:hAnsi="Arial" w:cs="Arial"/>
          <w:color w:val="000000" w:themeColor="text1"/>
        </w:rPr>
        <w:t xml:space="preserve">NICE, 2018. </w:t>
      </w:r>
      <w:r w:rsidR="001C1275" w:rsidRPr="09D2728B">
        <w:rPr>
          <w:rFonts w:ascii="Arial" w:eastAsia="Arial" w:hAnsi="Arial" w:cs="Arial"/>
          <w:color w:val="000000" w:themeColor="text1"/>
        </w:rPr>
        <w:t>NICE impact</w:t>
      </w:r>
      <w:r w:rsidRPr="09D2728B">
        <w:rPr>
          <w:rFonts w:ascii="Arial" w:eastAsia="Arial" w:hAnsi="Arial" w:cs="Arial"/>
          <w:color w:val="000000" w:themeColor="text1"/>
        </w:rPr>
        <w:t xml:space="preserve"> diabetes. Available at: </w:t>
      </w:r>
      <w:hyperlink r:id="rId33">
        <w:r w:rsidRPr="09D2728B">
          <w:rPr>
            <w:rStyle w:val="Hyperlink"/>
            <w:rFonts w:ascii="Arial" w:eastAsia="Arial" w:hAnsi="Arial" w:cs="Arial"/>
          </w:rPr>
          <w:t>https://www.nice.org.uk/media/default/about/what-we-do/into-practice/measuring-uptake/impact-diabetes.pdf</w:t>
        </w:r>
      </w:hyperlink>
      <w:r w:rsidRPr="09D2728B">
        <w:rPr>
          <w:rFonts w:ascii="Arial" w:eastAsia="Arial" w:hAnsi="Arial" w:cs="Arial"/>
          <w:color w:val="000000" w:themeColor="text1"/>
        </w:rPr>
        <w:t>. Accessed 7 April 2022.</w:t>
      </w:r>
    </w:p>
    <w:p w14:paraId="41F9C472" w14:textId="294E3510" w:rsidR="09D2728B" w:rsidRDefault="09D2728B" w:rsidP="09D2728B">
      <w:pPr>
        <w:ind w:left="720" w:hanging="720"/>
      </w:pPr>
      <w:r w:rsidRPr="09D2728B">
        <w:rPr>
          <w:rFonts w:ascii="Arial" w:eastAsia="Arial" w:hAnsi="Arial" w:cs="Arial"/>
          <w:color w:val="000000" w:themeColor="text1"/>
        </w:rPr>
        <w:t xml:space="preserve">Pan, A., Wang, Y., Talaei, M., Hu, F.B. and Wu, T., 2015. Relation of active, passive, and quitting smoking with incident type 2 diabetes: a systematic review and meta-analysis. </w:t>
      </w:r>
      <w:r w:rsidRPr="09D2728B">
        <w:rPr>
          <w:rFonts w:ascii="Arial" w:eastAsia="Arial" w:hAnsi="Arial" w:cs="Arial"/>
          <w:i/>
          <w:iCs/>
          <w:color w:val="000000" w:themeColor="text1"/>
        </w:rPr>
        <w:t>The lancet Diabetes &amp; endocrinology</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w:t>
      </w:r>
      <w:r w:rsidRPr="09D2728B">
        <w:rPr>
          <w:rFonts w:ascii="Arial" w:eastAsia="Arial" w:hAnsi="Arial" w:cs="Arial"/>
          <w:color w:val="000000" w:themeColor="text1"/>
        </w:rPr>
        <w:t>(12), pp.958-967.</w:t>
      </w:r>
    </w:p>
    <w:p w14:paraId="5139A64D" w14:textId="17BD3B73" w:rsidR="09D2728B" w:rsidRDefault="09D2728B" w:rsidP="09D2728B">
      <w:pPr>
        <w:ind w:left="720" w:hanging="720"/>
      </w:pPr>
      <w:r w:rsidRPr="09D2728B">
        <w:rPr>
          <w:rFonts w:ascii="Arial" w:eastAsia="Arial" w:hAnsi="Arial" w:cs="Arial"/>
          <w:color w:val="000000" w:themeColor="text1"/>
        </w:rPr>
        <w:t xml:space="preserve">Said, M.A., Verweij, N. and van der Harst, P., 2018. Associations of combined genetic and lifestyle risks with incident cardiovascular disease and diabetes in the UK Biobank Study. </w:t>
      </w:r>
      <w:r w:rsidRPr="09D2728B">
        <w:rPr>
          <w:rFonts w:ascii="Arial" w:eastAsia="Arial" w:hAnsi="Arial" w:cs="Arial"/>
          <w:i/>
          <w:iCs/>
          <w:color w:val="000000" w:themeColor="text1"/>
        </w:rPr>
        <w:t>JAMA cardiology</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w:t>
      </w:r>
      <w:r w:rsidRPr="09D2728B">
        <w:rPr>
          <w:rFonts w:ascii="Arial" w:eastAsia="Arial" w:hAnsi="Arial" w:cs="Arial"/>
          <w:color w:val="000000" w:themeColor="text1"/>
        </w:rPr>
        <w:t>(8), pp.693-702.</w:t>
      </w:r>
    </w:p>
    <w:p w14:paraId="4C295BDB" w14:textId="6D1DC970" w:rsidR="09D2728B" w:rsidRDefault="09D2728B" w:rsidP="09D2728B">
      <w:pPr>
        <w:ind w:left="720" w:hanging="720"/>
      </w:pPr>
      <w:r w:rsidRPr="09D2728B">
        <w:rPr>
          <w:rFonts w:ascii="Arial" w:eastAsia="Arial" w:hAnsi="Arial" w:cs="Arial"/>
          <w:color w:val="000000" w:themeColor="text1"/>
        </w:rPr>
        <w:t xml:space="preserve">Stark Casagrande, S., Fradkin, J.E., Saydah, S.H., Rust, K.F. and Cowie, C.C., 2013. The prevalence of meeting A1C, blood pressure, and LDL goals among people with diabetes, 1988–2010. </w:t>
      </w:r>
      <w:r w:rsidRPr="09D2728B">
        <w:rPr>
          <w:rFonts w:ascii="Arial" w:eastAsia="Arial" w:hAnsi="Arial" w:cs="Arial"/>
          <w:i/>
          <w:iCs/>
          <w:color w:val="000000" w:themeColor="text1"/>
        </w:rPr>
        <w:t>Diabetes care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36</w:t>
      </w:r>
      <w:r w:rsidRPr="09D2728B">
        <w:rPr>
          <w:rFonts w:ascii="Arial" w:eastAsia="Arial" w:hAnsi="Arial" w:cs="Arial"/>
          <w:color w:val="000000" w:themeColor="text1"/>
        </w:rPr>
        <w:t>(8), pp.2271-2279.</w:t>
      </w:r>
      <w:r w:rsidRPr="09D2728B">
        <w:rPr>
          <w:rFonts w:ascii="Arial" w:eastAsia="Arial" w:hAnsi="Arial" w:cs="Arial"/>
          <w:b/>
          <w:bCs/>
          <w:color w:val="000000" w:themeColor="text1"/>
        </w:rPr>
        <w:t xml:space="preserve"> </w:t>
      </w:r>
    </w:p>
    <w:p w14:paraId="5791F8AD" w14:textId="309F9A77" w:rsidR="09D2728B" w:rsidRDefault="09D2728B" w:rsidP="09D2728B">
      <w:pPr>
        <w:ind w:left="720" w:hanging="720"/>
      </w:pPr>
      <w:r w:rsidRPr="09D2728B">
        <w:rPr>
          <w:rFonts w:ascii="Arial" w:eastAsia="Arial" w:hAnsi="Arial" w:cs="Arial"/>
          <w:color w:val="000000" w:themeColor="text1"/>
        </w:rPr>
        <w:t xml:space="preserve">Vetter, C., Dashti, H.S., Lane, J.M., Anderson, S.G., Schernhammer, E.S., Rutter, M.K., Saxena, R. and Scheer, F.A., 2018. Night shift work, genetic risk, and type 2 diabetes in the UK biobank. </w:t>
      </w:r>
      <w:r w:rsidRPr="09D2728B">
        <w:rPr>
          <w:rFonts w:ascii="Arial" w:eastAsia="Arial" w:hAnsi="Arial" w:cs="Arial"/>
          <w:i/>
          <w:iCs/>
          <w:color w:val="000000" w:themeColor="text1"/>
        </w:rPr>
        <w:t>Diabetes care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41</w:t>
      </w:r>
      <w:r w:rsidRPr="09D2728B">
        <w:rPr>
          <w:rFonts w:ascii="Arial" w:eastAsia="Arial" w:hAnsi="Arial" w:cs="Arial"/>
          <w:color w:val="000000" w:themeColor="text1"/>
        </w:rPr>
        <w:t xml:space="preserve">(4), pp.762-769. </w:t>
      </w:r>
    </w:p>
    <w:p w14:paraId="0C96CE40" w14:textId="2765112E" w:rsidR="09D2728B" w:rsidRDefault="09D2728B" w:rsidP="09D2728B">
      <w:pPr>
        <w:ind w:left="720" w:hanging="720"/>
      </w:pPr>
      <w:r w:rsidRPr="09D2728B">
        <w:rPr>
          <w:rFonts w:ascii="Arial" w:eastAsia="Arial" w:hAnsi="Arial" w:cs="Arial"/>
          <w:color w:val="000000" w:themeColor="text1"/>
        </w:rPr>
        <w:t xml:space="preserve">Whicher, C.A., O’Neill, S. and Holt, R.G., 2020. Diabetes in the UK: 2019. </w:t>
      </w:r>
      <w:r w:rsidRPr="09D2728B">
        <w:rPr>
          <w:rFonts w:ascii="Arial" w:eastAsia="Arial" w:hAnsi="Arial" w:cs="Arial"/>
          <w:i/>
          <w:iCs/>
          <w:color w:val="000000" w:themeColor="text1"/>
        </w:rPr>
        <w:t>Diabetic Medicine</w:t>
      </w:r>
      <w:r w:rsidRPr="09D2728B">
        <w:rPr>
          <w:rFonts w:ascii="Arial" w:eastAsia="Arial" w:hAnsi="Arial" w:cs="Arial"/>
          <w:color w:val="000000" w:themeColor="text1"/>
        </w:rPr>
        <w:t xml:space="preserve">, </w:t>
      </w:r>
      <w:r w:rsidRPr="09D2728B">
        <w:rPr>
          <w:rFonts w:ascii="Arial" w:eastAsia="Arial" w:hAnsi="Arial" w:cs="Arial"/>
          <w:i/>
          <w:iCs/>
          <w:color w:val="000000" w:themeColor="text1"/>
        </w:rPr>
        <w:t>37</w:t>
      </w:r>
      <w:r w:rsidRPr="09D2728B">
        <w:rPr>
          <w:rFonts w:ascii="Arial" w:eastAsia="Arial" w:hAnsi="Arial" w:cs="Arial"/>
          <w:color w:val="000000" w:themeColor="text1"/>
        </w:rPr>
        <w:t>(2), pp.242-247.</w:t>
      </w:r>
    </w:p>
    <w:p w14:paraId="296DC0BC" w14:textId="185EA7AD" w:rsidR="09D2728B" w:rsidRDefault="09D2728B" w:rsidP="09D2728B">
      <w:r>
        <w:br/>
      </w:r>
    </w:p>
    <w:sectPr w:rsidR="09D2728B" w:rsidSect="007D54C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D61D6"/>
    <w:multiLevelType w:val="hybridMultilevel"/>
    <w:tmpl w:val="4B8A57D2"/>
    <w:lvl w:ilvl="0" w:tplc="8C588994">
      <w:start w:val="1"/>
      <w:numFmt w:val="bullet"/>
      <w:lvlText w:val=""/>
      <w:lvlJc w:val="left"/>
      <w:pPr>
        <w:ind w:left="720" w:hanging="360"/>
      </w:pPr>
      <w:rPr>
        <w:rFonts w:ascii="Symbol" w:hAnsi="Symbol" w:hint="default"/>
      </w:rPr>
    </w:lvl>
    <w:lvl w:ilvl="1" w:tplc="90605BFC">
      <w:start w:val="1"/>
      <w:numFmt w:val="bullet"/>
      <w:lvlText w:val="o"/>
      <w:lvlJc w:val="left"/>
      <w:pPr>
        <w:ind w:left="1440" w:hanging="360"/>
      </w:pPr>
      <w:rPr>
        <w:rFonts w:ascii="Courier New" w:hAnsi="Courier New" w:hint="default"/>
      </w:rPr>
    </w:lvl>
    <w:lvl w:ilvl="2" w:tplc="63D699B4">
      <w:start w:val="1"/>
      <w:numFmt w:val="bullet"/>
      <w:lvlText w:val=""/>
      <w:lvlJc w:val="left"/>
      <w:pPr>
        <w:ind w:left="2160" w:hanging="360"/>
      </w:pPr>
      <w:rPr>
        <w:rFonts w:ascii="Wingdings" w:hAnsi="Wingdings" w:hint="default"/>
      </w:rPr>
    </w:lvl>
    <w:lvl w:ilvl="3" w:tplc="2E18B794">
      <w:start w:val="1"/>
      <w:numFmt w:val="bullet"/>
      <w:lvlText w:val=""/>
      <w:lvlJc w:val="left"/>
      <w:pPr>
        <w:ind w:left="2880" w:hanging="360"/>
      </w:pPr>
      <w:rPr>
        <w:rFonts w:ascii="Symbol" w:hAnsi="Symbol" w:hint="default"/>
      </w:rPr>
    </w:lvl>
    <w:lvl w:ilvl="4" w:tplc="571AE5D6">
      <w:start w:val="1"/>
      <w:numFmt w:val="bullet"/>
      <w:lvlText w:val="o"/>
      <w:lvlJc w:val="left"/>
      <w:pPr>
        <w:ind w:left="3600" w:hanging="360"/>
      </w:pPr>
      <w:rPr>
        <w:rFonts w:ascii="Courier New" w:hAnsi="Courier New" w:hint="default"/>
      </w:rPr>
    </w:lvl>
    <w:lvl w:ilvl="5" w:tplc="F40C2466">
      <w:start w:val="1"/>
      <w:numFmt w:val="bullet"/>
      <w:lvlText w:val=""/>
      <w:lvlJc w:val="left"/>
      <w:pPr>
        <w:ind w:left="4320" w:hanging="360"/>
      </w:pPr>
      <w:rPr>
        <w:rFonts w:ascii="Wingdings" w:hAnsi="Wingdings" w:hint="default"/>
      </w:rPr>
    </w:lvl>
    <w:lvl w:ilvl="6" w:tplc="C9846A4A">
      <w:start w:val="1"/>
      <w:numFmt w:val="bullet"/>
      <w:lvlText w:val=""/>
      <w:lvlJc w:val="left"/>
      <w:pPr>
        <w:ind w:left="5040" w:hanging="360"/>
      </w:pPr>
      <w:rPr>
        <w:rFonts w:ascii="Symbol" w:hAnsi="Symbol" w:hint="default"/>
      </w:rPr>
    </w:lvl>
    <w:lvl w:ilvl="7" w:tplc="33DE5B38">
      <w:start w:val="1"/>
      <w:numFmt w:val="bullet"/>
      <w:lvlText w:val="o"/>
      <w:lvlJc w:val="left"/>
      <w:pPr>
        <w:ind w:left="5760" w:hanging="360"/>
      </w:pPr>
      <w:rPr>
        <w:rFonts w:ascii="Courier New" w:hAnsi="Courier New" w:hint="default"/>
      </w:rPr>
    </w:lvl>
    <w:lvl w:ilvl="8" w:tplc="FBBABAB2">
      <w:start w:val="1"/>
      <w:numFmt w:val="bullet"/>
      <w:lvlText w:val=""/>
      <w:lvlJc w:val="left"/>
      <w:pPr>
        <w:ind w:left="6480" w:hanging="360"/>
      </w:pPr>
      <w:rPr>
        <w:rFonts w:ascii="Wingdings" w:hAnsi="Wingdings" w:hint="default"/>
      </w:rPr>
    </w:lvl>
  </w:abstractNum>
  <w:num w:numId="1" w16cid:durableId="598951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NjY0MzI3NjQ3NjBU0lEKTi0uzszPAykwrAUAdq/cHCwAAAA="/>
  </w:docVars>
  <w:rsids>
    <w:rsidRoot w:val="5EE8AF85"/>
    <w:rsid w:val="00036B6E"/>
    <w:rsid w:val="0004682D"/>
    <w:rsid w:val="000C2454"/>
    <w:rsid w:val="000E7489"/>
    <w:rsid w:val="00186384"/>
    <w:rsid w:val="001C1275"/>
    <w:rsid w:val="001E71F0"/>
    <w:rsid w:val="002A2E31"/>
    <w:rsid w:val="00341F13"/>
    <w:rsid w:val="003E1C28"/>
    <w:rsid w:val="00433409"/>
    <w:rsid w:val="00494C65"/>
    <w:rsid w:val="00593B6C"/>
    <w:rsid w:val="007A1846"/>
    <w:rsid w:val="007D54C5"/>
    <w:rsid w:val="007E2CEB"/>
    <w:rsid w:val="00865DEA"/>
    <w:rsid w:val="00935323"/>
    <w:rsid w:val="009E70E0"/>
    <w:rsid w:val="00A72D82"/>
    <w:rsid w:val="00AA5E6E"/>
    <w:rsid w:val="00C71A46"/>
    <w:rsid w:val="00E82339"/>
    <w:rsid w:val="00E8320D"/>
    <w:rsid w:val="00EA18A6"/>
    <w:rsid w:val="00EC6641"/>
    <w:rsid w:val="09D2728B"/>
    <w:rsid w:val="1854B37A"/>
    <w:rsid w:val="257E21BE"/>
    <w:rsid w:val="32437C69"/>
    <w:rsid w:val="32EC5420"/>
    <w:rsid w:val="34882481"/>
    <w:rsid w:val="4F1FC527"/>
    <w:rsid w:val="5EE8AF85"/>
    <w:rsid w:val="7D143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023E"/>
  <w15:chartTrackingRefBased/>
  <w15:docId w15:val="{7C47C441-069F-45C9-BE89-6637C585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7D54C5"/>
    <w:pPr>
      <w:spacing w:after="0" w:line="240" w:lineRule="auto"/>
    </w:pPr>
    <w:rPr>
      <w:rFonts w:eastAsiaTheme="minorEastAsia"/>
    </w:rPr>
  </w:style>
  <w:style w:type="character" w:customStyle="1" w:styleId="NoSpacingChar">
    <w:name w:val="No Spacing Char"/>
    <w:basedOn w:val="DefaultParagraphFont"/>
    <w:link w:val="NoSpacing"/>
    <w:uiPriority w:val="1"/>
    <w:rsid w:val="007D54C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google.com/document/d/1cSrBWT5y8mvPk2L8tiTKCBHMfTj1ta9k/edit" TargetMode="External"/><Relationship Id="rId18" Type="http://schemas.openxmlformats.org/officeDocument/2006/relationships/hyperlink" Target="https://docs.google.com/document/d/1cSrBWT5y8mvPk2L8tiTKCBHMfTj1ta9k/edit" TargetMode="External"/><Relationship Id="rId26" Type="http://schemas.openxmlformats.org/officeDocument/2006/relationships/hyperlink" Target="https://docs.google.com/document/d/1cSrBWT5y8mvPk2L8tiTKCBHMfTj1ta9k/edit" TargetMode="External"/><Relationship Id="rId3" Type="http://schemas.openxmlformats.org/officeDocument/2006/relationships/customXml" Target="../customXml/item3.xml"/><Relationship Id="rId21" Type="http://schemas.openxmlformats.org/officeDocument/2006/relationships/hyperlink" Target="https://docs.google.com/document/d/1cSrBWT5y8mvPk2L8tiTKCBHMfTj1ta9k/edit"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docs.google.com/document/d/1cSrBWT5y8mvPk2L8tiTKCBHMfTj1ta9k/edit" TargetMode="External"/><Relationship Id="rId25" Type="http://schemas.openxmlformats.org/officeDocument/2006/relationships/hyperlink" Target="https://docs.google.com/document/d/1cSrBWT5y8mvPk2L8tiTKCBHMfTj1ta9k/edit" TargetMode="External"/><Relationship Id="rId33" Type="http://schemas.openxmlformats.org/officeDocument/2006/relationships/hyperlink" Target="https://www.nice.org.uk/media/default/about/what-we-do/into-practice/measuring-uptake/impact-diabetes.pdf" TargetMode="External"/><Relationship Id="rId2" Type="http://schemas.openxmlformats.org/officeDocument/2006/relationships/customXml" Target="../customXml/item2.xml"/><Relationship Id="rId16" Type="http://schemas.openxmlformats.org/officeDocument/2006/relationships/hyperlink" Target="https://docs.google.com/document/d/1cSrBWT5y8mvPk2L8tiTKCBHMfTj1ta9k/edit" TargetMode="External"/><Relationship Id="rId20" Type="http://schemas.openxmlformats.org/officeDocument/2006/relationships/hyperlink" Target="https://docs.google.com/document/d/1cSrBWT5y8mvPk2L8tiTKCBHMfTj1ta9k/edit" TargetMode="External"/><Relationship Id="rId29" Type="http://schemas.openxmlformats.org/officeDocument/2006/relationships/hyperlink" Target="https://docs.google.com/document/d/1cSrBWT5y8mvPk2L8tiTKCBHMfTj1ta9k/ed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docs.google.com/document/d/1cSrBWT5y8mvPk2L8tiTKCBHMfTj1ta9k/edit" TargetMode="External"/><Relationship Id="rId32" Type="http://schemas.openxmlformats.org/officeDocument/2006/relationships/hyperlink" Target="https://www.nice.org.uk/guidance/ng28" TargetMode="External"/><Relationship Id="rId5" Type="http://schemas.openxmlformats.org/officeDocument/2006/relationships/numbering" Target="numbering.xml"/><Relationship Id="rId15" Type="http://schemas.openxmlformats.org/officeDocument/2006/relationships/hyperlink" Target="https://docs.google.com/document/d/1cSrBWT5y8mvPk2L8tiTKCBHMfTj1ta9k/edit" TargetMode="External"/><Relationship Id="rId23" Type="http://schemas.openxmlformats.org/officeDocument/2006/relationships/hyperlink" Target="https://docs.google.com/document/d/1cSrBWT5y8mvPk2L8tiTKCBHMfTj1ta9k/edit" TargetMode="External"/><Relationship Id="rId28" Type="http://schemas.openxmlformats.org/officeDocument/2006/relationships/hyperlink" Target="https://docs.google.com/document/d/1cSrBWT5y8mvPk2L8tiTKCBHMfTj1ta9k/edit" TargetMode="External"/><Relationship Id="rId10" Type="http://schemas.openxmlformats.org/officeDocument/2006/relationships/image" Target="media/image2.png"/><Relationship Id="rId19" Type="http://schemas.openxmlformats.org/officeDocument/2006/relationships/hyperlink" Target="https://docs.google.com/document/d/1cSrBWT5y8mvPk2L8tiTKCBHMfTj1ta9k/edit" TargetMode="External"/><Relationship Id="rId31" Type="http://schemas.openxmlformats.org/officeDocument/2006/relationships/hyperlink" Target="https://www.england.nhs.uk/2020/02/record-high-two-million-people-at-risk-of-type-2-diabetes/"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docs.google.com/document/d/1cSrBWT5y8mvPk2L8tiTKCBHMfTj1ta9k/edit" TargetMode="External"/><Relationship Id="rId22" Type="http://schemas.openxmlformats.org/officeDocument/2006/relationships/hyperlink" Target="https://docs.google.com/document/d/1cSrBWT5y8mvPk2L8tiTKCBHMfTj1ta9k/edit" TargetMode="External"/><Relationship Id="rId27" Type="http://schemas.openxmlformats.org/officeDocument/2006/relationships/hyperlink" Target="https://docs.google.com/document/d/1cSrBWT5y8mvPk2L8tiTKCBHMfTj1ta9k/edit" TargetMode="External"/><Relationship Id="rId30" Type="http://schemas.openxmlformats.org/officeDocument/2006/relationships/image" Target="media/image5.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020f20b92a3665f156ed80530e3c64e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660ddfb70755a906355a8c8507c8377"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22A95-112D-4B6F-99CB-50D2ECA1D155}">
  <ds:schemaRefs>
    <ds:schemaRef ds:uri="http://schemas.openxmlformats.org/officeDocument/2006/bibliography"/>
  </ds:schemaRefs>
</ds:datastoreItem>
</file>

<file path=customXml/itemProps2.xml><?xml version="1.0" encoding="utf-8"?>
<ds:datastoreItem xmlns:ds="http://schemas.openxmlformats.org/officeDocument/2006/customXml" ds:itemID="{A25C18E9-27F4-46A4-A100-82E17A068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A8C39-5564-4C12-AF9D-5B695EC72D9E}">
  <ds:schemaRefs>
    <ds:schemaRef ds:uri="http://schemas.microsoft.com/sharepoint/v3/contenttype/forms"/>
  </ds:schemaRefs>
</ds:datastoreItem>
</file>

<file path=customXml/itemProps4.xml><?xml version="1.0" encoding="utf-8"?>
<ds:datastoreItem xmlns:ds="http://schemas.openxmlformats.org/officeDocument/2006/customXml" ds:itemID="{CBC2BA11-2181-4005-B3E2-24847CF5C7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3177</Words>
  <Characters>18114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Physiology</dc:subject>
  <dc:creator>Teodora Nikolova (2009133)</dc:creator>
  <cp:keywords/>
  <dc:description/>
  <cp:lastModifiedBy>Teodora Nikolova (2009133)</cp:lastModifiedBy>
  <cp:revision>3</cp:revision>
  <dcterms:created xsi:type="dcterms:W3CDTF">2022-04-19T09:37:00Z</dcterms:created>
  <dcterms:modified xsi:type="dcterms:W3CDTF">2022-04-19T09:40:00Z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