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67A74" w14:textId="77777777" w:rsidR="00964C8E" w:rsidRDefault="00964C8E" w:rsidP="00964C8E">
      <w:pPr>
        <w:pStyle w:val="Heading1"/>
        <w:jc w:val="center"/>
      </w:pPr>
      <w:r>
        <w:t>HPHI5036/6036</w:t>
      </w:r>
    </w:p>
    <w:p w14:paraId="47C835F3" w14:textId="42B8A749" w:rsidR="00A64185" w:rsidRDefault="00964C8E" w:rsidP="00964C8E">
      <w:pPr>
        <w:pStyle w:val="Heading1"/>
        <w:jc w:val="center"/>
      </w:pPr>
      <w:r>
        <w:t xml:space="preserve"> </w:t>
      </w:r>
      <w:r w:rsidR="00A64185" w:rsidRPr="00CE731F">
        <w:t>Gender, Violence and Empire, 1800-2020</w:t>
      </w:r>
    </w:p>
    <w:p w14:paraId="39C76202" w14:textId="196176E9" w:rsidR="00B63B5A" w:rsidRDefault="00B63B5A" w:rsidP="00964C8E">
      <w:pPr>
        <w:pStyle w:val="Heading1"/>
        <w:jc w:val="center"/>
      </w:pPr>
      <w:r w:rsidRPr="00CE731F">
        <w:t>Module Handbook</w:t>
      </w:r>
    </w:p>
    <w:p w14:paraId="58B167AB" w14:textId="77777777" w:rsidR="00B63B5A" w:rsidRDefault="00B63B5A" w:rsidP="00361694">
      <w:pPr>
        <w:pStyle w:val="Heading2"/>
        <w:jc w:val="center"/>
      </w:pPr>
      <w:r>
        <w:t>Module lead: Dr Rhian Elinor Keyse (</w:t>
      </w:r>
      <w:hyperlink r:id="rId8" w:history="1">
        <w:r w:rsidRPr="00314931">
          <w:rPr>
            <w:rStyle w:val="Hyperlink"/>
          </w:rPr>
          <w:t>r.keyse@uwtsd.ac.uk</w:t>
        </w:r>
      </w:hyperlink>
      <w:r>
        <w:t>)</w:t>
      </w:r>
    </w:p>
    <w:p w14:paraId="6D5B0A92" w14:textId="77777777" w:rsidR="00B63B5A" w:rsidRPr="00B63B5A" w:rsidRDefault="00B63B5A" w:rsidP="00B63B5A"/>
    <w:p w14:paraId="16CACFE6" w14:textId="7A635624" w:rsidR="00B63B5A" w:rsidRPr="00B63B5A" w:rsidRDefault="00B63B5A" w:rsidP="00B63B5A"/>
    <w:p w14:paraId="4104FE5D" w14:textId="5C29B4BF" w:rsidR="008A2E9A" w:rsidRDefault="008A2E9A" w:rsidP="008A2E9A">
      <w:r>
        <w:rPr>
          <w:noProof/>
        </w:rPr>
        <w:drawing>
          <wp:inline distT="0" distB="0" distL="0" distR="0" wp14:anchorId="4C15051B" wp14:editId="6636160A">
            <wp:extent cx="5731510" cy="4274820"/>
            <wp:effectExtent l="0" t="0" r="2540" b="0"/>
            <wp:docPr id="295401105" name="Picture 1" descr="Aba women, early 20th century. Margery Perham, Native Administration in Nigeria,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a women, early 20th century. Margery Perham, Native Administration in Nigeria, 19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74820"/>
                    </a:xfrm>
                    <a:prstGeom prst="rect">
                      <a:avLst/>
                    </a:prstGeom>
                    <a:noFill/>
                    <a:ln>
                      <a:noFill/>
                    </a:ln>
                  </pic:spPr>
                </pic:pic>
              </a:graphicData>
            </a:graphic>
          </wp:inline>
        </w:drawing>
      </w:r>
    </w:p>
    <w:p w14:paraId="2D59BF6D" w14:textId="5CAF0E92" w:rsidR="008A2E9A" w:rsidRPr="009A449B" w:rsidRDefault="008A2E9A" w:rsidP="008A2E9A">
      <w:r>
        <w:t xml:space="preserve">[Image: </w:t>
      </w:r>
      <w:r w:rsidR="009A449B">
        <w:t xml:space="preserve">Aba women, early twentieth century. From Margery Perham, </w:t>
      </w:r>
      <w:r w:rsidR="009A449B">
        <w:rPr>
          <w:i/>
          <w:iCs/>
        </w:rPr>
        <w:t xml:space="preserve">Native Administration in Nigeria </w:t>
      </w:r>
      <w:r w:rsidR="00B63B5A">
        <w:t>(Oxford: Oxford University Press, 1937).</w:t>
      </w:r>
    </w:p>
    <w:p w14:paraId="67817663" w14:textId="2A8029A3" w:rsidR="000137CB" w:rsidRPr="00AB75F5" w:rsidRDefault="000137CB" w:rsidP="000137CB"/>
    <w:p w14:paraId="1B76D338" w14:textId="77777777" w:rsidR="000137CB" w:rsidRDefault="000137CB" w:rsidP="000137CB">
      <w:r>
        <w:br w:type="page"/>
      </w:r>
    </w:p>
    <w:p w14:paraId="3891DCCB" w14:textId="77777777" w:rsidR="000137CB" w:rsidRDefault="000137CB" w:rsidP="000137CB">
      <w:pPr>
        <w:pStyle w:val="Heading2"/>
      </w:pPr>
      <w:r>
        <w:lastRenderedPageBreak/>
        <w:t>Contents</w:t>
      </w:r>
    </w:p>
    <w:p w14:paraId="4ED01C3B" w14:textId="77777777" w:rsidR="000137CB" w:rsidRDefault="000137CB" w:rsidP="000137CB">
      <w:r>
        <w:t>Introduction and content note</w:t>
      </w:r>
      <w:r>
        <w:tab/>
      </w:r>
      <w:r>
        <w:tab/>
      </w:r>
      <w:r>
        <w:tab/>
      </w:r>
      <w:r>
        <w:tab/>
      </w:r>
      <w:r>
        <w:tab/>
        <w:t>p.3</w:t>
      </w:r>
    </w:p>
    <w:p w14:paraId="20D7DE06" w14:textId="77777777" w:rsidR="000137CB" w:rsidRDefault="000137CB" w:rsidP="000137CB">
      <w:r>
        <w:t>Aims and learning outcomes</w:t>
      </w:r>
      <w:r>
        <w:tab/>
      </w:r>
      <w:r>
        <w:tab/>
      </w:r>
      <w:r>
        <w:tab/>
      </w:r>
      <w:r>
        <w:tab/>
      </w:r>
      <w:r>
        <w:tab/>
        <w:t>p.4</w:t>
      </w:r>
    </w:p>
    <w:p w14:paraId="146D56D0" w14:textId="77777777" w:rsidR="000137CB" w:rsidRDefault="000137CB" w:rsidP="000137CB">
      <w:r>
        <w:t>Class schedule</w:t>
      </w:r>
      <w:r>
        <w:tab/>
      </w:r>
      <w:r>
        <w:tab/>
      </w:r>
      <w:r>
        <w:tab/>
      </w:r>
      <w:r>
        <w:tab/>
      </w:r>
      <w:r>
        <w:tab/>
      </w:r>
      <w:r>
        <w:tab/>
      </w:r>
      <w:r>
        <w:tab/>
        <w:t>p.5</w:t>
      </w:r>
    </w:p>
    <w:p w14:paraId="41A819BE" w14:textId="77777777" w:rsidR="000137CB" w:rsidRDefault="000137CB" w:rsidP="000137CB">
      <w:r>
        <w:t>Preparing for class</w:t>
      </w:r>
      <w:r>
        <w:tab/>
      </w:r>
      <w:r>
        <w:tab/>
      </w:r>
      <w:r>
        <w:tab/>
      </w:r>
      <w:r>
        <w:tab/>
      </w:r>
      <w:r>
        <w:tab/>
      </w:r>
      <w:r>
        <w:tab/>
      </w:r>
      <w:r>
        <w:tab/>
        <w:t>p.6</w:t>
      </w:r>
    </w:p>
    <w:p w14:paraId="68F05FFE" w14:textId="43C0F990" w:rsidR="000137CB" w:rsidRDefault="000137CB" w:rsidP="000137CB">
      <w:r>
        <w:t>Assessment, referencing and use of AI</w:t>
      </w:r>
      <w:r>
        <w:tab/>
      </w:r>
      <w:r>
        <w:tab/>
      </w:r>
      <w:r>
        <w:tab/>
      </w:r>
      <w:r>
        <w:tab/>
        <w:t>p.</w:t>
      </w:r>
      <w:r w:rsidR="00242DA1">
        <w:t>7</w:t>
      </w:r>
    </w:p>
    <w:p w14:paraId="689F8889" w14:textId="77777777" w:rsidR="000137CB" w:rsidRDefault="000137CB" w:rsidP="000137CB">
      <w:r>
        <w:t>Seminar outlines</w:t>
      </w:r>
      <w:r>
        <w:tab/>
      </w:r>
      <w:r>
        <w:tab/>
      </w:r>
      <w:r>
        <w:tab/>
      </w:r>
      <w:r>
        <w:tab/>
      </w:r>
      <w:r>
        <w:tab/>
      </w:r>
      <w:r>
        <w:tab/>
      </w:r>
      <w:r>
        <w:tab/>
        <w:t>p.11</w:t>
      </w:r>
    </w:p>
    <w:p w14:paraId="4B45D3E0" w14:textId="067CB6D6" w:rsidR="000137CB" w:rsidRPr="007E3144" w:rsidRDefault="000137CB" w:rsidP="000137CB"/>
    <w:p w14:paraId="50DE05A0" w14:textId="77777777" w:rsidR="000137CB" w:rsidRDefault="000137CB" w:rsidP="000137CB">
      <w:r>
        <w:br w:type="page"/>
      </w:r>
    </w:p>
    <w:p w14:paraId="1376F76E" w14:textId="77777777" w:rsidR="000137CB" w:rsidRDefault="000137CB" w:rsidP="000137CB">
      <w:pPr>
        <w:pStyle w:val="Heading2"/>
      </w:pPr>
      <w:r>
        <w:lastRenderedPageBreak/>
        <w:t>Introduction to the module</w:t>
      </w:r>
    </w:p>
    <w:p w14:paraId="2733C873" w14:textId="5C4E2506" w:rsidR="00B63B5A" w:rsidRDefault="000137CB" w:rsidP="000137CB">
      <w:pPr>
        <w:spacing w:line="276" w:lineRule="auto"/>
      </w:pPr>
      <w:r w:rsidRPr="003B6D43">
        <w:t xml:space="preserve">Welcome to </w:t>
      </w:r>
      <w:r w:rsidR="00964C8E">
        <w:t xml:space="preserve">HPHI5036/6036 </w:t>
      </w:r>
      <w:r w:rsidR="00B63B5A">
        <w:t>Gender, Violence and Empire, 1800-2020.</w:t>
      </w:r>
    </w:p>
    <w:p w14:paraId="23E689CE" w14:textId="5D83C479" w:rsidR="001B0075" w:rsidRDefault="001B0075" w:rsidP="001B0075">
      <w:pPr>
        <w:spacing w:line="276" w:lineRule="auto"/>
      </w:pPr>
      <w:r w:rsidRPr="001B0075">
        <w:t>The module examines the centrality of, and contestations over, notions of gender, sexuality and the body in the British Empire and its aftermath. We will consider gender as a key ‘justification’ deployed by imperialists who referred to the treatment of women and girls as a key motivation for the so-called ‘civilising mission’. We will interrogate and critically reflect upon notions of ‘civilisation’, ‘tradition’ and ‘culture’, and explore the notion of ‘violence’, considering not only the use of physical force, but also institutional, structural, and epistemic forms of violence. In so doing, we will consider how imperial and colonial treatments of gender have shaped the present moment, influencing current humanitarian, human rights, and policy discourses</w:t>
      </w:r>
    </w:p>
    <w:p w14:paraId="5F09A92C" w14:textId="2D53CD44" w:rsidR="00705757" w:rsidRDefault="000137CB" w:rsidP="000137CB">
      <w:pPr>
        <w:spacing w:line="276" w:lineRule="auto"/>
      </w:pPr>
      <w:r w:rsidRPr="003B6D43">
        <w:t xml:space="preserve">The Moodle page for the module contains </w:t>
      </w:r>
      <w:proofErr w:type="gramStart"/>
      <w:r w:rsidRPr="003B6D43">
        <w:t>all of</w:t>
      </w:r>
      <w:proofErr w:type="gramEnd"/>
      <w:r w:rsidRPr="003B6D43">
        <w:t xml:space="preserve"> the information you’ll need for our classes. There you’ll find dates of classes, reading lists, and information about assessment. </w:t>
      </w:r>
    </w:p>
    <w:p w14:paraId="53B1A8D2" w14:textId="1A74971E" w:rsidR="00705757" w:rsidRDefault="00705757" w:rsidP="000137CB">
      <w:pPr>
        <w:spacing w:line="276" w:lineRule="auto"/>
      </w:pPr>
      <w:r>
        <w:t xml:space="preserve">This year, the module will run in </w:t>
      </w:r>
      <w:r w:rsidR="0006336B">
        <w:t>Semester</w:t>
      </w:r>
      <w:r>
        <w:t xml:space="preserve"> 2. </w:t>
      </w:r>
      <w:r w:rsidR="0006336B">
        <w:t>Classes will take place on Microsoft Teams, on Wednesdays, between 10am and 12 noon. Our first class will be 4 February 2026.</w:t>
      </w:r>
    </w:p>
    <w:p w14:paraId="610CBB34" w14:textId="77777777" w:rsidR="00705757" w:rsidRDefault="00705757" w:rsidP="000137CB">
      <w:pPr>
        <w:spacing w:line="276" w:lineRule="auto"/>
      </w:pPr>
      <w:r>
        <w:t xml:space="preserve">I’ll be very happy to discuss the material outside class, either by email or by setting up a meeting at a mutually convenient time. </w:t>
      </w:r>
    </w:p>
    <w:p w14:paraId="13DFB789" w14:textId="77777777" w:rsidR="000137CB" w:rsidRDefault="000137CB" w:rsidP="000137CB">
      <w:pPr>
        <w:spacing w:line="276" w:lineRule="auto"/>
      </w:pPr>
      <w:r>
        <w:t>Don’t be shy to ask questions if there’s something that doesn’t quite make sense, or if you want to know more. I might not always know the answer, but we can find out collaboratively! I actively encourage you to ask questions. Don’t be afraid to have a go at answering questions. I recognise that some of the subjects discussed during the module will be unfamiliar to some of you. Remember you’re encouraged to think and explore, and there are rarely right or wrong answers.</w:t>
      </w:r>
    </w:p>
    <w:p w14:paraId="0890B5E0" w14:textId="77777777" w:rsidR="000137CB" w:rsidRDefault="000137CB" w:rsidP="000137CB">
      <w:pPr>
        <w:pStyle w:val="Heading2"/>
      </w:pPr>
      <w:r>
        <w:t>Content note</w:t>
      </w:r>
    </w:p>
    <w:p w14:paraId="329E0135" w14:textId="1F9C708A" w:rsidR="000137CB" w:rsidRDefault="000137CB" w:rsidP="000137CB">
      <w:r>
        <w:t>As you might expect o</w:t>
      </w:r>
      <w:r w:rsidR="00705757">
        <w:t>f</w:t>
      </w:r>
      <w:r>
        <w:t xml:space="preserve"> a module relating to </w:t>
      </w:r>
      <w:r w:rsidR="00705757">
        <w:t>gender, violence, and imperialism</w:t>
      </w:r>
      <w:r>
        <w:t xml:space="preserve">, the material we will cover this semester will cover challenging material that could be potentially distressing. Topics covered will include violence (including sexual and racist violence), murder, sexual assault, racism, homophobia and transphobia. If there is anything that concerns you in the course outline, please do not hesitate to contact me. You will not need to discuss why you do not wish to engage with particular </w:t>
      </w:r>
      <w:proofErr w:type="gramStart"/>
      <w:r>
        <w:t>topics,</w:t>
      </w:r>
      <w:proofErr w:type="gramEnd"/>
      <w:r>
        <w:t xml:space="preserve"> we can simply discuss how you might meet the learning objectives of the module.</w:t>
      </w:r>
    </w:p>
    <w:p w14:paraId="72A115E2" w14:textId="77777777" w:rsidR="000137CB" w:rsidRDefault="000137CB" w:rsidP="000137CB">
      <w:r>
        <w:t xml:space="preserve">I am committed to ensuring that our work together this semester occurs in a safe space for discussing difficult topics. This isn’t about limiting critical </w:t>
      </w:r>
      <w:proofErr w:type="gramStart"/>
      <w:r>
        <w:t>engagement, but</w:t>
      </w:r>
      <w:proofErr w:type="gramEnd"/>
      <w:r>
        <w:t xml:space="preserve"> rather ensuring that everyone feels respected and safe. I ask that we all treat each other carefully.</w:t>
      </w:r>
    </w:p>
    <w:p w14:paraId="28D171D2" w14:textId="48ADDCAF" w:rsidR="000137CB" w:rsidRPr="00CF0E9F" w:rsidRDefault="000137CB" w:rsidP="000137CB">
      <w:r>
        <w:lastRenderedPageBreak/>
        <w:t xml:space="preserve">There will be scheduled breaks in classes, but you’re welcome to leave the </w:t>
      </w:r>
      <w:r w:rsidR="006921AC">
        <w:t>room</w:t>
      </w:r>
      <w:r>
        <w:t xml:space="preserve"> if you need to take care of yourself – no questions will be asked if you need to do this, and you’re very welcome to rejoin the class when you feel able.</w:t>
      </w:r>
    </w:p>
    <w:p w14:paraId="06083C5D" w14:textId="77777777" w:rsidR="000137CB" w:rsidRPr="00CF0E9F" w:rsidRDefault="000137CB" w:rsidP="000137CB">
      <w:r w:rsidRPr="00CF0E9F">
        <w:t>Local and national support resources are available – these are linked here:</w:t>
      </w:r>
    </w:p>
    <w:p w14:paraId="050082AC" w14:textId="77777777" w:rsidR="000137CB" w:rsidRPr="00CF0E9F" w:rsidRDefault="000137CB" w:rsidP="0080776D">
      <w:pPr>
        <w:numPr>
          <w:ilvl w:val="1"/>
          <w:numId w:val="3"/>
        </w:numPr>
      </w:pPr>
      <w:hyperlink r:id="rId10" w:history="1">
        <w:r w:rsidRPr="00CF0E9F">
          <w:rPr>
            <w:rStyle w:val="Hyperlink"/>
            <w:highlight w:val="white"/>
          </w:rPr>
          <w:t>Wellbeing Support | University of Wales Trinity Saint David (uwtsd.ac.uk)</w:t>
        </w:r>
      </w:hyperlink>
    </w:p>
    <w:p w14:paraId="7FA1AD83" w14:textId="77777777" w:rsidR="000137CB" w:rsidRPr="00CF0E9F" w:rsidRDefault="000137CB" w:rsidP="0080776D">
      <w:pPr>
        <w:numPr>
          <w:ilvl w:val="1"/>
          <w:numId w:val="3"/>
        </w:numPr>
      </w:pPr>
      <w:hyperlink r:id="rId11" w:history="1">
        <w:r w:rsidRPr="00CF0E9F">
          <w:rPr>
            <w:rStyle w:val="Hyperlink"/>
            <w:highlight w:val="white"/>
          </w:rPr>
          <w:t>Domestic abuse | GOV.WALES</w:t>
        </w:r>
      </w:hyperlink>
    </w:p>
    <w:p w14:paraId="788A8128" w14:textId="77777777" w:rsidR="000137CB" w:rsidRPr="00962422" w:rsidRDefault="000137CB" w:rsidP="0080776D">
      <w:pPr>
        <w:numPr>
          <w:ilvl w:val="1"/>
          <w:numId w:val="3"/>
        </w:numPr>
        <w:rPr>
          <w:rStyle w:val="Hyperlink"/>
        </w:rPr>
      </w:pPr>
      <w:hyperlink r:id="rId12" w:history="1">
        <w:r w:rsidRPr="00CF0E9F">
          <w:rPr>
            <w:rStyle w:val="Hyperlink"/>
            <w:highlight w:val="white"/>
          </w:rPr>
          <w:t>New Pathways Rape crisis and sexual abuse support services.</w:t>
        </w:r>
      </w:hyperlink>
    </w:p>
    <w:p w14:paraId="7489E46C" w14:textId="77777777" w:rsidR="000137CB" w:rsidRDefault="000137CB" w:rsidP="000137CB">
      <w:pPr>
        <w:pStyle w:val="Heading2"/>
      </w:pPr>
      <w:r>
        <w:t>Help and advice</w:t>
      </w:r>
    </w:p>
    <w:p w14:paraId="690CFE0A" w14:textId="687EFEC5" w:rsidR="000137CB" w:rsidRDefault="000137CB" w:rsidP="000137CB">
      <w:r>
        <w:t xml:space="preserve">If you have any queries about the module, please do not hesitate to ask. The best way to reach me is always by email: </w:t>
      </w:r>
      <w:hyperlink r:id="rId13" w:history="1">
        <w:r w:rsidRPr="00F93D87">
          <w:rPr>
            <w:rStyle w:val="Hyperlink"/>
          </w:rPr>
          <w:t>r.keyse@uwtsd.ac.uk</w:t>
        </w:r>
      </w:hyperlink>
    </w:p>
    <w:p w14:paraId="327ABABF" w14:textId="77777777" w:rsidR="000137CB" w:rsidRDefault="000137CB" w:rsidP="000137CB">
      <w:pPr>
        <w:pStyle w:val="Heading2"/>
      </w:pPr>
      <w:r>
        <w:t>Aims</w:t>
      </w:r>
    </w:p>
    <w:p w14:paraId="55F197A7" w14:textId="69147E9B" w:rsidR="003B17B1" w:rsidRPr="003B17B1" w:rsidRDefault="003B17B1" w:rsidP="00104DF7">
      <w:r>
        <w:t>The module aims to explore the embodied histories of gender, sexualities, and the British Empire, through the lens of violence.</w:t>
      </w:r>
    </w:p>
    <w:p w14:paraId="243DA815" w14:textId="3053B776" w:rsidR="000137CB" w:rsidRDefault="000137CB" w:rsidP="003B17B1">
      <w:pPr>
        <w:pStyle w:val="Heading2"/>
      </w:pPr>
      <w:r>
        <w:t>Learning outcomes</w:t>
      </w:r>
    </w:p>
    <w:p w14:paraId="682D7CD6" w14:textId="56F4AFDB" w:rsidR="00104DF7" w:rsidRDefault="00104DF7" w:rsidP="00104DF7">
      <w:r>
        <w:t>Upon the successful completion of this module, students should be able to:</w:t>
      </w:r>
    </w:p>
    <w:p w14:paraId="413A0023" w14:textId="6E908DB0" w:rsidR="00104DF7" w:rsidRDefault="00104DF7" w:rsidP="0080776D">
      <w:pPr>
        <w:pStyle w:val="ListParagraph"/>
        <w:numPr>
          <w:ilvl w:val="0"/>
          <w:numId w:val="6"/>
        </w:numPr>
      </w:pPr>
      <w:r>
        <w:t>Demonstrate an understanding of key themes in the history of gender and empire</w:t>
      </w:r>
    </w:p>
    <w:p w14:paraId="0B600A05" w14:textId="6BA8CD83" w:rsidR="00104DF7" w:rsidRDefault="00104DF7" w:rsidP="0080776D">
      <w:pPr>
        <w:pStyle w:val="ListParagraph"/>
        <w:numPr>
          <w:ilvl w:val="0"/>
          <w:numId w:val="6"/>
        </w:numPr>
      </w:pPr>
      <w:r>
        <w:t>Reflect on the concept of ‘violence’, considering it in institutional, structural, epistemic, and physical forms</w:t>
      </w:r>
    </w:p>
    <w:p w14:paraId="2EE10AC6" w14:textId="33E20A9E" w:rsidR="004141A7" w:rsidRDefault="004141A7" w:rsidP="0080776D">
      <w:pPr>
        <w:pStyle w:val="ListParagraph"/>
        <w:numPr>
          <w:ilvl w:val="0"/>
          <w:numId w:val="6"/>
        </w:numPr>
      </w:pPr>
      <w:r>
        <w:t>Critically evaluate the concepts of ‘tradition’ and ‘culture’ as they are often applied to communities in the Global South</w:t>
      </w:r>
    </w:p>
    <w:p w14:paraId="72F6CC3B" w14:textId="03771A9E" w:rsidR="004141A7" w:rsidRDefault="004141A7" w:rsidP="0080776D">
      <w:pPr>
        <w:pStyle w:val="ListParagraph"/>
        <w:numPr>
          <w:ilvl w:val="0"/>
          <w:numId w:val="6"/>
        </w:numPr>
      </w:pPr>
      <w:r>
        <w:t>Reflect upon the legacies of imperial gender policies for the world today</w:t>
      </w:r>
    </w:p>
    <w:p w14:paraId="6B660104" w14:textId="334F9A7F" w:rsidR="004141A7" w:rsidRPr="00104DF7" w:rsidRDefault="004141A7" w:rsidP="0080776D">
      <w:pPr>
        <w:pStyle w:val="ListParagraph"/>
        <w:numPr>
          <w:ilvl w:val="0"/>
          <w:numId w:val="6"/>
        </w:numPr>
      </w:pPr>
      <w:r>
        <w:t>Critically analyse primary and secondary sources.</w:t>
      </w:r>
    </w:p>
    <w:p w14:paraId="410C1614" w14:textId="77777777" w:rsidR="001E6B14" w:rsidRDefault="001E6B14">
      <w:pPr>
        <w:rPr>
          <w:rFonts w:asciiTheme="majorHAnsi" w:eastAsiaTheme="majorEastAsia" w:hAnsiTheme="majorHAnsi" w:cstheme="majorBidi"/>
          <w:color w:val="0F4761" w:themeColor="accent1" w:themeShade="BF"/>
          <w:sz w:val="32"/>
          <w:szCs w:val="32"/>
        </w:rPr>
      </w:pPr>
      <w:r>
        <w:br w:type="page"/>
      </w:r>
    </w:p>
    <w:p w14:paraId="632B3623" w14:textId="678DABFE" w:rsidR="000137CB" w:rsidRDefault="000137CB" w:rsidP="000137CB">
      <w:pPr>
        <w:pStyle w:val="Heading2"/>
      </w:pPr>
      <w:r>
        <w:lastRenderedPageBreak/>
        <w:t>Class schedule</w:t>
      </w:r>
    </w:p>
    <w:p w14:paraId="0BC8B62F" w14:textId="0074F3F6" w:rsidR="000137CB" w:rsidRDefault="000137CB" w:rsidP="000137CB">
      <w:r>
        <w:t>The class will take place</w:t>
      </w:r>
      <w:r w:rsidR="00DF6F13">
        <w:t xml:space="preserve"> according to the schedule in the table below. </w:t>
      </w:r>
    </w:p>
    <w:p w14:paraId="5A1590A1" w14:textId="05D629A0" w:rsidR="00DF6F13" w:rsidRPr="00DF6F13" w:rsidRDefault="00DF6F13" w:rsidP="000137CB">
      <w:pPr>
        <w:rPr>
          <w:b/>
          <w:bCs/>
        </w:rPr>
      </w:pP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27"/>
        <w:gridCol w:w="3308"/>
      </w:tblGrid>
      <w:tr w:rsidR="0006336B" w:rsidRPr="003B6D43" w14:paraId="484045C8" w14:textId="77777777" w:rsidTr="0006336B">
        <w:trPr>
          <w:jc w:val="center"/>
        </w:trPr>
        <w:tc>
          <w:tcPr>
            <w:tcW w:w="4227" w:type="dxa"/>
            <w:tcBorders>
              <w:top w:val="outset" w:sz="6" w:space="0" w:color="auto"/>
              <w:left w:val="outset" w:sz="6" w:space="0" w:color="auto"/>
              <w:bottom w:val="outset" w:sz="6" w:space="0" w:color="auto"/>
              <w:right w:val="outset" w:sz="6" w:space="0" w:color="auto"/>
            </w:tcBorders>
          </w:tcPr>
          <w:p w14:paraId="17C4A6EA" w14:textId="3E9A365A" w:rsidR="0006336B" w:rsidRPr="00AB75F5" w:rsidRDefault="0006336B" w:rsidP="00961872">
            <w:pPr>
              <w:spacing w:after="100" w:afterAutospacing="1" w:line="240" w:lineRule="auto"/>
              <w:ind w:left="120" w:right="120"/>
              <w:rPr>
                <w:rFonts w:eastAsia="Times New Roman" w:cs="Segoe UI"/>
                <w:b/>
                <w:bCs/>
                <w:color w:val="000000"/>
                <w:kern w:val="0"/>
                <w14:ligatures w14:val="none"/>
              </w:rPr>
            </w:pPr>
            <w:r>
              <w:rPr>
                <w:rFonts w:eastAsia="Times New Roman" w:cs="Segoe UI"/>
                <w:b/>
                <w:bCs/>
                <w:color w:val="000000"/>
                <w:kern w:val="0"/>
                <w14:ligatures w14:val="none"/>
              </w:rPr>
              <w:t>Session Number</w:t>
            </w:r>
          </w:p>
        </w:tc>
        <w:tc>
          <w:tcPr>
            <w:tcW w:w="3308" w:type="dxa"/>
            <w:tcBorders>
              <w:top w:val="outset" w:sz="6" w:space="0" w:color="auto"/>
              <w:left w:val="outset" w:sz="6" w:space="0" w:color="auto"/>
              <w:bottom w:val="outset" w:sz="6" w:space="0" w:color="auto"/>
              <w:right w:val="outset" w:sz="6" w:space="0" w:color="auto"/>
            </w:tcBorders>
          </w:tcPr>
          <w:p w14:paraId="6E442B5B" w14:textId="1B866D5E" w:rsidR="0006336B" w:rsidRPr="00AB75F5" w:rsidRDefault="0006336B" w:rsidP="00961872">
            <w:pPr>
              <w:spacing w:after="100" w:afterAutospacing="1" w:line="240" w:lineRule="auto"/>
              <w:ind w:left="120" w:right="120"/>
              <w:rPr>
                <w:rFonts w:eastAsia="Times New Roman" w:cs="Segoe UI"/>
                <w:b/>
                <w:bCs/>
                <w:color w:val="000000"/>
                <w:kern w:val="0"/>
                <w14:ligatures w14:val="none"/>
              </w:rPr>
            </w:pPr>
            <w:r>
              <w:rPr>
                <w:rFonts w:eastAsia="Times New Roman" w:cs="Segoe UI"/>
                <w:b/>
                <w:bCs/>
                <w:color w:val="000000"/>
                <w:kern w:val="0"/>
                <w14:ligatures w14:val="none"/>
              </w:rPr>
              <w:t>Topic</w:t>
            </w:r>
          </w:p>
        </w:tc>
      </w:tr>
      <w:tr w:rsidR="0006336B" w:rsidRPr="003B6D43" w14:paraId="67738738" w14:textId="77777777" w:rsidTr="0006336B">
        <w:trPr>
          <w:jc w:val="center"/>
        </w:trPr>
        <w:tc>
          <w:tcPr>
            <w:tcW w:w="4227" w:type="dxa"/>
            <w:tcBorders>
              <w:top w:val="outset" w:sz="6" w:space="0" w:color="auto"/>
              <w:left w:val="outset" w:sz="6" w:space="0" w:color="auto"/>
              <w:bottom w:val="outset" w:sz="6" w:space="0" w:color="auto"/>
              <w:right w:val="outset" w:sz="6" w:space="0" w:color="auto"/>
            </w:tcBorders>
            <w:hideMark/>
          </w:tcPr>
          <w:p w14:paraId="7F243B14" w14:textId="2A5104EC" w:rsidR="0006336B" w:rsidRPr="003B6D43" w:rsidRDefault="0006336B" w:rsidP="00961872">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Session 1</w:t>
            </w:r>
          </w:p>
        </w:tc>
        <w:tc>
          <w:tcPr>
            <w:tcW w:w="3308" w:type="dxa"/>
            <w:tcBorders>
              <w:top w:val="outset" w:sz="6" w:space="0" w:color="auto"/>
              <w:left w:val="outset" w:sz="6" w:space="0" w:color="auto"/>
              <w:bottom w:val="outset" w:sz="6" w:space="0" w:color="auto"/>
              <w:right w:val="outset" w:sz="6" w:space="0" w:color="auto"/>
            </w:tcBorders>
          </w:tcPr>
          <w:p w14:paraId="2BFB6C39" w14:textId="069AA321" w:rsidR="0006336B" w:rsidRPr="003B6D43" w:rsidRDefault="0006336B" w:rsidP="0006336B">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Introduction to the module/Gender History: Theory and Historiography</w:t>
            </w:r>
          </w:p>
        </w:tc>
      </w:tr>
      <w:tr w:rsidR="0006336B" w:rsidRPr="003B6D43" w14:paraId="52765A46" w14:textId="77777777" w:rsidTr="0006336B">
        <w:trPr>
          <w:jc w:val="center"/>
        </w:trPr>
        <w:tc>
          <w:tcPr>
            <w:tcW w:w="4227" w:type="dxa"/>
            <w:tcBorders>
              <w:top w:val="outset" w:sz="6" w:space="0" w:color="auto"/>
              <w:left w:val="outset" w:sz="6" w:space="0" w:color="auto"/>
              <w:bottom w:val="outset" w:sz="6" w:space="0" w:color="auto"/>
              <w:right w:val="outset" w:sz="6" w:space="0" w:color="auto"/>
            </w:tcBorders>
            <w:hideMark/>
          </w:tcPr>
          <w:p w14:paraId="58A127C0" w14:textId="47A1E82A" w:rsidR="0006336B" w:rsidRPr="003B6D43" w:rsidRDefault="0006336B" w:rsidP="00961872">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Session 2</w:t>
            </w:r>
          </w:p>
        </w:tc>
        <w:tc>
          <w:tcPr>
            <w:tcW w:w="3308" w:type="dxa"/>
            <w:tcBorders>
              <w:top w:val="outset" w:sz="6" w:space="0" w:color="auto"/>
              <w:left w:val="outset" w:sz="6" w:space="0" w:color="auto"/>
              <w:bottom w:val="outset" w:sz="6" w:space="0" w:color="auto"/>
              <w:right w:val="outset" w:sz="6" w:space="0" w:color="auto"/>
            </w:tcBorders>
          </w:tcPr>
          <w:p w14:paraId="397ED9CD" w14:textId="0BC6A56D" w:rsidR="0006336B" w:rsidRPr="003B6D43" w:rsidRDefault="0006336B" w:rsidP="0006336B">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Gender and Empire</w:t>
            </w:r>
          </w:p>
        </w:tc>
      </w:tr>
      <w:tr w:rsidR="0006336B" w:rsidRPr="003B6D43" w14:paraId="7BB6E058" w14:textId="77777777" w:rsidTr="0006336B">
        <w:trPr>
          <w:jc w:val="center"/>
        </w:trPr>
        <w:tc>
          <w:tcPr>
            <w:tcW w:w="4227" w:type="dxa"/>
            <w:tcBorders>
              <w:top w:val="outset" w:sz="6" w:space="0" w:color="auto"/>
              <w:left w:val="outset" w:sz="6" w:space="0" w:color="auto"/>
              <w:bottom w:val="outset" w:sz="6" w:space="0" w:color="auto"/>
              <w:right w:val="outset" w:sz="6" w:space="0" w:color="auto"/>
            </w:tcBorders>
            <w:hideMark/>
          </w:tcPr>
          <w:p w14:paraId="2FE5C1B6" w14:textId="32C2E1C7" w:rsidR="0006336B" w:rsidRDefault="0006336B" w:rsidP="00961872">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Session 3</w:t>
            </w:r>
          </w:p>
          <w:p w14:paraId="1C453CE2" w14:textId="6BA4E6CE" w:rsidR="0006336B" w:rsidRPr="00962422" w:rsidRDefault="0006336B" w:rsidP="002D61D6">
            <w:pPr>
              <w:spacing w:after="100" w:afterAutospacing="1" w:line="240" w:lineRule="auto"/>
              <w:ind w:right="120"/>
              <w:rPr>
                <w:rFonts w:eastAsia="Times New Roman" w:cs="Segoe UI"/>
                <w:color w:val="000000"/>
                <w:kern w:val="0"/>
                <w14:ligatures w14:val="none"/>
              </w:rPr>
            </w:pPr>
          </w:p>
        </w:tc>
        <w:tc>
          <w:tcPr>
            <w:tcW w:w="3308" w:type="dxa"/>
            <w:tcBorders>
              <w:top w:val="outset" w:sz="6" w:space="0" w:color="auto"/>
              <w:left w:val="outset" w:sz="6" w:space="0" w:color="auto"/>
              <w:bottom w:val="outset" w:sz="6" w:space="0" w:color="auto"/>
              <w:right w:val="outset" w:sz="6" w:space="0" w:color="auto"/>
            </w:tcBorders>
          </w:tcPr>
          <w:p w14:paraId="273D74CF" w14:textId="01466934" w:rsidR="0006336B" w:rsidRPr="003B6D43" w:rsidRDefault="0006336B" w:rsidP="0006336B">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Violence and Empire</w:t>
            </w:r>
          </w:p>
        </w:tc>
      </w:tr>
      <w:tr w:rsidR="0006336B" w:rsidRPr="003B6D43" w14:paraId="0A97B5E9" w14:textId="77777777" w:rsidTr="0006336B">
        <w:trPr>
          <w:jc w:val="center"/>
        </w:trPr>
        <w:tc>
          <w:tcPr>
            <w:tcW w:w="4227" w:type="dxa"/>
            <w:tcBorders>
              <w:top w:val="outset" w:sz="6" w:space="0" w:color="auto"/>
              <w:left w:val="outset" w:sz="6" w:space="0" w:color="auto"/>
              <w:bottom w:val="outset" w:sz="6" w:space="0" w:color="auto"/>
              <w:right w:val="outset" w:sz="6" w:space="0" w:color="auto"/>
            </w:tcBorders>
            <w:hideMark/>
          </w:tcPr>
          <w:p w14:paraId="1AE0CE6D" w14:textId="5093DF71" w:rsidR="0006336B" w:rsidRPr="00962422" w:rsidRDefault="0006336B" w:rsidP="00AE0E75">
            <w:r>
              <w:t xml:space="preserve">  Session 4</w:t>
            </w:r>
          </w:p>
        </w:tc>
        <w:tc>
          <w:tcPr>
            <w:tcW w:w="3308" w:type="dxa"/>
            <w:tcBorders>
              <w:top w:val="outset" w:sz="6" w:space="0" w:color="auto"/>
              <w:left w:val="outset" w:sz="6" w:space="0" w:color="auto"/>
              <w:bottom w:val="outset" w:sz="6" w:space="0" w:color="auto"/>
              <w:right w:val="outset" w:sz="6" w:space="0" w:color="auto"/>
            </w:tcBorders>
          </w:tcPr>
          <w:p w14:paraId="3D5BECC9" w14:textId="47756C9E" w:rsidR="0006336B" w:rsidRPr="003B6D43" w:rsidRDefault="0006336B" w:rsidP="0006336B">
            <w:pPr>
              <w:spacing w:after="100" w:afterAutospacing="1" w:line="240" w:lineRule="auto"/>
              <w:ind w:left="120" w:right="120"/>
              <w:rPr>
                <w:rFonts w:eastAsia="Times New Roman" w:cs="Segoe UI"/>
                <w:color w:val="000000"/>
                <w:kern w:val="0"/>
                <w14:ligatures w14:val="none"/>
              </w:rPr>
            </w:pPr>
            <w:r>
              <w:t xml:space="preserve">Liberal Humanitarianism and the Prohibition of </w:t>
            </w:r>
            <w:r>
              <w:rPr>
                <w:i/>
                <w:iCs/>
              </w:rPr>
              <w:t>Sati</w:t>
            </w:r>
          </w:p>
        </w:tc>
      </w:tr>
      <w:tr w:rsidR="0006336B" w:rsidRPr="003B6D43" w14:paraId="5642216B" w14:textId="77777777" w:rsidTr="0006336B">
        <w:trPr>
          <w:jc w:val="center"/>
        </w:trPr>
        <w:tc>
          <w:tcPr>
            <w:tcW w:w="4227" w:type="dxa"/>
            <w:tcBorders>
              <w:top w:val="outset" w:sz="6" w:space="0" w:color="auto"/>
              <w:left w:val="outset" w:sz="6" w:space="0" w:color="auto"/>
              <w:bottom w:val="outset" w:sz="6" w:space="0" w:color="auto"/>
              <w:right w:val="outset" w:sz="6" w:space="0" w:color="auto"/>
            </w:tcBorders>
            <w:hideMark/>
          </w:tcPr>
          <w:p w14:paraId="6B75C413" w14:textId="75886F64" w:rsidR="0006336B" w:rsidRPr="003B6D43" w:rsidRDefault="0006336B" w:rsidP="00961872">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Session 5</w:t>
            </w:r>
          </w:p>
        </w:tc>
        <w:tc>
          <w:tcPr>
            <w:tcW w:w="3308" w:type="dxa"/>
            <w:tcBorders>
              <w:top w:val="outset" w:sz="6" w:space="0" w:color="auto"/>
              <w:left w:val="outset" w:sz="6" w:space="0" w:color="auto"/>
              <w:bottom w:val="outset" w:sz="6" w:space="0" w:color="auto"/>
              <w:right w:val="outset" w:sz="6" w:space="0" w:color="auto"/>
            </w:tcBorders>
          </w:tcPr>
          <w:p w14:paraId="1FF006D0" w14:textId="5329B2A6" w:rsidR="0006336B" w:rsidRPr="003B6D43" w:rsidRDefault="0006336B" w:rsidP="0006336B">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Missionary Encounters and Domesticity</w:t>
            </w:r>
          </w:p>
        </w:tc>
      </w:tr>
      <w:tr w:rsidR="0006336B" w:rsidRPr="003B6D43" w14:paraId="40A4CE3B" w14:textId="77777777" w:rsidTr="0006336B">
        <w:trPr>
          <w:jc w:val="center"/>
        </w:trPr>
        <w:tc>
          <w:tcPr>
            <w:tcW w:w="4227" w:type="dxa"/>
            <w:tcBorders>
              <w:top w:val="outset" w:sz="6" w:space="0" w:color="auto"/>
              <w:left w:val="outset" w:sz="6" w:space="0" w:color="auto"/>
              <w:bottom w:val="outset" w:sz="6" w:space="0" w:color="auto"/>
              <w:right w:val="outset" w:sz="6" w:space="0" w:color="auto"/>
            </w:tcBorders>
            <w:hideMark/>
          </w:tcPr>
          <w:p w14:paraId="6A97ADFC" w14:textId="23432DBE" w:rsidR="0006336B" w:rsidRPr="00962422" w:rsidRDefault="0006336B" w:rsidP="00961872">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Session</w:t>
            </w:r>
            <w:r w:rsidRPr="00962422">
              <w:rPr>
                <w:rFonts w:eastAsia="Times New Roman" w:cs="Segoe UI"/>
                <w:color w:val="000000"/>
                <w:kern w:val="0"/>
                <w14:ligatures w14:val="none"/>
              </w:rPr>
              <w:t xml:space="preserve"> 6</w:t>
            </w:r>
          </w:p>
        </w:tc>
        <w:tc>
          <w:tcPr>
            <w:tcW w:w="3308" w:type="dxa"/>
            <w:tcBorders>
              <w:top w:val="outset" w:sz="6" w:space="0" w:color="auto"/>
              <w:left w:val="outset" w:sz="6" w:space="0" w:color="auto"/>
              <w:bottom w:val="outset" w:sz="6" w:space="0" w:color="auto"/>
              <w:right w:val="outset" w:sz="6" w:space="0" w:color="auto"/>
            </w:tcBorders>
          </w:tcPr>
          <w:p w14:paraId="57FA83F2" w14:textId="037C0D11" w:rsidR="0006336B" w:rsidRPr="00962422" w:rsidRDefault="0006336B" w:rsidP="0006336B">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Imperial Feminisms</w:t>
            </w:r>
          </w:p>
        </w:tc>
      </w:tr>
      <w:tr w:rsidR="0006336B" w:rsidRPr="003B6D43" w14:paraId="2E93E3DF" w14:textId="77777777" w:rsidTr="0006336B">
        <w:trPr>
          <w:jc w:val="center"/>
        </w:trPr>
        <w:tc>
          <w:tcPr>
            <w:tcW w:w="4227" w:type="dxa"/>
            <w:tcBorders>
              <w:top w:val="outset" w:sz="6" w:space="0" w:color="auto"/>
              <w:left w:val="outset" w:sz="6" w:space="0" w:color="auto"/>
              <w:bottom w:val="outset" w:sz="6" w:space="0" w:color="auto"/>
              <w:right w:val="outset" w:sz="6" w:space="0" w:color="auto"/>
            </w:tcBorders>
            <w:hideMark/>
          </w:tcPr>
          <w:p w14:paraId="2F091050" w14:textId="7042BCC8" w:rsidR="0006336B" w:rsidRPr="003B6D43" w:rsidRDefault="0006336B" w:rsidP="00B559E5">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Session</w:t>
            </w:r>
            <w:r w:rsidRPr="000137CB">
              <w:rPr>
                <w:rFonts w:eastAsia="Times New Roman" w:cs="Segoe UI"/>
                <w:color w:val="000000"/>
                <w:kern w:val="0"/>
                <w14:ligatures w14:val="none"/>
              </w:rPr>
              <w:t xml:space="preserve"> 7</w:t>
            </w:r>
          </w:p>
        </w:tc>
        <w:tc>
          <w:tcPr>
            <w:tcW w:w="3308" w:type="dxa"/>
            <w:tcBorders>
              <w:top w:val="outset" w:sz="6" w:space="0" w:color="auto"/>
              <w:left w:val="outset" w:sz="6" w:space="0" w:color="auto"/>
              <w:bottom w:val="outset" w:sz="6" w:space="0" w:color="auto"/>
              <w:right w:val="outset" w:sz="6" w:space="0" w:color="auto"/>
            </w:tcBorders>
          </w:tcPr>
          <w:p w14:paraId="09C390BA" w14:textId="6D14A357" w:rsidR="0006336B" w:rsidRPr="003B6D43" w:rsidRDefault="0006336B" w:rsidP="0006336B">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Sexualities I: Constructing Racial Boundaries</w:t>
            </w:r>
          </w:p>
        </w:tc>
      </w:tr>
      <w:tr w:rsidR="0006336B" w:rsidRPr="00C145E9" w14:paraId="77D3C0A0" w14:textId="77777777" w:rsidTr="0006336B">
        <w:trPr>
          <w:jc w:val="center"/>
        </w:trPr>
        <w:tc>
          <w:tcPr>
            <w:tcW w:w="4227" w:type="dxa"/>
            <w:tcBorders>
              <w:top w:val="outset" w:sz="6" w:space="0" w:color="auto"/>
              <w:left w:val="outset" w:sz="6" w:space="0" w:color="auto"/>
              <w:bottom w:val="outset" w:sz="6" w:space="0" w:color="auto"/>
              <w:right w:val="outset" w:sz="6" w:space="0" w:color="auto"/>
            </w:tcBorders>
            <w:hideMark/>
          </w:tcPr>
          <w:p w14:paraId="758C3A17" w14:textId="071ABBB2" w:rsidR="0006336B" w:rsidRPr="00B559E5" w:rsidRDefault="0006336B" w:rsidP="00961872">
            <w:pPr>
              <w:spacing w:after="100" w:afterAutospacing="1" w:line="240" w:lineRule="auto"/>
              <w:ind w:left="120" w:right="120"/>
              <w:rPr>
                <w:rFonts w:eastAsia="Times New Roman" w:cs="Segoe UI"/>
                <w:b/>
                <w:bCs/>
                <w:color w:val="000000"/>
                <w:kern w:val="0"/>
                <w:lang w:val="fr-FR"/>
                <w14:ligatures w14:val="none"/>
              </w:rPr>
            </w:pPr>
            <w:r w:rsidRPr="00B559E5">
              <w:rPr>
                <w:rFonts w:eastAsia="Times New Roman" w:cs="Segoe UI"/>
                <w:color w:val="000000"/>
                <w:kern w:val="0"/>
                <w:lang w:val="fr-FR"/>
                <w14:ligatures w14:val="none"/>
              </w:rPr>
              <w:t>Session 8</w:t>
            </w:r>
          </w:p>
        </w:tc>
        <w:tc>
          <w:tcPr>
            <w:tcW w:w="3308" w:type="dxa"/>
            <w:tcBorders>
              <w:top w:val="outset" w:sz="6" w:space="0" w:color="auto"/>
              <w:left w:val="outset" w:sz="6" w:space="0" w:color="auto"/>
              <w:bottom w:val="outset" w:sz="6" w:space="0" w:color="auto"/>
              <w:right w:val="outset" w:sz="6" w:space="0" w:color="auto"/>
            </w:tcBorders>
          </w:tcPr>
          <w:p w14:paraId="1F9D7D11" w14:textId="76995BE5" w:rsidR="0006336B" w:rsidRPr="00BC4BD3" w:rsidRDefault="0006336B" w:rsidP="0006336B">
            <w:pPr>
              <w:spacing w:after="100" w:afterAutospacing="1" w:line="240" w:lineRule="auto"/>
              <w:ind w:left="120" w:right="120"/>
              <w:rPr>
                <w:rFonts w:eastAsia="Times New Roman" w:cs="Segoe UI"/>
                <w:color w:val="000000"/>
                <w:kern w:val="0"/>
                <w:lang w:val="fr-FR"/>
                <w14:ligatures w14:val="none"/>
              </w:rPr>
            </w:pPr>
            <w:proofErr w:type="spellStart"/>
            <w:r w:rsidRPr="00B559E5">
              <w:rPr>
                <w:rFonts w:eastAsia="Times New Roman" w:cs="Segoe UI"/>
                <w:color w:val="000000"/>
                <w:kern w:val="0"/>
                <w:lang w:val="fr-FR"/>
                <w14:ligatures w14:val="none"/>
              </w:rPr>
              <w:t>Sexualities</w:t>
            </w:r>
            <w:proofErr w:type="spellEnd"/>
            <w:r w:rsidRPr="00B559E5">
              <w:rPr>
                <w:rFonts w:eastAsia="Times New Roman" w:cs="Segoe UI"/>
                <w:color w:val="000000"/>
                <w:kern w:val="0"/>
                <w:lang w:val="fr-FR"/>
                <w14:ligatures w14:val="none"/>
              </w:rPr>
              <w:t xml:space="preserve"> </w:t>
            </w:r>
            <w:proofErr w:type="gramStart"/>
            <w:r w:rsidRPr="00B559E5">
              <w:rPr>
                <w:rFonts w:eastAsia="Times New Roman" w:cs="Segoe UI"/>
                <w:color w:val="000000"/>
                <w:kern w:val="0"/>
                <w:lang w:val="fr-FR"/>
                <w14:ligatures w14:val="none"/>
              </w:rPr>
              <w:t>II:</w:t>
            </w:r>
            <w:proofErr w:type="gramEnd"/>
            <w:r w:rsidRPr="00B559E5">
              <w:rPr>
                <w:rFonts w:eastAsia="Times New Roman" w:cs="Segoe UI"/>
                <w:color w:val="000000"/>
                <w:kern w:val="0"/>
                <w:lang w:val="fr-FR"/>
                <w14:ligatures w14:val="none"/>
              </w:rPr>
              <w:t xml:space="preserve"> </w:t>
            </w:r>
            <w:proofErr w:type="spellStart"/>
            <w:r w:rsidRPr="00B559E5">
              <w:rPr>
                <w:rFonts w:eastAsia="Times New Roman" w:cs="Segoe UI"/>
                <w:color w:val="000000"/>
                <w:kern w:val="0"/>
                <w:lang w:val="fr-FR"/>
                <w14:ligatures w14:val="none"/>
              </w:rPr>
              <w:t>Regulating</w:t>
            </w:r>
            <w:proofErr w:type="spellEnd"/>
            <w:r w:rsidRPr="00B559E5">
              <w:rPr>
                <w:rFonts w:eastAsia="Times New Roman" w:cs="Segoe UI"/>
                <w:color w:val="000000"/>
                <w:kern w:val="0"/>
                <w:lang w:val="fr-FR"/>
                <w14:ligatures w14:val="none"/>
              </w:rPr>
              <w:t xml:space="preserve"> ‘</w:t>
            </w:r>
            <w:proofErr w:type="spellStart"/>
            <w:r w:rsidRPr="00B559E5">
              <w:rPr>
                <w:rFonts w:eastAsia="Times New Roman" w:cs="Segoe UI"/>
                <w:color w:val="000000"/>
                <w:kern w:val="0"/>
                <w:lang w:val="fr-FR"/>
                <w14:ligatures w14:val="none"/>
              </w:rPr>
              <w:t>De</w:t>
            </w:r>
            <w:r>
              <w:rPr>
                <w:rFonts w:eastAsia="Times New Roman" w:cs="Segoe UI"/>
                <w:color w:val="000000"/>
                <w:kern w:val="0"/>
                <w:lang w:val="fr-FR"/>
                <w14:ligatures w14:val="none"/>
              </w:rPr>
              <w:t>viant</w:t>
            </w:r>
            <w:proofErr w:type="spellEnd"/>
            <w:r>
              <w:rPr>
                <w:rFonts w:eastAsia="Times New Roman" w:cs="Segoe UI"/>
                <w:color w:val="000000"/>
                <w:kern w:val="0"/>
                <w:lang w:val="fr-FR"/>
                <w14:ligatures w14:val="none"/>
              </w:rPr>
              <w:t xml:space="preserve">’ </w:t>
            </w:r>
            <w:proofErr w:type="spellStart"/>
            <w:r>
              <w:rPr>
                <w:rFonts w:eastAsia="Times New Roman" w:cs="Segoe UI"/>
                <w:color w:val="000000"/>
                <w:kern w:val="0"/>
                <w:lang w:val="fr-FR"/>
                <w14:ligatures w14:val="none"/>
              </w:rPr>
              <w:t>Sexualities</w:t>
            </w:r>
            <w:proofErr w:type="spellEnd"/>
          </w:p>
        </w:tc>
      </w:tr>
      <w:tr w:rsidR="0006336B" w:rsidRPr="00962422" w14:paraId="52F639E6" w14:textId="77777777" w:rsidTr="0006336B">
        <w:trPr>
          <w:jc w:val="center"/>
        </w:trPr>
        <w:tc>
          <w:tcPr>
            <w:tcW w:w="4227" w:type="dxa"/>
            <w:tcBorders>
              <w:top w:val="outset" w:sz="6" w:space="0" w:color="auto"/>
              <w:left w:val="outset" w:sz="6" w:space="0" w:color="auto"/>
              <w:bottom w:val="outset" w:sz="6" w:space="0" w:color="auto"/>
              <w:right w:val="outset" w:sz="6" w:space="0" w:color="auto"/>
            </w:tcBorders>
          </w:tcPr>
          <w:p w14:paraId="1E24A029" w14:textId="243B4168" w:rsidR="0006336B" w:rsidRPr="0006336B" w:rsidRDefault="0006336B" w:rsidP="00961872">
            <w:pPr>
              <w:spacing w:after="100" w:afterAutospacing="1" w:line="240" w:lineRule="auto"/>
              <w:ind w:left="120" w:right="120"/>
              <w:rPr>
                <w:rFonts w:eastAsia="Times New Roman" w:cs="Segoe UI"/>
                <w:color w:val="000000"/>
                <w:kern w:val="0"/>
                <w14:ligatures w14:val="none"/>
              </w:rPr>
            </w:pPr>
            <w:r w:rsidRPr="0006336B">
              <w:rPr>
                <w:rFonts w:eastAsia="Times New Roman" w:cs="Segoe UI"/>
                <w:color w:val="000000"/>
                <w:kern w:val="0"/>
                <w14:ligatures w14:val="none"/>
              </w:rPr>
              <w:t>Session 9</w:t>
            </w:r>
          </w:p>
        </w:tc>
        <w:tc>
          <w:tcPr>
            <w:tcW w:w="3308" w:type="dxa"/>
            <w:tcBorders>
              <w:top w:val="outset" w:sz="6" w:space="0" w:color="auto"/>
              <w:left w:val="outset" w:sz="6" w:space="0" w:color="auto"/>
              <w:bottom w:val="outset" w:sz="6" w:space="0" w:color="auto"/>
              <w:right w:val="outset" w:sz="6" w:space="0" w:color="auto"/>
            </w:tcBorders>
          </w:tcPr>
          <w:p w14:paraId="7E20FF7C" w14:textId="4E9D8477" w:rsidR="0006336B" w:rsidRPr="00F87D64" w:rsidRDefault="0006336B" w:rsidP="0006336B">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Gender and anti-colonial struggles</w:t>
            </w:r>
          </w:p>
        </w:tc>
      </w:tr>
      <w:tr w:rsidR="0006336B" w:rsidRPr="00962422" w14:paraId="378A7F70" w14:textId="77777777" w:rsidTr="0006336B">
        <w:trPr>
          <w:jc w:val="center"/>
        </w:trPr>
        <w:tc>
          <w:tcPr>
            <w:tcW w:w="4227" w:type="dxa"/>
            <w:tcBorders>
              <w:top w:val="outset" w:sz="6" w:space="0" w:color="auto"/>
              <w:left w:val="outset" w:sz="6" w:space="0" w:color="auto"/>
              <w:bottom w:val="outset" w:sz="6" w:space="0" w:color="auto"/>
              <w:right w:val="outset" w:sz="6" w:space="0" w:color="auto"/>
            </w:tcBorders>
          </w:tcPr>
          <w:p w14:paraId="6483A333" w14:textId="07AAA94B" w:rsidR="0006336B" w:rsidRPr="00962422" w:rsidRDefault="0006336B" w:rsidP="001D4644">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Session</w:t>
            </w:r>
            <w:r w:rsidRPr="00962422">
              <w:rPr>
                <w:rFonts w:eastAsia="Times New Roman" w:cs="Segoe UI"/>
                <w:color w:val="000000"/>
                <w:kern w:val="0"/>
                <w14:ligatures w14:val="none"/>
              </w:rPr>
              <w:t xml:space="preserve"> </w:t>
            </w:r>
            <w:r>
              <w:rPr>
                <w:rFonts w:eastAsia="Times New Roman" w:cs="Segoe UI"/>
                <w:color w:val="000000"/>
                <w:kern w:val="0"/>
                <w14:ligatures w14:val="none"/>
              </w:rPr>
              <w:t>10</w:t>
            </w:r>
            <w:r w:rsidR="00BB23CB">
              <w:rPr>
                <w:rFonts w:eastAsia="Times New Roman" w:cs="Segoe UI"/>
                <w:color w:val="000000"/>
                <w:kern w:val="0"/>
                <w14:ligatures w14:val="none"/>
              </w:rPr>
              <w:t xml:space="preserve"> </w:t>
            </w:r>
          </w:p>
        </w:tc>
        <w:tc>
          <w:tcPr>
            <w:tcW w:w="3308" w:type="dxa"/>
            <w:tcBorders>
              <w:top w:val="outset" w:sz="6" w:space="0" w:color="auto"/>
              <w:left w:val="outset" w:sz="6" w:space="0" w:color="auto"/>
              <w:bottom w:val="outset" w:sz="6" w:space="0" w:color="auto"/>
              <w:right w:val="outset" w:sz="6" w:space="0" w:color="auto"/>
            </w:tcBorders>
          </w:tcPr>
          <w:p w14:paraId="2918CD58" w14:textId="392D66E2" w:rsidR="0006336B" w:rsidRPr="00962422" w:rsidRDefault="00BB23CB" w:rsidP="0006336B">
            <w:pPr>
              <w:spacing w:after="100" w:afterAutospacing="1" w:line="240" w:lineRule="auto"/>
              <w:ind w:left="120" w:right="120"/>
              <w:rPr>
                <w:rFonts w:eastAsia="Times New Roman" w:cs="Segoe UI"/>
                <w:color w:val="000000"/>
                <w:kern w:val="0"/>
                <w14:ligatures w14:val="none"/>
              </w:rPr>
            </w:pPr>
            <w:r>
              <w:t>Girl power’ and the limits of contemporary liberal humanitarianism</w:t>
            </w:r>
          </w:p>
        </w:tc>
      </w:tr>
    </w:tbl>
    <w:p w14:paraId="27986949" w14:textId="77777777" w:rsidR="00ED54B7" w:rsidRDefault="00ED54B7" w:rsidP="000137CB"/>
    <w:p w14:paraId="57CDA166" w14:textId="77777777" w:rsidR="000137CB" w:rsidRDefault="000137CB" w:rsidP="000137CB">
      <w:r>
        <w:t>If for any reason you are unable to attend a class, please advise me by email, ideally well in advance. Absences without notice will be marked as unauthorised, and attendance records are submitted to the Faculty Office.</w:t>
      </w:r>
    </w:p>
    <w:p w14:paraId="06B5B40E" w14:textId="77777777" w:rsidR="000137CB" w:rsidRDefault="000137CB" w:rsidP="000137CB">
      <w:pPr>
        <w:pStyle w:val="Heading2"/>
      </w:pPr>
      <w:r>
        <w:t>Preparing for class</w:t>
      </w:r>
    </w:p>
    <w:p w14:paraId="56536D43" w14:textId="51ECF927" w:rsidR="000137CB" w:rsidRDefault="000137CB" w:rsidP="00E972E3">
      <w:r>
        <w:t>You are expected to engage with the</w:t>
      </w:r>
      <w:r w:rsidR="00242DA1">
        <w:t xml:space="preserve"> key</w:t>
      </w:r>
      <w:r>
        <w:t xml:space="preserve"> reading set for each class. Please be aware that the listed contact (in-class) hours are only a small amount of the time you are expected to be working on this module. This means reading, preparing for class, and working on your assignments. The set reading for each class is listed on Moodle. Please bring notes on your reading to class, focusing on the questions raised by what you’ve read, and the arguments set forth in the work, as you will be expected to draw upon your reading in class exercises. I hope that you will find the set material stimulating. A fuller reading list is provided at the end of this handbook, to help you to research your assignments. The reading lists are not exhaustive and you are encouraged to research supplementary materials for your assignments.</w:t>
      </w:r>
    </w:p>
    <w:p w14:paraId="5993899E" w14:textId="77777777" w:rsidR="000137CB" w:rsidRDefault="000137CB" w:rsidP="000137CB">
      <w:pPr>
        <w:pStyle w:val="Heading2"/>
      </w:pPr>
      <w:proofErr w:type="spellStart"/>
      <w:r>
        <w:lastRenderedPageBreak/>
        <w:t>Asssessment</w:t>
      </w:r>
      <w:proofErr w:type="spellEnd"/>
      <w:r>
        <w:t xml:space="preserve"> for this module</w:t>
      </w:r>
    </w:p>
    <w:p w14:paraId="169C8EC4" w14:textId="649E9738" w:rsidR="008D1AA4" w:rsidRDefault="008D1AA4" w:rsidP="008D1AA4">
      <w:r>
        <w:t xml:space="preserve">This </w:t>
      </w:r>
      <w:r w:rsidR="00691C47">
        <w:t>module</w:t>
      </w:r>
      <w:r w:rsidR="00BE3A64">
        <w:t xml:space="preserve"> will be assessed through a two-part portfolio (50%) and an essay (50%).</w:t>
      </w:r>
      <w:r w:rsidR="00F33BEA">
        <w:t xml:space="preserve"> You can choose to complete </w:t>
      </w:r>
      <w:proofErr w:type="gramStart"/>
      <w:r w:rsidR="00F33BEA">
        <w:t>all of</w:t>
      </w:r>
      <w:proofErr w:type="gramEnd"/>
      <w:r w:rsidR="00F33BEA">
        <w:t xml:space="preserve"> the assignments on the same </w:t>
      </w:r>
      <w:proofErr w:type="gramStart"/>
      <w:r w:rsidR="00F33BEA">
        <w:t>topic, or</w:t>
      </w:r>
      <w:proofErr w:type="gramEnd"/>
      <w:r w:rsidR="00F33BEA">
        <w:t xml:space="preserve"> choose from different topics across the module. If you choose to complete all assignments on the same topic, please note that you will need to avoid self-plagiarism and cannot re-submit the same work for different assignments.</w:t>
      </w:r>
    </w:p>
    <w:p w14:paraId="44BB54FB" w14:textId="008A6BAE" w:rsidR="00BE3A64" w:rsidRDefault="00BE3A64" w:rsidP="00BE3A64">
      <w:pPr>
        <w:pStyle w:val="Heading3"/>
      </w:pPr>
      <w:r>
        <w:t>Portfolio (2500 words total, 50% of module grade)</w:t>
      </w:r>
    </w:p>
    <w:p w14:paraId="273B36D8" w14:textId="5D2BBCB9" w:rsidR="00BE3A64" w:rsidRDefault="00BE3A64" w:rsidP="00BE3A64">
      <w:r>
        <w:t>The portfolio is made up of two parts, a secondary literature review and a</w:t>
      </w:r>
      <w:r w:rsidR="008A7C26">
        <w:t xml:space="preserve"> primary source analysis.</w:t>
      </w:r>
    </w:p>
    <w:p w14:paraId="0024E39A" w14:textId="53CAA75F" w:rsidR="006121D1" w:rsidRDefault="006121D1" w:rsidP="006121D1">
      <w:pPr>
        <w:pStyle w:val="Heading4"/>
        <w:rPr>
          <w:i w:val="0"/>
          <w:iCs w:val="0"/>
        </w:rPr>
      </w:pPr>
      <w:r>
        <w:t>Part 1: Secondary literature review (1000 words</w:t>
      </w:r>
      <w:r w:rsidR="00F33BEA">
        <w:t>/40% of portfolio</w:t>
      </w:r>
      <w:r>
        <w:t xml:space="preserve">) </w:t>
      </w:r>
      <w:r>
        <w:rPr>
          <w:i w:val="0"/>
          <w:iCs w:val="0"/>
        </w:rPr>
        <w:t>– due Sunday 1</w:t>
      </w:r>
      <w:r w:rsidR="00BB23CB">
        <w:rPr>
          <w:i w:val="0"/>
          <w:iCs w:val="0"/>
        </w:rPr>
        <w:t>5</w:t>
      </w:r>
      <w:r>
        <w:rPr>
          <w:i w:val="0"/>
          <w:iCs w:val="0"/>
        </w:rPr>
        <w:t xml:space="preserve"> </w:t>
      </w:r>
      <w:r w:rsidR="00BB23CB">
        <w:rPr>
          <w:i w:val="0"/>
          <w:iCs w:val="0"/>
        </w:rPr>
        <w:t>March</w:t>
      </w:r>
      <w:r>
        <w:rPr>
          <w:i w:val="0"/>
          <w:iCs w:val="0"/>
        </w:rPr>
        <w:t xml:space="preserve"> 202</w:t>
      </w:r>
      <w:r w:rsidR="00BB23CB">
        <w:rPr>
          <w:i w:val="0"/>
          <w:iCs w:val="0"/>
        </w:rPr>
        <w:t>6</w:t>
      </w:r>
      <w:r>
        <w:rPr>
          <w:i w:val="0"/>
          <w:iCs w:val="0"/>
        </w:rPr>
        <w:t xml:space="preserve"> at 23:59 PM.</w:t>
      </w:r>
    </w:p>
    <w:p w14:paraId="715D85D7" w14:textId="35AEBF52" w:rsidR="00691C47" w:rsidRPr="00691C47" w:rsidRDefault="00691C47" w:rsidP="00691C47">
      <w:r w:rsidRPr="00691C47">
        <w:t>Choosing from the module reading list, or identifying your own</w:t>
      </w:r>
      <w:r w:rsidR="00F33BEA">
        <w:t xml:space="preserve"> item</w:t>
      </w:r>
      <w:r w:rsidRPr="00691C47">
        <w:t xml:space="preserve">, write a </w:t>
      </w:r>
      <w:proofErr w:type="gramStart"/>
      <w:r w:rsidR="00BB23CB">
        <w:t>1000 word</w:t>
      </w:r>
      <w:proofErr w:type="gramEnd"/>
      <w:r w:rsidR="00BB23CB">
        <w:t xml:space="preserve"> </w:t>
      </w:r>
      <w:r w:rsidRPr="00691C47">
        <w:t xml:space="preserve">review of </w:t>
      </w:r>
      <w:r w:rsidR="00F33BEA">
        <w:rPr>
          <w:b/>
          <w:bCs/>
        </w:rPr>
        <w:t>one</w:t>
      </w:r>
      <w:r w:rsidRPr="00691C47">
        <w:t xml:space="preserve"> piece of scholarly literature (an academic book, journal article, or a chapter from an edited collection).  </w:t>
      </w:r>
    </w:p>
    <w:p w14:paraId="2BE481D1" w14:textId="77777777" w:rsidR="00691C47" w:rsidRPr="00691C47" w:rsidRDefault="00691C47" w:rsidP="00691C47">
      <w:r w:rsidRPr="00691C47">
        <w:t>Your review should address: </w:t>
      </w:r>
    </w:p>
    <w:p w14:paraId="7854FA60" w14:textId="77777777" w:rsidR="00691C47" w:rsidRPr="00691C47" w:rsidRDefault="00691C47" w:rsidP="0080776D">
      <w:pPr>
        <w:numPr>
          <w:ilvl w:val="0"/>
          <w:numId w:val="10"/>
        </w:numPr>
      </w:pPr>
      <w:r w:rsidRPr="00691C47">
        <w:t>The main argument(s) of the text. </w:t>
      </w:r>
    </w:p>
    <w:p w14:paraId="6F1631B4" w14:textId="77777777" w:rsidR="00691C47" w:rsidRPr="00691C47" w:rsidRDefault="00691C47" w:rsidP="0080776D">
      <w:pPr>
        <w:numPr>
          <w:ilvl w:val="0"/>
          <w:numId w:val="11"/>
        </w:numPr>
      </w:pPr>
      <w:r w:rsidRPr="00691C47">
        <w:t>The author: What is their area of expertise?  </w:t>
      </w:r>
    </w:p>
    <w:p w14:paraId="417DB7E8" w14:textId="77777777" w:rsidR="00691C47" w:rsidRPr="00691C47" w:rsidRDefault="00691C47" w:rsidP="0080776D">
      <w:pPr>
        <w:numPr>
          <w:ilvl w:val="0"/>
          <w:numId w:val="12"/>
        </w:numPr>
      </w:pPr>
      <w:r w:rsidRPr="00691C47">
        <w:t>Theoretical perspectives: is the author approaching the topic from a particular perspective (women’s history, gender history, cultural history, Marxist perspectives, postcolonial studies, etc)? </w:t>
      </w:r>
    </w:p>
    <w:p w14:paraId="0F052051" w14:textId="77777777" w:rsidR="00691C47" w:rsidRPr="00691C47" w:rsidRDefault="00691C47" w:rsidP="0080776D">
      <w:pPr>
        <w:numPr>
          <w:ilvl w:val="0"/>
          <w:numId w:val="13"/>
        </w:numPr>
      </w:pPr>
      <w:r w:rsidRPr="00691C47">
        <w:t>Methodology and sources: What evidence does the author rely on? What are the strengths and weaknesses of their source base and methodology? </w:t>
      </w:r>
    </w:p>
    <w:p w14:paraId="52B57F84" w14:textId="77777777" w:rsidR="00691C47" w:rsidRPr="00691C47" w:rsidRDefault="00691C47" w:rsidP="0080776D">
      <w:pPr>
        <w:numPr>
          <w:ilvl w:val="0"/>
          <w:numId w:val="14"/>
        </w:numPr>
      </w:pPr>
      <w:r w:rsidRPr="00691C47">
        <w:t xml:space="preserve">Compare the text and its arguments with other literature you have read on the topic. How does it contribute to our understanding of the topic? How does it fit in with </w:t>
      </w:r>
      <w:proofErr w:type="gramStart"/>
      <w:r w:rsidRPr="00691C47">
        <w:t>other</w:t>
      </w:r>
      <w:proofErr w:type="gramEnd"/>
      <w:r w:rsidRPr="00691C47">
        <w:t xml:space="preserve"> research on the same topic? What is missing from this work? </w:t>
      </w:r>
    </w:p>
    <w:p w14:paraId="17E9DEB8" w14:textId="77777777" w:rsidR="00691C47" w:rsidRPr="00691C47" w:rsidRDefault="00691C47" w:rsidP="0080776D">
      <w:pPr>
        <w:numPr>
          <w:ilvl w:val="0"/>
          <w:numId w:val="15"/>
        </w:numPr>
      </w:pPr>
      <w:r w:rsidRPr="00691C47">
        <w:t>Audience: Who might find this work useful? </w:t>
      </w:r>
    </w:p>
    <w:p w14:paraId="021204AD" w14:textId="08A40D2C" w:rsidR="00691C47" w:rsidRPr="00691C47" w:rsidRDefault="00691C47" w:rsidP="0080776D">
      <w:pPr>
        <w:numPr>
          <w:ilvl w:val="0"/>
          <w:numId w:val="16"/>
        </w:numPr>
      </w:pPr>
      <w:r w:rsidRPr="00691C47">
        <w:t>Your scholarly opinion: Does the author achieve their aims? Are the arguments convincing? Would you recommend the work? Why (or why not?)</w:t>
      </w:r>
    </w:p>
    <w:p w14:paraId="1BF211BA" w14:textId="79A056B3" w:rsidR="00691C47" w:rsidRPr="00F33BEA" w:rsidRDefault="00691C47" w:rsidP="00F33BEA">
      <w:pPr>
        <w:pStyle w:val="Heading4"/>
        <w:rPr>
          <w:i w:val="0"/>
          <w:iCs w:val="0"/>
        </w:rPr>
      </w:pPr>
      <w:r w:rsidRPr="00691C47">
        <w:t> Part 2: Primary source analysis (1500 words</w:t>
      </w:r>
      <w:r w:rsidR="00F33BEA">
        <w:t>/60% of portfolio</w:t>
      </w:r>
      <w:r w:rsidRPr="00691C47">
        <w:t>) </w:t>
      </w:r>
      <w:r w:rsidR="00F33BEA">
        <w:rPr>
          <w:i w:val="0"/>
          <w:iCs w:val="0"/>
        </w:rPr>
        <w:t xml:space="preserve">– due Sunday </w:t>
      </w:r>
      <w:r w:rsidR="00BB23CB">
        <w:rPr>
          <w:i w:val="0"/>
          <w:iCs w:val="0"/>
        </w:rPr>
        <w:t>29</w:t>
      </w:r>
      <w:r w:rsidR="00F33BEA">
        <w:rPr>
          <w:i w:val="0"/>
          <w:iCs w:val="0"/>
        </w:rPr>
        <w:t xml:space="preserve"> </w:t>
      </w:r>
      <w:r w:rsidR="00BB23CB">
        <w:rPr>
          <w:i w:val="0"/>
          <w:iCs w:val="0"/>
        </w:rPr>
        <w:t>March</w:t>
      </w:r>
      <w:r w:rsidR="00F33BEA">
        <w:rPr>
          <w:i w:val="0"/>
          <w:iCs w:val="0"/>
        </w:rPr>
        <w:t xml:space="preserve"> 202</w:t>
      </w:r>
      <w:r w:rsidR="00BB23CB">
        <w:rPr>
          <w:i w:val="0"/>
          <w:iCs w:val="0"/>
        </w:rPr>
        <w:t>6</w:t>
      </w:r>
      <w:r w:rsidR="00F33BEA">
        <w:rPr>
          <w:i w:val="0"/>
          <w:iCs w:val="0"/>
        </w:rPr>
        <w:t xml:space="preserve"> at 23:59 PM</w:t>
      </w:r>
    </w:p>
    <w:p w14:paraId="309ED218" w14:textId="77777777" w:rsidR="00691C47" w:rsidRPr="00691C47" w:rsidRDefault="00691C47" w:rsidP="00691C47">
      <w:r w:rsidRPr="00691C47">
        <w:t>Choosing from the primary source document list provided by the module tutor, write a 1500-word analysis of a primary source document related to one of the topics covered by the module. </w:t>
      </w:r>
    </w:p>
    <w:p w14:paraId="57EEC2E3" w14:textId="77777777" w:rsidR="00691C47" w:rsidRPr="00691C47" w:rsidRDefault="00691C47" w:rsidP="00691C47">
      <w:r w:rsidRPr="00691C47">
        <w:lastRenderedPageBreak/>
        <w:t xml:space="preserve">You may also choose your own primary source document to analyse, but this </w:t>
      </w:r>
      <w:r w:rsidRPr="00691C47">
        <w:rPr>
          <w:b/>
          <w:bCs/>
        </w:rPr>
        <w:t>must be discussed and approved as suitable by the module tutor.</w:t>
      </w:r>
      <w:r w:rsidRPr="00691C47">
        <w:t> </w:t>
      </w:r>
    </w:p>
    <w:p w14:paraId="016B1FF4" w14:textId="524A5E75" w:rsidR="00691C47" w:rsidRPr="00691C47" w:rsidRDefault="00691C47" w:rsidP="00F33BEA">
      <w:r w:rsidRPr="00691C47">
        <w:t> A primary source is a document from the period under examination. This could be (not an exhaustive list!): </w:t>
      </w:r>
    </w:p>
    <w:p w14:paraId="05B58B9E" w14:textId="77777777" w:rsidR="00691C47" w:rsidRPr="00691C47" w:rsidRDefault="00691C47" w:rsidP="0080776D">
      <w:pPr>
        <w:numPr>
          <w:ilvl w:val="0"/>
          <w:numId w:val="17"/>
        </w:numPr>
      </w:pPr>
      <w:r w:rsidRPr="00691C47">
        <w:t>A newspaper/magazine article </w:t>
      </w:r>
    </w:p>
    <w:p w14:paraId="20B9D3D0" w14:textId="77777777" w:rsidR="00691C47" w:rsidRPr="00691C47" w:rsidRDefault="00691C47" w:rsidP="0080776D">
      <w:pPr>
        <w:numPr>
          <w:ilvl w:val="0"/>
          <w:numId w:val="18"/>
        </w:numPr>
      </w:pPr>
      <w:r w:rsidRPr="00691C47">
        <w:t>Government sources </w:t>
      </w:r>
    </w:p>
    <w:p w14:paraId="13FFA65E" w14:textId="77777777" w:rsidR="00691C47" w:rsidRPr="00691C47" w:rsidRDefault="00691C47" w:rsidP="0080776D">
      <w:pPr>
        <w:numPr>
          <w:ilvl w:val="0"/>
          <w:numId w:val="19"/>
        </w:numPr>
        <w:rPr>
          <w:lang w:val="fr-FR"/>
        </w:rPr>
      </w:pPr>
      <w:r w:rsidRPr="00691C47">
        <w:rPr>
          <w:lang w:val="fr-FR"/>
        </w:rPr>
        <w:t xml:space="preserve">Propaganda e.g. posters, radio </w:t>
      </w:r>
      <w:proofErr w:type="spellStart"/>
      <w:r w:rsidRPr="00691C47">
        <w:rPr>
          <w:lang w:val="fr-FR"/>
        </w:rPr>
        <w:t>transcripts</w:t>
      </w:r>
      <w:proofErr w:type="spellEnd"/>
      <w:r w:rsidRPr="00691C47">
        <w:rPr>
          <w:lang w:val="fr-FR"/>
        </w:rPr>
        <w:t>, film sources </w:t>
      </w:r>
    </w:p>
    <w:p w14:paraId="519E297E" w14:textId="77777777" w:rsidR="00691C47" w:rsidRPr="00691C47" w:rsidRDefault="00691C47" w:rsidP="0080776D">
      <w:pPr>
        <w:numPr>
          <w:ilvl w:val="0"/>
          <w:numId w:val="20"/>
        </w:numPr>
      </w:pPr>
      <w:proofErr w:type="spellStart"/>
      <w:r w:rsidRPr="00691C47">
        <w:rPr>
          <w:lang w:val="fr-FR"/>
        </w:rPr>
        <w:t>Photographs</w:t>
      </w:r>
      <w:proofErr w:type="spellEnd"/>
      <w:r w:rsidRPr="00691C47">
        <w:t> </w:t>
      </w:r>
    </w:p>
    <w:p w14:paraId="3BAAB7F4" w14:textId="77777777" w:rsidR="00691C47" w:rsidRPr="00691C47" w:rsidRDefault="00691C47" w:rsidP="0080776D">
      <w:pPr>
        <w:numPr>
          <w:ilvl w:val="0"/>
          <w:numId w:val="21"/>
        </w:numPr>
      </w:pPr>
      <w:r w:rsidRPr="00691C47">
        <w:t>Court transcripts </w:t>
      </w:r>
    </w:p>
    <w:p w14:paraId="1F5FE076" w14:textId="77777777" w:rsidR="00691C47" w:rsidRPr="00691C47" w:rsidRDefault="00691C47" w:rsidP="0080776D">
      <w:pPr>
        <w:numPr>
          <w:ilvl w:val="0"/>
          <w:numId w:val="22"/>
        </w:numPr>
      </w:pPr>
      <w:r w:rsidRPr="00691C47">
        <w:t>Legal judgements </w:t>
      </w:r>
    </w:p>
    <w:p w14:paraId="3C32DA05" w14:textId="77777777" w:rsidR="00691C47" w:rsidRPr="00691C47" w:rsidRDefault="00691C47" w:rsidP="0080776D">
      <w:pPr>
        <w:numPr>
          <w:ilvl w:val="0"/>
          <w:numId w:val="23"/>
        </w:numPr>
      </w:pPr>
      <w:r w:rsidRPr="00691C47">
        <w:t>Memoirs </w:t>
      </w:r>
    </w:p>
    <w:p w14:paraId="05E2D2C7" w14:textId="77777777" w:rsidR="00691C47" w:rsidRPr="00691C47" w:rsidRDefault="00691C47" w:rsidP="00691C47">
      <w:r w:rsidRPr="00691C47">
        <w:t> </w:t>
      </w:r>
      <w:r w:rsidRPr="00691C47">
        <w:br/>
        <w:t>Questions you will need to address in your analysis: </w:t>
      </w:r>
    </w:p>
    <w:p w14:paraId="69BCD16A" w14:textId="77777777" w:rsidR="00691C47" w:rsidRPr="00691C47" w:rsidRDefault="00691C47" w:rsidP="0080776D">
      <w:pPr>
        <w:numPr>
          <w:ilvl w:val="0"/>
          <w:numId w:val="24"/>
        </w:numPr>
      </w:pPr>
      <w:r w:rsidRPr="00691C47">
        <w:t>Background about the document itself e.g. who was the author/photographer/artist etc? What do you know about them? </w:t>
      </w:r>
    </w:p>
    <w:p w14:paraId="0BBAC766" w14:textId="77777777" w:rsidR="00691C47" w:rsidRPr="00691C47" w:rsidRDefault="00691C47" w:rsidP="0080776D">
      <w:pPr>
        <w:numPr>
          <w:ilvl w:val="0"/>
          <w:numId w:val="25"/>
        </w:numPr>
      </w:pPr>
      <w:r w:rsidRPr="00691C47">
        <w:t>When was it produced? What is the significance of the context? </w:t>
      </w:r>
    </w:p>
    <w:p w14:paraId="17803926" w14:textId="77777777" w:rsidR="00691C47" w:rsidRPr="00691C47" w:rsidRDefault="00691C47" w:rsidP="0080776D">
      <w:pPr>
        <w:numPr>
          <w:ilvl w:val="0"/>
          <w:numId w:val="26"/>
        </w:numPr>
      </w:pPr>
      <w:r w:rsidRPr="00691C47">
        <w:t>Where did it appear? Who were the intended audience? Who might have had access to it? What kind of response might its audience have had? Did the author intend to provoke a particular response? How successful were they in doing so? </w:t>
      </w:r>
    </w:p>
    <w:p w14:paraId="2D1D16E9" w14:textId="77777777" w:rsidR="00691C47" w:rsidRPr="00691C47" w:rsidRDefault="00691C47" w:rsidP="0080776D">
      <w:pPr>
        <w:numPr>
          <w:ilvl w:val="0"/>
          <w:numId w:val="27"/>
        </w:numPr>
      </w:pPr>
      <w:r w:rsidRPr="00691C47">
        <w:t>Analysis of the content: what are the key themes and ideas in the source? What kind of language or imagery is used? What does the source not address – what does it leave out? </w:t>
      </w:r>
    </w:p>
    <w:p w14:paraId="5004B3A6" w14:textId="77777777" w:rsidR="00691C47" w:rsidRPr="00691C47" w:rsidRDefault="00691C47" w:rsidP="0080776D">
      <w:pPr>
        <w:numPr>
          <w:ilvl w:val="0"/>
          <w:numId w:val="28"/>
        </w:numPr>
      </w:pPr>
      <w:r w:rsidRPr="00691C47">
        <w:t>What are the strengths and potential weaknesses of this kind of source material? Are there problems with using it as an historical source? </w:t>
      </w:r>
    </w:p>
    <w:p w14:paraId="5F6CBA53" w14:textId="77777777" w:rsidR="00691C47" w:rsidRDefault="00691C47" w:rsidP="0080776D">
      <w:pPr>
        <w:numPr>
          <w:ilvl w:val="0"/>
          <w:numId w:val="29"/>
        </w:numPr>
      </w:pPr>
      <w:r w:rsidRPr="00691C47">
        <w:t>What does it tell us about the subject being studied? Do the insights from the source support or contradict historians’ conclusions about the subject? </w:t>
      </w:r>
    </w:p>
    <w:p w14:paraId="039486FC" w14:textId="344DCB50" w:rsidR="007A6C8C" w:rsidRDefault="00F33BEA" w:rsidP="00F33BEA">
      <w:pPr>
        <w:pStyle w:val="Heading3"/>
      </w:pPr>
      <w:r>
        <w:t>Essay (2500 words, 50% of module grade</w:t>
      </w:r>
      <w:r w:rsidR="00064A06">
        <w:t>)</w:t>
      </w:r>
      <w:r w:rsidR="000A76D7">
        <w:t xml:space="preserve"> – due </w:t>
      </w:r>
      <w:r w:rsidR="009A15AA">
        <w:t xml:space="preserve">Sunday </w:t>
      </w:r>
      <w:r w:rsidR="00C145E9">
        <w:t>17</w:t>
      </w:r>
      <w:r w:rsidR="009A15AA">
        <w:t xml:space="preserve"> May 2026, 23:59 PM</w:t>
      </w:r>
    </w:p>
    <w:p w14:paraId="37E37B0A" w14:textId="3BA72D6E" w:rsidR="007A6C8C" w:rsidRPr="007A6C8C" w:rsidRDefault="007A6C8C" w:rsidP="007A6C8C">
      <w:r w:rsidRPr="007A6C8C">
        <w:t xml:space="preserve">Write a </w:t>
      </w:r>
      <w:proofErr w:type="gramStart"/>
      <w:r w:rsidRPr="007A6C8C">
        <w:t>2500 word</w:t>
      </w:r>
      <w:proofErr w:type="gramEnd"/>
      <w:r w:rsidRPr="007A6C8C">
        <w:t xml:space="preserve"> essay </w:t>
      </w:r>
      <w:r w:rsidR="00064A06">
        <w:t>choosing from</w:t>
      </w:r>
      <w:r w:rsidRPr="007A6C8C">
        <w:t xml:space="preserve"> one of the following titles: </w:t>
      </w:r>
    </w:p>
    <w:p w14:paraId="2CF40E51" w14:textId="77777777" w:rsidR="007A6C8C" w:rsidRPr="007A6C8C" w:rsidRDefault="007A6C8C" w:rsidP="0080776D">
      <w:pPr>
        <w:pStyle w:val="ListParagraph"/>
        <w:numPr>
          <w:ilvl w:val="0"/>
          <w:numId w:val="30"/>
        </w:numPr>
      </w:pPr>
      <w:r w:rsidRPr="007A6C8C">
        <w:t>How have historians of empire incorporated gender as a tool of analysis? </w:t>
      </w:r>
    </w:p>
    <w:p w14:paraId="29D6118B" w14:textId="77777777" w:rsidR="007A6C8C" w:rsidRPr="007A6C8C" w:rsidRDefault="007A6C8C" w:rsidP="0080776D">
      <w:pPr>
        <w:pStyle w:val="ListParagraph"/>
        <w:numPr>
          <w:ilvl w:val="0"/>
          <w:numId w:val="30"/>
        </w:numPr>
      </w:pPr>
      <w:r w:rsidRPr="007A6C8C">
        <w:t xml:space="preserve">What do colonial debates over </w:t>
      </w:r>
      <w:r w:rsidRPr="007A6C8C">
        <w:rPr>
          <w:i/>
          <w:iCs/>
        </w:rPr>
        <w:t xml:space="preserve">sati </w:t>
      </w:r>
      <w:r w:rsidRPr="007A6C8C">
        <w:t>reveal about British conceptions of their role in India? </w:t>
      </w:r>
    </w:p>
    <w:p w14:paraId="146BCC5A" w14:textId="77777777" w:rsidR="007A6C8C" w:rsidRPr="007A6C8C" w:rsidRDefault="007A6C8C" w:rsidP="0080776D">
      <w:pPr>
        <w:pStyle w:val="ListParagraph"/>
        <w:numPr>
          <w:ilvl w:val="0"/>
          <w:numId w:val="30"/>
        </w:numPr>
      </w:pPr>
      <w:r w:rsidRPr="007A6C8C">
        <w:lastRenderedPageBreak/>
        <w:t>How did colonial powers attempt to remake gender relations? </w:t>
      </w:r>
    </w:p>
    <w:p w14:paraId="068B5DC8" w14:textId="77777777" w:rsidR="007A6C8C" w:rsidRPr="007A6C8C" w:rsidRDefault="007A6C8C" w:rsidP="0080776D">
      <w:pPr>
        <w:pStyle w:val="ListParagraph"/>
        <w:numPr>
          <w:ilvl w:val="0"/>
          <w:numId w:val="30"/>
        </w:numPr>
      </w:pPr>
      <w:r w:rsidRPr="007A6C8C">
        <w:t>How far did imperial feminist campaigns challenge the basis of colonial rule? </w:t>
      </w:r>
    </w:p>
    <w:p w14:paraId="2B998744" w14:textId="77777777" w:rsidR="007A6C8C" w:rsidRPr="007A6C8C" w:rsidRDefault="007A6C8C" w:rsidP="0080776D">
      <w:pPr>
        <w:pStyle w:val="ListParagraph"/>
        <w:numPr>
          <w:ilvl w:val="0"/>
          <w:numId w:val="30"/>
        </w:numPr>
      </w:pPr>
      <w:r w:rsidRPr="007A6C8C">
        <w:t>‘“Black peril” scares reveal more about colonial anxieties than about the realities of sexual violence’. Discuss. </w:t>
      </w:r>
    </w:p>
    <w:p w14:paraId="3BE70BBA" w14:textId="77777777" w:rsidR="007A6C8C" w:rsidRPr="007A6C8C" w:rsidRDefault="007A6C8C" w:rsidP="0080776D">
      <w:pPr>
        <w:pStyle w:val="ListParagraph"/>
        <w:numPr>
          <w:ilvl w:val="0"/>
          <w:numId w:val="30"/>
        </w:numPr>
      </w:pPr>
      <w:r w:rsidRPr="007A6C8C">
        <w:t>Why did colonial authorities seek to regulate ‘deviant’ sexualities? </w:t>
      </w:r>
    </w:p>
    <w:p w14:paraId="29B9B81C" w14:textId="77777777" w:rsidR="007A6C8C" w:rsidRPr="007A6C8C" w:rsidRDefault="007A6C8C" w:rsidP="0080776D">
      <w:pPr>
        <w:pStyle w:val="ListParagraph"/>
        <w:numPr>
          <w:ilvl w:val="0"/>
          <w:numId w:val="30"/>
        </w:numPr>
      </w:pPr>
      <w:r w:rsidRPr="007A6C8C">
        <w:t>Did women’s roles in anti-colonial struggles reinforce or challenge existing gender norms? </w:t>
      </w:r>
    </w:p>
    <w:p w14:paraId="5898E2D2" w14:textId="77697E12" w:rsidR="00F33BEA" w:rsidRPr="00691C47" w:rsidRDefault="007A6C8C" w:rsidP="00064A06">
      <w:r w:rsidRPr="007A6C8C">
        <w:t xml:space="preserve">You may, </w:t>
      </w:r>
      <w:r w:rsidRPr="007A6C8C">
        <w:rPr>
          <w:b/>
          <w:bCs/>
        </w:rPr>
        <w:t xml:space="preserve">after discussion with the module tutor, </w:t>
      </w:r>
      <w:r w:rsidRPr="007A6C8C">
        <w:t xml:space="preserve">devise your own essay topic, but this will need </w:t>
      </w:r>
      <w:r w:rsidRPr="007A6C8C">
        <w:rPr>
          <w:b/>
          <w:bCs/>
        </w:rPr>
        <w:t>explicit prior approval.</w:t>
      </w:r>
      <w:r w:rsidRPr="007A6C8C">
        <w:t> </w:t>
      </w:r>
    </w:p>
    <w:p w14:paraId="4E721C49" w14:textId="57330BC0" w:rsidR="005E4DFD" w:rsidRDefault="005E4DFD" w:rsidP="005E4DFD">
      <w:pPr>
        <w:pStyle w:val="Heading3"/>
      </w:pPr>
      <w:r>
        <w:t>Assessment Criteria</w:t>
      </w:r>
    </w:p>
    <w:p w14:paraId="02A731AD" w14:textId="428F89A9" w:rsidR="005E4DFD" w:rsidRDefault="005E4DFD" w:rsidP="005E4DFD">
      <w:pPr>
        <w:rPr>
          <w:highlight w:val="yellow"/>
        </w:rPr>
      </w:pPr>
      <w:r>
        <w:t xml:space="preserve">All assignments will be assessed according to the University’s published Assessment Criteria, available here: </w:t>
      </w:r>
      <w:hyperlink r:id="rId14" w:history="1">
        <w:r w:rsidRPr="001B26F3">
          <w:rPr>
            <w:rStyle w:val="Hyperlink"/>
          </w:rPr>
          <w:t>Assessment Criteria</w:t>
        </w:r>
      </w:hyperlink>
    </w:p>
    <w:p w14:paraId="168D818C" w14:textId="032906FD" w:rsidR="005E4DFD" w:rsidRPr="005E4DFD" w:rsidRDefault="005E4DFD" w:rsidP="005E4DFD">
      <w:r w:rsidRPr="005E4DFD">
        <w:t>Please consult the appropriate criteria for your level of study (i.e. Level 5 or Level 6).</w:t>
      </w:r>
    </w:p>
    <w:p w14:paraId="32871EEB" w14:textId="3D5A4CD2" w:rsidR="000137CB" w:rsidRDefault="000137CB" w:rsidP="000137CB">
      <w:pPr>
        <w:pStyle w:val="Heading3"/>
      </w:pPr>
      <w:r>
        <w:t>Guidance for essays</w:t>
      </w:r>
    </w:p>
    <w:p w14:paraId="04B9E65B" w14:textId="77777777" w:rsidR="000137CB" w:rsidRDefault="000137CB" w:rsidP="000137CB">
      <w:r>
        <w:t>An excellent essay will be strong in the following areas:</w:t>
      </w:r>
    </w:p>
    <w:p w14:paraId="6AC6E163" w14:textId="77777777" w:rsidR="000137CB" w:rsidRDefault="000137CB" w:rsidP="000137CB">
      <w:r w:rsidRPr="00811AC1">
        <w:rPr>
          <w:b/>
          <w:bCs/>
        </w:rPr>
        <w:t>Context</w:t>
      </w:r>
      <w:r>
        <w:rPr>
          <w:b/>
          <w:bCs/>
        </w:rPr>
        <w:t>, k</w:t>
      </w:r>
      <w:r w:rsidRPr="00811AC1">
        <w:rPr>
          <w:b/>
          <w:bCs/>
        </w:rPr>
        <w:t>nowledge and coverage of the material</w:t>
      </w:r>
      <w:r>
        <w:rPr>
          <w:b/>
          <w:bCs/>
        </w:rPr>
        <w:t xml:space="preserve">: </w:t>
      </w:r>
      <w:r>
        <w:t>The essay will contain arguments based on specific examples from your reading. It will demonstrate a good understanding of all the issues and good coverage of the relevant material. It will demonstrate that you have researched the topic in adequate depth and drawn upon appropriate academic sources.</w:t>
      </w:r>
    </w:p>
    <w:p w14:paraId="6AC172DF" w14:textId="77777777" w:rsidR="000137CB" w:rsidRDefault="000137CB" w:rsidP="000137CB">
      <w:r>
        <w:rPr>
          <w:b/>
          <w:bCs/>
        </w:rPr>
        <w:t xml:space="preserve">Structure and argument: </w:t>
      </w:r>
      <w:r>
        <w:t>Your essay should be clearly structured and argued. This will include a clearly stated thesis statement in the introduction. This statement of the argument will then be systematically developed throughout the essay, with use of evidence to support your analysis, and summarised in a concluding paragraph.</w:t>
      </w:r>
    </w:p>
    <w:p w14:paraId="1A60C209" w14:textId="77777777" w:rsidR="000137CB" w:rsidRDefault="000137CB" w:rsidP="000137CB">
      <w:r>
        <w:rPr>
          <w:b/>
          <w:bCs/>
        </w:rPr>
        <w:t xml:space="preserve">Critical technique: </w:t>
      </w:r>
      <w:r>
        <w:t xml:space="preserve">Your essay will show an awareness of the historiography, and how scholars have debated your topic. It will also demonstrate an awareness of the problems and biases of </w:t>
      </w:r>
      <w:proofErr w:type="gramStart"/>
      <w:r>
        <w:t>particular source</w:t>
      </w:r>
      <w:proofErr w:type="gramEnd"/>
      <w:r>
        <w:t xml:space="preserve"> materials.</w:t>
      </w:r>
    </w:p>
    <w:p w14:paraId="0D0091C3" w14:textId="77777777" w:rsidR="000137CB" w:rsidRDefault="000137CB" w:rsidP="000137CB">
      <w:r>
        <w:rPr>
          <w:b/>
          <w:bCs/>
        </w:rPr>
        <w:t xml:space="preserve">Analysis: </w:t>
      </w:r>
      <w:r>
        <w:t>Your essay will not simply explain events, nor restate the evidence and argument from other texts, but rather will appraise the validity of the evidence and closely analyse the topic or question under consideration.</w:t>
      </w:r>
    </w:p>
    <w:p w14:paraId="69E4AC0C" w14:textId="77777777" w:rsidR="000137CB" w:rsidRDefault="000137CB" w:rsidP="000137CB">
      <w:r>
        <w:rPr>
          <w:b/>
          <w:bCs/>
        </w:rPr>
        <w:t xml:space="preserve">Originality: </w:t>
      </w:r>
      <w:r>
        <w:t>It will display original ideas and be thought-provoking – you are encouraged to express your own position on a debate, supporting it with evidence.</w:t>
      </w:r>
    </w:p>
    <w:p w14:paraId="04A929C5" w14:textId="77777777" w:rsidR="000137CB" w:rsidRDefault="000137CB" w:rsidP="000137CB">
      <w:r>
        <w:rPr>
          <w:b/>
          <w:bCs/>
        </w:rPr>
        <w:t xml:space="preserve">Style and presentation: </w:t>
      </w:r>
      <w:r>
        <w:t xml:space="preserve">Your work will have a good standard of grammar and syntax. It will preferably use the active </w:t>
      </w:r>
      <w:proofErr w:type="gramStart"/>
      <w:r>
        <w:t>voice, and</w:t>
      </w:r>
      <w:proofErr w:type="gramEnd"/>
      <w:r>
        <w:t xml:space="preserve"> will avoid contractions and informal language. All references will be correctly cited according to either MHRA or Harvard style.</w:t>
      </w:r>
    </w:p>
    <w:p w14:paraId="68B42323" w14:textId="77777777" w:rsidR="000137CB" w:rsidRPr="00957D0E" w:rsidRDefault="000137CB" w:rsidP="000137CB">
      <w:pPr>
        <w:rPr>
          <w:b/>
          <w:bCs/>
        </w:rPr>
      </w:pPr>
      <w:r w:rsidRPr="00957D0E">
        <w:rPr>
          <w:b/>
          <w:bCs/>
        </w:rPr>
        <w:lastRenderedPageBreak/>
        <w:t>Approaching essay questions:</w:t>
      </w:r>
    </w:p>
    <w:p w14:paraId="61B4D4DF" w14:textId="77777777" w:rsidR="000137CB" w:rsidRDefault="000137CB" w:rsidP="0080776D">
      <w:pPr>
        <w:pStyle w:val="ListParagraph"/>
        <w:numPr>
          <w:ilvl w:val="0"/>
          <w:numId w:val="4"/>
        </w:numPr>
      </w:pPr>
      <w:r>
        <w:t>Unpack the question: make sure you’re answering every clause or aspect of the question?</w:t>
      </w:r>
    </w:p>
    <w:p w14:paraId="71576313" w14:textId="77777777" w:rsidR="000137CB" w:rsidRDefault="000137CB" w:rsidP="0080776D">
      <w:pPr>
        <w:pStyle w:val="ListParagraph"/>
        <w:numPr>
          <w:ilvl w:val="0"/>
          <w:numId w:val="4"/>
        </w:numPr>
      </w:pPr>
      <w:r>
        <w:t>Think behind the question: why is it being asked? What larger themes does it address?</w:t>
      </w:r>
    </w:p>
    <w:p w14:paraId="4080B79A" w14:textId="77777777" w:rsidR="000137CB" w:rsidRPr="00C329F4" w:rsidRDefault="000137CB" w:rsidP="0080776D">
      <w:pPr>
        <w:pStyle w:val="ListParagraph"/>
        <w:numPr>
          <w:ilvl w:val="0"/>
          <w:numId w:val="4"/>
        </w:numPr>
      </w:pPr>
      <w:r>
        <w:t>Think about the evidence you are using: what are its strengths and weaknesses?</w:t>
      </w:r>
    </w:p>
    <w:p w14:paraId="251077C6" w14:textId="77777777" w:rsidR="000137CB" w:rsidRDefault="000137CB" w:rsidP="000137CB">
      <w:r>
        <w:t>Please check the relevant assessment criteria:</w:t>
      </w:r>
    </w:p>
    <w:p w14:paraId="4F0CF1D3" w14:textId="77777777" w:rsidR="000137CB" w:rsidRDefault="000137CB" w:rsidP="000137CB">
      <w:pPr>
        <w:pStyle w:val="Heading3"/>
      </w:pPr>
      <w:r>
        <w:t>Referencing</w:t>
      </w:r>
    </w:p>
    <w:p w14:paraId="002AFB99" w14:textId="53C86B90" w:rsidR="000137CB" w:rsidRDefault="000137CB" w:rsidP="00B620C4">
      <w:r>
        <w:t xml:space="preserve">For this module, you may use either MHRA or Harvard referencing styles. It is important that you reference properly and accurately, and I recommend that you refer carefully to the referencing handbook for your chosen style when you’re proofreading your references before submitting. Referencing handbooks can be consulted on the UWTSD </w:t>
      </w:r>
      <w:r w:rsidR="00064A06">
        <w:t>Library website here</w:t>
      </w:r>
      <w:r>
        <w:t>:</w:t>
      </w:r>
    </w:p>
    <w:p w14:paraId="44DA4837" w14:textId="77777777" w:rsidR="001A38D7" w:rsidRDefault="001A38D7" w:rsidP="001A38D7">
      <w:pPr>
        <w:pStyle w:val="Heading3"/>
        <w:rPr>
          <w:rFonts w:eastAsiaTheme="minorEastAsia" w:cstheme="minorBidi"/>
          <w:color w:val="auto"/>
          <w:sz w:val="24"/>
          <w:szCs w:val="24"/>
        </w:rPr>
      </w:pPr>
      <w:hyperlink r:id="rId15" w:history="1">
        <w:r w:rsidRPr="001A38D7">
          <w:rPr>
            <w:rStyle w:val="Hyperlink"/>
            <w:rFonts w:eastAsiaTheme="minorEastAsia" w:cstheme="minorBidi"/>
            <w:sz w:val="24"/>
            <w:szCs w:val="24"/>
          </w:rPr>
          <w:t>Referencing Handbooks - Digital Services | University of Wales Trinity Saint David</w:t>
        </w:r>
      </w:hyperlink>
    </w:p>
    <w:p w14:paraId="0C02D861" w14:textId="17056401" w:rsidR="000137CB" w:rsidRDefault="000137CB" w:rsidP="001A38D7">
      <w:pPr>
        <w:pStyle w:val="Heading3"/>
      </w:pPr>
      <w:r>
        <w:t>Use of AI</w:t>
      </w:r>
    </w:p>
    <w:p w14:paraId="0034DF33" w14:textId="0A5CA57E" w:rsidR="001A38D7" w:rsidRDefault="001A38D7" w:rsidP="001A38D7">
      <w:r w:rsidRPr="001A38D7">
        <w:t>In addition to t</w:t>
      </w:r>
      <w:r>
        <w:t xml:space="preserve">he General Allowable Uses of AI, for this module you are permitted </w:t>
      </w:r>
      <w:r w:rsidR="006A7348">
        <w:t xml:space="preserve">to use AI for structuring, within the guidelines set out by the University’s guidance. Please consult the information </w:t>
      </w:r>
      <w:r w:rsidR="007D118C">
        <w:t xml:space="preserve">on </w:t>
      </w:r>
      <w:r w:rsidR="006A7348">
        <w:t xml:space="preserve">the Use of AI </w:t>
      </w:r>
      <w:r w:rsidR="007D118C">
        <w:t xml:space="preserve">Tile on </w:t>
      </w:r>
      <w:proofErr w:type="gramStart"/>
      <w:r w:rsidR="007D118C">
        <w:t>Moodle, and</w:t>
      </w:r>
      <w:proofErr w:type="gramEnd"/>
      <w:r w:rsidR="007D118C">
        <w:t xml:space="preserve"> ensure that you are familiar with what you can, and cannot, do </w:t>
      </w:r>
      <w:r w:rsidR="00254429">
        <w:t>before using AI to support your studies. Please also note that you are required to keep all notes</w:t>
      </w:r>
      <w:r w:rsidR="00693741">
        <w:t xml:space="preserve">, </w:t>
      </w:r>
      <w:r w:rsidR="00254429">
        <w:t>drafts</w:t>
      </w:r>
      <w:r w:rsidR="00693741">
        <w:t xml:space="preserve"> and other resources you have used to complete your assignment,</w:t>
      </w:r>
      <w:r w:rsidR="000066B8">
        <w:t xml:space="preserve"> before and after the use of any AI tool, as you may be required to produce these.</w:t>
      </w:r>
      <w:r w:rsidR="00693741">
        <w:t xml:space="preserve"> Please ensure that you have reviewed this information before you attempt your assignments.</w:t>
      </w:r>
    </w:p>
    <w:p w14:paraId="7BA8E971" w14:textId="1354AA71" w:rsidR="00961043" w:rsidRPr="00961043" w:rsidRDefault="00961043" w:rsidP="001A38D7">
      <w:r>
        <w:t xml:space="preserve">Whether you use AI or not in your assignments, </w:t>
      </w:r>
      <w:r>
        <w:rPr>
          <w:b/>
          <w:bCs/>
        </w:rPr>
        <w:t xml:space="preserve">all assignments must include an AI declaration. </w:t>
      </w:r>
      <w:r>
        <w:t xml:space="preserve">Guidance on how to declare your use of AI – or </w:t>
      </w:r>
      <w:r w:rsidR="00693741">
        <w:t>how to declare that you have not used it – is available on the Use of AI tile on Moodle.</w:t>
      </w:r>
    </w:p>
    <w:p w14:paraId="01CF8EA8" w14:textId="77777777" w:rsidR="006B0F5C" w:rsidRDefault="006B0F5C">
      <w:pPr>
        <w:rPr>
          <w:rFonts w:asciiTheme="majorHAnsi" w:eastAsiaTheme="majorEastAsia" w:hAnsiTheme="majorHAnsi" w:cstheme="majorBidi"/>
          <w:color w:val="0F4761" w:themeColor="accent1" w:themeShade="BF"/>
          <w:sz w:val="32"/>
          <w:szCs w:val="32"/>
        </w:rPr>
      </w:pPr>
      <w:r>
        <w:br w:type="page"/>
      </w:r>
    </w:p>
    <w:p w14:paraId="674D1D5C" w14:textId="1D954046" w:rsidR="000137CB" w:rsidRDefault="000137CB" w:rsidP="00693741">
      <w:pPr>
        <w:pStyle w:val="Heading2"/>
      </w:pPr>
      <w:r>
        <w:lastRenderedPageBreak/>
        <w:t>Seminar outlines</w:t>
      </w:r>
    </w:p>
    <w:p w14:paraId="146C4391" w14:textId="6756907F" w:rsidR="000137CB" w:rsidRDefault="000137CB" w:rsidP="00FB4A17">
      <w:pPr>
        <w:pStyle w:val="Heading3"/>
      </w:pPr>
      <w:r>
        <w:t>Session 1: Introduction</w:t>
      </w:r>
      <w:r w:rsidR="00BB23CB">
        <w:t>/Gender History: Theory and Historiography</w:t>
      </w:r>
    </w:p>
    <w:p w14:paraId="1868CFCB" w14:textId="77777777" w:rsidR="000137CB" w:rsidRDefault="000137CB" w:rsidP="000137CB">
      <w:r w:rsidRPr="00846261">
        <w:t>This session will be a gentle introduction to the module. We'll talk about what we'll cover together in the sessions, as well as strategies for approaching the assignments. As you might expect, the module will cover some difficult material, and we'll talk about ways of looking after ourselves while studying this important but challenging topic.</w:t>
      </w:r>
    </w:p>
    <w:p w14:paraId="1EEDC57F" w14:textId="77777777" w:rsidR="00BB23CB" w:rsidRDefault="00BB23CB" w:rsidP="00BB23CB">
      <w:r>
        <w:t xml:space="preserve">We will then move on to an orientation </w:t>
      </w:r>
      <w:r w:rsidRPr="00CE731F">
        <w:t xml:space="preserve">for students in some of the key historiographical approaches we’ll be applying during this module. We’ll explore key issues surrounding the study of gender in history. Beginning with the influence of the women’s liberation and gay liberation movements in the 1970s and </w:t>
      </w:r>
      <w:proofErr w:type="gramStart"/>
      <w:r w:rsidRPr="00CE731F">
        <w:t>1980s, and</w:t>
      </w:r>
      <w:proofErr w:type="gramEnd"/>
      <w:r w:rsidRPr="00CE731F">
        <w:t xml:space="preserve"> exploring the impact of poststructuralist thought from the 1980s and 1990s, we’ll look at when and how questions of femininity, masculinity, and sexualities emerged as serious objects of historical study, challenging traditional focuses on elite (usually) white male histories.</w:t>
      </w:r>
    </w:p>
    <w:p w14:paraId="301A4B76" w14:textId="22BE553B" w:rsidR="00BB23CB" w:rsidRDefault="00BB23CB" w:rsidP="000137CB"/>
    <w:p w14:paraId="660DAE2A" w14:textId="77777777" w:rsidR="002F03E1" w:rsidRDefault="002F03E1" w:rsidP="002F03E1">
      <w:pPr>
        <w:rPr>
          <w:b/>
          <w:bCs/>
        </w:rPr>
      </w:pPr>
      <w:r>
        <w:rPr>
          <w:b/>
          <w:bCs/>
        </w:rPr>
        <w:t>To prepare for class:</w:t>
      </w:r>
    </w:p>
    <w:p w14:paraId="16EFEF49" w14:textId="7C0F14BC" w:rsidR="002F03E1" w:rsidRDefault="002F03E1" w:rsidP="0080776D">
      <w:pPr>
        <w:pStyle w:val="ListParagraph"/>
        <w:numPr>
          <w:ilvl w:val="0"/>
          <w:numId w:val="5"/>
        </w:numPr>
      </w:pPr>
      <w:r>
        <w:t xml:space="preserve">Please </w:t>
      </w:r>
      <w:r w:rsidR="00FE43DB">
        <w:t>familiarise</w:t>
      </w:r>
      <w:r>
        <w:t xml:space="preserve"> yourself with the contents of this handbook.</w:t>
      </w:r>
    </w:p>
    <w:p w14:paraId="67A713DA" w14:textId="77777777" w:rsidR="00BB23CB" w:rsidRPr="00BB23CB" w:rsidRDefault="00BB23CB" w:rsidP="00BB23CB">
      <w:pPr>
        <w:rPr>
          <w:b/>
          <w:bCs/>
        </w:rPr>
      </w:pPr>
      <w:r w:rsidRPr="00BB23CB">
        <w:rPr>
          <w:b/>
          <w:bCs/>
        </w:rPr>
        <w:t>Key reading:</w:t>
      </w:r>
    </w:p>
    <w:p w14:paraId="28E5B4C4" w14:textId="77777777" w:rsidR="00BB23CB" w:rsidRDefault="00BB23CB" w:rsidP="00BB23CB">
      <w:pPr>
        <w:pStyle w:val="ListParagraph"/>
        <w:numPr>
          <w:ilvl w:val="0"/>
          <w:numId w:val="5"/>
        </w:numPr>
      </w:pPr>
      <w:r w:rsidRPr="00CE731F">
        <w:t xml:space="preserve">Catherine Hall, </w:t>
      </w:r>
      <w:r w:rsidRPr="00BB23CB">
        <w:rPr>
          <w:i/>
          <w:iCs/>
        </w:rPr>
        <w:t xml:space="preserve">White, Male and Middle Class: Explorations in Feminism and History </w:t>
      </w:r>
      <w:r w:rsidRPr="00CE731F">
        <w:t>(Polity Press, 1992), chapter</w:t>
      </w:r>
      <w:r>
        <w:t xml:space="preserve"> 1, ‘Feminism and Feminist History’, pp. 10-48.</w:t>
      </w:r>
    </w:p>
    <w:p w14:paraId="0F548285" w14:textId="77777777" w:rsidR="00BB23CB" w:rsidRDefault="00BB23CB" w:rsidP="00BB23CB">
      <w:pPr>
        <w:pStyle w:val="ListParagraph"/>
        <w:numPr>
          <w:ilvl w:val="0"/>
          <w:numId w:val="5"/>
        </w:numPr>
      </w:pPr>
      <w:r>
        <w:t xml:space="preserve">Sonya O. Rose, </w:t>
      </w:r>
      <w:proofErr w:type="gramStart"/>
      <w:r w:rsidRPr="00BB23CB">
        <w:rPr>
          <w:i/>
          <w:iCs/>
        </w:rPr>
        <w:t>What</w:t>
      </w:r>
      <w:proofErr w:type="gramEnd"/>
      <w:r w:rsidRPr="00BB23CB">
        <w:rPr>
          <w:i/>
          <w:iCs/>
        </w:rPr>
        <w:t xml:space="preserve"> is Gender History? </w:t>
      </w:r>
      <w:r>
        <w:t xml:space="preserve">(Cambridge: Polity Press, 2010), especially Chapter 1. Available online here: </w:t>
      </w:r>
      <w:hyperlink r:id="rId16" w:history="1">
        <w:r w:rsidRPr="004B19C2">
          <w:rPr>
            <w:rStyle w:val="Hyperlink"/>
          </w:rPr>
          <w:t>What Is Gender History?</w:t>
        </w:r>
      </w:hyperlink>
    </w:p>
    <w:p w14:paraId="2DBDDBD4" w14:textId="77777777" w:rsidR="00BB23CB" w:rsidRDefault="00BB23CB" w:rsidP="00BB23CB">
      <w:pPr>
        <w:pStyle w:val="ListParagraph"/>
      </w:pPr>
    </w:p>
    <w:p w14:paraId="5FCCDFF8" w14:textId="12A0729D" w:rsidR="000137CB" w:rsidRDefault="000137CB" w:rsidP="000137CB">
      <w:pPr>
        <w:pStyle w:val="Heading3"/>
      </w:pPr>
      <w:r>
        <w:t xml:space="preserve">Session 2: </w:t>
      </w:r>
      <w:r w:rsidR="00A6666A">
        <w:t>Gender and Empire</w:t>
      </w:r>
    </w:p>
    <w:p w14:paraId="7CD50C58" w14:textId="60EC0BCD" w:rsidR="00A6666A" w:rsidRPr="00CE731F" w:rsidRDefault="00CE3C23" w:rsidP="00BB23CB">
      <w:r>
        <w:t xml:space="preserve">This session will </w:t>
      </w:r>
      <w:r w:rsidR="00BB23CB">
        <w:t>explore how gendered approaches</w:t>
      </w:r>
      <w:r>
        <w:t xml:space="preserve"> have been applied to the history of empire. </w:t>
      </w:r>
      <w:r w:rsidR="00A6666A" w:rsidRPr="00CE731F">
        <w:t xml:space="preserve">Historians of gender and empire have studied a range of topics: the social roles of men and women, gendered power dynamics, sexuality and the family, imperial masculinities, and gendered representations of colonised peoples. This </w:t>
      </w:r>
      <w:r>
        <w:t xml:space="preserve">section will look at how historians have </w:t>
      </w:r>
      <w:r w:rsidR="00A6666A" w:rsidRPr="00CE731F">
        <w:t xml:space="preserve">incorporated gendered analysis into the broader study of </w:t>
      </w:r>
      <w:proofErr w:type="gramStart"/>
      <w:r w:rsidR="00A6666A" w:rsidRPr="00CE731F">
        <w:t>empire, and</w:t>
      </w:r>
      <w:proofErr w:type="gramEnd"/>
      <w:r w:rsidR="00A6666A" w:rsidRPr="00CE731F">
        <w:t xml:space="preserve"> introduce some of the themes we will explore for the rest of this module.</w:t>
      </w:r>
    </w:p>
    <w:p w14:paraId="14478AAB" w14:textId="7CEFCBE4" w:rsidR="00A6666A" w:rsidRPr="00CE731F" w:rsidRDefault="00FE43DB" w:rsidP="00A6666A">
      <w:pPr>
        <w:rPr>
          <w:b/>
          <w:bCs/>
        </w:rPr>
      </w:pPr>
      <w:r>
        <w:rPr>
          <w:b/>
          <w:bCs/>
        </w:rPr>
        <w:t>Questions to consider</w:t>
      </w:r>
      <w:r w:rsidR="00A6666A" w:rsidRPr="00CE731F">
        <w:rPr>
          <w:b/>
          <w:bCs/>
        </w:rPr>
        <w:t>:</w:t>
      </w:r>
    </w:p>
    <w:p w14:paraId="279EB55D" w14:textId="77777777" w:rsidR="00CE3C23" w:rsidRPr="00CE731F" w:rsidRDefault="00CE3C23" w:rsidP="00CE3C23">
      <w:pPr>
        <w:pStyle w:val="ListParagraph"/>
        <w:numPr>
          <w:ilvl w:val="0"/>
          <w:numId w:val="2"/>
        </w:numPr>
      </w:pPr>
      <w:r w:rsidRPr="00CE731F">
        <w:t>What is the difference between women’s history and gender history?</w:t>
      </w:r>
    </w:p>
    <w:p w14:paraId="0EA08156" w14:textId="77777777" w:rsidR="00CE3C23" w:rsidRPr="00CE731F" w:rsidRDefault="00CE3C23" w:rsidP="00CE3C23">
      <w:pPr>
        <w:pStyle w:val="ListParagraph"/>
        <w:numPr>
          <w:ilvl w:val="0"/>
          <w:numId w:val="2"/>
        </w:numPr>
      </w:pPr>
      <w:r w:rsidRPr="00CE731F">
        <w:t>Why and how had women, gender and sexuality been excluded from traditional history?</w:t>
      </w:r>
    </w:p>
    <w:p w14:paraId="179F8EC7" w14:textId="77777777" w:rsidR="00A6666A" w:rsidRPr="00CE731F" w:rsidRDefault="00A6666A" w:rsidP="0080776D">
      <w:pPr>
        <w:pStyle w:val="ListParagraph"/>
        <w:numPr>
          <w:ilvl w:val="0"/>
          <w:numId w:val="2"/>
        </w:numPr>
      </w:pPr>
      <w:r w:rsidRPr="00CE731F">
        <w:t>How have historians of empire incorporated gender as a tool of analysis?</w:t>
      </w:r>
    </w:p>
    <w:p w14:paraId="5F3514CC" w14:textId="77777777" w:rsidR="00A6666A" w:rsidRPr="00CE731F" w:rsidRDefault="00A6666A" w:rsidP="0080776D">
      <w:pPr>
        <w:pStyle w:val="ListParagraph"/>
        <w:numPr>
          <w:ilvl w:val="0"/>
          <w:numId w:val="2"/>
        </w:numPr>
      </w:pPr>
      <w:r w:rsidRPr="00CE731F">
        <w:lastRenderedPageBreak/>
        <w:t>What are the benefits of incorporating gender into histories of empire?</w:t>
      </w:r>
    </w:p>
    <w:p w14:paraId="126BD245" w14:textId="77777777" w:rsidR="00A6666A" w:rsidRDefault="00A6666A" w:rsidP="0080776D">
      <w:pPr>
        <w:pStyle w:val="ListParagraph"/>
        <w:numPr>
          <w:ilvl w:val="0"/>
          <w:numId w:val="2"/>
        </w:numPr>
      </w:pPr>
      <w:r w:rsidRPr="00CE731F">
        <w:t>How have gender roles shaped and been shaped by colonialism?</w:t>
      </w:r>
    </w:p>
    <w:p w14:paraId="14CE2D74" w14:textId="1E6ADFDC" w:rsidR="00FE43DB" w:rsidRPr="00FE43DB" w:rsidRDefault="00FE43DB" w:rsidP="00FE43DB">
      <w:pPr>
        <w:rPr>
          <w:b/>
          <w:bCs/>
        </w:rPr>
      </w:pPr>
      <w:r>
        <w:rPr>
          <w:b/>
          <w:bCs/>
        </w:rPr>
        <w:t>To prepare for class:</w:t>
      </w:r>
    </w:p>
    <w:p w14:paraId="44B26B78" w14:textId="38E03BF4" w:rsidR="00FE43DB" w:rsidRDefault="00FE43DB" w:rsidP="00BB23CB">
      <w:pPr>
        <w:pStyle w:val="ListParagraph"/>
        <w:numPr>
          <w:ilvl w:val="0"/>
          <w:numId w:val="5"/>
        </w:numPr>
      </w:pPr>
      <w:r>
        <w:t>P</w:t>
      </w:r>
      <w:r w:rsidRPr="00E55B21">
        <w:t xml:space="preserve">lease read </w:t>
      </w:r>
      <w:r>
        <w:rPr>
          <w:b/>
          <w:bCs/>
        </w:rPr>
        <w:t xml:space="preserve">at least </w:t>
      </w:r>
      <w:r w:rsidR="00BB23CB">
        <w:rPr>
          <w:b/>
          <w:bCs/>
        </w:rPr>
        <w:t>one</w:t>
      </w:r>
      <w:r>
        <w:rPr>
          <w:b/>
          <w:bCs/>
        </w:rPr>
        <w:t xml:space="preserve"> </w:t>
      </w:r>
      <w:r>
        <w:t xml:space="preserve">of </w:t>
      </w:r>
      <w:r w:rsidRPr="00E55B21">
        <w:t>the key reading</w:t>
      </w:r>
      <w:r>
        <w:t>s</w:t>
      </w:r>
      <w:r w:rsidRPr="00E55B21">
        <w:t xml:space="preserve"> for the </w:t>
      </w:r>
      <w:r>
        <w:t>class</w:t>
      </w:r>
      <w:r w:rsidR="00BB23CB">
        <w:t>.</w:t>
      </w:r>
    </w:p>
    <w:p w14:paraId="0BD1BA81" w14:textId="47B8D813" w:rsidR="00FE43DB" w:rsidRDefault="00FE43DB" w:rsidP="0080776D">
      <w:pPr>
        <w:pStyle w:val="ListParagraph"/>
        <w:numPr>
          <w:ilvl w:val="0"/>
          <w:numId w:val="5"/>
        </w:numPr>
      </w:pPr>
      <w:r>
        <w:t xml:space="preserve">If you have time, you might want to explore some of the further reading listed. </w:t>
      </w:r>
    </w:p>
    <w:p w14:paraId="07ECAD86" w14:textId="77777777" w:rsidR="00FE43DB" w:rsidRDefault="00FE43DB" w:rsidP="0080776D">
      <w:pPr>
        <w:pStyle w:val="ListParagraph"/>
        <w:numPr>
          <w:ilvl w:val="0"/>
          <w:numId w:val="5"/>
        </w:numPr>
      </w:pPr>
      <w:r>
        <w:t xml:space="preserve">Bring your notes to class – you will be expected to draw on your reading in class exercises. </w:t>
      </w:r>
    </w:p>
    <w:p w14:paraId="7268000C" w14:textId="07AAD1B9" w:rsidR="00DE216D" w:rsidRDefault="00DE216D" w:rsidP="00CE3C23">
      <w:pPr>
        <w:rPr>
          <w:b/>
          <w:bCs/>
          <w:i/>
          <w:iCs/>
        </w:rPr>
      </w:pPr>
      <w:r>
        <w:rPr>
          <w:b/>
          <w:bCs/>
          <w:i/>
          <w:iCs/>
        </w:rPr>
        <w:t>Gender and Empire</w:t>
      </w:r>
    </w:p>
    <w:p w14:paraId="33AF6902" w14:textId="77777777" w:rsidR="00DE216D" w:rsidRPr="00CE731F" w:rsidRDefault="00DE216D" w:rsidP="00DE216D">
      <w:r w:rsidRPr="00CE731F">
        <w:t xml:space="preserve">Philippa Levine, ‘Introduction: Why Gender and Empire?’ in Philippa Levine (ed.), </w:t>
      </w:r>
      <w:r w:rsidRPr="00CE731F">
        <w:rPr>
          <w:i/>
          <w:iCs/>
        </w:rPr>
        <w:t xml:space="preserve">Gender and Empire </w:t>
      </w:r>
      <w:r w:rsidRPr="00CE731F">
        <w:t>(Oxford University Press, 2004), pp. 1-13.</w:t>
      </w:r>
    </w:p>
    <w:p w14:paraId="6B5C4C63" w14:textId="77777777" w:rsidR="00DE216D" w:rsidRPr="00CE731F" w:rsidRDefault="00DE216D" w:rsidP="00DE216D">
      <w:r w:rsidRPr="00DA5B5A">
        <w:t>Durba</w:t>
      </w:r>
      <w:r w:rsidRPr="00CE731F">
        <w:t xml:space="preserve"> Ghosh</w:t>
      </w:r>
      <w:r w:rsidRPr="00DA5B5A">
        <w:t>, 'Gender and Colonialism: Expansion or Marginalization?', </w:t>
      </w:r>
      <w:r w:rsidRPr="00DA5B5A">
        <w:rPr>
          <w:i/>
          <w:iCs/>
        </w:rPr>
        <w:t>The Historical Journal </w:t>
      </w:r>
      <w:r w:rsidRPr="00DA5B5A">
        <w:t>47.3 (2004), 737-755. </w:t>
      </w:r>
    </w:p>
    <w:p w14:paraId="688CF050" w14:textId="3542AD3A" w:rsidR="009B09C4" w:rsidRDefault="009B09C4" w:rsidP="009B09C4">
      <w:pPr>
        <w:rPr>
          <w:b/>
          <w:bCs/>
        </w:rPr>
      </w:pPr>
      <w:r w:rsidRPr="00CE731F">
        <w:rPr>
          <w:b/>
          <w:bCs/>
        </w:rPr>
        <w:t>Further reading</w:t>
      </w:r>
      <w:r w:rsidR="00DE216D">
        <w:rPr>
          <w:b/>
          <w:bCs/>
        </w:rPr>
        <w:t xml:space="preserve"> – Gender History</w:t>
      </w:r>
    </w:p>
    <w:p w14:paraId="0B3ED849" w14:textId="77777777" w:rsidR="00DE216D" w:rsidRPr="00CE731F" w:rsidRDefault="00DE216D" w:rsidP="00DE216D">
      <w:r w:rsidRPr="00CE731F">
        <w:t xml:space="preserve">Gisela Bock, ‘Challenging Dichotomies: Perspectives on Women’s History’, in Karen Offen, Ruth Roach Pierson and Jane Rendall (eds.), </w:t>
      </w:r>
      <w:r w:rsidRPr="00B938BC">
        <w:rPr>
          <w:i/>
          <w:iCs/>
        </w:rPr>
        <w:t xml:space="preserve">Writing Women’s History: International Perspectives </w:t>
      </w:r>
      <w:r w:rsidRPr="00CE731F">
        <w:t>(Indiana University Press, 1991), 1-24.</w:t>
      </w:r>
    </w:p>
    <w:p w14:paraId="04FC2BE2" w14:textId="77777777" w:rsidR="00DE216D" w:rsidRPr="00CE731F" w:rsidRDefault="00DE216D" w:rsidP="00DE216D">
      <w:r w:rsidRPr="00CE731F">
        <w:t xml:space="preserve">Antoinette Burton, ‘“History” Is Now: Feminist Theory and the Production of Historical Feminisms’, </w:t>
      </w:r>
      <w:r w:rsidRPr="00B938BC">
        <w:rPr>
          <w:i/>
          <w:iCs/>
        </w:rPr>
        <w:t xml:space="preserve">Women’s History Review </w:t>
      </w:r>
      <w:r w:rsidRPr="00CE731F">
        <w:t>1.1 (1992), 25-39.</w:t>
      </w:r>
    </w:p>
    <w:p w14:paraId="592C3BE4" w14:textId="77777777" w:rsidR="00DE216D" w:rsidRPr="00CE731F" w:rsidRDefault="00DE216D" w:rsidP="00DE216D">
      <w:r w:rsidRPr="00CE731F">
        <w:t xml:space="preserve">Judith Butler, </w:t>
      </w:r>
      <w:r w:rsidRPr="00B938BC">
        <w:rPr>
          <w:i/>
          <w:iCs/>
        </w:rPr>
        <w:t xml:space="preserve">Gender Trouble: Feminism and the Subversion of Identity </w:t>
      </w:r>
      <w:r w:rsidRPr="00CE731F">
        <w:t>(Routledge, 2007).</w:t>
      </w:r>
    </w:p>
    <w:p w14:paraId="11027BEA" w14:textId="77777777" w:rsidR="00DE216D" w:rsidRPr="00CE731F" w:rsidRDefault="00DE216D" w:rsidP="00DE216D">
      <w:r w:rsidRPr="00CE731F">
        <w:t xml:space="preserve">Judith Butler, </w:t>
      </w:r>
      <w:r w:rsidRPr="00B938BC">
        <w:rPr>
          <w:i/>
          <w:iCs/>
        </w:rPr>
        <w:t xml:space="preserve">Bodies That Matter: On the Discursive Limits of “Sex” </w:t>
      </w:r>
      <w:r w:rsidRPr="00CE731F">
        <w:t>(Routledge, 1993).</w:t>
      </w:r>
    </w:p>
    <w:p w14:paraId="27586A92" w14:textId="77777777" w:rsidR="00DE216D" w:rsidRPr="00CE731F" w:rsidRDefault="00DE216D" w:rsidP="00DE216D">
      <w:r w:rsidRPr="00CE731F">
        <w:t xml:space="preserve">Judith Butler, </w:t>
      </w:r>
      <w:r w:rsidRPr="00B938BC">
        <w:rPr>
          <w:i/>
          <w:iCs/>
        </w:rPr>
        <w:t xml:space="preserve">Undoing Gender </w:t>
      </w:r>
      <w:r w:rsidRPr="00CE731F">
        <w:t>(Routledge, 2004).</w:t>
      </w:r>
    </w:p>
    <w:p w14:paraId="05FD1D1D" w14:textId="77777777" w:rsidR="00DE216D" w:rsidRPr="00CE731F" w:rsidRDefault="00DE216D" w:rsidP="00DE216D">
      <w:r w:rsidRPr="00CE731F">
        <w:t xml:space="preserve">Kathleen Canning, ‘Feminist History after the Linguistic Turn: Historicising Discourse and Experience’, </w:t>
      </w:r>
      <w:r w:rsidRPr="00B938BC">
        <w:rPr>
          <w:i/>
          <w:iCs/>
        </w:rPr>
        <w:t xml:space="preserve">Signs </w:t>
      </w:r>
      <w:r w:rsidRPr="00CE731F">
        <w:t>19.2 (1994), 368-404.</w:t>
      </w:r>
    </w:p>
    <w:p w14:paraId="5A528C3E" w14:textId="77777777" w:rsidR="00DE216D" w:rsidRPr="00CE731F" w:rsidRDefault="00DE216D" w:rsidP="00DE216D">
      <w:r w:rsidRPr="00CE731F">
        <w:t xml:space="preserve">Kathleen Canning, ‘The Body as Method? Reflections on the Place of the Body in Gender History’, </w:t>
      </w:r>
      <w:r w:rsidRPr="00B938BC">
        <w:rPr>
          <w:i/>
          <w:iCs/>
        </w:rPr>
        <w:t xml:space="preserve">Gender and History </w:t>
      </w:r>
      <w:r w:rsidRPr="00CE731F">
        <w:t>11.3 (1999), 499-513.</w:t>
      </w:r>
    </w:p>
    <w:p w14:paraId="2BDB14E5" w14:textId="77777777" w:rsidR="00DE216D" w:rsidRPr="00CE731F" w:rsidRDefault="00DE216D" w:rsidP="00DE216D">
      <w:r w:rsidRPr="00CE731F">
        <w:t xml:space="preserve">R. W. Connell, ‘The Big Picture: Masculinities in Recent World History’, </w:t>
      </w:r>
      <w:r w:rsidRPr="00B938BC">
        <w:rPr>
          <w:i/>
          <w:iCs/>
        </w:rPr>
        <w:t xml:space="preserve">Theory and Society </w:t>
      </w:r>
      <w:r w:rsidRPr="00CE731F">
        <w:t>22.5 (1993), 597-623.</w:t>
      </w:r>
    </w:p>
    <w:p w14:paraId="0EBD5E06" w14:textId="77777777" w:rsidR="00DE216D" w:rsidRPr="00B938BC" w:rsidRDefault="00DE216D" w:rsidP="00DE216D">
      <w:pPr>
        <w:rPr>
          <w:lang w:val="fr-FR"/>
        </w:rPr>
      </w:pPr>
      <w:r w:rsidRPr="00B938BC">
        <w:rPr>
          <w:lang w:val="fr-FR"/>
        </w:rPr>
        <w:t xml:space="preserve">R. W. Connell, </w:t>
      </w:r>
      <w:proofErr w:type="spellStart"/>
      <w:r w:rsidRPr="00B938BC">
        <w:rPr>
          <w:i/>
          <w:iCs/>
          <w:lang w:val="fr-FR"/>
        </w:rPr>
        <w:t>Masculinities</w:t>
      </w:r>
      <w:proofErr w:type="spellEnd"/>
      <w:r w:rsidRPr="00B938BC">
        <w:rPr>
          <w:i/>
          <w:iCs/>
          <w:lang w:val="fr-FR"/>
        </w:rPr>
        <w:t xml:space="preserve"> </w:t>
      </w:r>
      <w:r w:rsidRPr="00B938BC">
        <w:rPr>
          <w:lang w:val="fr-FR"/>
        </w:rPr>
        <w:t>(</w:t>
      </w:r>
      <w:proofErr w:type="spellStart"/>
      <w:r w:rsidRPr="00B938BC">
        <w:rPr>
          <w:lang w:val="fr-FR"/>
        </w:rPr>
        <w:t>Polity</w:t>
      </w:r>
      <w:proofErr w:type="spellEnd"/>
      <w:r w:rsidRPr="00B938BC">
        <w:rPr>
          <w:lang w:val="fr-FR"/>
        </w:rPr>
        <w:t>, 2005).</w:t>
      </w:r>
    </w:p>
    <w:p w14:paraId="11CCD4F0" w14:textId="77777777" w:rsidR="00DE216D" w:rsidRPr="00CE731F" w:rsidRDefault="00DE216D" w:rsidP="00DE216D">
      <w:r w:rsidRPr="00CE731F">
        <w:t xml:space="preserve">R. W. Connell, </w:t>
      </w:r>
      <w:r w:rsidRPr="00B938BC">
        <w:rPr>
          <w:i/>
          <w:iCs/>
        </w:rPr>
        <w:t xml:space="preserve">Gender and Power: Society, The Person, and Sexual Politics </w:t>
      </w:r>
      <w:r w:rsidRPr="00CE731F">
        <w:t>(Polity, 1996).</w:t>
      </w:r>
    </w:p>
    <w:p w14:paraId="7A11BCF9" w14:textId="77777777" w:rsidR="00DE216D" w:rsidRPr="00CE731F" w:rsidRDefault="00DE216D" w:rsidP="00DE216D">
      <w:r w:rsidRPr="00CE731F">
        <w:t xml:space="preserve">Mary Dietz, ‘Citizenship with a Feminist Face: The Problem with Maternal Thinking’ in Joan Landes (ed.), </w:t>
      </w:r>
      <w:r w:rsidRPr="00B938BC">
        <w:rPr>
          <w:i/>
          <w:iCs/>
        </w:rPr>
        <w:t xml:space="preserve">Feminism: The Public and the Private </w:t>
      </w:r>
      <w:r w:rsidRPr="00CE731F">
        <w:t>(Oxford University Press, 1998), pp. 45-64.</w:t>
      </w:r>
    </w:p>
    <w:p w14:paraId="158B88BB" w14:textId="77777777" w:rsidR="00DE216D" w:rsidRDefault="00DE216D" w:rsidP="00DE216D">
      <w:r w:rsidRPr="00CE731F">
        <w:lastRenderedPageBreak/>
        <w:t xml:space="preserve">Mike Donaldson, ‘What is Hegemonic Masculinity?’, </w:t>
      </w:r>
      <w:r w:rsidRPr="00B938BC">
        <w:rPr>
          <w:i/>
          <w:iCs/>
        </w:rPr>
        <w:t xml:space="preserve">Theory and Society </w:t>
      </w:r>
      <w:r w:rsidRPr="00CE731F">
        <w:t>22.5 (1993), 643-657.</w:t>
      </w:r>
    </w:p>
    <w:p w14:paraId="2509338B" w14:textId="77777777" w:rsidR="00DE216D" w:rsidRPr="00CE731F" w:rsidRDefault="00DE216D" w:rsidP="00DE216D">
      <w:r w:rsidRPr="00CE731F">
        <w:t xml:space="preserve">Laura Downs, ‘From Women’s History to Gender History’ in S.  Berger, H. Feldner and K. Passmore (eds.), </w:t>
      </w:r>
      <w:r w:rsidRPr="00B938BC">
        <w:rPr>
          <w:i/>
          <w:iCs/>
        </w:rPr>
        <w:t xml:space="preserve">Writing History: Theory and Practice </w:t>
      </w:r>
      <w:r w:rsidRPr="00CE731F">
        <w:t>(2003).</w:t>
      </w:r>
    </w:p>
    <w:p w14:paraId="6D0B2B84" w14:textId="77777777" w:rsidR="00DE216D" w:rsidRPr="00CE731F" w:rsidRDefault="00DE216D" w:rsidP="00DE216D">
      <w:r w:rsidRPr="00CE731F">
        <w:t xml:space="preserve">Karen Hagemann and Maria Teresa Fernandez-Aceves, ‘History Practice: Gendering Trans/national Historiographies: Similarities and Differences in Comparison – Introduction’, </w:t>
      </w:r>
      <w:r w:rsidRPr="00B938BC">
        <w:rPr>
          <w:i/>
          <w:iCs/>
        </w:rPr>
        <w:t xml:space="preserve">Journal of Women’s History </w:t>
      </w:r>
      <w:r w:rsidRPr="00CE731F">
        <w:t>19.1 (2007).</w:t>
      </w:r>
    </w:p>
    <w:p w14:paraId="609166DB" w14:textId="77777777" w:rsidR="00DE216D" w:rsidRPr="00CE731F" w:rsidRDefault="00DE216D" w:rsidP="00DE216D">
      <w:r w:rsidRPr="00CE731F">
        <w:t xml:space="preserve">Joan Hoff, ‘Gender as a Postmodern Category of Paralysis’, </w:t>
      </w:r>
      <w:r w:rsidRPr="00B938BC">
        <w:rPr>
          <w:i/>
          <w:iCs/>
        </w:rPr>
        <w:t xml:space="preserve">Women’s History Review </w:t>
      </w:r>
      <w:r w:rsidRPr="00CE731F">
        <w:t>3.2 (1994), 149-168.</w:t>
      </w:r>
    </w:p>
    <w:p w14:paraId="4523BBCC" w14:textId="77777777" w:rsidR="00DE216D" w:rsidRPr="00CE731F" w:rsidRDefault="00DE216D" w:rsidP="00DE216D">
      <w:r w:rsidRPr="00CE731F">
        <w:t xml:space="preserve">Matt Houlbrook, Katie Jones and Ben </w:t>
      </w:r>
      <w:proofErr w:type="spellStart"/>
      <w:r w:rsidRPr="00CE731F">
        <w:t>Mechen</w:t>
      </w:r>
      <w:proofErr w:type="spellEnd"/>
      <w:r w:rsidRPr="00CE731F">
        <w:t xml:space="preserve"> (eds.), </w:t>
      </w:r>
      <w:r w:rsidRPr="00B938BC">
        <w:rPr>
          <w:i/>
          <w:iCs/>
        </w:rPr>
        <w:t xml:space="preserve">Men and Masculinities in Modern Britain: A History for the Present </w:t>
      </w:r>
      <w:r w:rsidRPr="00CE731F">
        <w:t>(Manchester University Press, 2024).</w:t>
      </w:r>
    </w:p>
    <w:p w14:paraId="06E84B98" w14:textId="77777777" w:rsidR="00DE216D" w:rsidRPr="00CE731F" w:rsidRDefault="00DE216D" w:rsidP="00DE216D">
      <w:r w:rsidRPr="00CE731F">
        <w:t xml:space="preserve">Joan Kelly, </w:t>
      </w:r>
      <w:r w:rsidRPr="00B938BC">
        <w:rPr>
          <w:i/>
          <w:iCs/>
        </w:rPr>
        <w:t xml:space="preserve">Women, History and Theory: The Essays of Joan Kelly </w:t>
      </w:r>
      <w:r w:rsidRPr="00CE731F">
        <w:t>(University of Chicago Press, 1984).</w:t>
      </w:r>
    </w:p>
    <w:p w14:paraId="18A8A877" w14:textId="77777777" w:rsidR="00DE216D" w:rsidRPr="00CE731F" w:rsidRDefault="00DE216D" w:rsidP="00DE216D">
      <w:r w:rsidRPr="00CE731F">
        <w:t xml:space="preserve">Gerda Lerner, ‘Placing Women in History: Definitions and Challenges’, </w:t>
      </w:r>
      <w:r w:rsidRPr="00B938BC">
        <w:rPr>
          <w:i/>
          <w:iCs/>
        </w:rPr>
        <w:t xml:space="preserve">Feminist Studies </w:t>
      </w:r>
      <w:r w:rsidRPr="00CE731F">
        <w:t>3.1 (1975), 5-14.</w:t>
      </w:r>
    </w:p>
    <w:p w14:paraId="19539115" w14:textId="77777777" w:rsidR="00DE216D" w:rsidRPr="00CE731F" w:rsidRDefault="00DE216D" w:rsidP="00DE216D">
      <w:r w:rsidRPr="00CE731F">
        <w:t xml:space="preserve">Gerda Lerner, </w:t>
      </w:r>
      <w:r w:rsidRPr="00B938BC">
        <w:rPr>
          <w:i/>
          <w:iCs/>
        </w:rPr>
        <w:t xml:space="preserve">The Creation of Patriarchy </w:t>
      </w:r>
      <w:r w:rsidRPr="00CE731F">
        <w:t>(Oxford University Press, 1986).</w:t>
      </w:r>
    </w:p>
    <w:p w14:paraId="35F1A0C8" w14:textId="77777777" w:rsidR="00DE216D" w:rsidRPr="00CE731F" w:rsidRDefault="00DE216D" w:rsidP="00DE216D">
      <w:r w:rsidRPr="00CE731F">
        <w:t xml:space="preserve">Karen Offen, ‘Defining Feminism: A Comparative Historical Approach’, </w:t>
      </w:r>
      <w:r w:rsidRPr="00B938BC">
        <w:rPr>
          <w:i/>
          <w:iCs/>
        </w:rPr>
        <w:t xml:space="preserve">Signs </w:t>
      </w:r>
      <w:r w:rsidRPr="00CE731F">
        <w:t>14.1 (1988), 119-157.</w:t>
      </w:r>
    </w:p>
    <w:p w14:paraId="11B1DD72" w14:textId="77777777" w:rsidR="00DE216D" w:rsidRPr="00CE731F" w:rsidRDefault="00DE216D" w:rsidP="00DE216D">
      <w:r w:rsidRPr="00CE731F">
        <w:t xml:space="preserve">Mary Poovey, ‘Feminism and Deconstruction’, </w:t>
      </w:r>
      <w:r w:rsidRPr="00B938BC">
        <w:rPr>
          <w:i/>
          <w:iCs/>
        </w:rPr>
        <w:t xml:space="preserve">Feminist Studies </w:t>
      </w:r>
      <w:r w:rsidRPr="00CE731F">
        <w:t>14.1 (1988), 51-65.</w:t>
      </w:r>
    </w:p>
    <w:p w14:paraId="6F890826" w14:textId="77777777" w:rsidR="00DE216D" w:rsidRPr="00CE731F" w:rsidRDefault="00DE216D" w:rsidP="00DE216D">
      <w:r w:rsidRPr="00CE731F">
        <w:t xml:space="preserve">Denise Riley, </w:t>
      </w:r>
      <w:r w:rsidRPr="00B938BC">
        <w:rPr>
          <w:i/>
          <w:iCs/>
        </w:rPr>
        <w:t>“Am I That Name?”: Feminism and the Category of “Women” in History</w:t>
      </w:r>
      <w:r w:rsidRPr="00CE731F">
        <w:t>, (Macmillan, 1988).</w:t>
      </w:r>
    </w:p>
    <w:p w14:paraId="770A7A4F" w14:textId="77777777" w:rsidR="00DE216D" w:rsidRPr="00CE731F" w:rsidRDefault="00DE216D" w:rsidP="00DE216D">
      <w:r w:rsidRPr="00CE731F">
        <w:t xml:space="preserve">Gayle Rubin, ‘Thinking Sex: Notes for a Radical Theory of the Politics of Sexuality’ in Carole Vance (ed.), </w:t>
      </w:r>
      <w:r w:rsidRPr="00B938BC">
        <w:rPr>
          <w:i/>
          <w:iCs/>
        </w:rPr>
        <w:t xml:space="preserve">Pleasure and Danger: Exploring Female Sexuality </w:t>
      </w:r>
      <w:r w:rsidRPr="00CE731F">
        <w:t>(Routledge, 1984).</w:t>
      </w:r>
    </w:p>
    <w:p w14:paraId="6803271A" w14:textId="77777777" w:rsidR="00DE216D" w:rsidRPr="00CE731F" w:rsidRDefault="00DE216D" w:rsidP="00DE216D">
      <w:r w:rsidRPr="00CE731F">
        <w:t xml:space="preserve">Leila Rupp, ‘Whiggish Thinking About Transnational Women’s History and Queer History’, </w:t>
      </w:r>
      <w:r w:rsidRPr="00B938BC">
        <w:rPr>
          <w:i/>
          <w:iCs/>
        </w:rPr>
        <w:t xml:space="preserve">Journal of Women’s History </w:t>
      </w:r>
      <w:r w:rsidRPr="00CE731F">
        <w:t>29.1 (2017), 165-168.</w:t>
      </w:r>
    </w:p>
    <w:p w14:paraId="5BFFFAC4" w14:textId="77777777" w:rsidR="00DE216D" w:rsidRPr="00CE731F" w:rsidRDefault="00DE216D" w:rsidP="00DE216D">
      <w:r w:rsidRPr="00CE731F">
        <w:t xml:space="preserve">Leila Rupp, ‘The Future of Women’s History’, </w:t>
      </w:r>
      <w:r w:rsidRPr="00B938BC">
        <w:rPr>
          <w:i/>
          <w:iCs/>
        </w:rPr>
        <w:t xml:space="preserve">Journal of Women’s History </w:t>
      </w:r>
      <w:r w:rsidRPr="00CE731F">
        <w:t>16.2 (2004).</w:t>
      </w:r>
    </w:p>
    <w:p w14:paraId="064427BE" w14:textId="77777777" w:rsidR="00DE216D" w:rsidRPr="00CE731F" w:rsidRDefault="00DE216D" w:rsidP="00DE216D">
      <w:r w:rsidRPr="00CE731F">
        <w:t xml:space="preserve">Leila Rupp, ‘Women’s History in the New Millennium’, </w:t>
      </w:r>
      <w:r w:rsidRPr="00B938BC">
        <w:rPr>
          <w:i/>
          <w:iCs/>
        </w:rPr>
        <w:t xml:space="preserve">Journal of Women’s History </w:t>
      </w:r>
      <w:r w:rsidRPr="00CE731F">
        <w:t>16.1 (2004).</w:t>
      </w:r>
    </w:p>
    <w:p w14:paraId="7FB56522" w14:textId="77777777" w:rsidR="00DE216D" w:rsidRPr="00CE731F" w:rsidRDefault="00DE216D" w:rsidP="00DE216D">
      <w:r w:rsidRPr="00CE731F">
        <w:t xml:space="preserve">Leila Rupp, ‘Women’s History in the New Millennium: Rethinking Public and Private – Continuing the Conversation’, </w:t>
      </w:r>
      <w:r w:rsidRPr="00B938BC">
        <w:rPr>
          <w:i/>
          <w:iCs/>
        </w:rPr>
        <w:t xml:space="preserve">Journal of Women’s History </w:t>
      </w:r>
      <w:r w:rsidRPr="00CE731F">
        <w:t>15.2 (2003).</w:t>
      </w:r>
    </w:p>
    <w:p w14:paraId="6CF5C3A2" w14:textId="77777777" w:rsidR="00DE216D" w:rsidRPr="00CE731F" w:rsidRDefault="00DE216D" w:rsidP="00DE216D">
      <w:r w:rsidRPr="00CE731F">
        <w:t xml:space="preserve">Joan Scott, ‘The Evidence of Experience’, </w:t>
      </w:r>
      <w:r w:rsidRPr="00B938BC">
        <w:rPr>
          <w:i/>
          <w:iCs/>
        </w:rPr>
        <w:t xml:space="preserve">Critical Inquiry </w:t>
      </w:r>
      <w:r w:rsidRPr="00CE731F">
        <w:t>17.4 (1991), 773-797.</w:t>
      </w:r>
    </w:p>
    <w:p w14:paraId="2B5F087A" w14:textId="77777777" w:rsidR="00DE216D" w:rsidRPr="00CE731F" w:rsidRDefault="00DE216D" w:rsidP="00DE216D">
      <w:r w:rsidRPr="00CE731F">
        <w:t xml:space="preserve">Joan Scott, </w:t>
      </w:r>
      <w:r w:rsidRPr="00B938BC">
        <w:rPr>
          <w:i/>
          <w:iCs/>
        </w:rPr>
        <w:t xml:space="preserve">Gender and the Politics of History </w:t>
      </w:r>
      <w:r w:rsidRPr="00CE731F">
        <w:t>(Columbia University Press, 1999).</w:t>
      </w:r>
    </w:p>
    <w:p w14:paraId="77D4F613" w14:textId="77777777" w:rsidR="00DE216D" w:rsidRDefault="00DE216D" w:rsidP="00DE216D">
      <w:r w:rsidRPr="00CE731F">
        <w:lastRenderedPageBreak/>
        <w:t xml:space="preserve">Joan Scott (ed.), </w:t>
      </w:r>
      <w:r w:rsidRPr="00B938BC">
        <w:rPr>
          <w:i/>
          <w:iCs/>
        </w:rPr>
        <w:t xml:space="preserve">Feminism and History </w:t>
      </w:r>
      <w:r w:rsidRPr="00CE731F">
        <w:t>(Oxford University Press, 1996).</w:t>
      </w:r>
    </w:p>
    <w:p w14:paraId="3FF13B3A" w14:textId="77777777" w:rsidR="00DE216D" w:rsidRPr="00CE731F" w:rsidRDefault="00DE216D" w:rsidP="00DE216D">
      <w:r w:rsidRPr="00CE731F">
        <w:t xml:space="preserve">Joan Scott, ‘Gender: A Useful Category of Historical Analysis’, </w:t>
      </w:r>
      <w:r w:rsidRPr="00B938BC">
        <w:rPr>
          <w:i/>
          <w:iCs/>
        </w:rPr>
        <w:t xml:space="preserve">American Historical Review </w:t>
      </w:r>
      <w:r w:rsidRPr="00CE731F">
        <w:t>91.5 (1986), 1053-1075.</w:t>
      </w:r>
    </w:p>
    <w:p w14:paraId="2479F185" w14:textId="77777777" w:rsidR="00DE216D" w:rsidRPr="00CE731F" w:rsidRDefault="00DE216D" w:rsidP="00DE216D">
      <w:r w:rsidRPr="00CE731F">
        <w:t xml:space="preserve">Alexandra Shepard et al, ‘Gender and Change: Agency, Chronology and Periodisation’, </w:t>
      </w:r>
      <w:r w:rsidRPr="00B938BC">
        <w:rPr>
          <w:i/>
          <w:iCs/>
        </w:rPr>
        <w:t xml:space="preserve">Gender and History </w:t>
      </w:r>
      <w:r w:rsidRPr="00CE731F">
        <w:t>20.3 (2008), 453-462.</w:t>
      </w:r>
    </w:p>
    <w:p w14:paraId="75333FCC" w14:textId="77777777" w:rsidR="00DE216D" w:rsidRPr="00CE731F" w:rsidRDefault="00DE216D" w:rsidP="00DE216D">
      <w:r w:rsidRPr="00CE731F">
        <w:t xml:space="preserve">Bonnie G. Smith, </w:t>
      </w:r>
      <w:r w:rsidRPr="00B938BC">
        <w:rPr>
          <w:i/>
          <w:iCs/>
        </w:rPr>
        <w:t xml:space="preserve">The Gender of History: Men, Women and Historical Practice </w:t>
      </w:r>
      <w:r w:rsidRPr="00CE731F">
        <w:t>(Harvard University Press, 2000).</w:t>
      </w:r>
    </w:p>
    <w:p w14:paraId="4A237610" w14:textId="77777777" w:rsidR="00DE216D" w:rsidRPr="00CE731F" w:rsidRDefault="00DE216D" w:rsidP="00DE216D">
      <w:r w:rsidRPr="00CE731F">
        <w:t xml:space="preserve">Eric Weitz et al, ‘AHR Forum: </w:t>
      </w:r>
      <w:proofErr w:type="gramStart"/>
      <w:r w:rsidRPr="00CE731F">
        <w:t>Revisiting ”Gender</w:t>
      </w:r>
      <w:proofErr w:type="gramEnd"/>
      <w:r w:rsidRPr="00CE731F">
        <w:t xml:space="preserve">: A Useful Category of Historical Analysis”’, </w:t>
      </w:r>
      <w:r w:rsidRPr="00B938BC">
        <w:rPr>
          <w:i/>
          <w:iCs/>
        </w:rPr>
        <w:t xml:space="preserve">American Historical Review </w:t>
      </w:r>
      <w:r w:rsidRPr="00CE731F">
        <w:t>113.5 2008), 1344-1430.</w:t>
      </w:r>
    </w:p>
    <w:p w14:paraId="4D750E84" w14:textId="77777777" w:rsidR="00DE216D" w:rsidRPr="00CE731F" w:rsidRDefault="00DE216D" w:rsidP="00DE216D">
      <w:r w:rsidRPr="00CE731F">
        <w:t xml:space="preserve">Natalie Zemon Davis, ‘“Women’s History” in Transition: The European Case’, </w:t>
      </w:r>
      <w:r w:rsidRPr="00B938BC">
        <w:rPr>
          <w:i/>
          <w:iCs/>
        </w:rPr>
        <w:t xml:space="preserve">Feminist Studies </w:t>
      </w:r>
      <w:r w:rsidRPr="00CE731F">
        <w:t>3:1 (1976), 83-103.</w:t>
      </w:r>
    </w:p>
    <w:p w14:paraId="340950A9" w14:textId="12A7EF37" w:rsidR="00DE216D" w:rsidRPr="00DE216D" w:rsidRDefault="00DE216D" w:rsidP="009B09C4">
      <w:pPr>
        <w:rPr>
          <w:b/>
          <w:bCs/>
          <w:i/>
          <w:iCs/>
        </w:rPr>
      </w:pPr>
      <w:r>
        <w:rPr>
          <w:b/>
          <w:bCs/>
          <w:i/>
          <w:iCs/>
        </w:rPr>
        <w:t>Further Reading – Gender and Empire</w:t>
      </w:r>
    </w:p>
    <w:p w14:paraId="1C8E8B98" w14:textId="77777777" w:rsidR="00A6666A" w:rsidRPr="00CE731F" w:rsidRDefault="00A6666A" w:rsidP="00A6666A">
      <w:r w:rsidRPr="00CE731F">
        <w:t xml:space="preserve">Iris Berger, ‘Feminism, Patriarchy and African Women’s History’, </w:t>
      </w:r>
      <w:r w:rsidRPr="00CE731F">
        <w:rPr>
          <w:i/>
          <w:iCs/>
        </w:rPr>
        <w:t xml:space="preserve">Journal of Women’s History </w:t>
      </w:r>
      <w:r w:rsidRPr="00CE731F">
        <w:t>20.2 (2008), 130-135.</w:t>
      </w:r>
    </w:p>
    <w:p w14:paraId="5162001E" w14:textId="77777777" w:rsidR="00A6666A" w:rsidRDefault="00A6666A" w:rsidP="00A6666A">
      <w:r w:rsidRPr="00CE731F">
        <w:t xml:space="preserve">Chandra Talpade Mohanty, ‘Under Western Eyes: Feminist Scholarship and Colonial Discourses’ in Chandra Talpade Mohanty, Ann Russo, and Lourdes Torres (eds.), </w:t>
      </w:r>
      <w:r w:rsidRPr="00CE731F">
        <w:rPr>
          <w:i/>
          <w:iCs/>
        </w:rPr>
        <w:t xml:space="preserve">Third World Women and the Politics of Feminism </w:t>
      </w:r>
      <w:r w:rsidRPr="00CE731F">
        <w:t xml:space="preserve">(Indiana University Press, 1991), </w:t>
      </w:r>
    </w:p>
    <w:p w14:paraId="37AB6DB8" w14:textId="77777777" w:rsidR="00A6666A" w:rsidRDefault="00A6666A" w:rsidP="00A6666A">
      <w:proofErr w:type="spellStart"/>
      <w:r>
        <w:t>Oyewumi</w:t>
      </w:r>
      <w:proofErr w:type="spellEnd"/>
      <w:r>
        <w:t xml:space="preserve"> Oyeronke, ‘Conceptualising Gender: The Eurocentric Foundations of Feminist Concepts and the Challenge of African Epistemologies’, </w:t>
      </w:r>
      <w:r>
        <w:rPr>
          <w:i/>
          <w:iCs/>
        </w:rPr>
        <w:t xml:space="preserve">Jenda </w:t>
      </w:r>
      <w:r>
        <w:t xml:space="preserve">2.1 (2002), </w:t>
      </w:r>
      <w:hyperlink r:id="rId17" w:history="1">
        <w:r w:rsidRPr="00D6058A">
          <w:rPr>
            <w:rStyle w:val="Hyperlink"/>
          </w:rPr>
          <w:t>www.jendajournal.com</w:t>
        </w:r>
      </w:hyperlink>
    </w:p>
    <w:p w14:paraId="65185810" w14:textId="77777777" w:rsidR="00A6666A" w:rsidRPr="00CE731F" w:rsidRDefault="00A6666A" w:rsidP="00A6666A">
      <w:r w:rsidRPr="00CE731F">
        <w:t xml:space="preserve">Francis Akena, ‘Critical Analysis of the Production of Western Knowledge and Its Implications for Indigenous Knowledge and Decolonization’, </w:t>
      </w:r>
      <w:r w:rsidRPr="00CE731F">
        <w:rPr>
          <w:i/>
          <w:iCs/>
        </w:rPr>
        <w:t xml:space="preserve">Journal of Black Studies </w:t>
      </w:r>
      <w:r w:rsidRPr="00CE731F">
        <w:t>43.6 (2012), 599-619.</w:t>
      </w:r>
    </w:p>
    <w:p w14:paraId="71F75B51" w14:textId="77777777" w:rsidR="00A6666A" w:rsidRPr="00CE731F" w:rsidRDefault="00A6666A" w:rsidP="00A6666A">
      <w:r w:rsidRPr="00DA5B5A">
        <w:t>Tony</w:t>
      </w:r>
      <w:r w:rsidRPr="00CE731F">
        <w:t xml:space="preserve"> Ballantyne</w:t>
      </w:r>
      <w:r w:rsidRPr="00DA5B5A">
        <w:t xml:space="preserve"> and Antoinette Burton, </w:t>
      </w:r>
      <w:r w:rsidRPr="00DA5B5A">
        <w:rPr>
          <w:i/>
          <w:iCs/>
        </w:rPr>
        <w:t>Bodies in Contact: Rethinking Colonial Encounters in World History </w:t>
      </w:r>
      <w:r w:rsidRPr="00DA5B5A">
        <w:t>(Duke University Press, 2005).</w:t>
      </w:r>
    </w:p>
    <w:p w14:paraId="397715C8" w14:textId="77777777" w:rsidR="00A6666A" w:rsidRPr="00DA5B5A" w:rsidRDefault="00A6666A" w:rsidP="00A6666A">
      <w:r w:rsidRPr="00CE731F">
        <w:t xml:space="preserve">Antoinette Burton, ‘South Asian Women, Gender and Transnationalism’, </w:t>
      </w:r>
      <w:r w:rsidRPr="00CE731F">
        <w:rPr>
          <w:i/>
          <w:iCs/>
        </w:rPr>
        <w:t xml:space="preserve">Journal of Women’s History </w:t>
      </w:r>
      <w:r w:rsidRPr="00CE731F">
        <w:t>14.4 (2003), 196-201.</w:t>
      </w:r>
    </w:p>
    <w:p w14:paraId="288B6E1A" w14:textId="77777777" w:rsidR="00A6666A" w:rsidRPr="00CE731F" w:rsidRDefault="00A6666A" w:rsidP="00A6666A">
      <w:r w:rsidRPr="00DA5B5A">
        <w:t>Nupur</w:t>
      </w:r>
      <w:r w:rsidRPr="00CE731F">
        <w:t xml:space="preserve"> Chaudhuri</w:t>
      </w:r>
      <w:r w:rsidRPr="00DA5B5A">
        <w:t xml:space="preserve"> and Margaret Strobel (eds.), </w:t>
      </w:r>
      <w:r w:rsidRPr="00DA5B5A">
        <w:rPr>
          <w:i/>
          <w:iCs/>
        </w:rPr>
        <w:t>Western Women and Imperialism: Complicity and Resistance </w:t>
      </w:r>
      <w:r w:rsidRPr="00DA5B5A">
        <w:t>(Indiana University Press, 1992). </w:t>
      </w:r>
    </w:p>
    <w:p w14:paraId="080BAA20" w14:textId="77777777" w:rsidR="00A6666A" w:rsidRPr="00CE731F" w:rsidRDefault="00A6666A" w:rsidP="00A6666A">
      <w:r w:rsidRPr="00CE731F">
        <w:t>Sudhir Chandra</w:t>
      </w:r>
      <w:r w:rsidRPr="00CE731F">
        <w:rPr>
          <w:i/>
          <w:iCs/>
        </w:rPr>
        <w:t xml:space="preserve">, Enslaved Daughters: Colonialism, Law and Women’s Rights </w:t>
      </w:r>
      <w:r w:rsidRPr="00CE731F">
        <w:t>(Oxford University Press, 2008).</w:t>
      </w:r>
    </w:p>
    <w:p w14:paraId="428A3676" w14:textId="77777777" w:rsidR="00A6666A" w:rsidRPr="00CE731F" w:rsidRDefault="00A6666A" w:rsidP="00A6666A">
      <w:r w:rsidRPr="00CE731F">
        <w:t xml:space="preserve">Partha Chatterjee, </w:t>
      </w:r>
      <w:r w:rsidRPr="00CE731F">
        <w:rPr>
          <w:i/>
          <w:iCs/>
        </w:rPr>
        <w:t>The Nation and its Fragments: colonial and postcolonial histories</w:t>
      </w:r>
      <w:r w:rsidRPr="00CE731F">
        <w:t xml:space="preserve"> (Princeton University Press, 1993) </w:t>
      </w:r>
    </w:p>
    <w:p w14:paraId="4B58267B" w14:textId="77777777" w:rsidR="00A6666A" w:rsidRPr="00CE731F" w:rsidRDefault="00A6666A" w:rsidP="00A6666A">
      <w:r w:rsidRPr="00DA5B5A">
        <w:lastRenderedPageBreak/>
        <w:t>Frederick</w:t>
      </w:r>
      <w:r w:rsidRPr="00CE731F">
        <w:t xml:space="preserve"> Cooper</w:t>
      </w:r>
      <w:r w:rsidRPr="00DA5B5A">
        <w:t xml:space="preserve"> and Ann Laura Stoler (eds), </w:t>
      </w:r>
      <w:r w:rsidRPr="00DA5B5A">
        <w:rPr>
          <w:i/>
          <w:iCs/>
        </w:rPr>
        <w:t>Tensions of Empire: Colonial Cultures in a Bourgeois World</w:t>
      </w:r>
      <w:r w:rsidRPr="00DA5B5A">
        <w:t> (University of California Press, 1997).</w:t>
      </w:r>
    </w:p>
    <w:p w14:paraId="0FC91FD1" w14:textId="77777777" w:rsidR="00A6666A" w:rsidRPr="00CE731F" w:rsidRDefault="00A6666A" w:rsidP="00A6666A">
      <w:r w:rsidRPr="00CE731F">
        <w:t>Catherine Coquery-</w:t>
      </w:r>
      <w:proofErr w:type="spellStart"/>
      <w:r w:rsidRPr="00CE731F">
        <w:t>Vidrovitch</w:t>
      </w:r>
      <w:proofErr w:type="spellEnd"/>
      <w:r w:rsidRPr="00CE731F">
        <w:t xml:space="preserve">, </w:t>
      </w:r>
      <w:r w:rsidRPr="00CE731F">
        <w:rPr>
          <w:i/>
          <w:iCs/>
        </w:rPr>
        <w:t xml:space="preserve">African Women: </w:t>
      </w:r>
      <w:proofErr w:type="gramStart"/>
      <w:r w:rsidRPr="00CE731F">
        <w:rPr>
          <w:i/>
          <w:iCs/>
        </w:rPr>
        <w:t>a</w:t>
      </w:r>
      <w:proofErr w:type="gramEnd"/>
      <w:r w:rsidRPr="00CE731F">
        <w:rPr>
          <w:i/>
          <w:iCs/>
        </w:rPr>
        <w:t xml:space="preserve"> Modern History</w:t>
      </w:r>
      <w:r w:rsidRPr="00CE731F">
        <w:t xml:space="preserve"> (Routledge, 2018).</w:t>
      </w:r>
    </w:p>
    <w:p w14:paraId="31D65451" w14:textId="77777777" w:rsidR="00A6666A" w:rsidRPr="00CE731F" w:rsidRDefault="00A6666A" w:rsidP="00A6666A">
      <w:r w:rsidRPr="00DA5B5A">
        <w:t>Durba Ghosh, </w:t>
      </w:r>
      <w:r w:rsidRPr="00DA5B5A">
        <w:rPr>
          <w:i/>
          <w:iCs/>
        </w:rPr>
        <w:t>Sex and the Family in Colonial India: The Making of Empire </w:t>
      </w:r>
      <w:r w:rsidRPr="00DA5B5A">
        <w:t>(Cambridge University Press, 2006), pp. 1-34.</w:t>
      </w:r>
    </w:p>
    <w:p w14:paraId="066D7488" w14:textId="77777777" w:rsidR="00A6666A" w:rsidRDefault="00A6666A" w:rsidP="00A6666A">
      <w:r w:rsidRPr="00CE731F">
        <w:t xml:space="preserve">Dorothy Hodgson and Sheryl McCurdy, </w:t>
      </w:r>
      <w:r w:rsidRPr="00CE731F">
        <w:rPr>
          <w:i/>
          <w:iCs/>
        </w:rPr>
        <w:t>"Wicked" Women and the Reconfiguration of Gender in Africa</w:t>
      </w:r>
      <w:r w:rsidRPr="00CE731F">
        <w:t xml:space="preserve"> (Heinemann, 2001).</w:t>
      </w:r>
    </w:p>
    <w:p w14:paraId="301C355D" w14:textId="77777777" w:rsidR="00A6666A" w:rsidRPr="00E22B48" w:rsidRDefault="00A6666A" w:rsidP="00A6666A">
      <w:r>
        <w:t xml:space="preserve">Nancy Rose Hunt, ‘Placing African Women’s History and Locating Gender’, </w:t>
      </w:r>
      <w:r>
        <w:rPr>
          <w:i/>
          <w:iCs/>
        </w:rPr>
        <w:t xml:space="preserve">Social History </w:t>
      </w:r>
      <w:r>
        <w:t>14.3 (?) 359-379.</w:t>
      </w:r>
    </w:p>
    <w:p w14:paraId="4537EDDA" w14:textId="77777777" w:rsidR="00A6666A" w:rsidRPr="00C145E9" w:rsidRDefault="00A6666A" w:rsidP="00A6666A">
      <w:r w:rsidRPr="00C145E9">
        <w:t xml:space="preserve">Maria Lugones, ‘Toward a Decolonial Feminism’, </w:t>
      </w:r>
      <w:r w:rsidRPr="00C145E9">
        <w:rPr>
          <w:i/>
          <w:iCs/>
        </w:rPr>
        <w:t xml:space="preserve">Hypatia </w:t>
      </w:r>
      <w:r w:rsidRPr="00C145E9">
        <w:t>25.4 (2010), 742-759.</w:t>
      </w:r>
    </w:p>
    <w:p w14:paraId="0DAC9F76" w14:textId="77777777" w:rsidR="00A6666A" w:rsidRDefault="00A6666A" w:rsidP="00A6666A">
      <w:r w:rsidRPr="00DA5B5A">
        <w:t>Anne</w:t>
      </w:r>
      <w:r w:rsidRPr="00CE731F">
        <w:t xml:space="preserve"> McClintock</w:t>
      </w:r>
      <w:r w:rsidRPr="00DA5B5A">
        <w:t>, </w:t>
      </w:r>
      <w:r w:rsidRPr="00DA5B5A">
        <w:rPr>
          <w:i/>
          <w:iCs/>
        </w:rPr>
        <w:t>Imperial Leather: Race, Gender, and Sexuality in the Colonial Contest </w:t>
      </w:r>
      <w:r w:rsidRPr="00DA5B5A">
        <w:t>(Routledge, 1995).</w:t>
      </w:r>
    </w:p>
    <w:p w14:paraId="4EC2CCE5" w14:textId="41E4A136" w:rsidR="00980215" w:rsidRPr="00980215" w:rsidRDefault="001538CD" w:rsidP="00980215">
      <w:r>
        <w:t xml:space="preserve">Clare Midgley, ‘Introduction: Gender and imperialism: Mapping the Connections’, in Clare Midgley (ed.), </w:t>
      </w:r>
      <w:r>
        <w:rPr>
          <w:i/>
          <w:iCs/>
        </w:rPr>
        <w:t xml:space="preserve">Gender and Imperialism </w:t>
      </w:r>
      <w:r>
        <w:t>(Manchester University Press, 1998), pp. 1-18.</w:t>
      </w:r>
    </w:p>
    <w:p w14:paraId="47FA22DD" w14:textId="77777777" w:rsidR="00A6666A" w:rsidRDefault="00A6666A" w:rsidP="00A6666A">
      <w:r w:rsidRPr="00CE731F">
        <w:t xml:space="preserve">Chandra Talpade Mohanty, ‘Under Western Eyes Revisited: Feminist Solidarity Through Anticapitalist Struggles’, </w:t>
      </w:r>
      <w:r w:rsidRPr="00CE731F">
        <w:rPr>
          <w:i/>
          <w:iCs/>
        </w:rPr>
        <w:t xml:space="preserve">Signs </w:t>
      </w:r>
      <w:r w:rsidRPr="00CE731F">
        <w:t>28.2 (2003), 499-535.</w:t>
      </w:r>
    </w:p>
    <w:p w14:paraId="224206DA" w14:textId="77777777" w:rsidR="00983DD0" w:rsidRPr="00DA5B5A" w:rsidRDefault="00983DD0" w:rsidP="00983DD0">
      <w:pPr>
        <w:rPr>
          <w:color w:val="FF0000"/>
        </w:rPr>
      </w:pPr>
      <w:r w:rsidRPr="00983DD0">
        <w:t>Diana Paton, ‘Gender History, Global History, and Atlantic Slavery: On Racial Capitalism and Social Reproduction’, </w:t>
      </w:r>
      <w:r w:rsidRPr="00983DD0">
        <w:rPr>
          <w:i/>
          <w:iCs/>
        </w:rPr>
        <w:t>The American Historical Review</w:t>
      </w:r>
      <w:r w:rsidRPr="00983DD0">
        <w:t xml:space="preserve">, 127.2 (2022), pp. 726–54, </w:t>
      </w:r>
      <w:hyperlink r:id="rId18" w:history="1">
        <w:r>
          <w:rPr>
            <w:rStyle w:val="Hyperlink"/>
          </w:rPr>
          <w:t>Available here</w:t>
        </w:r>
      </w:hyperlink>
    </w:p>
    <w:p w14:paraId="62184DA0" w14:textId="77777777" w:rsidR="00A6666A" w:rsidRPr="00DA5B5A" w:rsidRDefault="00A6666A" w:rsidP="00A6666A">
      <w:r w:rsidRPr="00CE731F">
        <w:t xml:space="preserve">Freya Schiwy, ‘Decolonization and the Question of Subjectivity’, </w:t>
      </w:r>
      <w:r w:rsidRPr="00CE731F">
        <w:rPr>
          <w:i/>
          <w:iCs/>
        </w:rPr>
        <w:t xml:space="preserve">Cultural Studies </w:t>
      </w:r>
      <w:r w:rsidRPr="00CE731F">
        <w:t>(2007), 271-294.</w:t>
      </w:r>
    </w:p>
    <w:p w14:paraId="5966EF0E" w14:textId="77777777" w:rsidR="00A6666A" w:rsidRPr="00CE731F" w:rsidRDefault="00A6666A" w:rsidP="00A6666A">
      <w:r w:rsidRPr="00DA5B5A">
        <w:t>Mrinalini</w:t>
      </w:r>
      <w:r w:rsidRPr="00CE731F">
        <w:t xml:space="preserve"> Sinha</w:t>
      </w:r>
      <w:r w:rsidRPr="00DA5B5A">
        <w:t>, </w:t>
      </w:r>
      <w:r w:rsidRPr="00DA5B5A">
        <w:rPr>
          <w:i/>
          <w:iCs/>
        </w:rPr>
        <w:t>Colonial Masculinity: The 'Manly Englishman' and the 'Effeminate Bengali' in the Late Nineteenth Century</w:t>
      </w:r>
      <w:r w:rsidRPr="00DA5B5A">
        <w:t> (Manchester University Press, 1995).</w:t>
      </w:r>
    </w:p>
    <w:p w14:paraId="5CEDD68F" w14:textId="77777777" w:rsidR="00A6666A" w:rsidRPr="00DA5B5A" w:rsidRDefault="00A6666A" w:rsidP="00A6666A">
      <w:r w:rsidRPr="00CE731F">
        <w:t xml:space="preserve">Linda </w:t>
      </w:r>
      <w:proofErr w:type="spellStart"/>
      <w:r w:rsidRPr="00CE731F">
        <w:t>Tuhawai</w:t>
      </w:r>
      <w:proofErr w:type="spellEnd"/>
      <w:r w:rsidRPr="00CE731F">
        <w:t xml:space="preserve"> Smith, </w:t>
      </w:r>
      <w:r w:rsidRPr="00CE731F">
        <w:rPr>
          <w:i/>
          <w:iCs/>
        </w:rPr>
        <w:t xml:space="preserve">Decolonizing Methodologies: Research and Indigenous Peoples </w:t>
      </w:r>
      <w:r w:rsidRPr="00CE731F">
        <w:t>(Zed, 2021)</w:t>
      </w:r>
    </w:p>
    <w:p w14:paraId="2B4D0A10" w14:textId="1EC6DD49" w:rsidR="00A6666A" w:rsidRPr="00983DD0" w:rsidRDefault="00A6666A" w:rsidP="00A6666A">
      <w:r w:rsidRPr="00983DD0">
        <w:t>Gayatri Chakravorty Spivak, 'Can the Subaltern Speak?', in: Rosalind C. Morris (ed.), </w:t>
      </w:r>
      <w:r w:rsidRPr="00983DD0">
        <w:rPr>
          <w:i/>
          <w:iCs/>
        </w:rPr>
        <w:t>Can the Subaltern Speak? Reflections on the History of an Idea </w:t>
      </w:r>
      <w:r w:rsidRPr="00983DD0">
        <w:t>(New York: Columbia University Press, 2010). </w:t>
      </w:r>
      <w:hyperlink r:id="rId19" w:tgtFrame="_blank" w:history="1">
        <w:r w:rsidR="00983DD0" w:rsidRPr="00983DD0">
          <w:rPr>
            <w:rStyle w:val="Hyperlink"/>
            <w:color w:val="auto"/>
          </w:rPr>
          <w:t>Available here</w:t>
        </w:r>
      </w:hyperlink>
      <w:r w:rsidRPr="00983DD0">
        <w:t>.</w:t>
      </w:r>
    </w:p>
    <w:p w14:paraId="03F7CE3F" w14:textId="77777777" w:rsidR="00A6666A" w:rsidRPr="00CE731F" w:rsidRDefault="00A6666A" w:rsidP="00A6666A">
      <w:r w:rsidRPr="00DA5B5A">
        <w:t>Lynn</w:t>
      </w:r>
      <w:r w:rsidRPr="00CE731F">
        <w:t xml:space="preserve"> Thomas</w:t>
      </w:r>
      <w:r w:rsidRPr="00DA5B5A">
        <w:t>, </w:t>
      </w:r>
      <w:r w:rsidRPr="00DA5B5A">
        <w:rPr>
          <w:i/>
          <w:iCs/>
        </w:rPr>
        <w:t>Politics of the Womb: Women, Reproduction, and the State in Kenya</w:t>
      </w:r>
      <w:r w:rsidRPr="00DA5B5A">
        <w:t> (University of California Press, 2003), Chapter One</w:t>
      </w:r>
      <w:r w:rsidRPr="00CE731F">
        <w:t>.</w:t>
      </w:r>
    </w:p>
    <w:p w14:paraId="2CFD49E5" w14:textId="1728E214" w:rsidR="006B0F5C" w:rsidRDefault="00A6666A" w:rsidP="00BB23CB">
      <w:pPr>
        <w:rPr>
          <w:rFonts w:eastAsiaTheme="majorEastAsia" w:cstheme="majorBidi"/>
          <w:color w:val="0F4761" w:themeColor="accent1" w:themeShade="BF"/>
          <w:sz w:val="28"/>
          <w:szCs w:val="28"/>
        </w:rPr>
      </w:pPr>
      <w:r w:rsidRPr="00CE731F">
        <w:t xml:space="preserve">Olajumoke Yacob-Haliso, ‘African </w:t>
      </w:r>
      <w:proofErr w:type="spellStart"/>
      <w:r w:rsidRPr="00CE731F">
        <w:t>Intersectionalities</w:t>
      </w:r>
      <w:proofErr w:type="spellEnd"/>
      <w:r w:rsidRPr="00CE731F">
        <w:t xml:space="preserve"> and Decolonisation of African Women’s and Gender Studies’, </w:t>
      </w:r>
      <w:r w:rsidRPr="00CE731F">
        <w:rPr>
          <w:i/>
          <w:iCs/>
        </w:rPr>
        <w:t xml:space="preserve">History Compass </w:t>
      </w:r>
      <w:r w:rsidRPr="00CE731F">
        <w:t>23.3 (2025).</w:t>
      </w:r>
      <w:r w:rsidR="006B0F5C">
        <w:br w:type="page"/>
      </w:r>
    </w:p>
    <w:p w14:paraId="714F35A9" w14:textId="7C0027A1" w:rsidR="00EB6527" w:rsidRDefault="00EB6527" w:rsidP="00693741">
      <w:pPr>
        <w:pStyle w:val="Heading3"/>
      </w:pPr>
      <w:r w:rsidRPr="00CE731F">
        <w:lastRenderedPageBreak/>
        <w:t xml:space="preserve">Session </w:t>
      </w:r>
      <w:r w:rsidR="00DA5B5A" w:rsidRPr="00CE731F">
        <w:t>3</w:t>
      </w:r>
      <w:r w:rsidRPr="00CE731F">
        <w:t xml:space="preserve">: </w:t>
      </w:r>
      <w:r w:rsidR="00A6666A">
        <w:t>Violence and Empire</w:t>
      </w:r>
    </w:p>
    <w:p w14:paraId="1288A68E" w14:textId="7A17B144" w:rsidR="00F64E7E" w:rsidRDefault="00F64E7E" w:rsidP="00F64E7E">
      <w:r>
        <w:t xml:space="preserve">From imperial conquest to anti-colonial struggle, the </w:t>
      </w:r>
      <w:r w:rsidR="00E30747">
        <w:t xml:space="preserve">use of force has been a central theme for historians writing about empire. </w:t>
      </w:r>
      <w:r w:rsidR="003806F8">
        <w:t>Although physical violence</w:t>
      </w:r>
      <w:r w:rsidR="007C503B">
        <w:t xml:space="preserve"> </w:t>
      </w:r>
      <w:r w:rsidR="003806F8">
        <w:t xml:space="preserve">has perhaps attracted the most historical </w:t>
      </w:r>
      <w:r w:rsidR="007C503B">
        <w:t xml:space="preserve">attention, throughout this module we will complicate the notion of ‘violence’, </w:t>
      </w:r>
      <w:r w:rsidR="008F7E0C">
        <w:t xml:space="preserve">to encompass structural, institutional, </w:t>
      </w:r>
      <w:r w:rsidR="00E84768">
        <w:t>symbolic, and epistemic forms of violence. In this session, therefore, we will think about what ‘violence’ means</w:t>
      </w:r>
      <w:r w:rsidR="004230BA">
        <w:t>, and how a broader definition can help us to understand the nature of colonial domination.</w:t>
      </w:r>
    </w:p>
    <w:p w14:paraId="377896D7" w14:textId="30341623" w:rsidR="004230BA" w:rsidRDefault="00FE43DB" w:rsidP="00F64E7E">
      <w:pPr>
        <w:rPr>
          <w:b/>
          <w:bCs/>
        </w:rPr>
      </w:pPr>
      <w:r>
        <w:rPr>
          <w:b/>
          <w:bCs/>
        </w:rPr>
        <w:t>Questions to consider</w:t>
      </w:r>
      <w:r w:rsidR="004230BA">
        <w:rPr>
          <w:b/>
          <w:bCs/>
        </w:rPr>
        <w:t>:</w:t>
      </w:r>
    </w:p>
    <w:p w14:paraId="3155256E" w14:textId="7F29644C" w:rsidR="00CD547F" w:rsidRDefault="00CD547F" w:rsidP="0080776D">
      <w:pPr>
        <w:pStyle w:val="ListParagraph"/>
        <w:numPr>
          <w:ilvl w:val="0"/>
          <w:numId w:val="2"/>
        </w:numPr>
      </w:pPr>
      <w:r>
        <w:t xml:space="preserve">What do we mean by ‘violence’? </w:t>
      </w:r>
      <w:r w:rsidR="00C82DCD">
        <w:t xml:space="preserve">Is it useful to broaden our understanding beyond </w:t>
      </w:r>
      <w:r w:rsidR="003F159F">
        <w:t>physical force?</w:t>
      </w:r>
    </w:p>
    <w:p w14:paraId="37278890" w14:textId="2633141D" w:rsidR="003F159F" w:rsidRDefault="003F159F" w:rsidP="0080776D">
      <w:pPr>
        <w:pStyle w:val="ListParagraph"/>
        <w:numPr>
          <w:ilvl w:val="0"/>
          <w:numId w:val="2"/>
        </w:numPr>
      </w:pPr>
      <w:r>
        <w:t>How have historians conceptualised the role of violence in imperial and colonial histories?</w:t>
      </w:r>
    </w:p>
    <w:p w14:paraId="7381C118" w14:textId="776EF9C9" w:rsidR="004230BA" w:rsidRDefault="00CD547F" w:rsidP="0080776D">
      <w:pPr>
        <w:pStyle w:val="ListParagraph"/>
        <w:numPr>
          <w:ilvl w:val="0"/>
          <w:numId w:val="2"/>
        </w:numPr>
      </w:pPr>
      <w:r>
        <w:t>What was the role of</w:t>
      </w:r>
      <w:r w:rsidR="003F159F">
        <w:t xml:space="preserve"> different forms of</w:t>
      </w:r>
      <w:r>
        <w:t xml:space="preserve"> violence in creating and maintaining colonial states</w:t>
      </w:r>
      <w:r w:rsidR="00C82DCD">
        <w:t>?</w:t>
      </w:r>
    </w:p>
    <w:p w14:paraId="2FE41BF5" w14:textId="77777777" w:rsidR="00FE43DB" w:rsidRDefault="00FE43DB" w:rsidP="00FE43DB">
      <w:pPr>
        <w:rPr>
          <w:b/>
          <w:bCs/>
        </w:rPr>
      </w:pPr>
      <w:r>
        <w:rPr>
          <w:b/>
          <w:bCs/>
        </w:rPr>
        <w:t>To prepare for class:</w:t>
      </w:r>
    </w:p>
    <w:p w14:paraId="7D4C2202" w14:textId="77777777" w:rsidR="00FE43DB" w:rsidRDefault="00FE43DB" w:rsidP="0080776D">
      <w:pPr>
        <w:pStyle w:val="ListParagraph"/>
        <w:numPr>
          <w:ilvl w:val="0"/>
          <w:numId w:val="5"/>
        </w:numPr>
      </w:pPr>
      <w:r>
        <w:t>P</w:t>
      </w:r>
      <w:r w:rsidRPr="00E55B21">
        <w:t xml:space="preserve">lease read </w:t>
      </w:r>
      <w:r>
        <w:rPr>
          <w:b/>
          <w:bCs/>
        </w:rPr>
        <w:t xml:space="preserve">at least one </w:t>
      </w:r>
      <w:r>
        <w:t xml:space="preserve">of </w:t>
      </w:r>
      <w:r w:rsidRPr="00E55B21">
        <w:t>the key reading</w:t>
      </w:r>
      <w:r>
        <w:t>s</w:t>
      </w:r>
      <w:r w:rsidRPr="00E55B21">
        <w:t xml:space="preserve"> for the </w:t>
      </w:r>
      <w:r>
        <w:t>class.</w:t>
      </w:r>
    </w:p>
    <w:p w14:paraId="6CC1B40A" w14:textId="48652298" w:rsidR="00FE43DB" w:rsidRDefault="00FE43DB" w:rsidP="0080776D">
      <w:pPr>
        <w:pStyle w:val="ListParagraph"/>
        <w:numPr>
          <w:ilvl w:val="0"/>
          <w:numId w:val="5"/>
        </w:numPr>
      </w:pPr>
      <w:r>
        <w:t>If you have time, you might want to explore some of the further reading listed.</w:t>
      </w:r>
    </w:p>
    <w:p w14:paraId="5E24D3A6" w14:textId="77777777" w:rsidR="00FE43DB" w:rsidRDefault="00FE43DB" w:rsidP="0080776D">
      <w:pPr>
        <w:pStyle w:val="ListParagraph"/>
        <w:numPr>
          <w:ilvl w:val="0"/>
          <w:numId w:val="5"/>
        </w:numPr>
      </w:pPr>
      <w:r>
        <w:t xml:space="preserve">Bring your notes to class – you will be expected to draw on your reading in class exercises. </w:t>
      </w:r>
    </w:p>
    <w:p w14:paraId="576AAD41" w14:textId="2D44720B" w:rsidR="003C39D2" w:rsidRDefault="003C39D2" w:rsidP="003C39D2">
      <w:pPr>
        <w:rPr>
          <w:b/>
          <w:bCs/>
        </w:rPr>
      </w:pPr>
      <w:r>
        <w:rPr>
          <w:b/>
          <w:bCs/>
        </w:rPr>
        <w:t>Key reading:</w:t>
      </w:r>
    </w:p>
    <w:p w14:paraId="37778550" w14:textId="1FA00D13" w:rsidR="003C39D2" w:rsidRDefault="00337E18" w:rsidP="001240E2">
      <w:r>
        <w:t xml:space="preserve">Deana Heath, ‘Colonial Violence’ in J. Hogg (ed.), </w:t>
      </w:r>
      <w:r>
        <w:rPr>
          <w:i/>
          <w:iCs/>
        </w:rPr>
        <w:t xml:space="preserve">Using Primary Sources: A Practical Guide for Students </w:t>
      </w:r>
      <w:r>
        <w:t>(Liverpool University Press: Liverpool, 2017)</w:t>
      </w:r>
      <w:r w:rsidR="001240E2">
        <w:t xml:space="preserve">, available open-access online here: </w:t>
      </w:r>
      <w:hyperlink r:id="rId20" w:history="1">
        <w:r w:rsidR="003C39D2" w:rsidRPr="00447F1E">
          <w:rPr>
            <w:rStyle w:val="Hyperlink"/>
          </w:rPr>
          <w:t>https://liverpooluniversitypress.manifoldapp.org/read/colonial-violence/section/71c632a8-6ae0-4de5-8c42-f4cca41f45d8</w:t>
        </w:r>
      </w:hyperlink>
      <w:r w:rsidR="009B7314">
        <w:t xml:space="preserve"> </w:t>
      </w:r>
    </w:p>
    <w:p w14:paraId="6895D44C" w14:textId="4F3E425C" w:rsidR="0071130C" w:rsidRDefault="0071130C" w:rsidP="001240E2">
      <w:r>
        <w:t>Jock McCulloch, ‘Empire and Violence, 1900-1939’, in</w:t>
      </w:r>
      <w:r w:rsidR="00E3376F">
        <w:t xml:space="preserve"> </w:t>
      </w:r>
      <w:r w:rsidR="00E3376F" w:rsidRPr="00CE731F">
        <w:t xml:space="preserve">Philippa Levine (ed.), </w:t>
      </w:r>
      <w:r w:rsidR="00E3376F" w:rsidRPr="00CE731F">
        <w:rPr>
          <w:i/>
          <w:iCs/>
        </w:rPr>
        <w:t xml:space="preserve">Gender and Empire </w:t>
      </w:r>
      <w:r w:rsidR="00E3376F" w:rsidRPr="00CE731F">
        <w:t>(Oxford University Press, 200</w:t>
      </w:r>
      <w:r w:rsidR="000A488F">
        <w:t>7</w:t>
      </w:r>
      <w:r w:rsidR="00E3376F" w:rsidRPr="00CE731F">
        <w:t>)</w:t>
      </w:r>
      <w:r w:rsidR="00E3376F">
        <w:t xml:space="preserve">, pp. </w:t>
      </w:r>
      <w:r w:rsidR="008648BE">
        <w:t>220-239.</w:t>
      </w:r>
    </w:p>
    <w:p w14:paraId="68C5AD7D" w14:textId="53DE8417" w:rsidR="009B7314" w:rsidRPr="00983DD0" w:rsidRDefault="009B7314" w:rsidP="00CC2061">
      <w:pPr>
        <w:rPr>
          <w:b/>
          <w:bCs/>
        </w:rPr>
      </w:pPr>
      <w:r w:rsidRPr="00983DD0">
        <w:rPr>
          <w:b/>
          <w:bCs/>
        </w:rPr>
        <w:t>Further reading</w:t>
      </w:r>
    </w:p>
    <w:p w14:paraId="2EFF1FAE" w14:textId="77777777" w:rsidR="001A0672" w:rsidRDefault="00605DA6" w:rsidP="00FE43DB">
      <w:r>
        <w:t xml:space="preserve">Florence Bernault and Jan-Georg Deutsch, ‘Introduction – Control and Excess: Histories of Violence in Africa’, </w:t>
      </w:r>
      <w:r>
        <w:rPr>
          <w:i/>
          <w:iCs/>
        </w:rPr>
        <w:t xml:space="preserve">Africa </w:t>
      </w:r>
      <w:r w:rsidR="001A0672">
        <w:t xml:space="preserve">85.3 (2015), 385-394. </w:t>
      </w:r>
    </w:p>
    <w:p w14:paraId="456B7169" w14:textId="287516F9" w:rsidR="00FE43DB" w:rsidRDefault="001A0672" w:rsidP="00FE43DB">
      <w:r>
        <w:t>R</w:t>
      </w:r>
      <w:r w:rsidR="00FE43DB" w:rsidRPr="00DD6E0C">
        <w:t>ajeev</w:t>
      </w:r>
      <w:r w:rsidR="00FE43DB">
        <w:t xml:space="preserve"> Bhargava, </w:t>
      </w:r>
      <w:r w:rsidR="00FE43DB" w:rsidRPr="00DD6E0C">
        <w:t>‘Overcoming the Epistemic Injustice of Colonialism’, </w:t>
      </w:r>
      <w:r w:rsidR="00FE43DB" w:rsidRPr="00DD6E0C">
        <w:rPr>
          <w:i/>
          <w:iCs/>
        </w:rPr>
        <w:t>Global Policy</w:t>
      </w:r>
      <w:r w:rsidR="00FE43DB" w:rsidRPr="00DD6E0C">
        <w:t>, 4.4 (2013), pp. 413–17</w:t>
      </w:r>
      <w:r w:rsidR="00FE43DB">
        <w:t>.</w:t>
      </w:r>
    </w:p>
    <w:p w14:paraId="0DB30697" w14:textId="11F331C3" w:rsidR="001A0672" w:rsidRPr="00AA63C8" w:rsidRDefault="001A0672" w:rsidP="00FE43DB">
      <w:r>
        <w:t>Matthew Carotenuto and Brett Shadle, ‘</w:t>
      </w:r>
      <w:r w:rsidR="00AA63C8">
        <w:t xml:space="preserve">Introduction: Toward a History of Violence in Colonial Kenya’, </w:t>
      </w:r>
      <w:r w:rsidR="00AA63C8">
        <w:rPr>
          <w:i/>
          <w:iCs/>
        </w:rPr>
        <w:t xml:space="preserve">International Journal of African Historical Studies </w:t>
      </w:r>
      <w:r w:rsidR="00AA63C8">
        <w:t xml:space="preserve">45.1 (2012), </w:t>
      </w:r>
      <w:r w:rsidR="00637BE5">
        <w:t>pp. 1-7.</w:t>
      </w:r>
    </w:p>
    <w:p w14:paraId="7A7F1BCA" w14:textId="77777777" w:rsidR="00FE43DB" w:rsidRDefault="00FE43DB" w:rsidP="00FE43DB">
      <w:r>
        <w:lastRenderedPageBreak/>
        <w:t xml:space="preserve">Penelope Edmonds and Anna Johnston, </w:t>
      </w:r>
      <w:r w:rsidRPr="0000544C">
        <w:t>‘Empire, Humanitarianism and Violence in the Colonies’, </w:t>
      </w:r>
      <w:r w:rsidRPr="0000544C">
        <w:rPr>
          <w:i/>
          <w:iCs/>
        </w:rPr>
        <w:t>Journal of Colonialism &amp; Colonial History</w:t>
      </w:r>
      <w:r w:rsidRPr="0000544C">
        <w:t>, 17.1 (2016)</w:t>
      </w:r>
      <w:r>
        <w:t>.</w:t>
      </w:r>
    </w:p>
    <w:p w14:paraId="252A4DE2" w14:textId="61552141" w:rsidR="00FE43DB" w:rsidRDefault="001C3B6E" w:rsidP="00FE43DB">
      <w:r w:rsidRPr="001C3B6E">
        <w:t>Caroline</w:t>
      </w:r>
      <w:r w:rsidR="00FE43DB">
        <w:t xml:space="preserve"> Elkins</w:t>
      </w:r>
      <w:r w:rsidRPr="001C3B6E">
        <w:t>, ‘The “Moral Effect” of Legalized Lawlessness: Violence in Britain’s Twentieth-Century Empire’, </w:t>
      </w:r>
      <w:r w:rsidRPr="001C3B6E">
        <w:rPr>
          <w:i/>
          <w:iCs/>
        </w:rPr>
        <w:t>Historical Reflections</w:t>
      </w:r>
      <w:r w:rsidRPr="001C3B6E">
        <w:t>, 44.1 (2018), pp. 78–90</w:t>
      </w:r>
      <w:r w:rsidR="00FE43DB">
        <w:t>.</w:t>
      </w:r>
    </w:p>
    <w:p w14:paraId="0B6652AD" w14:textId="1F51E8E5" w:rsidR="00BB662E" w:rsidRDefault="00BB662E" w:rsidP="00BB662E">
      <w:r w:rsidRPr="00BB662E">
        <w:t>Frantz</w:t>
      </w:r>
      <w:r w:rsidR="00FE43DB">
        <w:t xml:space="preserve"> Fanon</w:t>
      </w:r>
      <w:r w:rsidRPr="00BB662E">
        <w:t>, </w:t>
      </w:r>
      <w:r w:rsidRPr="00BB662E">
        <w:rPr>
          <w:i/>
          <w:iCs/>
        </w:rPr>
        <w:t>The Wretched of the Earth </w:t>
      </w:r>
      <w:r w:rsidRPr="00BB662E">
        <w:t>(Harmondsworth: Penguin Books, 1967).</w:t>
      </w:r>
    </w:p>
    <w:p w14:paraId="356EC415" w14:textId="60895028" w:rsidR="00FE43DB" w:rsidRPr="00FE43DB" w:rsidRDefault="00FE43DB" w:rsidP="00BB662E">
      <w:r>
        <w:t xml:space="preserve">Paul Farmer, ‘An Anthropology of Structural Violence’, </w:t>
      </w:r>
      <w:r>
        <w:rPr>
          <w:i/>
          <w:iCs/>
        </w:rPr>
        <w:t xml:space="preserve">Current Anthropology </w:t>
      </w:r>
      <w:r>
        <w:t>45.3 (2004), 405-325.</w:t>
      </w:r>
    </w:p>
    <w:p w14:paraId="1343DF46" w14:textId="77777777" w:rsidR="00FE43DB" w:rsidRDefault="00FE43DB" w:rsidP="00FE43DB">
      <w:r>
        <w:t xml:space="preserve">Johan </w:t>
      </w:r>
      <w:proofErr w:type="gramStart"/>
      <w:r w:rsidRPr="00027679">
        <w:t>Galtung,</w:t>
      </w:r>
      <w:r>
        <w:t xml:space="preserve"> </w:t>
      </w:r>
      <w:r w:rsidRPr="00027679">
        <w:t xml:space="preserve"> ‘</w:t>
      </w:r>
      <w:proofErr w:type="gramEnd"/>
      <w:r w:rsidRPr="00027679">
        <w:t>Violence, Peace, and Peace Research’, </w:t>
      </w:r>
      <w:r w:rsidRPr="00027679">
        <w:rPr>
          <w:i/>
          <w:iCs/>
        </w:rPr>
        <w:t>Journal of Peace Research</w:t>
      </w:r>
      <w:r w:rsidRPr="00027679">
        <w:t>, 6.3 (1969), pp. 167–91, doi:10.1177/002234336900600301</w:t>
      </w:r>
    </w:p>
    <w:p w14:paraId="668ED7A8" w14:textId="160F57B1" w:rsidR="00FE43DB" w:rsidRDefault="00FE43DB" w:rsidP="00FE43DB">
      <w:r>
        <w:t xml:space="preserve">Erik Linstrum, </w:t>
      </w:r>
      <w:r w:rsidR="00C34C9A" w:rsidRPr="00C34C9A">
        <w:rPr>
          <w:i/>
          <w:iCs/>
        </w:rPr>
        <w:t xml:space="preserve">Age of </w:t>
      </w:r>
      <w:proofErr w:type="gramStart"/>
      <w:r w:rsidR="00C34C9A" w:rsidRPr="00C34C9A">
        <w:rPr>
          <w:i/>
          <w:iCs/>
        </w:rPr>
        <w:t>Emergency</w:t>
      </w:r>
      <w:r w:rsidR="00C34C9A" w:rsidRPr="00C34C9A">
        <w:rPr>
          <w:rFonts w:ascii="Arial" w:hAnsi="Arial" w:cs="Arial"/>
          <w:i/>
          <w:iCs/>
        </w:rPr>
        <w:t> </w:t>
      </w:r>
      <w:r w:rsidR="00C34C9A" w:rsidRPr="00C34C9A">
        <w:rPr>
          <w:i/>
          <w:iCs/>
        </w:rPr>
        <w:t>:</w:t>
      </w:r>
      <w:proofErr w:type="gramEnd"/>
      <w:r w:rsidR="00C34C9A" w:rsidRPr="00C34C9A">
        <w:rPr>
          <w:i/>
          <w:iCs/>
        </w:rPr>
        <w:t xml:space="preserve"> Living with Violence at the End of the British Empire</w:t>
      </w:r>
      <w:r w:rsidR="00C34C9A" w:rsidRPr="00C34C9A">
        <w:t xml:space="preserve">, 1st </w:t>
      </w:r>
      <w:proofErr w:type="spellStart"/>
      <w:r w:rsidR="00C34C9A" w:rsidRPr="00C34C9A">
        <w:t>edn</w:t>
      </w:r>
      <w:proofErr w:type="spellEnd"/>
      <w:r w:rsidR="00C34C9A" w:rsidRPr="00C34C9A">
        <w:t xml:space="preserve"> (Oxford University Press, 2023), </w:t>
      </w:r>
    </w:p>
    <w:p w14:paraId="515538E5" w14:textId="724D078E" w:rsidR="00993811" w:rsidRDefault="00993811" w:rsidP="00C34C9A">
      <w:r>
        <w:t xml:space="preserve">Raza Saeed, ‘“So, What’s Wrong </w:t>
      </w:r>
      <w:proofErr w:type="gramStart"/>
      <w:r>
        <w:t>With</w:t>
      </w:r>
      <w:proofErr w:type="gramEnd"/>
      <w:r>
        <w:t xml:space="preserve"> Colonialism?” – Understanding Colonialism’s Political, Territorial, and Epistemic Injustice’, </w:t>
      </w:r>
      <w:r>
        <w:rPr>
          <w:i/>
          <w:iCs/>
        </w:rPr>
        <w:t xml:space="preserve">International Journal of Law in Context </w:t>
      </w:r>
      <w:r>
        <w:t>21 (2025), 99-117.</w:t>
      </w:r>
    </w:p>
    <w:p w14:paraId="1D67FBD8" w14:textId="4EF7C5AD" w:rsidR="00BA3149" w:rsidRDefault="00BA3149" w:rsidP="00BA3149">
      <w:r w:rsidRPr="00BA3149">
        <w:t>Kim A Wagner, Savage Warfare: Violence and the Rule of Colonial Difference in Early British Counterinsurgency, </w:t>
      </w:r>
      <w:r w:rsidRPr="00BA3149">
        <w:rPr>
          <w:i/>
          <w:iCs/>
        </w:rPr>
        <w:t>History Workshop Journal</w:t>
      </w:r>
      <w:r w:rsidRPr="00BA3149">
        <w:t>, Volume 85, Spring 2018, Pages 217–237, </w:t>
      </w:r>
      <w:hyperlink r:id="rId21" w:history="1">
        <w:r w:rsidRPr="00BA3149">
          <w:rPr>
            <w:rStyle w:val="Hyperlink"/>
          </w:rPr>
          <w:t>https://doi.org/10.1093/hwj/dbx053</w:t>
        </w:r>
      </w:hyperlink>
    </w:p>
    <w:p w14:paraId="410E9A57" w14:textId="77777777" w:rsidR="006B0F5C" w:rsidRDefault="006B0F5C">
      <w:pPr>
        <w:rPr>
          <w:rFonts w:eastAsiaTheme="majorEastAsia" w:cstheme="majorBidi"/>
          <w:color w:val="0F4761" w:themeColor="accent1" w:themeShade="BF"/>
          <w:sz w:val="28"/>
          <w:szCs w:val="28"/>
        </w:rPr>
      </w:pPr>
      <w:r>
        <w:br w:type="page"/>
      </w:r>
    </w:p>
    <w:p w14:paraId="4D6E8996" w14:textId="0C089A28" w:rsidR="00011041" w:rsidRPr="00CE731F" w:rsidRDefault="00F0170B" w:rsidP="00693741">
      <w:pPr>
        <w:pStyle w:val="Heading3"/>
      </w:pPr>
      <w:r w:rsidRPr="00CE731F">
        <w:lastRenderedPageBreak/>
        <w:t xml:space="preserve">Session </w:t>
      </w:r>
      <w:r w:rsidR="00953A1D" w:rsidRPr="00CE731F">
        <w:t>4</w:t>
      </w:r>
      <w:r w:rsidRPr="00CE731F">
        <w:t xml:space="preserve">: </w:t>
      </w:r>
      <w:r w:rsidR="001A3D1A" w:rsidRPr="00CE731F">
        <w:t xml:space="preserve">Liberal Humanitarianism and the Campaign Against </w:t>
      </w:r>
      <w:r w:rsidR="00011041" w:rsidRPr="00CE731F">
        <w:t>Sati</w:t>
      </w:r>
    </w:p>
    <w:p w14:paraId="0E1F8636" w14:textId="77CA6C8C" w:rsidR="000763F1" w:rsidRPr="00CE731F" w:rsidRDefault="00BB0845" w:rsidP="00011041">
      <w:r w:rsidRPr="00CE731F">
        <w:t xml:space="preserve">In October 2024, </w:t>
      </w:r>
      <w:r w:rsidR="003D0581" w:rsidRPr="00CE731F">
        <w:rPr>
          <w:i/>
          <w:iCs/>
        </w:rPr>
        <w:t xml:space="preserve">sati </w:t>
      </w:r>
      <w:r w:rsidR="003D0581" w:rsidRPr="00CE731F">
        <w:t>or widow-burning returned to Indian headlines</w:t>
      </w:r>
      <w:r w:rsidR="003268FC" w:rsidRPr="00CE731F">
        <w:t xml:space="preserve"> when a</w:t>
      </w:r>
      <w:r w:rsidR="00607305" w:rsidRPr="00CE731F">
        <w:t xml:space="preserve"> court acquitted eight men of glorifying the death of Roop Kanwar, who was burned on her husband’s funeral pyre in 1987</w:t>
      </w:r>
      <w:r w:rsidR="000763F1" w:rsidRPr="00CE731F">
        <w:t xml:space="preserve"> in what is widely recognised as India’s last sati. The outrage over her death</w:t>
      </w:r>
      <w:r w:rsidR="001B71CE" w:rsidRPr="00CE731F">
        <w:t xml:space="preserve"> brought about a new law in 1987</w:t>
      </w:r>
      <w:r w:rsidR="001A3D1A" w:rsidRPr="00CE731F">
        <w:t xml:space="preserve">, banning the practice and its glorification, and mandating life imprisonment or the death penalty for those committing </w:t>
      </w:r>
      <w:r w:rsidR="001A3D1A" w:rsidRPr="00CE731F">
        <w:rPr>
          <w:i/>
          <w:iCs/>
        </w:rPr>
        <w:t xml:space="preserve">sati </w:t>
      </w:r>
      <w:r w:rsidR="001A3D1A" w:rsidRPr="00CE731F">
        <w:t xml:space="preserve">or abetting it. Yet, almost 200 years before the outcome of the latest court case, the practice was first outlawed by British colonial rulers in 1829. In this seminar we’ll examine the longer history concerns over </w:t>
      </w:r>
      <w:r w:rsidR="001A3D1A" w:rsidRPr="00CE731F">
        <w:rPr>
          <w:i/>
          <w:iCs/>
        </w:rPr>
        <w:t xml:space="preserve">sati, </w:t>
      </w:r>
      <w:r w:rsidR="001A3D1A" w:rsidRPr="00CE731F">
        <w:t xml:space="preserve">how they related to </w:t>
      </w:r>
      <w:r w:rsidR="003268FC" w:rsidRPr="00CE731F">
        <w:t>British ideas of ‘civilisation’, and consider how the constructions of Indian women that emerged from these debates continue to have resonances today.</w:t>
      </w:r>
    </w:p>
    <w:p w14:paraId="03B5CFAA" w14:textId="249BC67E" w:rsidR="003268FC" w:rsidRPr="00CE731F" w:rsidRDefault="00637BE5" w:rsidP="003268FC">
      <w:pPr>
        <w:rPr>
          <w:b/>
          <w:bCs/>
        </w:rPr>
      </w:pPr>
      <w:r>
        <w:rPr>
          <w:b/>
          <w:bCs/>
        </w:rPr>
        <w:t>Questions to consider:</w:t>
      </w:r>
    </w:p>
    <w:p w14:paraId="1DF3B26F" w14:textId="740B64E5" w:rsidR="00920043" w:rsidRPr="00CE731F" w:rsidRDefault="00920043" w:rsidP="0080776D">
      <w:pPr>
        <w:pStyle w:val="ListParagraph"/>
        <w:numPr>
          <w:ilvl w:val="0"/>
          <w:numId w:val="7"/>
        </w:numPr>
      </w:pPr>
      <w:r w:rsidRPr="00CE731F">
        <w:t xml:space="preserve">How were Hindu women who committed </w:t>
      </w:r>
      <w:r w:rsidRPr="00637BE5">
        <w:rPr>
          <w:i/>
          <w:iCs/>
        </w:rPr>
        <w:t xml:space="preserve">sati </w:t>
      </w:r>
      <w:r w:rsidRPr="00CE731F">
        <w:t>portrayed? How do those representations differ between Indian and European sources?</w:t>
      </w:r>
    </w:p>
    <w:p w14:paraId="21CD1AD8" w14:textId="396266A5" w:rsidR="00920043" w:rsidRPr="00CE731F" w:rsidRDefault="00920043" w:rsidP="0080776D">
      <w:pPr>
        <w:pStyle w:val="ListParagraph"/>
        <w:numPr>
          <w:ilvl w:val="0"/>
          <w:numId w:val="7"/>
        </w:numPr>
      </w:pPr>
      <w:r w:rsidRPr="00CE731F">
        <w:t xml:space="preserve">Why did </w:t>
      </w:r>
      <w:r w:rsidR="00080EA5" w:rsidRPr="00CE731F">
        <w:t xml:space="preserve">the British colonial administration outlaw </w:t>
      </w:r>
      <w:r w:rsidR="00080EA5" w:rsidRPr="00637BE5">
        <w:rPr>
          <w:i/>
          <w:iCs/>
        </w:rPr>
        <w:t xml:space="preserve">sati? </w:t>
      </w:r>
    </w:p>
    <w:p w14:paraId="5A8F17AE" w14:textId="2B409B7B" w:rsidR="00080EA5" w:rsidRDefault="00080EA5" w:rsidP="0080776D">
      <w:pPr>
        <w:pStyle w:val="ListParagraph"/>
        <w:numPr>
          <w:ilvl w:val="0"/>
          <w:numId w:val="7"/>
        </w:numPr>
      </w:pPr>
      <w:r w:rsidRPr="00CE731F">
        <w:t xml:space="preserve">What do colonial debates over </w:t>
      </w:r>
      <w:r w:rsidRPr="00637BE5">
        <w:rPr>
          <w:i/>
          <w:iCs/>
        </w:rPr>
        <w:t xml:space="preserve">sati </w:t>
      </w:r>
      <w:r w:rsidRPr="00CE731F">
        <w:t>reveal about British conceptions of their role in India?</w:t>
      </w:r>
    </w:p>
    <w:p w14:paraId="51C8C6E5" w14:textId="77777777" w:rsidR="00637BE5" w:rsidRDefault="00637BE5" w:rsidP="00637BE5">
      <w:pPr>
        <w:rPr>
          <w:b/>
          <w:bCs/>
        </w:rPr>
      </w:pPr>
      <w:r>
        <w:rPr>
          <w:b/>
          <w:bCs/>
        </w:rPr>
        <w:t>To prepare for class:</w:t>
      </w:r>
    </w:p>
    <w:p w14:paraId="0A348FF3" w14:textId="6D09C27F" w:rsidR="00540897" w:rsidRDefault="00637BE5" w:rsidP="0080776D">
      <w:pPr>
        <w:pStyle w:val="ListParagraph"/>
        <w:numPr>
          <w:ilvl w:val="0"/>
          <w:numId w:val="5"/>
        </w:numPr>
      </w:pPr>
      <w:r>
        <w:t>P</w:t>
      </w:r>
      <w:r w:rsidRPr="00E55B21">
        <w:t xml:space="preserve">lease read </w:t>
      </w:r>
      <w:r>
        <w:rPr>
          <w:b/>
          <w:bCs/>
        </w:rPr>
        <w:t xml:space="preserve">at least one </w:t>
      </w:r>
      <w:r>
        <w:t xml:space="preserve">of </w:t>
      </w:r>
      <w:r w:rsidRPr="00E55B21">
        <w:t>the key reading</w:t>
      </w:r>
      <w:r>
        <w:t>s</w:t>
      </w:r>
      <w:r w:rsidRPr="00E55B21">
        <w:t xml:space="preserve"> for the </w:t>
      </w:r>
      <w:r>
        <w:t>class.</w:t>
      </w:r>
    </w:p>
    <w:p w14:paraId="28A2FFB7" w14:textId="77777777" w:rsidR="00637BE5" w:rsidRDefault="00637BE5" w:rsidP="0080776D">
      <w:pPr>
        <w:pStyle w:val="ListParagraph"/>
        <w:numPr>
          <w:ilvl w:val="0"/>
          <w:numId w:val="5"/>
        </w:numPr>
      </w:pPr>
      <w:r>
        <w:t>If you have time, you might want to explore some of the further reading listed.</w:t>
      </w:r>
    </w:p>
    <w:p w14:paraId="1038D64A" w14:textId="77777777" w:rsidR="00637BE5" w:rsidRDefault="00637BE5" w:rsidP="0080776D">
      <w:pPr>
        <w:pStyle w:val="ListParagraph"/>
        <w:numPr>
          <w:ilvl w:val="0"/>
          <w:numId w:val="5"/>
        </w:numPr>
      </w:pPr>
      <w:r>
        <w:t xml:space="preserve">Bring your notes to class – you will be expected to draw on your reading in class exercises. </w:t>
      </w:r>
    </w:p>
    <w:p w14:paraId="6611A750" w14:textId="0A46AE22" w:rsidR="007672B6" w:rsidRDefault="007672B6" w:rsidP="007672B6">
      <w:pPr>
        <w:rPr>
          <w:b/>
          <w:bCs/>
        </w:rPr>
      </w:pPr>
      <w:r>
        <w:rPr>
          <w:b/>
          <w:bCs/>
        </w:rPr>
        <w:t>Key reading:</w:t>
      </w:r>
    </w:p>
    <w:p w14:paraId="02C4B2E0" w14:textId="77777777" w:rsidR="007672B6" w:rsidRPr="00A34BBF" w:rsidRDefault="007672B6" w:rsidP="0080776D">
      <w:pPr>
        <w:pStyle w:val="ListParagraph"/>
        <w:numPr>
          <w:ilvl w:val="0"/>
          <w:numId w:val="8"/>
        </w:numPr>
      </w:pPr>
      <w:r w:rsidRPr="00A34BBF">
        <w:t xml:space="preserve">Catherine Hall, 'Of Gender and Empire: Reflections on the Nineteenth Century' in Philippa Levine (ed.), </w:t>
      </w:r>
      <w:r w:rsidRPr="00540897">
        <w:rPr>
          <w:i/>
          <w:iCs/>
        </w:rPr>
        <w:t>Gender and Empire</w:t>
      </w:r>
      <w:r w:rsidRPr="00A34BBF">
        <w:t xml:space="preserve"> (Oxford University Press, 2007), pp. 46-76</w:t>
      </w:r>
    </w:p>
    <w:p w14:paraId="257DC1EA" w14:textId="0A712C4C" w:rsidR="007672B6" w:rsidRPr="007672B6" w:rsidRDefault="007672B6" w:rsidP="0080776D">
      <w:pPr>
        <w:pStyle w:val="ListParagraph"/>
        <w:numPr>
          <w:ilvl w:val="0"/>
          <w:numId w:val="8"/>
        </w:numPr>
      </w:pPr>
      <w:r w:rsidRPr="00CE731F">
        <w:t xml:space="preserve">Lata Mani, </w:t>
      </w:r>
      <w:r w:rsidRPr="00540897">
        <w:rPr>
          <w:i/>
          <w:iCs/>
        </w:rPr>
        <w:t xml:space="preserve">Contentious Traditions: The Debate on Sati in Colonial India </w:t>
      </w:r>
      <w:r w:rsidRPr="00CE731F">
        <w:t>(Berkeley, 20</w:t>
      </w:r>
      <w:r>
        <w:t>23) – read the (short) introduction and then either Chapter 1 or Chapter 5 (or both, if you have time!)</w:t>
      </w:r>
    </w:p>
    <w:p w14:paraId="4144AC51" w14:textId="33EC21D5" w:rsidR="00011041" w:rsidRPr="00CE731F" w:rsidRDefault="00011041">
      <w:pPr>
        <w:rPr>
          <w:b/>
          <w:bCs/>
        </w:rPr>
      </w:pPr>
      <w:r w:rsidRPr="00CE731F">
        <w:rPr>
          <w:b/>
          <w:bCs/>
        </w:rPr>
        <w:t>Further reading</w:t>
      </w:r>
      <w:r w:rsidR="00C723D9" w:rsidRPr="00CE731F">
        <w:rPr>
          <w:b/>
          <w:bCs/>
        </w:rPr>
        <w:t>:</w:t>
      </w:r>
    </w:p>
    <w:p w14:paraId="392D0A6D" w14:textId="0FF5C514" w:rsidR="00B119BB" w:rsidRPr="00CE731F" w:rsidRDefault="00B119BB">
      <w:r w:rsidRPr="00CE731F">
        <w:t xml:space="preserve">Jyoti Atwal, ‘“Foul </w:t>
      </w:r>
      <w:proofErr w:type="spellStart"/>
      <w:r w:rsidRPr="00CE731F">
        <w:t>Unhallow’d</w:t>
      </w:r>
      <w:proofErr w:type="spellEnd"/>
      <w:r w:rsidRPr="00CE731F">
        <w:t xml:space="preserve"> Fires”: Officiating Sati and the Colonial Hindu Widow in the United Provinces’, </w:t>
      </w:r>
      <w:r w:rsidRPr="00CE731F">
        <w:rPr>
          <w:i/>
          <w:iCs/>
        </w:rPr>
        <w:t xml:space="preserve">Studies in History </w:t>
      </w:r>
      <w:r w:rsidRPr="00CE731F">
        <w:t>29.2 (2013), 229-272.</w:t>
      </w:r>
    </w:p>
    <w:p w14:paraId="7A5F266A" w14:textId="4EB47828" w:rsidR="00E74400" w:rsidRPr="00CE731F" w:rsidRDefault="00E74400">
      <w:r w:rsidRPr="00CE731F">
        <w:t xml:space="preserve">R. Bacchus, ‘Sati and Performativity: Towards a Western Feminist Understanding of Sati’, </w:t>
      </w:r>
      <w:r w:rsidRPr="00CE731F">
        <w:rPr>
          <w:i/>
          <w:iCs/>
        </w:rPr>
        <w:t>Australian Feminist Studies</w:t>
      </w:r>
      <w:r w:rsidR="00664E11" w:rsidRPr="00CE731F">
        <w:rPr>
          <w:i/>
          <w:iCs/>
        </w:rPr>
        <w:t xml:space="preserve"> </w:t>
      </w:r>
      <w:r w:rsidR="00664E11" w:rsidRPr="00CE731F">
        <w:t>28.76 (2013), 155-176.</w:t>
      </w:r>
    </w:p>
    <w:p w14:paraId="3EF2C0D4" w14:textId="26015C7C" w:rsidR="00AC4B55" w:rsidRPr="00CE731F" w:rsidRDefault="00AC4B55" w:rsidP="00806669">
      <w:r w:rsidRPr="00CE731F">
        <w:lastRenderedPageBreak/>
        <w:t>Guy Beckett, ‘Spiritual Arithmetic: Religion, Social Statistics and the Making of an Information Panic About Widow-Burning in India, c.1750-1830’, Unpublished PhD Thesis, Birkbeck, University of London, 2019.</w:t>
      </w:r>
      <w:r w:rsidR="00806669" w:rsidRPr="00CE731F">
        <w:t xml:space="preserve"> </w:t>
      </w:r>
      <w:hyperlink r:id="rId22" w:history="1">
        <w:r w:rsidR="00806669" w:rsidRPr="00CE731F">
          <w:rPr>
            <w:rStyle w:val="Hyperlink"/>
          </w:rPr>
          <w:t>cp_G_R_Beckett_-_Spiritual_Arithmetic.pdf</w:t>
        </w:r>
      </w:hyperlink>
    </w:p>
    <w:p w14:paraId="17F49799" w14:textId="5B7ED705" w:rsidR="00895252" w:rsidRPr="00CE731F" w:rsidRDefault="00895252" w:rsidP="008C5E25">
      <w:r w:rsidRPr="00CE731F">
        <w:t>Suzanne Blunn, ‘Sati and its Abolition in British Social and Political Discourses, c.1832-1895’, Unpublished PhD Thesis, Birkbeck, University of London</w:t>
      </w:r>
      <w:r w:rsidR="008C5E25" w:rsidRPr="00CE731F">
        <w:t xml:space="preserve"> (2024). </w:t>
      </w:r>
      <w:hyperlink r:id="rId23" w:history="1">
        <w:r w:rsidR="008C5E25" w:rsidRPr="00CE731F">
          <w:rPr>
            <w:rStyle w:val="Hyperlink"/>
          </w:rPr>
          <w:t>Blunn, SA, final thesis for library.pdf</w:t>
        </w:r>
      </w:hyperlink>
    </w:p>
    <w:p w14:paraId="55BEF6EB" w14:textId="4CA3EE18" w:rsidR="00A87E8F" w:rsidRPr="00CE731F" w:rsidRDefault="00A87E8F">
      <w:r w:rsidRPr="00CE731F">
        <w:t xml:space="preserve">Meredith Borthwick, </w:t>
      </w:r>
      <w:r w:rsidRPr="00CE731F">
        <w:rPr>
          <w:i/>
          <w:iCs/>
        </w:rPr>
        <w:t xml:space="preserve">The Changing Role of Women in Bengal, 1849-1905 </w:t>
      </w:r>
      <w:r w:rsidRPr="00CE731F">
        <w:t>(Princeton University Press, 1984), Chapter 2.</w:t>
      </w:r>
    </w:p>
    <w:p w14:paraId="3F96BA30" w14:textId="4AB88B35" w:rsidR="00080361" w:rsidRPr="00CE731F" w:rsidRDefault="00080361">
      <w:r w:rsidRPr="00CE731F">
        <w:t xml:space="preserve">David Brick, ‘Sati’ in Margo Kitts (ed.), </w:t>
      </w:r>
      <w:r w:rsidRPr="00CE731F">
        <w:rPr>
          <w:i/>
          <w:iCs/>
        </w:rPr>
        <w:t xml:space="preserve">Martyrdom, Self-Sacrifice, and Self-Immolation: Religious Perspectives on Suicide </w:t>
      </w:r>
      <w:r w:rsidRPr="00CE731F">
        <w:t>(Oxford University Press, 2018), pp. 162-181.</w:t>
      </w:r>
    </w:p>
    <w:p w14:paraId="3125AC50" w14:textId="1EB5F388" w:rsidR="00AB31B3" w:rsidRPr="00CE731F" w:rsidRDefault="00AB31B3">
      <w:r w:rsidRPr="00CE731F">
        <w:t xml:space="preserve">David Brick, </w:t>
      </w:r>
      <w:r w:rsidRPr="00CE731F">
        <w:rPr>
          <w:i/>
          <w:iCs/>
        </w:rPr>
        <w:t xml:space="preserve">Widows Under Hindu Law </w:t>
      </w:r>
      <w:r w:rsidRPr="00CE731F">
        <w:t>(Oxford University Press, 2018), Chapter 4.</w:t>
      </w:r>
    </w:p>
    <w:p w14:paraId="0F4DAFB3" w14:textId="21570A03" w:rsidR="008C5E25" w:rsidRDefault="008C5E25">
      <w:r w:rsidRPr="00CE731F">
        <w:t xml:space="preserve">Vasudha Dalmia-Lüderitz, ‘“Sati” as a Religious Rite: Parliamentary Papers on Widow Immolation, 1821-30’, </w:t>
      </w:r>
      <w:r w:rsidRPr="00CE731F">
        <w:rPr>
          <w:i/>
          <w:iCs/>
        </w:rPr>
        <w:t xml:space="preserve">Economic and Political Weekly </w:t>
      </w:r>
      <w:r w:rsidRPr="00CE731F">
        <w:t>27.4 (1992), 58-64.</w:t>
      </w:r>
    </w:p>
    <w:p w14:paraId="38269C91" w14:textId="6EBD4448" w:rsidR="00540897" w:rsidRPr="00CE731F" w:rsidRDefault="00540897" w:rsidP="00540897">
      <w:r w:rsidRPr="00540897">
        <w:t xml:space="preserve">Durba Ghosh, </w:t>
      </w:r>
      <w:r w:rsidRPr="00540897">
        <w:rPr>
          <w:i/>
          <w:iCs/>
        </w:rPr>
        <w:t xml:space="preserve">Sex and the Family in Colonial India: The Making of Empire </w:t>
      </w:r>
      <w:r w:rsidRPr="00540897">
        <w:t>(Cambridge, 2006).</w:t>
      </w:r>
    </w:p>
    <w:p w14:paraId="03BE92DE" w14:textId="43694947" w:rsidR="00586CAD" w:rsidRDefault="00586CAD">
      <w:r w:rsidRPr="00CE731F">
        <w:t xml:space="preserve">Sophie Gilmartin, ‘The Sati, The Bride, and the Widow: Sacrificial Woman in the Nineteenth Century’, </w:t>
      </w:r>
      <w:r w:rsidRPr="00CE731F">
        <w:rPr>
          <w:i/>
          <w:iCs/>
        </w:rPr>
        <w:t xml:space="preserve">Victorian Literature and Culture </w:t>
      </w:r>
      <w:r w:rsidRPr="00CE731F">
        <w:t>25.1 (1997), 141-158.</w:t>
      </w:r>
    </w:p>
    <w:p w14:paraId="736683CF" w14:textId="77777777" w:rsidR="00540897" w:rsidRPr="00CE731F" w:rsidRDefault="00540897" w:rsidP="00540897">
      <w:r w:rsidRPr="00CE731F">
        <w:t xml:space="preserve">Daniel Grey, ‘Creating the “Problem Hindu”: Sati, Thugee and Female Infanticide in India, 1800-60’, </w:t>
      </w:r>
      <w:r w:rsidRPr="00CE731F">
        <w:rPr>
          <w:i/>
          <w:iCs/>
        </w:rPr>
        <w:t xml:space="preserve">Gender and History </w:t>
      </w:r>
      <w:r w:rsidRPr="00CE731F">
        <w:t>25.3 (2013), 498-510.</w:t>
      </w:r>
    </w:p>
    <w:p w14:paraId="3F0D3326" w14:textId="6A221046" w:rsidR="00BA5FC7" w:rsidRPr="00CE731F" w:rsidRDefault="00BA5FC7">
      <w:r w:rsidRPr="00CE731F">
        <w:t xml:space="preserve">John Stratton Hawley (ed.), </w:t>
      </w:r>
      <w:r w:rsidRPr="00CE731F">
        <w:rPr>
          <w:i/>
          <w:iCs/>
        </w:rPr>
        <w:t xml:space="preserve">Sati, The Blessing and the Curse: The Burning of Wives in India </w:t>
      </w:r>
      <w:r w:rsidRPr="00CE731F">
        <w:t>(Oxford University Press, 1994).</w:t>
      </w:r>
    </w:p>
    <w:p w14:paraId="65942486" w14:textId="467403CC" w:rsidR="00637152" w:rsidRPr="00CE731F" w:rsidRDefault="00637152" w:rsidP="002D619A">
      <w:r w:rsidRPr="00CE731F">
        <w:t>Maninder Järleberg, ‘Sati in Britain, 1850-1900: An Evolving Site of Memory’, Unpublished PhD Thesis, University of Utrecht, 2024.</w:t>
      </w:r>
      <w:r w:rsidR="002D619A" w:rsidRPr="00CE731F">
        <w:t xml:space="preserve"> </w:t>
      </w:r>
      <w:hyperlink r:id="rId24" w:history="1">
        <w:r w:rsidR="002D619A" w:rsidRPr="00CE731F">
          <w:rPr>
            <w:rStyle w:val="Hyperlink"/>
          </w:rPr>
          <w:t>dissertation pdf version - 66c8adad91c5d.pdf</w:t>
        </w:r>
      </w:hyperlink>
    </w:p>
    <w:p w14:paraId="49FC2980" w14:textId="78278526" w:rsidR="003A6D05" w:rsidRPr="00CE731F" w:rsidRDefault="003A6D05">
      <w:r w:rsidRPr="00CE731F">
        <w:t xml:space="preserve">James Lawrence, </w:t>
      </w:r>
      <w:r w:rsidRPr="00CE731F">
        <w:rPr>
          <w:i/>
          <w:iCs/>
        </w:rPr>
        <w:t xml:space="preserve">Raj: The Making and Unmaking of British India </w:t>
      </w:r>
      <w:r w:rsidRPr="00CE731F">
        <w:t>(Abacus, 1997).</w:t>
      </w:r>
    </w:p>
    <w:p w14:paraId="7C009908" w14:textId="6415378A" w:rsidR="00DD586A" w:rsidRPr="00CE731F" w:rsidRDefault="00DD586A">
      <w:r w:rsidRPr="00CE731F">
        <w:t xml:space="preserve">Ania Loomba, ‘Dead Women Tell No Tales: Issues of Female Subjectivity, Subaltern Agency and Tradition in Colonial and Post-Colonial Writings on Widow Immolation in India’, </w:t>
      </w:r>
      <w:r w:rsidRPr="00CE731F">
        <w:rPr>
          <w:i/>
          <w:iCs/>
        </w:rPr>
        <w:t xml:space="preserve">History Workshop </w:t>
      </w:r>
      <w:r w:rsidRPr="00CE731F">
        <w:t>36 (1993), 209-227.</w:t>
      </w:r>
    </w:p>
    <w:p w14:paraId="2247EDEE" w14:textId="7963C662" w:rsidR="00011041" w:rsidRPr="00CE731F" w:rsidRDefault="00011041">
      <w:r w:rsidRPr="00CE731F">
        <w:t xml:space="preserve">Andrea Major, ‘The Burning of Sampati Kuer: Sati and the </w:t>
      </w:r>
      <w:proofErr w:type="spellStart"/>
      <w:r w:rsidRPr="00CE731F">
        <w:t>Politcs</w:t>
      </w:r>
      <w:proofErr w:type="spellEnd"/>
      <w:r w:rsidRPr="00CE731F">
        <w:t xml:space="preserve"> of Imperialism, Nationalism and Revivalism in 1920s India’, </w:t>
      </w:r>
      <w:r w:rsidRPr="00CE731F">
        <w:rPr>
          <w:i/>
          <w:iCs/>
        </w:rPr>
        <w:t xml:space="preserve">Gender and History </w:t>
      </w:r>
      <w:r w:rsidRPr="00CE731F">
        <w:t>20.2 (2008), 228-247.</w:t>
      </w:r>
    </w:p>
    <w:p w14:paraId="1D403A0E" w14:textId="7CBB2E4C" w:rsidR="00011041" w:rsidRPr="00CE731F" w:rsidRDefault="00011041" w:rsidP="00011041">
      <w:r w:rsidRPr="00CE731F">
        <w:t xml:space="preserve">Andrea Major, ‘“Eternal Flames”: Suicide, Sinfulness and Insanity in “Western” Constructions of Sati, 1500-1830’, </w:t>
      </w:r>
      <w:r w:rsidRPr="00CE731F">
        <w:rPr>
          <w:i/>
          <w:iCs/>
        </w:rPr>
        <w:t xml:space="preserve">International Journal of Asian Studies </w:t>
      </w:r>
      <w:r w:rsidRPr="00CE731F">
        <w:t>1.2 (2004), 247-276.</w:t>
      </w:r>
    </w:p>
    <w:p w14:paraId="1B7E6D53" w14:textId="40493AE4" w:rsidR="00011041" w:rsidRPr="00CE731F" w:rsidRDefault="00011041" w:rsidP="00011041">
      <w:r w:rsidRPr="00CE731F">
        <w:lastRenderedPageBreak/>
        <w:t xml:space="preserve">Andrea Major, ‘Self-determined Sacrifices? Victimhood and Volition in British Constructions of Sati in the Rajput States, 1830-60’, </w:t>
      </w:r>
      <w:r w:rsidRPr="00CE731F">
        <w:rPr>
          <w:i/>
          <w:iCs/>
        </w:rPr>
        <w:t xml:space="preserve">History and Anthropology </w:t>
      </w:r>
      <w:r w:rsidRPr="00CE731F">
        <w:t>17.4 (2006), 313-325.</w:t>
      </w:r>
    </w:p>
    <w:p w14:paraId="6DFD83B6" w14:textId="5AD6CBB4" w:rsidR="00AD6923" w:rsidRPr="00CE731F" w:rsidRDefault="00AD6923" w:rsidP="00011041">
      <w:r w:rsidRPr="00CE731F">
        <w:t xml:space="preserve">Andrea Major, ‘“Pious Flames”: European Encounters with Sati before 1805’, </w:t>
      </w:r>
      <w:r w:rsidRPr="00CE731F">
        <w:rPr>
          <w:i/>
          <w:iCs/>
        </w:rPr>
        <w:t xml:space="preserve">South Asia </w:t>
      </w:r>
      <w:r w:rsidRPr="00CE731F">
        <w:t>27.2 (2004), 153-181.</w:t>
      </w:r>
    </w:p>
    <w:p w14:paraId="2E3D0FFF" w14:textId="03B991C5" w:rsidR="00011041" w:rsidRPr="00CE731F" w:rsidRDefault="00011041">
      <w:r w:rsidRPr="00CE731F">
        <w:t xml:space="preserve">Aritra Majumdar, ‘Rammohun and the Debate on Sati: Locating the Public Sphere in Early Colonial India’, </w:t>
      </w:r>
      <w:r w:rsidRPr="00CE731F">
        <w:rPr>
          <w:i/>
          <w:iCs/>
        </w:rPr>
        <w:t xml:space="preserve">Proceedings of the Indian History Congress </w:t>
      </w:r>
      <w:r w:rsidRPr="00CE731F">
        <w:t>78 (2017), 627-634.</w:t>
      </w:r>
    </w:p>
    <w:p w14:paraId="6FE851CA" w14:textId="1BDFE38F" w:rsidR="00E85FE8" w:rsidRPr="00CE731F" w:rsidRDefault="00E85FE8">
      <w:r w:rsidRPr="00CE731F">
        <w:t xml:space="preserve">Lata Mani, ‘Production of an Official Discourse on “Sati” in Early Nineteenth Century Bengal’, </w:t>
      </w:r>
      <w:r w:rsidRPr="00CE731F">
        <w:rPr>
          <w:i/>
          <w:iCs/>
        </w:rPr>
        <w:t xml:space="preserve">Economic and Political Weekly </w:t>
      </w:r>
      <w:r w:rsidRPr="00CE731F">
        <w:t>21.17 (1986), 32-40.</w:t>
      </w:r>
    </w:p>
    <w:p w14:paraId="76449DD7" w14:textId="41A7A333" w:rsidR="00296AE9" w:rsidRPr="00CE731F" w:rsidRDefault="00296AE9">
      <w:r w:rsidRPr="00CE731F">
        <w:t xml:space="preserve">Werner Menskt, ‘Sati: A Review Article’, </w:t>
      </w:r>
      <w:r w:rsidRPr="00CE731F">
        <w:rPr>
          <w:i/>
          <w:iCs/>
        </w:rPr>
        <w:t xml:space="preserve">Bulletin of the School of Oriental and African Studies </w:t>
      </w:r>
      <w:r w:rsidRPr="00CE731F">
        <w:t>61.1 (1998), 74-81.</w:t>
      </w:r>
    </w:p>
    <w:p w14:paraId="69FAC973" w14:textId="020CED07" w:rsidR="007B1DF2" w:rsidRPr="00CE731F" w:rsidRDefault="007B1DF2">
      <w:r w:rsidRPr="00CE731F">
        <w:t xml:space="preserve">Clare Midgley, ‘Female Emancipation in an Imperial Frame: English Women and the Campaign Against Sati (Widow-Burning) in India, 1813-30’, </w:t>
      </w:r>
      <w:r w:rsidRPr="00CE731F">
        <w:rPr>
          <w:i/>
          <w:iCs/>
        </w:rPr>
        <w:t xml:space="preserve">Women’s History Review </w:t>
      </w:r>
      <w:r w:rsidRPr="00CE731F">
        <w:t>9.1 (2000), 95-121.</w:t>
      </w:r>
    </w:p>
    <w:p w14:paraId="7AA0ABD5" w14:textId="550ADEF9" w:rsidR="00011041" w:rsidRPr="00CE731F" w:rsidRDefault="00011041">
      <w:r w:rsidRPr="00CE731F">
        <w:t>Gaura Shankar Narayan, ‘</w:t>
      </w:r>
      <w:proofErr w:type="spellStart"/>
      <w:r w:rsidRPr="00CE731F">
        <w:t>Imperiled</w:t>
      </w:r>
      <w:proofErr w:type="spellEnd"/>
      <w:r w:rsidRPr="00CE731F">
        <w:t xml:space="preserve"> Women and Chivalrous Men in Colonial India, 1757-1857’, </w:t>
      </w:r>
      <w:r w:rsidRPr="00CE731F">
        <w:rPr>
          <w:i/>
          <w:iCs/>
        </w:rPr>
        <w:t xml:space="preserve">South Asian Review </w:t>
      </w:r>
      <w:r w:rsidRPr="00CE731F">
        <w:t>34.3 (2013), 35-52.</w:t>
      </w:r>
    </w:p>
    <w:p w14:paraId="76DE60B9" w14:textId="5D818C11" w:rsidR="00E308F9" w:rsidRPr="00CE731F" w:rsidRDefault="00E308F9">
      <w:r w:rsidRPr="00CE731F">
        <w:t xml:space="preserve">Jakob de Roover, </w:t>
      </w:r>
      <w:r w:rsidRPr="00CE731F">
        <w:rPr>
          <w:i/>
          <w:iCs/>
        </w:rPr>
        <w:t xml:space="preserve">Europe, India, and the Limits of Secularism </w:t>
      </w:r>
      <w:r w:rsidRPr="00CE731F">
        <w:t xml:space="preserve">(Oxford University Press, 2016), Chapter </w:t>
      </w:r>
      <w:r w:rsidR="00080361" w:rsidRPr="00CE731F">
        <w:t>6.</w:t>
      </w:r>
    </w:p>
    <w:p w14:paraId="5B40EDB0" w14:textId="54C4FCCD" w:rsidR="00011041" w:rsidRPr="00CE731F" w:rsidRDefault="00011041">
      <w:r w:rsidRPr="00CE731F">
        <w:t xml:space="preserve">Tanika Sarkar, ‘Something Like Rights? Faith, Law and Widow Immolation Debates in Colonial Bengal, </w:t>
      </w:r>
      <w:r w:rsidRPr="00CE731F">
        <w:rPr>
          <w:i/>
          <w:iCs/>
        </w:rPr>
        <w:t xml:space="preserve">The Indian Economic and Social History Review </w:t>
      </w:r>
      <w:r w:rsidRPr="00CE731F">
        <w:t>49.3 (2012), 295-320.</w:t>
      </w:r>
    </w:p>
    <w:p w14:paraId="58AEC894" w14:textId="603F612F" w:rsidR="00196EBE" w:rsidRPr="00CE731F" w:rsidRDefault="00196EBE" w:rsidP="00850CC6">
      <w:r w:rsidRPr="00CE731F">
        <w:t xml:space="preserve">Tanika Sarkar, ‘A Just Measure of Death? Hindu Ritual and Colonial Law in the Sphere of Widow Immolations’, </w:t>
      </w:r>
      <w:r w:rsidRPr="00CE731F">
        <w:rPr>
          <w:i/>
          <w:iCs/>
        </w:rPr>
        <w:t xml:space="preserve">Comparative Studies of South Asia, Africa and the Middle East </w:t>
      </w:r>
      <w:r w:rsidRPr="00CE731F">
        <w:t xml:space="preserve">33.2 (2013), </w:t>
      </w:r>
      <w:r w:rsidR="009954A2" w:rsidRPr="00CE731F">
        <w:t xml:space="preserve">159-176. </w:t>
      </w:r>
      <w:r w:rsidR="00850CC6" w:rsidRPr="00CE731F">
        <w:t xml:space="preserve"> </w:t>
      </w:r>
      <w:hyperlink r:id="rId25" w:history="1">
        <w:r w:rsidR="00850CC6" w:rsidRPr="00CE731F">
          <w:rPr>
            <w:rStyle w:val="Hyperlink"/>
          </w:rPr>
          <w:t>CSA332_03_Sakar_fpp.pdf</w:t>
        </w:r>
      </w:hyperlink>
    </w:p>
    <w:p w14:paraId="44A984B1" w14:textId="694613F5" w:rsidR="002F56F1" w:rsidRPr="00CE731F" w:rsidRDefault="002F56F1" w:rsidP="00284621">
      <w:r w:rsidRPr="00CE731F">
        <w:t xml:space="preserve">M. Siddharth, ‘A Study on Raja Ram Mohan Roy and Abolition of Sati System in India’, </w:t>
      </w:r>
      <w:r w:rsidRPr="00CE731F">
        <w:rPr>
          <w:i/>
          <w:iCs/>
        </w:rPr>
        <w:t xml:space="preserve">International journal of Social Science and Economic Research </w:t>
      </w:r>
      <w:r w:rsidRPr="00CE731F">
        <w:t xml:space="preserve">3.12 (2018), </w:t>
      </w:r>
      <w:hyperlink r:id="rId26" w:history="1">
        <w:r w:rsidR="00284621" w:rsidRPr="00CE731F">
          <w:rPr>
            <w:rStyle w:val="Hyperlink"/>
          </w:rPr>
          <w:t>International Journal of Social Science and Economic Research</w:t>
        </w:r>
      </w:hyperlink>
    </w:p>
    <w:p w14:paraId="7D1830F0" w14:textId="3FF3BC67" w:rsidR="00FB7271" w:rsidRPr="00CE731F" w:rsidRDefault="00FB7271">
      <w:r w:rsidRPr="00CE731F">
        <w:t xml:space="preserve">Dorothy K. Stein, ‘Women to Burn: Suttee as a Normative Institution’, </w:t>
      </w:r>
      <w:r w:rsidRPr="00CE731F">
        <w:rPr>
          <w:i/>
          <w:iCs/>
        </w:rPr>
        <w:t xml:space="preserve">Signs </w:t>
      </w:r>
      <w:r w:rsidRPr="00CE731F">
        <w:t>4.2 (1978), 253-268.</w:t>
      </w:r>
    </w:p>
    <w:p w14:paraId="0F6B708D" w14:textId="77777777" w:rsidR="006B0F5C" w:rsidRDefault="006B0F5C">
      <w:pPr>
        <w:rPr>
          <w:rFonts w:eastAsiaTheme="majorEastAsia" w:cstheme="majorBidi"/>
          <w:color w:val="0F4761" w:themeColor="accent1" w:themeShade="BF"/>
          <w:sz w:val="28"/>
          <w:szCs w:val="28"/>
        </w:rPr>
      </w:pPr>
      <w:r>
        <w:br w:type="page"/>
      </w:r>
    </w:p>
    <w:p w14:paraId="4A1F1875" w14:textId="6843E314" w:rsidR="001A0876" w:rsidRDefault="001A0876" w:rsidP="00693741">
      <w:pPr>
        <w:pStyle w:val="Heading3"/>
      </w:pPr>
      <w:r w:rsidRPr="00CE731F">
        <w:lastRenderedPageBreak/>
        <w:t xml:space="preserve">Session </w:t>
      </w:r>
      <w:r w:rsidR="00953A1D" w:rsidRPr="00CE731F">
        <w:t>5</w:t>
      </w:r>
      <w:r w:rsidRPr="00CE731F">
        <w:t xml:space="preserve">: </w:t>
      </w:r>
      <w:r w:rsidR="00953A1D" w:rsidRPr="00CE731F">
        <w:t>Missionary Encounters and Domesticity</w:t>
      </w:r>
    </w:p>
    <w:p w14:paraId="32D6DEBE" w14:textId="77777777" w:rsidR="004F3AF3" w:rsidRDefault="00540897" w:rsidP="00677100">
      <w:r>
        <w:t>This session will</w:t>
      </w:r>
      <w:r w:rsidR="00227CE9">
        <w:t xml:space="preserve"> explore how colonial powers, in concert with missionary societies, sought to shape </w:t>
      </w:r>
      <w:r w:rsidR="00F63E1A">
        <w:t>colonised communities. Through</w:t>
      </w:r>
      <w:r w:rsidR="00B67E90">
        <w:t xml:space="preserve"> the </w:t>
      </w:r>
      <w:r w:rsidR="00112818">
        <w:t>spread of Christianity, and of gendered forms of education, the home b</w:t>
      </w:r>
      <w:r w:rsidR="004F3AF3">
        <w:t>ecame a site of imperial contestation. We will examine the content of domestic ideologies, and the responses of colonised peoples to attempts to remake gender relations in colonial societies.</w:t>
      </w:r>
    </w:p>
    <w:p w14:paraId="0C50EFC5" w14:textId="496383D7" w:rsidR="00227CE9" w:rsidRDefault="004F3AF3" w:rsidP="00677100">
      <w:r>
        <w:rPr>
          <w:b/>
          <w:bCs/>
        </w:rPr>
        <w:t>Questions to consider:</w:t>
      </w:r>
      <w:r w:rsidR="00227CE9">
        <w:t xml:space="preserve"> </w:t>
      </w:r>
    </w:p>
    <w:p w14:paraId="313CECF3" w14:textId="12561ADB" w:rsidR="00677100" w:rsidRDefault="00677100" w:rsidP="0080776D">
      <w:pPr>
        <w:pStyle w:val="ListParagraph"/>
        <w:numPr>
          <w:ilvl w:val="0"/>
          <w:numId w:val="9"/>
        </w:numPr>
      </w:pPr>
      <w:r>
        <w:t>How did colonial powers attempt to remake gender relation</w:t>
      </w:r>
      <w:r w:rsidR="00031967">
        <w:t>s?</w:t>
      </w:r>
    </w:p>
    <w:p w14:paraId="7CF95A4C" w14:textId="1E47D26B" w:rsidR="00031967" w:rsidRDefault="00031967" w:rsidP="0080776D">
      <w:pPr>
        <w:pStyle w:val="ListParagraph"/>
        <w:numPr>
          <w:ilvl w:val="0"/>
          <w:numId w:val="9"/>
        </w:numPr>
      </w:pPr>
      <w:r>
        <w:t>How did colonised people respond?</w:t>
      </w:r>
    </w:p>
    <w:p w14:paraId="35E87316" w14:textId="01056AB7" w:rsidR="00031967" w:rsidRDefault="00031967" w:rsidP="0080776D">
      <w:pPr>
        <w:pStyle w:val="ListParagraph"/>
        <w:numPr>
          <w:ilvl w:val="0"/>
          <w:numId w:val="9"/>
        </w:numPr>
      </w:pPr>
      <w:r>
        <w:t>How far did colonial gender policies reflect Victorian ideas of domesticity?</w:t>
      </w:r>
    </w:p>
    <w:p w14:paraId="410DED8B" w14:textId="77777777" w:rsidR="00693741" w:rsidRDefault="00693741" w:rsidP="00693741">
      <w:pPr>
        <w:rPr>
          <w:b/>
          <w:bCs/>
        </w:rPr>
      </w:pPr>
      <w:r>
        <w:rPr>
          <w:b/>
          <w:bCs/>
        </w:rPr>
        <w:t>To prepare for class:</w:t>
      </w:r>
    </w:p>
    <w:p w14:paraId="4E5EC0E4" w14:textId="77777777" w:rsidR="00693741" w:rsidRDefault="00693741" w:rsidP="0080776D">
      <w:pPr>
        <w:pStyle w:val="ListParagraph"/>
        <w:numPr>
          <w:ilvl w:val="0"/>
          <w:numId w:val="5"/>
        </w:numPr>
      </w:pPr>
      <w:r>
        <w:t>P</w:t>
      </w:r>
      <w:r w:rsidRPr="00E55B21">
        <w:t xml:space="preserve">lease read </w:t>
      </w:r>
      <w:r>
        <w:rPr>
          <w:b/>
          <w:bCs/>
        </w:rPr>
        <w:t xml:space="preserve">at least one </w:t>
      </w:r>
      <w:r>
        <w:t xml:space="preserve">of </w:t>
      </w:r>
      <w:r w:rsidRPr="00E55B21">
        <w:t>the key reading</w:t>
      </w:r>
      <w:r>
        <w:t>s</w:t>
      </w:r>
      <w:r w:rsidRPr="00E55B21">
        <w:t xml:space="preserve"> for the </w:t>
      </w:r>
      <w:r>
        <w:t>class.</w:t>
      </w:r>
    </w:p>
    <w:p w14:paraId="241ACB0A" w14:textId="77777777" w:rsidR="00693741" w:rsidRDefault="00693741" w:rsidP="0080776D">
      <w:pPr>
        <w:pStyle w:val="ListParagraph"/>
        <w:numPr>
          <w:ilvl w:val="0"/>
          <w:numId w:val="5"/>
        </w:numPr>
      </w:pPr>
      <w:r>
        <w:t>If you have time, you might want to explore some of the further reading listed.</w:t>
      </w:r>
    </w:p>
    <w:p w14:paraId="157516ED" w14:textId="02572EAE" w:rsidR="00693741" w:rsidRPr="00677100" w:rsidRDefault="00693741" w:rsidP="0080776D">
      <w:pPr>
        <w:pStyle w:val="ListParagraph"/>
        <w:numPr>
          <w:ilvl w:val="0"/>
          <w:numId w:val="5"/>
        </w:numPr>
      </w:pPr>
      <w:r>
        <w:t xml:space="preserve">Bring your notes to class – you will be expected to draw on your reading in class exercises. </w:t>
      </w:r>
    </w:p>
    <w:p w14:paraId="5EB3659A" w14:textId="77777777" w:rsidR="009904A5" w:rsidRPr="00693741" w:rsidRDefault="009904A5" w:rsidP="009904A5">
      <w:pPr>
        <w:rPr>
          <w:b/>
          <w:bCs/>
          <w:iCs/>
        </w:rPr>
      </w:pPr>
      <w:r w:rsidRPr="00693741">
        <w:rPr>
          <w:b/>
          <w:bCs/>
          <w:iCs/>
        </w:rPr>
        <w:t xml:space="preserve">Key reading: </w:t>
      </w:r>
    </w:p>
    <w:p w14:paraId="7D1EBAA6" w14:textId="77777777" w:rsidR="00144705" w:rsidRDefault="00144705" w:rsidP="00144705">
      <w:pPr>
        <w:rPr>
          <w:iCs/>
        </w:rPr>
      </w:pPr>
      <w:r w:rsidRPr="00CE731F">
        <w:rPr>
          <w:iCs/>
        </w:rPr>
        <w:t xml:space="preserve">Anna Davin, ‘Imperialism and Motherhood’ in Frederick Cooper and Ann Laura Stoler (eds.), </w:t>
      </w:r>
      <w:r w:rsidRPr="00CE731F">
        <w:rPr>
          <w:i/>
        </w:rPr>
        <w:t>Tensions of Empire</w:t>
      </w:r>
      <w:r w:rsidRPr="00CE731F">
        <w:rPr>
          <w:iCs/>
        </w:rPr>
        <w:t xml:space="preserve"> (University of California Press, 1997), pp.87-151.</w:t>
      </w:r>
    </w:p>
    <w:p w14:paraId="16EAA0AC" w14:textId="477557E9" w:rsidR="009904A5" w:rsidRPr="00CE731F" w:rsidRDefault="009904A5" w:rsidP="00BF091F">
      <w:pPr>
        <w:rPr>
          <w:iCs/>
        </w:rPr>
      </w:pPr>
      <w:r w:rsidRPr="00CE731F">
        <w:rPr>
          <w:iCs/>
        </w:rPr>
        <w:t xml:space="preserve">Samuel Thomas, ‘Transforming the Gospel of Domesticity: Luhya Girls and the </w:t>
      </w:r>
      <w:r w:rsidR="00D96297" w:rsidRPr="00CE731F">
        <w:rPr>
          <w:iCs/>
        </w:rPr>
        <w:t>F</w:t>
      </w:r>
      <w:r w:rsidRPr="00CE731F">
        <w:rPr>
          <w:iCs/>
        </w:rPr>
        <w:t xml:space="preserve">riends Africa Mission, 1917-1926’, </w:t>
      </w:r>
      <w:r w:rsidRPr="00CE731F">
        <w:rPr>
          <w:i/>
        </w:rPr>
        <w:t xml:space="preserve">African Studies Review </w:t>
      </w:r>
      <w:r w:rsidRPr="00CE731F">
        <w:rPr>
          <w:iCs/>
        </w:rPr>
        <w:t>43.2 (2000), 1-28.</w:t>
      </w:r>
    </w:p>
    <w:p w14:paraId="0EB014BF" w14:textId="385B144A" w:rsidR="00D96297" w:rsidRDefault="00D96297" w:rsidP="00BF091F">
      <w:pPr>
        <w:rPr>
          <w:b/>
          <w:bCs/>
          <w:iCs/>
        </w:rPr>
      </w:pPr>
      <w:r w:rsidRPr="00CE731F">
        <w:rPr>
          <w:b/>
          <w:bCs/>
          <w:iCs/>
        </w:rPr>
        <w:t>Further Reading</w:t>
      </w:r>
      <w:r w:rsidR="0059138A">
        <w:rPr>
          <w:b/>
          <w:bCs/>
          <w:iCs/>
        </w:rPr>
        <w:t>:</w:t>
      </w:r>
    </w:p>
    <w:p w14:paraId="2F8E0B3C" w14:textId="77777777" w:rsidR="00B938BC" w:rsidRDefault="00B938BC" w:rsidP="00B938BC">
      <w:pPr>
        <w:rPr>
          <w:iCs/>
        </w:rPr>
      </w:pPr>
      <w:r>
        <w:rPr>
          <w:iCs/>
        </w:rPr>
        <w:t xml:space="preserve">Swapna M. Bannerjee, ‘Debates on Domesticity and the Position of Women in Late Colonial India’, </w:t>
      </w:r>
      <w:r>
        <w:rPr>
          <w:i/>
        </w:rPr>
        <w:t xml:space="preserve">History Compass </w:t>
      </w:r>
      <w:r>
        <w:rPr>
          <w:iCs/>
        </w:rPr>
        <w:t>8.6 (2010), 455-473.</w:t>
      </w:r>
    </w:p>
    <w:p w14:paraId="5D6E748B" w14:textId="77777777" w:rsidR="00B938BC" w:rsidRDefault="00B938BC" w:rsidP="00B938BC">
      <w:pPr>
        <w:rPr>
          <w:iCs/>
        </w:rPr>
      </w:pPr>
      <w:r w:rsidRPr="00CE731F">
        <w:rPr>
          <w:iCs/>
        </w:rPr>
        <w:t xml:space="preserve">Janice Boddy, </w:t>
      </w:r>
      <w:r w:rsidRPr="00CE731F">
        <w:rPr>
          <w:i/>
        </w:rPr>
        <w:t xml:space="preserve">Civilizing Women: British Crusades in Colonial Sudan </w:t>
      </w:r>
      <w:r w:rsidRPr="00CE731F">
        <w:rPr>
          <w:iCs/>
        </w:rPr>
        <w:t>(Princeton University Press, 2007).</w:t>
      </w:r>
    </w:p>
    <w:p w14:paraId="32EDF746" w14:textId="77777777" w:rsidR="00B938BC" w:rsidRDefault="00B938BC" w:rsidP="00B938BC">
      <w:pPr>
        <w:rPr>
          <w:iCs/>
        </w:rPr>
      </w:pPr>
      <w:r>
        <w:rPr>
          <w:iCs/>
        </w:rPr>
        <w:t xml:space="preserve">Meredith Borthwick, </w:t>
      </w:r>
      <w:r>
        <w:rPr>
          <w:i/>
        </w:rPr>
        <w:t xml:space="preserve">The Changing Role of Women in Bengal, 1849-1905 </w:t>
      </w:r>
      <w:r>
        <w:rPr>
          <w:iCs/>
        </w:rPr>
        <w:t>(Princeton University Press, 1984), Chapter 5.</w:t>
      </w:r>
    </w:p>
    <w:p w14:paraId="409BBAA3" w14:textId="77777777" w:rsidR="00B938BC" w:rsidRDefault="00B938BC" w:rsidP="00B938BC">
      <w:r w:rsidRPr="00CE731F">
        <w:rPr>
          <w:iCs/>
        </w:rPr>
        <w:t xml:space="preserve">Dipesh Chakrabarty, ‘The Difference-Deferral of a Colonial Modernity: Public Debates on Domesticity in British Bengal’, </w:t>
      </w:r>
      <w:r w:rsidRPr="00DA5B5A">
        <w:t>Frederick</w:t>
      </w:r>
      <w:r w:rsidRPr="00CE731F">
        <w:t xml:space="preserve"> </w:t>
      </w:r>
      <w:proofErr w:type="gramStart"/>
      <w:r w:rsidRPr="00CE731F">
        <w:t xml:space="preserve">Cooper </w:t>
      </w:r>
      <w:r w:rsidRPr="00DA5B5A">
        <w:t xml:space="preserve"> and</w:t>
      </w:r>
      <w:proofErr w:type="gramEnd"/>
      <w:r w:rsidRPr="00DA5B5A">
        <w:t xml:space="preserve"> Ann Laura Stoler (eds), </w:t>
      </w:r>
      <w:r w:rsidRPr="00DA5B5A">
        <w:rPr>
          <w:i/>
          <w:iCs/>
        </w:rPr>
        <w:t>Tensions of Empire: Colonial Cultures in a Bourgeois World</w:t>
      </w:r>
      <w:r w:rsidRPr="00DA5B5A">
        <w:t> (University of California Press, 1997)</w:t>
      </w:r>
      <w:r w:rsidRPr="00CE731F">
        <w:t>, pp. 373-405.</w:t>
      </w:r>
    </w:p>
    <w:p w14:paraId="51E59D62" w14:textId="77777777" w:rsidR="00B938BC" w:rsidRPr="00CE731F" w:rsidRDefault="00B938BC" w:rsidP="00B938BC">
      <w:r w:rsidRPr="00CE731F">
        <w:t>Patricia Pok-</w:t>
      </w:r>
      <w:proofErr w:type="spellStart"/>
      <w:r w:rsidRPr="00CE731F">
        <w:t>kwan</w:t>
      </w:r>
      <w:proofErr w:type="spellEnd"/>
      <w:r w:rsidRPr="00CE731F">
        <w:t xml:space="preserve"> Chiu, ‘A Position of Usefulness: Gendering History of Girls’ Education in Colonial Hong Kong (1850s-1890s), </w:t>
      </w:r>
      <w:r w:rsidRPr="00CE731F">
        <w:rPr>
          <w:i/>
          <w:iCs/>
        </w:rPr>
        <w:t xml:space="preserve">History of Education </w:t>
      </w:r>
      <w:r w:rsidRPr="00CE731F">
        <w:t>37.6 (2008), 789-805.</w:t>
      </w:r>
    </w:p>
    <w:p w14:paraId="69918313" w14:textId="77777777" w:rsidR="00B938BC" w:rsidRDefault="00B938BC" w:rsidP="00B938BC">
      <w:pPr>
        <w:rPr>
          <w:iCs/>
        </w:rPr>
      </w:pPr>
      <w:r w:rsidRPr="00CE731F">
        <w:rPr>
          <w:iCs/>
        </w:rPr>
        <w:lastRenderedPageBreak/>
        <w:t xml:space="preserve">Debora Gaitskell, ‘Housewives, Maids or Mothers: Some Contradictions of Domesticity for Christian Women in Johannesburg, 1903-1939’, </w:t>
      </w:r>
      <w:r w:rsidRPr="00CE731F">
        <w:rPr>
          <w:i/>
        </w:rPr>
        <w:t xml:space="preserve">Journal of African History </w:t>
      </w:r>
      <w:r w:rsidRPr="00CE731F">
        <w:rPr>
          <w:iCs/>
        </w:rPr>
        <w:t>24.2 (1983), 241-256.</w:t>
      </w:r>
    </w:p>
    <w:p w14:paraId="24BDBCFD" w14:textId="054956BF" w:rsidR="00B938BC" w:rsidRDefault="00B938BC" w:rsidP="00B938BC">
      <w:pPr>
        <w:rPr>
          <w:iCs/>
        </w:rPr>
      </w:pPr>
      <w:r>
        <w:rPr>
          <w:iCs/>
        </w:rPr>
        <w:t xml:space="preserve">Deborah Gaitskell, ‘Devout Domesticity? A Century of African Women’s Christianity in South Africa’, in Andrea Cornwall (ed.), </w:t>
      </w:r>
      <w:r>
        <w:rPr>
          <w:i/>
        </w:rPr>
        <w:t xml:space="preserve">Readings in Gender in Africa </w:t>
      </w:r>
      <w:r>
        <w:rPr>
          <w:iCs/>
        </w:rPr>
        <w:t>(Indiana University Press, 2005), pp. 177-187.</w:t>
      </w:r>
    </w:p>
    <w:p w14:paraId="25CC9F9C" w14:textId="52EA6EA2" w:rsidR="00EF7A5D" w:rsidRPr="00EF7A5D" w:rsidRDefault="00EF7A5D" w:rsidP="00B938BC">
      <w:pPr>
        <w:rPr>
          <w:iCs/>
        </w:rPr>
      </w:pPr>
      <w:r>
        <w:rPr>
          <w:iCs/>
        </w:rPr>
        <w:t xml:space="preserve">Jane Haggis, ‘Ironies of Emancipation: Changing Configurations of “Women’s Work” in the “Mission of Sisterhood” to Indian Women’, </w:t>
      </w:r>
      <w:r>
        <w:rPr>
          <w:i/>
        </w:rPr>
        <w:t xml:space="preserve">Feminist Review </w:t>
      </w:r>
      <w:r>
        <w:rPr>
          <w:iCs/>
        </w:rPr>
        <w:t>65 (2000), 108-126.</w:t>
      </w:r>
    </w:p>
    <w:p w14:paraId="687F9155" w14:textId="77777777" w:rsidR="00B938BC" w:rsidRDefault="00B938BC" w:rsidP="00B938BC">
      <w:pPr>
        <w:rPr>
          <w:iCs/>
        </w:rPr>
      </w:pPr>
      <w:r>
        <w:rPr>
          <w:iCs/>
        </w:rPr>
        <w:t xml:space="preserve">Mary Hancock, ‘Home Science and the Nationalization of Domesticity in Colonial India, </w:t>
      </w:r>
      <w:r>
        <w:rPr>
          <w:i/>
        </w:rPr>
        <w:t xml:space="preserve">Modern Asian Studies </w:t>
      </w:r>
      <w:r>
        <w:rPr>
          <w:iCs/>
        </w:rPr>
        <w:t>35.4 (2001), 871-903.</w:t>
      </w:r>
    </w:p>
    <w:p w14:paraId="111292AA" w14:textId="34529DBD" w:rsidR="00C9630E" w:rsidRDefault="00C9630E" w:rsidP="00B938BC">
      <w:pPr>
        <w:rPr>
          <w:iCs/>
        </w:rPr>
      </w:pPr>
      <w:r w:rsidRPr="00C9630E">
        <w:rPr>
          <w:iCs/>
        </w:rPr>
        <w:t xml:space="preserve">Karen Tranberg Hansen (ed.), </w:t>
      </w:r>
      <w:r w:rsidRPr="00C9630E">
        <w:rPr>
          <w:i/>
        </w:rPr>
        <w:t>African Encounters w</w:t>
      </w:r>
      <w:r>
        <w:rPr>
          <w:i/>
        </w:rPr>
        <w:t xml:space="preserve">ith Domesticity </w:t>
      </w:r>
      <w:r>
        <w:rPr>
          <w:iCs/>
        </w:rPr>
        <w:t>(Rutgers University Press, 1992).</w:t>
      </w:r>
    </w:p>
    <w:p w14:paraId="7E36CC34" w14:textId="27A1E764" w:rsidR="00ED7748" w:rsidRPr="00ED7748" w:rsidRDefault="00ED7748" w:rsidP="00B938BC">
      <w:pPr>
        <w:rPr>
          <w:iCs/>
        </w:rPr>
      </w:pPr>
      <w:r>
        <w:rPr>
          <w:iCs/>
        </w:rPr>
        <w:t xml:space="preserve">Meghan Elisabeth Healy, ‘“To Control Their Destiny”: The Politics of Home and the Feminisation of Schooling in Colonial Natal, 1885-1910’, </w:t>
      </w:r>
      <w:r>
        <w:rPr>
          <w:i/>
        </w:rPr>
        <w:t xml:space="preserve">Journal of Southern African Studies </w:t>
      </w:r>
      <w:r>
        <w:rPr>
          <w:iCs/>
        </w:rPr>
        <w:t>37.2 (2011), 247-264.</w:t>
      </w:r>
    </w:p>
    <w:p w14:paraId="126E2050" w14:textId="5ED32684" w:rsidR="00EF7A5D" w:rsidRDefault="00B938BC" w:rsidP="00EF7A5D">
      <w:pPr>
        <w:rPr>
          <w:iCs/>
        </w:rPr>
      </w:pPr>
      <w:r>
        <w:rPr>
          <w:iCs/>
        </w:rPr>
        <w:t xml:space="preserve">Eliza F. Kent, </w:t>
      </w:r>
      <w:r>
        <w:rPr>
          <w:i/>
        </w:rPr>
        <w:t xml:space="preserve">Converting Women: Gender and Protestant Christianity in Colonial South India </w:t>
      </w:r>
      <w:r>
        <w:rPr>
          <w:iCs/>
        </w:rPr>
        <w:t>(Oxford University Press, 2004).</w:t>
      </w:r>
    </w:p>
    <w:p w14:paraId="0052290D" w14:textId="6A6A316C" w:rsidR="00B938BC" w:rsidRDefault="00B938BC" w:rsidP="00B938BC">
      <w:pPr>
        <w:rPr>
          <w:iCs/>
        </w:rPr>
      </w:pPr>
      <w:r w:rsidRPr="00CE731F">
        <w:rPr>
          <w:iCs/>
        </w:rPr>
        <w:t>Christopher Kirchgasler and Karishma Desai,‘ “G</w:t>
      </w:r>
      <w:r>
        <w:rPr>
          <w:iCs/>
        </w:rPr>
        <w:t xml:space="preserve">irl” in Crisis: Colonial Residues of Domesticity in Transnational School Reforms’, </w:t>
      </w:r>
      <w:r>
        <w:rPr>
          <w:i/>
        </w:rPr>
        <w:t xml:space="preserve">Comparative Education Review </w:t>
      </w:r>
      <w:r>
        <w:rPr>
          <w:iCs/>
        </w:rPr>
        <w:t>64.3 (2020).</w:t>
      </w:r>
      <w:hyperlink r:id="rId27" w:history="1">
        <w:r w:rsidRPr="00B938BC">
          <w:rPr>
            <w:rStyle w:val="Hyperlink"/>
            <w:iCs/>
          </w:rPr>
          <w:t xml:space="preserve"> Available online here</w:t>
        </w:r>
      </w:hyperlink>
    </w:p>
    <w:p w14:paraId="7E35B6C0" w14:textId="1A4910D6" w:rsidR="00EF7A5D" w:rsidRDefault="00EF7A5D" w:rsidP="00EF7A5D">
      <w:pPr>
        <w:rPr>
          <w:iCs/>
        </w:rPr>
      </w:pPr>
      <w:r w:rsidRPr="00CE731F">
        <w:rPr>
          <w:iCs/>
        </w:rPr>
        <w:t xml:space="preserve">Kate Law, ‘“Even a Labourer is Worthy of His Hire: How Much More </w:t>
      </w:r>
      <w:proofErr w:type="gramStart"/>
      <w:r w:rsidRPr="00CE731F">
        <w:rPr>
          <w:iCs/>
        </w:rPr>
        <w:t>A</w:t>
      </w:r>
      <w:proofErr w:type="gramEnd"/>
      <w:r w:rsidRPr="00CE731F">
        <w:rPr>
          <w:iCs/>
        </w:rPr>
        <w:t xml:space="preserve"> Wife?”  Gender and the Contested Nature of Domesticity in Colonial Zimbabwe, c.1945-1978’, </w:t>
      </w:r>
      <w:r w:rsidRPr="00CE731F">
        <w:rPr>
          <w:i/>
        </w:rPr>
        <w:t xml:space="preserve">South African Historical Journal </w:t>
      </w:r>
      <w:r w:rsidRPr="00CE731F">
        <w:rPr>
          <w:iCs/>
        </w:rPr>
        <w:t>63.3 (2011), 456-474</w:t>
      </w:r>
      <w:r>
        <w:rPr>
          <w:iCs/>
        </w:rPr>
        <w:t>.</w:t>
      </w:r>
    </w:p>
    <w:p w14:paraId="6ACFE91C" w14:textId="77777777" w:rsidR="0059138A" w:rsidRDefault="0059138A" w:rsidP="0059138A">
      <w:r w:rsidRPr="00513F62">
        <w:t xml:space="preserve">Sujata Mukherjee, </w:t>
      </w:r>
      <w:r w:rsidRPr="00513F62">
        <w:rPr>
          <w:i/>
          <w:iCs/>
        </w:rPr>
        <w:t>Gender, Medicine and Society in</w:t>
      </w:r>
      <w:r>
        <w:rPr>
          <w:i/>
          <w:iCs/>
        </w:rPr>
        <w:t xml:space="preserve"> Colonial India </w:t>
      </w:r>
      <w:r>
        <w:t>(Oxford University Press, 2017), Chapter 4.</w:t>
      </w:r>
    </w:p>
    <w:p w14:paraId="06A7DD33" w14:textId="5FED1D77" w:rsidR="00381F76" w:rsidRPr="0011478A" w:rsidRDefault="00381F76" w:rsidP="0059138A">
      <w:r>
        <w:t xml:space="preserve">Enaya Hammad Othman, ‘Deconstructing the Dogma of Domesticity: Quaker Education and </w:t>
      </w:r>
      <w:r w:rsidR="0011478A">
        <w:t xml:space="preserve">Nationalism in British Mandate Palestine’, </w:t>
      </w:r>
      <w:r w:rsidR="0011478A">
        <w:rPr>
          <w:i/>
          <w:iCs/>
        </w:rPr>
        <w:t xml:space="preserve">Journal of Colonialism and Colonial History </w:t>
      </w:r>
      <w:r w:rsidR="0011478A">
        <w:t>19.1 (2018).</w:t>
      </w:r>
    </w:p>
    <w:p w14:paraId="1996E230" w14:textId="2CA75ADA" w:rsidR="004E4ECA" w:rsidRPr="004E4ECA" w:rsidRDefault="004E4ECA" w:rsidP="0059138A">
      <w:r>
        <w:t xml:space="preserve">Britta Schilling, ‘Design Advice for the African Home: Translating “Colonial Style”’, </w:t>
      </w:r>
      <w:r>
        <w:rPr>
          <w:i/>
          <w:iCs/>
        </w:rPr>
        <w:t xml:space="preserve">Interiors: Design, Architecture, Culture </w:t>
      </w:r>
      <w:r>
        <w:t>5.2 (2014), 179-197.</w:t>
      </w:r>
    </w:p>
    <w:p w14:paraId="0E365FDE" w14:textId="77777777" w:rsidR="00B938BC" w:rsidRPr="00CE731F" w:rsidRDefault="00B938BC" w:rsidP="00B938BC">
      <w:pPr>
        <w:rPr>
          <w:iCs/>
        </w:rPr>
      </w:pPr>
      <w:r w:rsidRPr="00CE731F">
        <w:rPr>
          <w:iCs/>
        </w:rPr>
        <w:t xml:space="preserve">Indrani Sen, ‘Colonial Domesticities, Contentious </w:t>
      </w:r>
      <w:proofErr w:type="gramStart"/>
      <w:r w:rsidRPr="00CE731F">
        <w:rPr>
          <w:iCs/>
        </w:rPr>
        <w:t>Interactions :</w:t>
      </w:r>
      <w:proofErr w:type="gramEnd"/>
      <w:r w:rsidRPr="00CE731F">
        <w:rPr>
          <w:iCs/>
        </w:rPr>
        <w:t xml:space="preserve"> Ayahs, Wet-Nurses and Memsahibs in Colonial India’, </w:t>
      </w:r>
      <w:r w:rsidRPr="00CE731F">
        <w:rPr>
          <w:i/>
        </w:rPr>
        <w:t xml:space="preserve">Indian Journal of Gender Studies </w:t>
      </w:r>
      <w:r w:rsidRPr="00CE731F">
        <w:rPr>
          <w:iCs/>
        </w:rPr>
        <w:t>16.3 (2009), 299-328.</w:t>
      </w:r>
    </w:p>
    <w:p w14:paraId="5115D48A" w14:textId="5A4AE8F4" w:rsidR="0037015A" w:rsidRDefault="0037015A" w:rsidP="009A1E17">
      <w:pPr>
        <w:rPr>
          <w:iCs/>
        </w:rPr>
      </w:pPr>
      <w:r w:rsidRPr="001D1192">
        <w:rPr>
          <w:iCs/>
        </w:rPr>
        <w:t xml:space="preserve">Ann Laura Stoler, </w:t>
      </w:r>
      <w:r w:rsidR="001D1192" w:rsidRPr="001D1192">
        <w:rPr>
          <w:iCs/>
        </w:rPr>
        <w:t>‘Making Empire Respectable: Th</w:t>
      </w:r>
      <w:r w:rsidR="001D1192">
        <w:rPr>
          <w:iCs/>
        </w:rPr>
        <w:t xml:space="preserve">e Politics of Race and Sexual Morality in Twentieth Century Colonial Cultures’, </w:t>
      </w:r>
      <w:r w:rsidR="001D1192">
        <w:rPr>
          <w:i/>
        </w:rPr>
        <w:t xml:space="preserve">American Ethnologist </w:t>
      </w:r>
      <w:r w:rsidR="001D1192">
        <w:rPr>
          <w:iCs/>
        </w:rPr>
        <w:t>16.4 (1989), 634-660.</w:t>
      </w:r>
    </w:p>
    <w:p w14:paraId="1C0F288C" w14:textId="74817319" w:rsidR="001D1192" w:rsidRPr="001D1192" w:rsidRDefault="001D1192" w:rsidP="009A1E17">
      <w:pPr>
        <w:rPr>
          <w:iCs/>
        </w:rPr>
      </w:pPr>
      <w:r w:rsidRPr="001D1192">
        <w:rPr>
          <w:iCs/>
        </w:rPr>
        <w:lastRenderedPageBreak/>
        <w:t xml:space="preserve">Lynn M. Thomas, </w:t>
      </w:r>
      <w:r w:rsidRPr="001D1192">
        <w:rPr>
          <w:i/>
        </w:rPr>
        <w:t>Politics o</w:t>
      </w:r>
      <w:r>
        <w:rPr>
          <w:i/>
        </w:rPr>
        <w:t xml:space="preserve">f the Womb: Women, Reproduction and the State in Kenya </w:t>
      </w:r>
      <w:r>
        <w:rPr>
          <w:iCs/>
        </w:rPr>
        <w:t>(University of California Press, 2003), Especially Chapter 3.</w:t>
      </w:r>
    </w:p>
    <w:p w14:paraId="7B787BBA" w14:textId="77777777" w:rsidR="006B0F5C" w:rsidRDefault="006B0F5C">
      <w:pPr>
        <w:rPr>
          <w:rFonts w:eastAsiaTheme="majorEastAsia" w:cstheme="majorBidi"/>
          <w:color w:val="0F4761" w:themeColor="accent1" w:themeShade="BF"/>
          <w:sz w:val="28"/>
          <w:szCs w:val="28"/>
        </w:rPr>
      </w:pPr>
      <w:r>
        <w:br w:type="page"/>
      </w:r>
    </w:p>
    <w:p w14:paraId="508BBCAD" w14:textId="27C9957C" w:rsidR="00F0170B" w:rsidRDefault="00F0170B" w:rsidP="006B0F5C">
      <w:pPr>
        <w:pStyle w:val="Heading3"/>
      </w:pPr>
      <w:r w:rsidRPr="00CE731F">
        <w:lastRenderedPageBreak/>
        <w:t xml:space="preserve">Session </w:t>
      </w:r>
      <w:r w:rsidR="000C7DA4">
        <w:t>6</w:t>
      </w:r>
      <w:r w:rsidRPr="00CE731F">
        <w:t xml:space="preserve">: </w:t>
      </w:r>
      <w:r w:rsidR="001A0876" w:rsidRPr="00CE731F">
        <w:t>Imperial Feminisms and ‘Woman-Saving’</w:t>
      </w:r>
    </w:p>
    <w:p w14:paraId="1175A4A3" w14:textId="5DCC7617" w:rsidR="00E93717" w:rsidRDefault="00E93717" w:rsidP="00E93717">
      <w:r>
        <w:t xml:space="preserve">This session will explore </w:t>
      </w:r>
      <w:r w:rsidR="00F72A98">
        <w:t>white</w:t>
      </w:r>
      <w:r>
        <w:t xml:space="preserve"> feminists’ </w:t>
      </w:r>
      <w:r w:rsidR="00B23B10">
        <w:t>engagement with empire</w:t>
      </w:r>
      <w:r w:rsidR="00F72A98">
        <w:t xml:space="preserve">, and their </w:t>
      </w:r>
      <w:r>
        <w:t xml:space="preserve">campaigns around the status of colonised women and girls. </w:t>
      </w:r>
      <w:r w:rsidR="00275BEC">
        <w:t xml:space="preserve"> We will examine the notion of ‘imperial feminism’, exploring the roles that </w:t>
      </w:r>
      <w:r w:rsidR="00F72A98">
        <w:t>European</w:t>
      </w:r>
      <w:r w:rsidR="00275BEC">
        <w:t xml:space="preserve"> women took </w:t>
      </w:r>
      <w:r w:rsidR="002D2D85">
        <w:t>both within colonised territories and as activists in the metropole.</w:t>
      </w:r>
      <w:r w:rsidR="00F72A98">
        <w:t xml:space="preserve"> We will explore</w:t>
      </w:r>
      <w:r w:rsidR="003408AC">
        <w:t xml:space="preserve"> campaigns relating to topics such as forced and early marriage, female genital cutting, and </w:t>
      </w:r>
      <w:r w:rsidR="001C64DF">
        <w:t>child labour, considering how far they</w:t>
      </w:r>
      <w:r w:rsidR="00F72A98">
        <w:t xml:space="preserve"> justified, and how far they challenged, imperial rule. We will then turn to the case study of Katherine Mayo’s controversial 1927 text, </w:t>
      </w:r>
      <w:r w:rsidR="00F72A98">
        <w:rPr>
          <w:i/>
          <w:iCs/>
        </w:rPr>
        <w:t xml:space="preserve">Mother India, </w:t>
      </w:r>
      <w:r w:rsidR="00F72A98">
        <w:t>to examine how imperial feminist constructions of ‘other’ women were received and contested.</w:t>
      </w:r>
    </w:p>
    <w:p w14:paraId="78BA6407" w14:textId="2C44D8B0" w:rsidR="00F72A98" w:rsidRPr="00F72A98" w:rsidRDefault="00F72A98" w:rsidP="00E93717">
      <w:pPr>
        <w:rPr>
          <w:b/>
          <w:bCs/>
        </w:rPr>
      </w:pPr>
      <w:r>
        <w:rPr>
          <w:b/>
          <w:bCs/>
        </w:rPr>
        <w:t>Questions to consider:</w:t>
      </w:r>
    </w:p>
    <w:p w14:paraId="520DAFFD" w14:textId="593E02B0" w:rsidR="004B50DF" w:rsidRDefault="004B50DF" w:rsidP="001C64DF">
      <w:pPr>
        <w:pStyle w:val="ListParagraph"/>
        <w:numPr>
          <w:ilvl w:val="0"/>
          <w:numId w:val="35"/>
        </w:numPr>
      </w:pPr>
      <w:r>
        <w:t>How did European feminists conceive of and represent colonised women</w:t>
      </w:r>
      <w:r w:rsidR="00BD53E1">
        <w:t xml:space="preserve"> in the nineteenth and early twentieth</w:t>
      </w:r>
      <w:r w:rsidR="00FD60E5">
        <w:t xml:space="preserve"> centuries</w:t>
      </w:r>
      <w:r>
        <w:t>?</w:t>
      </w:r>
    </w:p>
    <w:p w14:paraId="038942B9" w14:textId="3A4524A1" w:rsidR="004B50DF" w:rsidRDefault="00FD60E5" w:rsidP="001C64DF">
      <w:pPr>
        <w:pStyle w:val="ListParagraph"/>
        <w:numPr>
          <w:ilvl w:val="0"/>
          <w:numId w:val="35"/>
        </w:numPr>
      </w:pPr>
      <w:r>
        <w:t xml:space="preserve">How far did </w:t>
      </w:r>
      <w:r w:rsidR="00362932">
        <w:t>imperial feminist campaigns challenge the basis of colonial rule</w:t>
      </w:r>
      <w:r w:rsidR="004B50DF">
        <w:t>?</w:t>
      </w:r>
    </w:p>
    <w:p w14:paraId="38F256FD" w14:textId="251BD801" w:rsidR="00BD53E1" w:rsidRDefault="00BD53E1" w:rsidP="001C64DF">
      <w:pPr>
        <w:pStyle w:val="ListParagraph"/>
        <w:numPr>
          <w:ilvl w:val="0"/>
          <w:numId w:val="35"/>
        </w:numPr>
      </w:pPr>
      <w:r>
        <w:t xml:space="preserve">How far do colonial legacies influence </w:t>
      </w:r>
      <w:r w:rsidR="00677100">
        <w:t>international ‘feminist’ campaigns in the present day?</w:t>
      </w:r>
    </w:p>
    <w:p w14:paraId="0C371DB3" w14:textId="77777777" w:rsidR="001C64DF" w:rsidRDefault="001C64DF" w:rsidP="001C64DF">
      <w:pPr>
        <w:rPr>
          <w:b/>
          <w:bCs/>
        </w:rPr>
      </w:pPr>
      <w:r>
        <w:rPr>
          <w:b/>
          <w:bCs/>
        </w:rPr>
        <w:t>To prepare for class:</w:t>
      </w:r>
    </w:p>
    <w:p w14:paraId="397B0BC2" w14:textId="77777777" w:rsidR="001C64DF" w:rsidRDefault="001C64DF" w:rsidP="001C64DF">
      <w:pPr>
        <w:pStyle w:val="ListParagraph"/>
        <w:numPr>
          <w:ilvl w:val="0"/>
          <w:numId w:val="5"/>
        </w:numPr>
      </w:pPr>
      <w:r>
        <w:t>P</w:t>
      </w:r>
      <w:r w:rsidRPr="00E55B21">
        <w:t xml:space="preserve">lease read </w:t>
      </w:r>
      <w:r>
        <w:rPr>
          <w:b/>
          <w:bCs/>
        </w:rPr>
        <w:t xml:space="preserve">at least one </w:t>
      </w:r>
      <w:r>
        <w:t xml:space="preserve">of </w:t>
      </w:r>
      <w:r w:rsidRPr="00E55B21">
        <w:t>the key reading</w:t>
      </w:r>
      <w:r>
        <w:t>s</w:t>
      </w:r>
      <w:r w:rsidRPr="00E55B21">
        <w:t xml:space="preserve"> for the </w:t>
      </w:r>
      <w:r>
        <w:t>class.</w:t>
      </w:r>
    </w:p>
    <w:p w14:paraId="407EE000" w14:textId="77777777" w:rsidR="001C64DF" w:rsidRDefault="001C64DF" w:rsidP="001C64DF">
      <w:pPr>
        <w:pStyle w:val="ListParagraph"/>
        <w:numPr>
          <w:ilvl w:val="0"/>
          <w:numId w:val="5"/>
        </w:numPr>
      </w:pPr>
      <w:r>
        <w:t>If you have time, you might want to explore some of the further reading listed.</w:t>
      </w:r>
    </w:p>
    <w:p w14:paraId="5E6447A0" w14:textId="77777777" w:rsidR="001C64DF" w:rsidRPr="00677100" w:rsidRDefault="001C64DF" w:rsidP="001C64DF">
      <w:pPr>
        <w:pStyle w:val="ListParagraph"/>
        <w:numPr>
          <w:ilvl w:val="0"/>
          <w:numId w:val="5"/>
        </w:numPr>
      </w:pPr>
      <w:r>
        <w:t xml:space="preserve">Bring your notes to class – you will be expected to draw on your reading in class exercises. </w:t>
      </w:r>
    </w:p>
    <w:p w14:paraId="00D64E5D" w14:textId="47055D2B" w:rsidR="00980215" w:rsidRPr="00980215" w:rsidRDefault="00980215" w:rsidP="004B50DF">
      <w:pPr>
        <w:rPr>
          <w:b/>
          <w:bCs/>
        </w:rPr>
      </w:pPr>
      <w:r w:rsidRPr="00980215">
        <w:rPr>
          <w:b/>
          <w:bCs/>
        </w:rPr>
        <w:t>Key reading:</w:t>
      </w:r>
    </w:p>
    <w:p w14:paraId="2EA2D9CD" w14:textId="77777777" w:rsidR="00980215" w:rsidRPr="00980215" w:rsidRDefault="00980215" w:rsidP="00980215">
      <w:pPr>
        <w:rPr>
          <w:i/>
          <w:iCs/>
        </w:rPr>
      </w:pPr>
      <w:r>
        <w:t xml:space="preserve">Clare Midgley, ‘Anti-slavery and the roots of “imperial feminism” in Clare Midgley (ed.), </w:t>
      </w:r>
      <w:r>
        <w:rPr>
          <w:i/>
          <w:iCs/>
        </w:rPr>
        <w:t xml:space="preserve">Gender and Imperialism </w:t>
      </w:r>
      <w:r>
        <w:t>(Manchester University Press, 1998), 161-179.</w:t>
      </w:r>
    </w:p>
    <w:p w14:paraId="5A0F3820" w14:textId="30A76923" w:rsidR="00EB7719" w:rsidRDefault="00980215" w:rsidP="00EB7719">
      <w:r>
        <w:t xml:space="preserve">Barbara Bush, ‘Feminising Empire? British Women’s Activist Networks in Defending and Challenging Empire from 1918 to Decolonisation’, </w:t>
      </w:r>
      <w:r>
        <w:rPr>
          <w:i/>
          <w:iCs/>
        </w:rPr>
        <w:t xml:space="preserve">Women’s History Review </w:t>
      </w:r>
      <w:r>
        <w:t>25:4 (2016), 499-519.</w:t>
      </w:r>
    </w:p>
    <w:p w14:paraId="0009009B" w14:textId="747FF05A" w:rsidR="0014324E" w:rsidRPr="0014324E" w:rsidRDefault="0014324E" w:rsidP="00980215">
      <w:r w:rsidRPr="0014324E">
        <w:t>Mrinalini Sinha, ‘Refashioning Mother India: Feminism an</w:t>
      </w:r>
      <w:r>
        <w:t xml:space="preserve">d Nationalism in Late-Colonial India’, </w:t>
      </w:r>
      <w:r>
        <w:rPr>
          <w:i/>
          <w:iCs/>
        </w:rPr>
        <w:t xml:space="preserve">Feminist Studies </w:t>
      </w:r>
      <w:r>
        <w:t>26.3 (2000), 623-644.</w:t>
      </w:r>
    </w:p>
    <w:p w14:paraId="691390B2" w14:textId="4B6F0C3B" w:rsidR="00980215" w:rsidRDefault="00980215" w:rsidP="004B50DF">
      <w:pPr>
        <w:rPr>
          <w:b/>
          <w:bCs/>
        </w:rPr>
      </w:pPr>
      <w:r w:rsidRPr="00980215">
        <w:rPr>
          <w:b/>
          <w:bCs/>
        </w:rPr>
        <w:t>Further reading:</w:t>
      </w:r>
    </w:p>
    <w:p w14:paraId="387EE2D8" w14:textId="77777777" w:rsidR="00EB7719" w:rsidRDefault="00EB7719" w:rsidP="00EB7719">
      <w:r w:rsidRPr="000F2FCA">
        <w:t>Barbara Bush, ‘</w:t>
      </w:r>
      <w:r>
        <w:t>“</w:t>
      </w:r>
      <w:r w:rsidRPr="000F2FCA">
        <w:t>Britain’s Conscience on A</w:t>
      </w:r>
      <w:r>
        <w:t xml:space="preserve">frica”: White Women, Race and Imperial Politics in Inter-war Britain’ in Clare Midgley, </w:t>
      </w:r>
      <w:r>
        <w:rPr>
          <w:i/>
          <w:iCs/>
        </w:rPr>
        <w:t xml:space="preserve">Gender and Imperialism </w:t>
      </w:r>
      <w:r>
        <w:t>(Manchester University Press, 1998), pp. 200-223.</w:t>
      </w:r>
    </w:p>
    <w:p w14:paraId="483C9393" w14:textId="77777777" w:rsidR="00EB7719" w:rsidRDefault="00EB7719" w:rsidP="00EB7719">
      <w:r>
        <w:t xml:space="preserve">Nupur Chaudhuri and Margaret Strobel (eds.), </w:t>
      </w:r>
      <w:r>
        <w:rPr>
          <w:i/>
          <w:iCs/>
        </w:rPr>
        <w:t xml:space="preserve">Western Women and Imperialism: Complicity and Resistance </w:t>
      </w:r>
      <w:r>
        <w:t xml:space="preserve">(Indiana University Press, 1992), chapters by Sinha, </w:t>
      </w:r>
      <w:proofErr w:type="spellStart"/>
      <w:r>
        <w:t>Ramusack</w:t>
      </w:r>
      <w:proofErr w:type="spellEnd"/>
      <w:r>
        <w:t>, Burton, Paxton, Birkett.</w:t>
      </w:r>
    </w:p>
    <w:p w14:paraId="04A99477" w14:textId="77777777" w:rsidR="00EB7719" w:rsidRDefault="00EB7719" w:rsidP="00EB7719">
      <w:r>
        <w:lastRenderedPageBreak/>
        <w:t xml:space="preserve">Abosede George, ‘Within Salvation: Girl Hawkers and the Colonial State in Development Era Lagos’, </w:t>
      </w:r>
      <w:r>
        <w:rPr>
          <w:i/>
          <w:iCs/>
        </w:rPr>
        <w:t xml:space="preserve">Journal of Social History </w:t>
      </w:r>
      <w:r>
        <w:t>44.3 (2011), 837-859.</w:t>
      </w:r>
    </w:p>
    <w:p w14:paraId="431E838D" w14:textId="05617849" w:rsidR="00EB7719" w:rsidRDefault="00EB7719" w:rsidP="00836BDF">
      <w:r>
        <w:t xml:space="preserve">Jane Haggis, </w:t>
      </w:r>
      <w:proofErr w:type="spellStart"/>
      <w:r>
        <w:t>‘White</w:t>
      </w:r>
      <w:proofErr w:type="spellEnd"/>
      <w:r>
        <w:t xml:space="preserve"> women and colonialism: Towards a non-recuperative history’ in Clare Midgley (ed.), </w:t>
      </w:r>
      <w:r>
        <w:rPr>
          <w:i/>
          <w:iCs/>
        </w:rPr>
        <w:t xml:space="preserve">Gender and Imperialism </w:t>
      </w:r>
      <w:r>
        <w:t>(Manchester University Press, 1998), 45-76.</w:t>
      </w:r>
    </w:p>
    <w:p w14:paraId="738CFB43" w14:textId="77777777" w:rsidR="00836BDF" w:rsidRDefault="00836BDF" w:rsidP="00836BDF">
      <w:r>
        <w:t xml:space="preserve">Clare Midgley, ‘Anti-slavery and the roots of “imperial feminism” in Clare Midgley (ed.), </w:t>
      </w:r>
      <w:r>
        <w:rPr>
          <w:i/>
          <w:iCs/>
        </w:rPr>
        <w:t xml:space="preserve">Gender and Imperialism </w:t>
      </w:r>
      <w:r>
        <w:t>(Manchester University Press, 1998), 161-179.</w:t>
      </w:r>
    </w:p>
    <w:p w14:paraId="3AB3E526" w14:textId="77777777" w:rsidR="00836BDF" w:rsidRDefault="00836BDF" w:rsidP="00836BDF">
      <w:r>
        <w:t xml:space="preserve">Susan Pedersen, ‘The </w:t>
      </w:r>
      <w:proofErr w:type="spellStart"/>
      <w:r>
        <w:t>Maternalist</w:t>
      </w:r>
      <w:proofErr w:type="spellEnd"/>
      <w:r>
        <w:t xml:space="preserve"> Moment in British Colonial Policy: The Controversy Over “Child Slavery” in Hong Kong, 1917-1941’, </w:t>
      </w:r>
      <w:r>
        <w:rPr>
          <w:i/>
          <w:iCs/>
        </w:rPr>
        <w:t xml:space="preserve">Past &amp; Present </w:t>
      </w:r>
      <w:r>
        <w:t>171 (2001), 161-202.</w:t>
      </w:r>
    </w:p>
    <w:p w14:paraId="54BEE715" w14:textId="63304695" w:rsidR="00836BDF" w:rsidRDefault="00836BDF" w:rsidP="00836BDF">
      <w:r w:rsidRPr="009F6CE2">
        <w:t>Susan Pedersen, ‘National Bodies, Unspeakable</w:t>
      </w:r>
      <w:r>
        <w:t xml:space="preserve"> Acts: The Sexual Politics of Colonial </w:t>
      </w:r>
      <w:proofErr w:type="gramStart"/>
      <w:r>
        <w:t>Policy-Making</w:t>
      </w:r>
      <w:proofErr w:type="gramEnd"/>
      <w:r>
        <w:t xml:space="preserve">’, </w:t>
      </w:r>
      <w:r>
        <w:rPr>
          <w:i/>
          <w:iCs/>
        </w:rPr>
        <w:t xml:space="preserve">Journal of Modern History </w:t>
      </w:r>
      <w:r>
        <w:t>63.4 (1991), 647-680.</w:t>
      </w:r>
    </w:p>
    <w:p w14:paraId="26469BB2" w14:textId="40C918A3" w:rsidR="0029470B" w:rsidRDefault="0029470B" w:rsidP="004B50DF">
      <w:pPr>
        <w:rPr>
          <w:i/>
          <w:iCs/>
          <w:u w:val="single"/>
        </w:rPr>
      </w:pPr>
      <w:r>
        <w:rPr>
          <w:u w:val="single"/>
        </w:rPr>
        <w:t xml:space="preserve">Indian Women and </w:t>
      </w:r>
      <w:r>
        <w:rPr>
          <w:i/>
          <w:iCs/>
          <w:u w:val="single"/>
        </w:rPr>
        <w:t>Mother India</w:t>
      </w:r>
    </w:p>
    <w:p w14:paraId="5C9FC22A" w14:textId="77777777" w:rsidR="0029470B" w:rsidRDefault="0029470B" w:rsidP="0029470B">
      <w:pPr>
        <w:rPr>
          <w:iCs/>
        </w:rPr>
      </w:pPr>
      <w:r>
        <w:t xml:space="preserve">Antoinette Burton, ‘From Child Bride to “Hindoo Lady”: </w:t>
      </w:r>
      <w:proofErr w:type="spellStart"/>
      <w:r>
        <w:t>Rukhmabai</w:t>
      </w:r>
      <w:proofErr w:type="spellEnd"/>
      <w:r>
        <w:t xml:space="preserve"> and the Debate on Sexual Responsibility in Imperial Britain’, </w:t>
      </w:r>
      <w:r>
        <w:rPr>
          <w:i/>
        </w:rPr>
        <w:t xml:space="preserve">American Historical Review </w:t>
      </w:r>
      <w:r>
        <w:rPr>
          <w:iCs/>
        </w:rPr>
        <w:t>103.4 (1998), 1119-1146.</w:t>
      </w:r>
    </w:p>
    <w:p w14:paraId="438BC17A" w14:textId="77777777" w:rsidR="00836BDF" w:rsidRDefault="00836BDF" w:rsidP="00836BDF">
      <w:r>
        <w:t xml:space="preserve">Marouf </w:t>
      </w:r>
      <w:proofErr w:type="spellStart"/>
      <w:r>
        <w:t>Hasian</w:t>
      </w:r>
      <w:proofErr w:type="spellEnd"/>
      <w:r>
        <w:t xml:space="preserve"> and Anne Bialowas, ‘Gendered Nationalism, the Colonial Narrative, and the Rhetorical Significance of the Mother India Controversy’, </w:t>
      </w:r>
      <w:r>
        <w:rPr>
          <w:i/>
          <w:iCs/>
        </w:rPr>
        <w:t xml:space="preserve">Communication Quarterly </w:t>
      </w:r>
      <w:r>
        <w:t>57.4 (2009), 469-486.</w:t>
      </w:r>
    </w:p>
    <w:p w14:paraId="638A31F8" w14:textId="77777777" w:rsidR="00836BDF" w:rsidRDefault="00836BDF" w:rsidP="00836BDF">
      <w:r w:rsidRPr="00C14E2A">
        <w:t xml:space="preserve">Christina A. Joseph and </w:t>
      </w:r>
      <w:proofErr w:type="spellStart"/>
      <w:r w:rsidRPr="00C14E2A">
        <w:t>Anandam</w:t>
      </w:r>
      <w:proofErr w:type="spellEnd"/>
      <w:r w:rsidRPr="00C14E2A">
        <w:t xml:space="preserve"> P. </w:t>
      </w:r>
      <w:proofErr w:type="spellStart"/>
      <w:r w:rsidRPr="00C14E2A">
        <w:t>Kavoori</w:t>
      </w:r>
      <w:proofErr w:type="spellEnd"/>
      <w:r w:rsidRPr="00C14E2A">
        <w:t>, ‘Colonial Dis</w:t>
      </w:r>
      <w:r>
        <w:t xml:space="preserve">course and the Writings of Katherine Mayo’, </w:t>
      </w:r>
      <w:r>
        <w:rPr>
          <w:i/>
          <w:iCs/>
        </w:rPr>
        <w:t xml:space="preserve">American Journalism </w:t>
      </w:r>
      <w:r>
        <w:t>24.3 (2007), 55-84.</w:t>
      </w:r>
    </w:p>
    <w:p w14:paraId="47ABF054" w14:textId="77777777" w:rsidR="00836BDF" w:rsidRDefault="00836BDF" w:rsidP="00836BDF">
      <w:r>
        <w:t xml:space="preserve">Joanna Liddle and Shirin Rai, ‘Feminism, imperialism, and orientalism: The challenge of the “Indian woman”, </w:t>
      </w:r>
      <w:r>
        <w:rPr>
          <w:i/>
          <w:iCs/>
        </w:rPr>
        <w:t xml:space="preserve">Women’s History Review </w:t>
      </w:r>
      <w:r>
        <w:t>7.4 (1998), 495-520.</w:t>
      </w:r>
    </w:p>
    <w:p w14:paraId="0B09FF07" w14:textId="77777777" w:rsidR="00836BDF" w:rsidRDefault="00836BDF" w:rsidP="00836BDF">
      <w:r w:rsidRPr="00101473">
        <w:t xml:space="preserve">Susmita Mukherjee, ‘Katherine Mayo’s </w:t>
      </w:r>
      <w:r w:rsidRPr="00A52DC5">
        <w:rPr>
          <w:i/>
          <w:iCs/>
        </w:rPr>
        <w:t>Mother India</w:t>
      </w:r>
      <w:r>
        <w:t xml:space="preserve"> (1927) and its critique by the diaspora’, </w:t>
      </w:r>
      <w:r>
        <w:rPr>
          <w:i/>
          <w:iCs/>
        </w:rPr>
        <w:t xml:space="preserve">Proceedings of the Indian History Congress </w:t>
      </w:r>
      <w:r>
        <w:t>78 (2017), 820-827.</w:t>
      </w:r>
    </w:p>
    <w:p w14:paraId="715C7708" w14:textId="77777777" w:rsidR="00836BDF" w:rsidRDefault="00836BDF" w:rsidP="00836BDF">
      <w:r w:rsidRPr="00CE731F">
        <w:t xml:space="preserve">Kanika Sharma, ‘Withholding Consent to Conjugal Relations Within Child Marriages in Colonial India: </w:t>
      </w:r>
      <w:proofErr w:type="spellStart"/>
      <w:r w:rsidRPr="00CE731F">
        <w:t>Rukhmabai’s</w:t>
      </w:r>
      <w:proofErr w:type="spellEnd"/>
      <w:r w:rsidRPr="00CE731F">
        <w:t xml:space="preserve"> Fight’, </w:t>
      </w:r>
      <w:r w:rsidRPr="00CE731F">
        <w:rPr>
          <w:i/>
          <w:iCs/>
        </w:rPr>
        <w:t xml:space="preserve">Law and History Review </w:t>
      </w:r>
      <w:r w:rsidRPr="00CE731F">
        <w:t>38.1 (2020), 151-175.</w:t>
      </w:r>
    </w:p>
    <w:p w14:paraId="5B29E5A9" w14:textId="64B9BB7B" w:rsidR="00836BDF" w:rsidRPr="00101473" w:rsidRDefault="00836BDF" w:rsidP="00836BDF">
      <w:r>
        <w:t xml:space="preserve">Liz Wilson, ‘Who is Authorised to Speak? Katherine Mayo and the Politics of Imperial Feminism in British India’, </w:t>
      </w:r>
      <w:r>
        <w:rPr>
          <w:i/>
          <w:iCs/>
        </w:rPr>
        <w:t xml:space="preserve">Journal of Indian Philosophy </w:t>
      </w:r>
      <w:r>
        <w:t>25.2 (1997), 139-151.</w:t>
      </w:r>
    </w:p>
    <w:p w14:paraId="5C53105B" w14:textId="57A4B2DD" w:rsidR="0029470B" w:rsidRPr="0029470B" w:rsidRDefault="0029470B" w:rsidP="004B50DF">
      <w:pPr>
        <w:rPr>
          <w:u w:val="single"/>
        </w:rPr>
      </w:pPr>
      <w:r w:rsidRPr="0029470B">
        <w:rPr>
          <w:u w:val="single"/>
        </w:rPr>
        <w:t>Female Genital Cutting</w:t>
      </w:r>
      <w:r w:rsidR="00836BDF">
        <w:rPr>
          <w:u w:val="single"/>
        </w:rPr>
        <w:t xml:space="preserve"> in Africa</w:t>
      </w:r>
    </w:p>
    <w:p w14:paraId="489F37B7" w14:textId="77777777" w:rsidR="003408AC" w:rsidRDefault="003408AC" w:rsidP="003408AC">
      <w:r>
        <w:t xml:space="preserve">Anna Adima, ‘The Sound of Silence: The 1929-30 Gikuyu “Female Circumcision Controversy” and the Discursive Suppression of African Women’s Voices’, </w:t>
      </w:r>
      <w:r>
        <w:rPr>
          <w:i/>
          <w:iCs/>
        </w:rPr>
        <w:t xml:space="preserve">Gender a </w:t>
      </w:r>
      <w:proofErr w:type="spellStart"/>
      <w:r>
        <w:rPr>
          <w:i/>
          <w:iCs/>
        </w:rPr>
        <w:t>Vyzkum</w:t>
      </w:r>
      <w:proofErr w:type="spellEnd"/>
      <w:r>
        <w:rPr>
          <w:i/>
          <w:iCs/>
        </w:rPr>
        <w:t xml:space="preserve"> </w:t>
      </w:r>
      <w:r>
        <w:t>21.1 (2020), 18-37).</w:t>
      </w:r>
    </w:p>
    <w:p w14:paraId="5CC1AEA5" w14:textId="32A3075E" w:rsidR="00BF2404" w:rsidRPr="00D4553D" w:rsidRDefault="00BF2404" w:rsidP="00BF2404">
      <w:proofErr w:type="spellStart"/>
      <w:r>
        <w:lastRenderedPageBreak/>
        <w:t>Rogaia</w:t>
      </w:r>
      <w:proofErr w:type="spellEnd"/>
      <w:r>
        <w:t xml:space="preserve"> Mustafa Abusharaf,</w:t>
      </w:r>
      <w:r w:rsidRPr="00BF2404">
        <w:t xml:space="preserve"> </w:t>
      </w:r>
      <w:r w:rsidRPr="00DF4DED">
        <w:t xml:space="preserve">‘“We Have Supped So Deep in Horrors”: Understanding Colonialist Emotionality and British Responses to Female Circumcision in Northern Sudan’, </w:t>
      </w:r>
      <w:r w:rsidRPr="00BF2404">
        <w:rPr>
          <w:i/>
          <w:iCs/>
        </w:rPr>
        <w:t>History and Anthropology</w:t>
      </w:r>
      <w:r w:rsidRPr="00DF4DED">
        <w:t>, 17:3 (2006), 209-228.</w:t>
      </w:r>
    </w:p>
    <w:p w14:paraId="1B1777C6" w14:textId="26A8F86B" w:rsidR="0036132E" w:rsidRDefault="0036132E" w:rsidP="004B50DF">
      <w:r>
        <w:t xml:space="preserve">David M. Anderson, ‘Women Missionaries and Colonial Silences in Kenya’s Female “Circumcision” Controversy, 1906-1930’, </w:t>
      </w:r>
      <w:r>
        <w:rPr>
          <w:i/>
          <w:iCs/>
        </w:rPr>
        <w:t xml:space="preserve">English Historical Review </w:t>
      </w:r>
      <w:r>
        <w:t>133 (2018), 1512-1545.</w:t>
      </w:r>
    </w:p>
    <w:p w14:paraId="2BA531CB" w14:textId="77777777" w:rsidR="00836BDF" w:rsidRPr="00BE3F1E" w:rsidRDefault="00836BDF" w:rsidP="00836BDF">
      <w:r>
        <w:t xml:space="preserve">Janice Boddy, </w:t>
      </w:r>
      <w:r>
        <w:rPr>
          <w:i/>
          <w:iCs/>
        </w:rPr>
        <w:t xml:space="preserve">Civilizing Women: British Crusades in Colonial Sudan </w:t>
      </w:r>
      <w:r>
        <w:t>(Princeton University Press, 2007), Chapter 6.</w:t>
      </w:r>
    </w:p>
    <w:p w14:paraId="7B74156E" w14:textId="77777777" w:rsidR="00836BDF" w:rsidRDefault="00836BDF" w:rsidP="00836BDF">
      <w:r>
        <w:t xml:space="preserve">Natasha M. Gordon, ‘“Tonguing the Body”: Placing Female Circumcision within African Feminist Discourse’, </w:t>
      </w:r>
      <w:r>
        <w:rPr>
          <w:i/>
          <w:iCs/>
        </w:rPr>
        <w:t xml:space="preserve">Issue </w:t>
      </w:r>
      <w:r>
        <w:t>25.2 (1997), 24-27.</w:t>
      </w:r>
    </w:p>
    <w:p w14:paraId="2F671FA3" w14:textId="77777777" w:rsidR="00836BDF" w:rsidRDefault="00836BDF" w:rsidP="00836BDF">
      <w:r w:rsidRPr="0094229A">
        <w:t>Sondra Hale, ‘A Question of Subjects</w:t>
      </w:r>
      <w:r>
        <w:t xml:space="preserve">: The “Female Circumcision” Controversy and the Politics of Knowledge’, </w:t>
      </w:r>
      <w:proofErr w:type="spellStart"/>
      <w:r>
        <w:rPr>
          <w:i/>
          <w:iCs/>
        </w:rPr>
        <w:t>Ufahamu</w:t>
      </w:r>
      <w:proofErr w:type="spellEnd"/>
      <w:r>
        <w:rPr>
          <w:i/>
          <w:iCs/>
        </w:rPr>
        <w:t xml:space="preserve">: A Journal of African Studies </w:t>
      </w:r>
      <w:r>
        <w:t>22.3 (1994).</w:t>
      </w:r>
    </w:p>
    <w:p w14:paraId="223581AA" w14:textId="77777777" w:rsidR="00836BDF" w:rsidRDefault="00836BDF" w:rsidP="00836BDF">
      <w:r>
        <w:t xml:space="preserve">Penelope Hetherington, ‘The politics of female circumcision in the central province of colonial Kenya, 1920-1930’, </w:t>
      </w:r>
      <w:r>
        <w:rPr>
          <w:i/>
          <w:iCs/>
        </w:rPr>
        <w:t xml:space="preserve">Journal of Imperial and Commonwealth History </w:t>
      </w:r>
      <w:r>
        <w:t>26.1 (1998), 93-126.</w:t>
      </w:r>
    </w:p>
    <w:p w14:paraId="79BC1B3D" w14:textId="77777777" w:rsidR="00836BDF" w:rsidRPr="00D71089" w:rsidRDefault="00836BDF" w:rsidP="00836BDF">
      <w:r w:rsidRPr="00EE4FE0">
        <w:t>Theodore</w:t>
      </w:r>
      <w:r>
        <w:t xml:space="preserve"> Natsoulos</w:t>
      </w:r>
      <w:r w:rsidRPr="00EE4FE0">
        <w:t xml:space="preserve">, ‘The Politicization of the Ban on Female Circumcision and the Rise of the Independent School Movement in Kenya’, </w:t>
      </w:r>
      <w:r w:rsidRPr="00EE4FE0">
        <w:rPr>
          <w:i/>
          <w:iCs/>
        </w:rPr>
        <w:t>Journal of Asian and African Studies</w:t>
      </w:r>
      <w:r w:rsidRPr="00EE4FE0">
        <w:t>, 33:2 (1998), 137- 158.</w:t>
      </w:r>
    </w:p>
    <w:p w14:paraId="406DF41D" w14:textId="77777777" w:rsidR="00836BDF" w:rsidRDefault="00836BDF" w:rsidP="00836BDF">
      <w:r w:rsidRPr="00D4553D">
        <w:t>Wairimu Ngaruiya Njambi, ‘</w:t>
      </w:r>
      <w:proofErr w:type="spellStart"/>
      <w:r w:rsidRPr="00D4553D">
        <w:t>Irua</w:t>
      </w:r>
      <w:proofErr w:type="spellEnd"/>
      <w:r w:rsidRPr="00D4553D">
        <w:t xml:space="preserve"> Ria </w:t>
      </w:r>
      <w:proofErr w:type="spellStart"/>
      <w:r w:rsidRPr="00D4553D">
        <w:t>Atumia</w:t>
      </w:r>
      <w:proofErr w:type="spellEnd"/>
      <w:r w:rsidRPr="00D4553D">
        <w:t xml:space="preserve"> and</w:t>
      </w:r>
      <w:r>
        <w:t xml:space="preserve"> Anti-Colonial Struggles Among the Gikuyu of Kenya: A Counter-Narrative on “Female Genital Mutilation”, </w:t>
      </w:r>
      <w:r>
        <w:rPr>
          <w:i/>
          <w:iCs/>
        </w:rPr>
        <w:t xml:space="preserve">Critical Sociology </w:t>
      </w:r>
      <w:r>
        <w:t>33.4 (2007), 689-708.</w:t>
      </w:r>
    </w:p>
    <w:p w14:paraId="553AC73D" w14:textId="77777777" w:rsidR="00836BDF" w:rsidRPr="008A7434" w:rsidRDefault="00836BDF" w:rsidP="00836BDF">
      <w:r w:rsidRPr="008A7434">
        <w:t>Carla Makhlouf Obermeyer, ‘Female Genital Surgeries</w:t>
      </w:r>
      <w:r>
        <w:t xml:space="preserve">: The Known, The Unknown, and the Unknowable’, </w:t>
      </w:r>
      <w:r>
        <w:rPr>
          <w:i/>
          <w:iCs/>
        </w:rPr>
        <w:t xml:space="preserve">Medical Anthropology Quarterly </w:t>
      </w:r>
      <w:r>
        <w:t>13.1 (1999), 79-106.</w:t>
      </w:r>
    </w:p>
    <w:p w14:paraId="4AFA4CAC" w14:textId="77777777" w:rsidR="00836BDF" w:rsidRDefault="00836BDF" w:rsidP="00836BDF">
      <w:r>
        <w:t xml:space="preserve">Melissa Parker, ‘Rethinking Female Circumcision’, </w:t>
      </w:r>
      <w:r>
        <w:rPr>
          <w:i/>
          <w:iCs/>
        </w:rPr>
        <w:t xml:space="preserve">Africa </w:t>
      </w:r>
      <w:r>
        <w:t>65.4 (1995), 506-523.</w:t>
      </w:r>
    </w:p>
    <w:p w14:paraId="7F5C3055" w14:textId="77777777" w:rsidR="00836BDF" w:rsidRPr="00B656AD" w:rsidRDefault="00836BDF" w:rsidP="00836BDF">
      <w:r>
        <w:t xml:space="preserve">Lynn M. Thomas, </w:t>
      </w:r>
      <w:r>
        <w:rPr>
          <w:i/>
          <w:iCs/>
        </w:rPr>
        <w:t xml:space="preserve">Politics of the Womb: Women, Reproduction and the State in Kenya </w:t>
      </w:r>
      <w:r>
        <w:t>(University of California Press, 2003), especially Introduction and Chapter 3.</w:t>
      </w:r>
    </w:p>
    <w:p w14:paraId="0EB72285" w14:textId="77777777" w:rsidR="00836BDF" w:rsidRDefault="00836BDF" w:rsidP="00836BDF">
      <w:r>
        <w:t xml:space="preserve">Lynn M. Thomas, ‘Imperial Concerns and Women’s Affairs: State Efforts to Regulate Clitoridectomy and Eradicate Abortion in Meru, Kenya, 1910-50’, </w:t>
      </w:r>
      <w:r>
        <w:rPr>
          <w:i/>
          <w:iCs/>
        </w:rPr>
        <w:t xml:space="preserve">Journal of African History </w:t>
      </w:r>
      <w:r>
        <w:t>49.1 (1998), 121-145.</w:t>
      </w:r>
    </w:p>
    <w:p w14:paraId="6A15FA0C" w14:textId="0623E0EE" w:rsidR="00836BDF" w:rsidRDefault="00836BDF" w:rsidP="00836BDF">
      <w:r w:rsidRPr="0093374B">
        <w:t xml:space="preserve">Claire Robertson, ‘Grassroots in Kenya: Women, Genital Mutilation, and Collective Action, 1920-1990’, </w:t>
      </w:r>
      <w:r w:rsidRPr="00BF2404">
        <w:rPr>
          <w:i/>
          <w:iCs/>
        </w:rPr>
        <w:t>Signs</w:t>
      </w:r>
      <w:r w:rsidRPr="0093374B">
        <w:t>, 21:3 (1996), 615-642</w:t>
      </w:r>
      <w:r w:rsidR="00BF2404">
        <w:t>.</w:t>
      </w:r>
    </w:p>
    <w:p w14:paraId="22B402B0" w14:textId="4541335B" w:rsidR="00836BDF" w:rsidRDefault="00836BDF" w:rsidP="00836BDF">
      <w:r w:rsidRPr="0093374B">
        <w:t xml:space="preserve">Bodil Folke Frederiksen, ‘Jomo Kenyatta, Marie Bonaparte and Bronislaw Malinowski on Clitoridectomy and Female Sexuality’, </w:t>
      </w:r>
      <w:r w:rsidRPr="00BF2404">
        <w:rPr>
          <w:i/>
          <w:iCs/>
        </w:rPr>
        <w:t>History Workshop Journal</w:t>
      </w:r>
      <w:r w:rsidRPr="0093374B">
        <w:t>, 65:1 (2008), 23-48</w:t>
      </w:r>
      <w:r w:rsidR="00BF2404">
        <w:t>.</w:t>
      </w:r>
    </w:p>
    <w:p w14:paraId="3317D898" w14:textId="0D06F518" w:rsidR="006B0F5C" w:rsidRDefault="006B0F5C">
      <w:pPr>
        <w:rPr>
          <w:rFonts w:eastAsiaTheme="majorEastAsia" w:cstheme="majorBidi"/>
          <w:color w:val="0F4761" w:themeColor="accent1" w:themeShade="BF"/>
          <w:sz w:val="28"/>
          <w:szCs w:val="28"/>
        </w:rPr>
      </w:pPr>
    </w:p>
    <w:p w14:paraId="08B53B9C" w14:textId="718FDEE9" w:rsidR="00F0170B" w:rsidRDefault="0087535A" w:rsidP="006B0F5C">
      <w:pPr>
        <w:pStyle w:val="Heading3"/>
      </w:pPr>
      <w:r>
        <w:lastRenderedPageBreak/>
        <w:t xml:space="preserve">Session </w:t>
      </w:r>
      <w:r w:rsidR="00BB23CB">
        <w:t>7</w:t>
      </w:r>
      <w:r>
        <w:t xml:space="preserve">: Sexualities I - </w:t>
      </w:r>
      <w:r w:rsidR="00426865" w:rsidRPr="00CE731F">
        <w:t>Constructing Racial and Sexual Boundaries</w:t>
      </w:r>
    </w:p>
    <w:p w14:paraId="2825C9B0" w14:textId="6AC2F848" w:rsidR="00C82ECE" w:rsidRDefault="00C82ECE" w:rsidP="00C82ECE">
      <w:r>
        <w:t xml:space="preserve">Throughout the British Empire, sex, sexuality and intimacy were the source of much colonial anxiety. </w:t>
      </w:r>
      <w:r w:rsidR="00C64ACC">
        <w:t xml:space="preserve">In this session, our first focusing on the colonial regulation of sexualities, we will </w:t>
      </w:r>
      <w:r w:rsidR="006F07DC">
        <w:t>explore the political nature of racialised intimacies. We will explore how</w:t>
      </w:r>
      <w:r w:rsidR="009C74E6">
        <w:t xml:space="preserve"> race and sexuality were central to </w:t>
      </w:r>
      <w:r w:rsidR="002C5C71">
        <w:t>constructions</w:t>
      </w:r>
      <w:r w:rsidR="009C74E6">
        <w:t xml:space="preserve"> of imperial authority. S</w:t>
      </w:r>
      <w:r w:rsidR="006F07DC">
        <w:t xml:space="preserve">exualised </w:t>
      </w:r>
      <w:proofErr w:type="gramStart"/>
      <w:r w:rsidR="006F07DC">
        <w:t>panics  –</w:t>
      </w:r>
      <w:proofErr w:type="gramEnd"/>
      <w:r w:rsidR="006F07DC">
        <w:t xml:space="preserve"> such as the ‘Black Perils’ in </w:t>
      </w:r>
      <w:r w:rsidR="00E5219D">
        <w:t xml:space="preserve">the white settler colonies of South Africa, Kenya, and Rhodesia (now Zimbabwe) – revealed </w:t>
      </w:r>
      <w:r w:rsidR="005F21EA">
        <w:t>anxieties about the limits and precarity of colonial rule. We will explore how colonised communities responded to such concerns, and how anxieties over racialised and sexual boundaries also played an important part in race relations in metropolitan Britain.</w:t>
      </w:r>
    </w:p>
    <w:p w14:paraId="14853B94" w14:textId="3E6DDB7D" w:rsidR="003C004A" w:rsidRDefault="003C004A" w:rsidP="00C82ECE">
      <w:pPr>
        <w:rPr>
          <w:b/>
          <w:bCs/>
        </w:rPr>
      </w:pPr>
      <w:r>
        <w:rPr>
          <w:b/>
          <w:bCs/>
        </w:rPr>
        <w:t>Questions to consider:</w:t>
      </w:r>
    </w:p>
    <w:p w14:paraId="5D6CE456" w14:textId="77777777" w:rsidR="00D96A13" w:rsidRDefault="00D96A13" w:rsidP="00746881">
      <w:pPr>
        <w:pStyle w:val="ListParagraph"/>
        <w:numPr>
          <w:ilvl w:val="0"/>
          <w:numId w:val="32"/>
        </w:numPr>
      </w:pPr>
      <w:r>
        <w:t>How did colonial regimes use race and sexuality to construct boundaries in the imperial world?</w:t>
      </w:r>
    </w:p>
    <w:p w14:paraId="23BFFC78" w14:textId="3E80AB62" w:rsidR="00D96A13" w:rsidRDefault="00D96A13" w:rsidP="00746881">
      <w:pPr>
        <w:pStyle w:val="ListParagraph"/>
        <w:numPr>
          <w:ilvl w:val="0"/>
          <w:numId w:val="32"/>
        </w:numPr>
      </w:pPr>
      <w:r>
        <w:t>Why were colonial governments concerned about interracial relationships?</w:t>
      </w:r>
    </w:p>
    <w:p w14:paraId="270B3A8A" w14:textId="1CEA23D2" w:rsidR="003C004A" w:rsidRDefault="006433FD" w:rsidP="00746881">
      <w:pPr>
        <w:pStyle w:val="ListParagraph"/>
        <w:numPr>
          <w:ilvl w:val="0"/>
          <w:numId w:val="32"/>
        </w:numPr>
      </w:pPr>
      <w:r>
        <w:t>What was the significance of “Black Peril” in settler colonies?</w:t>
      </w:r>
      <w:r w:rsidR="00E169A7">
        <w:t xml:space="preserve"> Was it a true reflection of the nature or extent of sexual violence in </w:t>
      </w:r>
      <w:proofErr w:type="gramStart"/>
      <w:r w:rsidR="00E169A7">
        <w:t>those context</w:t>
      </w:r>
      <w:proofErr w:type="gramEnd"/>
      <w:r w:rsidR="00E169A7">
        <w:t>?</w:t>
      </w:r>
    </w:p>
    <w:p w14:paraId="32B971B4" w14:textId="153C83EE" w:rsidR="00D96A13" w:rsidRDefault="00D96A13" w:rsidP="00746881">
      <w:pPr>
        <w:pStyle w:val="ListParagraph"/>
        <w:numPr>
          <w:ilvl w:val="0"/>
          <w:numId w:val="32"/>
        </w:numPr>
      </w:pPr>
      <w:r>
        <w:t xml:space="preserve">How were women </w:t>
      </w:r>
      <w:r w:rsidR="00746881">
        <w:t>– white women and colonised women – positioned within these discourses?</w:t>
      </w:r>
    </w:p>
    <w:p w14:paraId="3E8E3B16" w14:textId="3A7D4312" w:rsidR="00746881" w:rsidRDefault="00746881" w:rsidP="00746881">
      <w:pPr>
        <w:pStyle w:val="ListParagraph"/>
        <w:numPr>
          <w:ilvl w:val="0"/>
          <w:numId w:val="32"/>
        </w:numPr>
      </w:pPr>
      <w:r>
        <w:t>How did colonised communities respond?</w:t>
      </w:r>
    </w:p>
    <w:p w14:paraId="11B521C4" w14:textId="77777777" w:rsidR="002C5C71" w:rsidRDefault="002C5C71" w:rsidP="002C5C71">
      <w:pPr>
        <w:rPr>
          <w:b/>
          <w:bCs/>
        </w:rPr>
      </w:pPr>
      <w:r>
        <w:rPr>
          <w:b/>
          <w:bCs/>
        </w:rPr>
        <w:t>To prepare for class:</w:t>
      </w:r>
    </w:p>
    <w:p w14:paraId="6CDD1D2A" w14:textId="77777777" w:rsidR="002C5C71" w:rsidRDefault="002C5C71" w:rsidP="002C5C71">
      <w:pPr>
        <w:pStyle w:val="ListParagraph"/>
        <w:numPr>
          <w:ilvl w:val="0"/>
          <w:numId w:val="5"/>
        </w:numPr>
      </w:pPr>
      <w:r>
        <w:t>P</w:t>
      </w:r>
      <w:r w:rsidRPr="00E55B21">
        <w:t xml:space="preserve">lease read </w:t>
      </w:r>
      <w:r>
        <w:rPr>
          <w:b/>
          <w:bCs/>
        </w:rPr>
        <w:t xml:space="preserve">at least one </w:t>
      </w:r>
      <w:r>
        <w:t xml:space="preserve">of </w:t>
      </w:r>
      <w:r w:rsidRPr="00E55B21">
        <w:t>the key reading</w:t>
      </w:r>
      <w:r>
        <w:t>s</w:t>
      </w:r>
      <w:r w:rsidRPr="00E55B21">
        <w:t xml:space="preserve"> for the </w:t>
      </w:r>
      <w:r>
        <w:t>class.</w:t>
      </w:r>
    </w:p>
    <w:p w14:paraId="79B4C09A" w14:textId="77777777" w:rsidR="002C5C71" w:rsidRDefault="002C5C71" w:rsidP="002C5C71">
      <w:pPr>
        <w:pStyle w:val="ListParagraph"/>
        <w:numPr>
          <w:ilvl w:val="0"/>
          <w:numId w:val="5"/>
        </w:numPr>
      </w:pPr>
      <w:r>
        <w:t>If you have time, you might want to explore some of the further reading listed.</w:t>
      </w:r>
    </w:p>
    <w:p w14:paraId="264DC6F6" w14:textId="77777777" w:rsidR="002C5C71" w:rsidRPr="00677100" w:rsidRDefault="002C5C71" w:rsidP="002C5C71">
      <w:pPr>
        <w:pStyle w:val="ListParagraph"/>
        <w:numPr>
          <w:ilvl w:val="0"/>
          <w:numId w:val="5"/>
        </w:numPr>
      </w:pPr>
      <w:r>
        <w:t xml:space="preserve">Bring your notes to class – you will be expected to draw on your reading in class exercises. </w:t>
      </w:r>
    </w:p>
    <w:p w14:paraId="20DA7A66" w14:textId="22152527" w:rsidR="00746881" w:rsidRDefault="00746881" w:rsidP="00C82ECE">
      <w:pPr>
        <w:rPr>
          <w:b/>
          <w:bCs/>
        </w:rPr>
      </w:pPr>
      <w:r>
        <w:rPr>
          <w:b/>
          <w:bCs/>
        </w:rPr>
        <w:t>Key reading:</w:t>
      </w:r>
    </w:p>
    <w:p w14:paraId="5971C22F" w14:textId="2DF85966" w:rsidR="004767F1" w:rsidRDefault="004767F1" w:rsidP="004767F1">
      <w:r>
        <w:t xml:space="preserve">Carina Ray, ‘Interracial Sex and the Making of Empire’ in Ato </w:t>
      </w:r>
      <w:proofErr w:type="spellStart"/>
      <w:r>
        <w:t>Quayson</w:t>
      </w:r>
      <w:proofErr w:type="spellEnd"/>
      <w:r>
        <w:t xml:space="preserve"> and Girish Daswani (eds.), </w:t>
      </w:r>
      <w:r>
        <w:rPr>
          <w:i/>
          <w:iCs/>
        </w:rPr>
        <w:t xml:space="preserve">A Companion to Diaspora and Transnationalism </w:t>
      </w:r>
      <w:r>
        <w:t xml:space="preserve">(Blackwell, 2013), pp. 190-211. </w:t>
      </w:r>
    </w:p>
    <w:p w14:paraId="0427EE86" w14:textId="46405B38" w:rsidR="00972EBD" w:rsidRDefault="00972EBD" w:rsidP="00972EBD">
      <w:r>
        <w:t xml:space="preserve">David M. Anderson, ‘Sexual Threat and Settler Society: “Black Perils” in Kenya, c.1907-1930’, </w:t>
      </w:r>
      <w:r>
        <w:rPr>
          <w:i/>
          <w:iCs/>
        </w:rPr>
        <w:t xml:space="preserve">Journal of Imperial and Commonwealth History </w:t>
      </w:r>
      <w:r>
        <w:t>38.1 (2010), 47-74.</w:t>
      </w:r>
    </w:p>
    <w:p w14:paraId="67A253B2" w14:textId="44C154A9" w:rsidR="004767F1" w:rsidRPr="00746881" w:rsidRDefault="004767F1" w:rsidP="004767F1">
      <w:pPr>
        <w:rPr>
          <w:b/>
          <w:bCs/>
        </w:rPr>
      </w:pPr>
      <w:r>
        <w:rPr>
          <w:b/>
          <w:bCs/>
        </w:rPr>
        <w:t>Further reading:</w:t>
      </w:r>
    </w:p>
    <w:p w14:paraId="507B130D" w14:textId="54955697" w:rsidR="008A07CD" w:rsidRPr="008A07CD" w:rsidRDefault="008A07CD" w:rsidP="009D0531">
      <w:r>
        <w:t xml:space="preserve">Nigel Browne-Davies, ‘Interracial sex as taboo: The New Imperialism, Christian Victorian values, Nationalism, and the legacies of intimacy in the colony of Sierra Leone, 1861-1914’, </w:t>
      </w:r>
      <w:r>
        <w:rPr>
          <w:i/>
          <w:iCs/>
        </w:rPr>
        <w:t xml:space="preserve">Journal of Imperial and Commonwealth History </w:t>
      </w:r>
      <w:r>
        <w:t>51.1 (2023), 64-96.</w:t>
      </w:r>
    </w:p>
    <w:p w14:paraId="54C30EFF" w14:textId="77777777" w:rsidR="006822CB" w:rsidRDefault="00213B59" w:rsidP="00A175F8">
      <w:r>
        <w:lastRenderedPageBreak/>
        <w:t xml:space="preserve">Linda Bryder, ‘Sex, Race and Colonialism: An Historiographical Review’, </w:t>
      </w:r>
      <w:r>
        <w:rPr>
          <w:i/>
          <w:iCs/>
        </w:rPr>
        <w:t xml:space="preserve">International History Review </w:t>
      </w:r>
      <w:r w:rsidR="006822CB">
        <w:t>20 (1998), 806-822.</w:t>
      </w:r>
    </w:p>
    <w:p w14:paraId="4C28F388" w14:textId="4F32390A" w:rsidR="00F7366D" w:rsidRDefault="00F7366D" w:rsidP="00A175F8">
      <w:r>
        <w:t xml:space="preserve">Uther Charlton-Stevens, </w:t>
      </w:r>
      <w:r>
        <w:rPr>
          <w:i/>
          <w:iCs/>
        </w:rPr>
        <w:t xml:space="preserve">Anglo-India and the End of Empire </w:t>
      </w:r>
      <w:r>
        <w:t>(Oxford University Press, 2022).</w:t>
      </w:r>
    </w:p>
    <w:p w14:paraId="5359405A" w14:textId="1366070B" w:rsidR="00A175F8" w:rsidRDefault="00A175F8" w:rsidP="00A175F8">
      <w:r w:rsidRPr="003B0085">
        <w:t>Colette Colligan, “A Race of Born Pederasts: Sir Richard Burton, Homosexuality</w:t>
      </w:r>
      <w:r>
        <w:t xml:space="preserve"> </w:t>
      </w:r>
      <w:r w:rsidRPr="003B0085">
        <w:t>and the Arabs” </w:t>
      </w:r>
      <w:r w:rsidRPr="003B0085">
        <w:rPr>
          <w:i/>
          <w:iCs/>
        </w:rPr>
        <w:t>Nineteenth Century Contexts</w:t>
      </w:r>
      <w:r w:rsidRPr="003B0085">
        <w:t> 25, 1 (2003): 1-20.</w:t>
      </w:r>
    </w:p>
    <w:p w14:paraId="245778D1" w14:textId="322EB101" w:rsidR="00394B30" w:rsidRDefault="00394B30" w:rsidP="00394B30">
      <w:r>
        <w:t>Gareth</w:t>
      </w:r>
      <w:r w:rsidR="00F42AEE">
        <w:t xml:space="preserve"> Cornwell</w:t>
      </w:r>
      <w:r>
        <w:t xml:space="preserve"> ‘George Webb Hardy’s “The Black Peril” and the Social Meaning of Black Peril in Early Twentieth Century South Africa’, </w:t>
      </w:r>
      <w:r w:rsidRPr="00394B30">
        <w:rPr>
          <w:i/>
          <w:iCs/>
        </w:rPr>
        <w:t>Journal of Southern African Studies</w:t>
      </w:r>
      <w:r>
        <w:t xml:space="preserve"> 22: 3 (1996), 441-53.</w:t>
      </w:r>
    </w:p>
    <w:p w14:paraId="1D356AC7" w14:textId="6CFCCBD0" w:rsidR="00972EBD" w:rsidRDefault="00972EBD" w:rsidP="00972EBD">
      <w:r>
        <w:t xml:space="preserve">Norman Etherington ‘Natal’s Black Rape Scare of the 1870s’, </w:t>
      </w:r>
      <w:r w:rsidRPr="00F42AEE">
        <w:rPr>
          <w:i/>
          <w:iCs/>
        </w:rPr>
        <w:t>Journal of Southern African Studies</w:t>
      </w:r>
      <w:r>
        <w:t>, 15 (1988), 36-53.</w:t>
      </w:r>
    </w:p>
    <w:p w14:paraId="4E44A9F8" w14:textId="4B1A6A69" w:rsidR="00594AA3" w:rsidRPr="009E2549" w:rsidRDefault="009E2549" w:rsidP="009E2549">
      <w:r w:rsidRPr="009E2549">
        <w:t xml:space="preserve">Durba </w:t>
      </w:r>
      <w:r w:rsidR="00594AA3" w:rsidRPr="00E41ECB">
        <w:t>Ghosh. </w:t>
      </w:r>
      <w:r w:rsidR="00594AA3" w:rsidRPr="00E41ECB">
        <w:rPr>
          <w:i/>
          <w:iCs/>
        </w:rPr>
        <w:t>Sex and the Family in Colonial India: The Making of Empire</w:t>
      </w:r>
      <w:r w:rsidRPr="009E2549">
        <w:t xml:space="preserve"> (Cambridge, 2006). </w:t>
      </w:r>
    </w:p>
    <w:p w14:paraId="07C438A1" w14:textId="6FA85BED" w:rsidR="00A175F8" w:rsidRDefault="00A175F8" w:rsidP="00A175F8">
      <w:r w:rsidRPr="003B0085">
        <w:t>Charu Gupta, “(</w:t>
      </w:r>
      <w:proofErr w:type="spellStart"/>
      <w:r w:rsidRPr="003B0085">
        <w:t>Im</w:t>
      </w:r>
      <w:proofErr w:type="spellEnd"/>
      <w:r w:rsidRPr="003B0085">
        <w:t>)possible Love and Sexual Pleasure in Late Colonial North</w:t>
      </w:r>
      <w:r>
        <w:t xml:space="preserve"> </w:t>
      </w:r>
      <w:r w:rsidRPr="003B0085">
        <w:t>India” </w:t>
      </w:r>
      <w:r w:rsidRPr="003B0085">
        <w:rPr>
          <w:i/>
          <w:iCs/>
        </w:rPr>
        <w:t>Modern Asian Studies </w:t>
      </w:r>
      <w:r w:rsidRPr="003B0085">
        <w:t>36, 1 (February 2002): 195-221.</w:t>
      </w:r>
    </w:p>
    <w:p w14:paraId="4C72BA79" w14:textId="77777777" w:rsidR="006D3FCE" w:rsidRDefault="006D3FCE" w:rsidP="006D3FCE">
      <w:r w:rsidRPr="00CE731F">
        <w:t xml:space="preserve">Victoria Haskins and John Maynard, ‘Sex, Race and Power: Aboriginal Men and White Women in Australian History’, </w:t>
      </w:r>
      <w:r w:rsidRPr="00CE731F">
        <w:rPr>
          <w:i/>
          <w:iCs/>
        </w:rPr>
        <w:t xml:space="preserve">Australian Historical Studies </w:t>
      </w:r>
      <w:r w:rsidRPr="00CE731F">
        <w:t>36 (2005), 191-216.</w:t>
      </w:r>
    </w:p>
    <w:p w14:paraId="65FA31F2" w14:textId="534928DD" w:rsidR="00852971" w:rsidRDefault="00852971" w:rsidP="00852971">
      <w:r>
        <w:t xml:space="preserve">Ronald </w:t>
      </w:r>
      <w:proofErr w:type="gramStart"/>
      <w:r>
        <w:t xml:space="preserve">Hyam,  </w:t>
      </w:r>
      <w:r w:rsidRPr="00852971">
        <w:rPr>
          <w:i/>
          <w:iCs/>
        </w:rPr>
        <w:t>Empire</w:t>
      </w:r>
      <w:proofErr w:type="gramEnd"/>
      <w:r w:rsidRPr="00852971">
        <w:rPr>
          <w:i/>
          <w:iCs/>
        </w:rPr>
        <w:t xml:space="preserve"> and Sexuality: The British </w:t>
      </w:r>
      <w:proofErr w:type="gramStart"/>
      <w:r w:rsidRPr="00852971">
        <w:rPr>
          <w:i/>
          <w:iCs/>
        </w:rPr>
        <w:t>Experience</w:t>
      </w:r>
      <w:r>
        <w:rPr>
          <w:i/>
          <w:iCs/>
        </w:rPr>
        <w:t xml:space="preserve">  </w:t>
      </w:r>
      <w:r>
        <w:t>(</w:t>
      </w:r>
      <w:proofErr w:type="gramEnd"/>
      <w:r>
        <w:t>Manchester, 1990).</w:t>
      </w:r>
    </w:p>
    <w:p w14:paraId="5DFF2E79" w14:textId="7BFAFA6A" w:rsidR="009F28DA" w:rsidRDefault="009F28DA" w:rsidP="009F28DA">
      <w:r>
        <w:t xml:space="preserve">Timothy Keegan, ‘Gender, Degeneration and Sexual Danger: Imagining Race and Class in South Africa ca. 1912’, </w:t>
      </w:r>
      <w:r w:rsidRPr="009F28DA">
        <w:rPr>
          <w:i/>
          <w:iCs/>
        </w:rPr>
        <w:t>Journal of Southern African Studies</w:t>
      </w:r>
      <w:r>
        <w:t>, 27: 3 (2001), 459-77.</w:t>
      </w:r>
    </w:p>
    <w:p w14:paraId="67E055B9" w14:textId="5CFC5B96" w:rsidR="00A2775C" w:rsidRDefault="00A2775C" w:rsidP="00A2775C">
      <w:r>
        <w:t xml:space="preserve">Dane Kennedy, </w:t>
      </w:r>
      <w:r w:rsidRPr="00062F59">
        <w:rPr>
          <w:i/>
          <w:iCs/>
        </w:rPr>
        <w:t>Islands of White: Settler Society and Culture in Kenya and Southern Rhodesia, 1890-1939</w:t>
      </w:r>
      <w:r>
        <w:t xml:space="preserve"> (Durham, 1987).</w:t>
      </w:r>
    </w:p>
    <w:p w14:paraId="49DDB460" w14:textId="77777777" w:rsidR="008366A5" w:rsidRPr="008366A5" w:rsidRDefault="008366A5" w:rsidP="008366A5">
      <w:r w:rsidRPr="008366A5">
        <w:t>Susanne M. Klausen, ‘Do you cal</w:t>
      </w:r>
      <w:r>
        <w:t xml:space="preserve">l yourself a white </w:t>
      </w:r>
      <w:proofErr w:type="gramStart"/>
      <w:r>
        <w:t>man?:</w:t>
      </w:r>
      <w:proofErr w:type="gramEnd"/>
      <w:r>
        <w:t xml:space="preserve"> Nationalism, criminalisation of interracial sex, and the policing of white male (heterosexuality) in South Africa during Apartheid’, </w:t>
      </w:r>
      <w:r>
        <w:rPr>
          <w:i/>
          <w:iCs/>
        </w:rPr>
        <w:t xml:space="preserve">American Historical Review </w:t>
      </w:r>
      <w:r>
        <w:t>127.1 (2022), 159-193.</w:t>
      </w:r>
    </w:p>
    <w:p w14:paraId="146652E9" w14:textId="788BD01D" w:rsidR="005044B7" w:rsidRPr="005044B7" w:rsidRDefault="005044B7" w:rsidP="00A2775C">
      <w:r>
        <w:t xml:space="preserve">Roger Levine, ‘Revisiting the “Black Peril,” South Africa, circa 1912: Popular Culture, Group Identity, and New Ways of Knowing’, </w:t>
      </w:r>
      <w:proofErr w:type="spellStart"/>
      <w:r>
        <w:rPr>
          <w:i/>
          <w:iCs/>
        </w:rPr>
        <w:t>Safundi</w:t>
      </w:r>
      <w:proofErr w:type="spellEnd"/>
      <w:r>
        <w:rPr>
          <w:i/>
          <w:iCs/>
        </w:rPr>
        <w:t xml:space="preserve"> </w:t>
      </w:r>
      <w:r>
        <w:t>22.4 (2021), 398-416.</w:t>
      </w:r>
    </w:p>
    <w:p w14:paraId="33E2DFC6" w14:textId="790DB6BF" w:rsidR="00887D7F" w:rsidRPr="00887D7F" w:rsidRDefault="00887D7F" w:rsidP="00A2775C">
      <w:proofErr w:type="spellStart"/>
      <w:r>
        <w:t>Mandisi</w:t>
      </w:r>
      <w:proofErr w:type="spellEnd"/>
      <w:r>
        <w:t xml:space="preserve"> </w:t>
      </w:r>
      <w:proofErr w:type="spellStart"/>
      <w:r>
        <w:t>Majavu</w:t>
      </w:r>
      <w:proofErr w:type="spellEnd"/>
      <w:r>
        <w:t xml:space="preserve">, ‘Reinterpreting the Historical Memory of the Black Peril in South Africa’, </w:t>
      </w:r>
      <w:r>
        <w:rPr>
          <w:i/>
          <w:iCs/>
        </w:rPr>
        <w:t xml:space="preserve">Theoria </w:t>
      </w:r>
      <w:r>
        <w:t>70.177 (2023), 1-25.</w:t>
      </w:r>
    </w:p>
    <w:p w14:paraId="414A64F0" w14:textId="71477ACE" w:rsidR="00A2775C" w:rsidRDefault="00A2775C" w:rsidP="00A2775C">
      <w:r>
        <w:t xml:space="preserve">Jeremy </w:t>
      </w:r>
      <w:proofErr w:type="gramStart"/>
      <w:r>
        <w:t>Martens,  ‘</w:t>
      </w:r>
      <w:proofErr w:type="gramEnd"/>
      <w:r>
        <w:t xml:space="preserve">Settler Homes, Manhood and “Houseboys”: An Analysis of Natal’s Rape Scare of 1886’, </w:t>
      </w:r>
      <w:r w:rsidRPr="00A2775C">
        <w:rPr>
          <w:i/>
          <w:iCs/>
        </w:rPr>
        <w:t>Journal of Southern African Studies</w:t>
      </w:r>
      <w:r>
        <w:t>, 28: 2 (2002), 379-400.</w:t>
      </w:r>
    </w:p>
    <w:p w14:paraId="12FEC7B2" w14:textId="5CDF2A8E" w:rsidR="00F767FE" w:rsidRDefault="00F767FE" w:rsidP="00F767FE">
      <w:r>
        <w:t xml:space="preserve">John </w:t>
      </w:r>
      <w:r w:rsidR="00AA2737">
        <w:t xml:space="preserve">Pape, </w:t>
      </w:r>
      <w:r>
        <w:t xml:space="preserve">‘Black and White: The “Perils of Sex” in Colonial Zimbabwe’, </w:t>
      </w:r>
      <w:r w:rsidRPr="00F767FE">
        <w:rPr>
          <w:i/>
          <w:iCs/>
        </w:rPr>
        <w:t>Journal of Southern African Studies</w:t>
      </w:r>
      <w:r>
        <w:t xml:space="preserve"> 16: 4 (1990), 699-720.</w:t>
      </w:r>
    </w:p>
    <w:p w14:paraId="25A85D8D" w14:textId="3C6117FD" w:rsidR="00CA29FE" w:rsidRDefault="00CA29FE" w:rsidP="00CA29FE">
      <w:r w:rsidRPr="00DA5B5A">
        <w:lastRenderedPageBreak/>
        <w:t xml:space="preserve">Carina </w:t>
      </w:r>
      <w:proofErr w:type="spellStart"/>
      <w:proofErr w:type="gramStart"/>
      <w:r w:rsidRPr="00DA5B5A">
        <w:t>E.</w:t>
      </w:r>
      <w:r w:rsidRPr="00CE731F">
        <w:t>Ray</w:t>
      </w:r>
      <w:proofErr w:type="spellEnd"/>
      <w:proofErr w:type="gramEnd"/>
      <w:r w:rsidRPr="00DA5B5A">
        <w:t>, ‘Decrying White Peril: Interracial Sex and the Rise of Anticolonial Nationalism in the Gold Coast’, </w:t>
      </w:r>
      <w:r w:rsidRPr="00DA5B5A">
        <w:rPr>
          <w:i/>
          <w:iCs/>
        </w:rPr>
        <w:t>The American Historical Review,</w:t>
      </w:r>
      <w:r w:rsidRPr="00DA5B5A">
        <w:t> 119 (2014), 78-110.</w:t>
      </w:r>
    </w:p>
    <w:p w14:paraId="311AAA61" w14:textId="77777777" w:rsidR="00BB0D89" w:rsidRDefault="00BB0D89" w:rsidP="00BB0D89">
      <w:r w:rsidRPr="00381065">
        <w:t xml:space="preserve">Carina Ray, </w:t>
      </w:r>
      <w:r w:rsidRPr="00381065">
        <w:rPr>
          <w:i/>
          <w:iCs/>
        </w:rPr>
        <w:t xml:space="preserve">Crossing the </w:t>
      </w:r>
      <w:proofErr w:type="spellStart"/>
      <w:r w:rsidRPr="00381065">
        <w:rPr>
          <w:i/>
          <w:iCs/>
        </w:rPr>
        <w:t>Color</w:t>
      </w:r>
      <w:proofErr w:type="spellEnd"/>
      <w:r w:rsidRPr="00381065">
        <w:rPr>
          <w:i/>
          <w:iCs/>
        </w:rPr>
        <w:t xml:space="preserve"> Line: Race, Sex and the Contested Politics of Colonialism in Ghana </w:t>
      </w:r>
      <w:r w:rsidRPr="00381065">
        <w:t>(Athens, OH, 2015).</w:t>
      </w:r>
    </w:p>
    <w:p w14:paraId="007B12A2" w14:textId="5C1C8BB9" w:rsidR="00D353BD" w:rsidRPr="00CE731F" w:rsidRDefault="00D353BD" w:rsidP="00D353BD">
      <w:r>
        <w:t xml:space="preserve">Carina Ray, ‘“The white wife problem”: Sex, race and the contested politics of repatriation to interwar British West Africa’, </w:t>
      </w:r>
      <w:r>
        <w:rPr>
          <w:i/>
          <w:iCs/>
        </w:rPr>
        <w:t xml:space="preserve">Gender &amp; History </w:t>
      </w:r>
      <w:r>
        <w:t>21.3 (2009), 628-646.</w:t>
      </w:r>
    </w:p>
    <w:p w14:paraId="7DC04927" w14:textId="77777777" w:rsidR="009D67B5" w:rsidRDefault="00EB5566" w:rsidP="009D67B5">
      <w:r>
        <w:t xml:space="preserve">Peter Herman Sigal, Zeb Tortorici, and Neil L. Whitehead (eds.), </w:t>
      </w:r>
      <w:proofErr w:type="spellStart"/>
      <w:r>
        <w:rPr>
          <w:i/>
          <w:iCs/>
        </w:rPr>
        <w:t>Ethnopornography</w:t>
      </w:r>
      <w:proofErr w:type="spellEnd"/>
      <w:r>
        <w:rPr>
          <w:i/>
          <w:iCs/>
        </w:rPr>
        <w:t xml:space="preserve">: Sexuality, Colonialism and Archival Knowledge </w:t>
      </w:r>
      <w:r>
        <w:t>(Duke University Press, 2019)</w:t>
      </w:r>
      <w:r w:rsidR="009D67B5">
        <w:t>, chapters by Lawrence and Ipsen.</w:t>
      </w:r>
    </w:p>
    <w:p w14:paraId="0967E6CC" w14:textId="5CE2A427" w:rsidR="00426865" w:rsidRPr="00CE731F" w:rsidRDefault="00426865" w:rsidP="009D67B5">
      <w:r w:rsidRPr="00CE731F">
        <w:t xml:space="preserve">Ann Laura Stoler, ‘Sexual Affronts and Racial Frontiers: European Identities and the Cultural Politics of Exclusion in Colonial Southeast Asia’, in </w:t>
      </w:r>
      <w:r w:rsidRPr="00DA5B5A">
        <w:t>Frederick</w:t>
      </w:r>
      <w:r w:rsidRPr="00CE731F">
        <w:t xml:space="preserve"> </w:t>
      </w:r>
      <w:proofErr w:type="gramStart"/>
      <w:r w:rsidRPr="00CE731F">
        <w:t xml:space="preserve">Cooper </w:t>
      </w:r>
      <w:r w:rsidRPr="00DA5B5A">
        <w:t xml:space="preserve"> and</w:t>
      </w:r>
      <w:proofErr w:type="gramEnd"/>
      <w:r w:rsidRPr="00DA5B5A">
        <w:t xml:space="preserve"> Ann Laura Stoler (eds), </w:t>
      </w:r>
      <w:r w:rsidRPr="00DA5B5A">
        <w:rPr>
          <w:i/>
          <w:iCs/>
        </w:rPr>
        <w:t>Tensions of Empire: Colonial Cultures in a Bourgeois World</w:t>
      </w:r>
      <w:r w:rsidRPr="00DA5B5A">
        <w:t> (University of California Press, 1997)</w:t>
      </w:r>
      <w:r w:rsidRPr="00CE731F">
        <w:t xml:space="preserve">, pp. </w:t>
      </w:r>
      <w:r w:rsidR="00BE1BAD" w:rsidRPr="00CE731F">
        <w:t>198-237.</w:t>
      </w:r>
    </w:p>
    <w:p w14:paraId="12658546" w14:textId="607D519D" w:rsidR="00B06DE7" w:rsidRPr="00B06DE7" w:rsidRDefault="00B06DE7" w:rsidP="00B06DE7">
      <w:r>
        <w:t>Pamela Scully, ‘Rape, Race and Culture: The Sexual Politics of Identity in the 19</w:t>
      </w:r>
      <w:r w:rsidRPr="00B06DE7">
        <w:rPr>
          <w:vertAlign w:val="superscript"/>
        </w:rPr>
        <w:t>th</w:t>
      </w:r>
      <w:r>
        <w:t xml:space="preserve"> Century Cape Colony, South Africa’, </w:t>
      </w:r>
      <w:r>
        <w:rPr>
          <w:i/>
          <w:iCs/>
        </w:rPr>
        <w:t xml:space="preserve">American Historical Review </w:t>
      </w:r>
      <w:r>
        <w:t>100.2 (1995), 335-359.</w:t>
      </w:r>
    </w:p>
    <w:p w14:paraId="3B34FCC1" w14:textId="2294AF27" w:rsidR="00587780" w:rsidRDefault="00587780" w:rsidP="005846EB">
      <w:r>
        <w:t>Mrinalini Sinha, ‘“</w:t>
      </w:r>
      <w:proofErr w:type="spellStart"/>
      <w:r>
        <w:t>Chathams</w:t>
      </w:r>
      <w:proofErr w:type="spellEnd"/>
      <w:r>
        <w:t xml:space="preserve">, Pitts and Gladstones </w:t>
      </w:r>
      <w:r w:rsidR="005846EB">
        <w:t xml:space="preserve">in Petticoats’ in </w:t>
      </w:r>
      <w:r w:rsidR="005846EB" w:rsidRPr="00DA5B5A">
        <w:t>Nupur</w:t>
      </w:r>
      <w:r w:rsidR="005846EB" w:rsidRPr="00CE731F">
        <w:t xml:space="preserve"> Chaudhuri</w:t>
      </w:r>
      <w:r w:rsidR="005846EB" w:rsidRPr="00DA5B5A">
        <w:t xml:space="preserve"> and Margaret Strobel (eds.), </w:t>
      </w:r>
      <w:r w:rsidR="005846EB" w:rsidRPr="00DA5B5A">
        <w:rPr>
          <w:i/>
          <w:iCs/>
        </w:rPr>
        <w:t>Western Women and Imperialism: Complicity and Resistance </w:t>
      </w:r>
      <w:r w:rsidR="005846EB" w:rsidRPr="00DA5B5A">
        <w:t>(Indiana University Press, 1992)</w:t>
      </w:r>
      <w:r w:rsidR="005846EB">
        <w:t>, pp. 98-118.</w:t>
      </w:r>
    </w:p>
    <w:p w14:paraId="757C4917" w14:textId="4E582144" w:rsidR="00FC2EB6" w:rsidRDefault="00FC2EB6" w:rsidP="005846EB">
      <w:r>
        <w:t xml:space="preserve">Elizabeth Thornberry, ‘Rape, Race and Respectability in a South African Port City’, </w:t>
      </w:r>
      <w:r>
        <w:rPr>
          <w:i/>
          <w:iCs/>
        </w:rPr>
        <w:t xml:space="preserve">Journal of Urban History </w:t>
      </w:r>
      <w:r>
        <w:t>42.5 (2016), 863-880.</w:t>
      </w:r>
    </w:p>
    <w:p w14:paraId="0563A5D0" w14:textId="1F78888B" w:rsidR="007238E3" w:rsidRPr="007238E3" w:rsidRDefault="007238E3" w:rsidP="005846EB">
      <w:r>
        <w:t xml:space="preserve">Elena Zambelli and Betty de Hart (eds.), </w:t>
      </w:r>
      <w:r>
        <w:rPr>
          <w:i/>
          <w:iCs/>
        </w:rPr>
        <w:t xml:space="preserve">Regulating </w:t>
      </w:r>
      <w:proofErr w:type="spellStart"/>
      <w:r>
        <w:rPr>
          <w:i/>
          <w:iCs/>
        </w:rPr>
        <w:t>Interracialised</w:t>
      </w:r>
      <w:proofErr w:type="spellEnd"/>
      <w:r>
        <w:rPr>
          <w:i/>
          <w:iCs/>
        </w:rPr>
        <w:t xml:space="preserve"> Intimacies </w:t>
      </w:r>
      <w:r>
        <w:t>(Routledge, 2025).</w:t>
      </w:r>
    </w:p>
    <w:p w14:paraId="0643733D" w14:textId="77777777" w:rsidR="006B0F5C" w:rsidRDefault="006B0F5C">
      <w:pPr>
        <w:rPr>
          <w:rFonts w:eastAsiaTheme="majorEastAsia" w:cstheme="majorBidi"/>
          <w:color w:val="0F4761" w:themeColor="accent1" w:themeShade="BF"/>
          <w:sz w:val="28"/>
          <w:szCs w:val="28"/>
        </w:rPr>
      </w:pPr>
      <w:r>
        <w:br w:type="page"/>
      </w:r>
    </w:p>
    <w:p w14:paraId="0C100360" w14:textId="16869C1F" w:rsidR="00F0170B" w:rsidRDefault="00F0170B" w:rsidP="006B0F5C">
      <w:pPr>
        <w:pStyle w:val="Heading3"/>
      </w:pPr>
      <w:r w:rsidRPr="00CE731F">
        <w:lastRenderedPageBreak/>
        <w:t xml:space="preserve">Session </w:t>
      </w:r>
      <w:r w:rsidR="00BB23CB">
        <w:t>8</w:t>
      </w:r>
      <w:r w:rsidRPr="00CE731F">
        <w:t xml:space="preserve">: </w:t>
      </w:r>
      <w:r w:rsidR="0087535A">
        <w:t xml:space="preserve">Sexualities II - </w:t>
      </w:r>
      <w:r w:rsidRPr="00CE731F">
        <w:t>The Regulation of ‘Deviant’ Sexualities</w:t>
      </w:r>
    </w:p>
    <w:p w14:paraId="276BD191" w14:textId="74FF0749" w:rsidR="00087586" w:rsidRPr="00087586" w:rsidRDefault="00087586" w:rsidP="00087586">
      <w:r>
        <w:t xml:space="preserve">In our second session </w:t>
      </w:r>
      <w:r w:rsidR="00DC4472">
        <w:t>examining</w:t>
      </w:r>
      <w:r>
        <w:t xml:space="preserve"> histories of sexuality, </w:t>
      </w:r>
      <w:r w:rsidR="008F4018">
        <w:t>we will consider</w:t>
      </w:r>
      <w:r w:rsidR="00DC4472">
        <w:t xml:space="preserve"> colonial attempts to regulate sexualities considered ‘deviant’, with a particular focus on the regulation of sex work and </w:t>
      </w:r>
      <w:r w:rsidR="003B48B5">
        <w:t>non-heterosexual sexual practices.</w:t>
      </w:r>
      <w:r w:rsidR="00EF340F">
        <w:t xml:space="preserve"> These are issues with contemporary resonance</w:t>
      </w:r>
      <w:r w:rsidR="003C35CE">
        <w:t>, with</w:t>
      </w:r>
      <w:r w:rsidR="00EF340F">
        <w:t xml:space="preserve"> colonial-era legislation outlawing same-sex sexual relations </w:t>
      </w:r>
      <w:r w:rsidR="003C35CE">
        <w:t>persisting</w:t>
      </w:r>
      <w:r w:rsidR="00EF340F">
        <w:t xml:space="preserve"> in many former </w:t>
      </w:r>
      <w:r w:rsidR="003C35CE">
        <w:t>colonies to date.</w:t>
      </w:r>
      <w:r w:rsidR="00EF340F">
        <w:t xml:space="preserve"> </w:t>
      </w:r>
    </w:p>
    <w:p w14:paraId="569775A1" w14:textId="77777777" w:rsidR="00532F3A" w:rsidRDefault="00532F3A" w:rsidP="007022EB">
      <w:pPr>
        <w:rPr>
          <w:b/>
          <w:bCs/>
        </w:rPr>
      </w:pPr>
      <w:r>
        <w:rPr>
          <w:b/>
          <w:bCs/>
        </w:rPr>
        <w:t>Questions to consider:</w:t>
      </w:r>
    </w:p>
    <w:p w14:paraId="0F8EBB00" w14:textId="6E0A9A6F" w:rsidR="007022EB" w:rsidRDefault="007022EB" w:rsidP="00532F3A">
      <w:pPr>
        <w:pStyle w:val="ListParagraph"/>
        <w:numPr>
          <w:ilvl w:val="0"/>
          <w:numId w:val="33"/>
        </w:numPr>
      </w:pPr>
      <w:r>
        <w:t xml:space="preserve">How </w:t>
      </w:r>
      <w:r w:rsidR="000913AC">
        <w:t>were</w:t>
      </w:r>
      <w:r>
        <w:t xml:space="preserve"> ‘deviant’ sexualit</w:t>
      </w:r>
      <w:r w:rsidR="000913AC">
        <w:t>ies</w:t>
      </w:r>
      <w:r>
        <w:t xml:space="preserve"> constructed?</w:t>
      </w:r>
    </w:p>
    <w:p w14:paraId="5B677C90" w14:textId="27D37775" w:rsidR="007022EB" w:rsidRDefault="007022EB" w:rsidP="00532F3A">
      <w:pPr>
        <w:pStyle w:val="ListParagraph"/>
        <w:numPr>
          <w:ilvl w:val="0"/>
          <w:numId w:val="33"/>
        </w:numPr>
      </w:pPr>
      <w:r>
        <w:t>Did communities and colonial officers understand ‘prostitution’ in the same way?</w:t>
      </w:r>
    </w:p>
    <w:p w14:paraId="1C55918B" w14:textId="39031C95" w:rsidR="007022EB" w:rsidRDefault="007022EB" w:rsidP="00532F3A">
      <w:pPr>
        <w:pStyle w:val="ListParagraph"/>
        <w:numPr>
          <w:ilvl w:val="0"/>
          <w:numId w:val="33"/>
        </w:numPr>
      </w:pPr>
      <w:r>
        <w:t>Why were colonial powers concerned to regulate ‘deviant’ sexualities?</w:t>
      </w:r>
    </w:p>
    <w:p w14:paraId="1439B954" w14:textId="329384A0" w:rsidR="00E60779" w:rsidRDefault="00E60779" w:rsidP="00532F3A">
      <w:pPr>
        <w:pStyle w:val="ListParagraph"/>
        <w:numPr>
          <w:ilvl w:val="0"/>
          <w:numId w:val="33"/>
        </w:numPr>
      </w:pPr>
      <w:r>
        <w:t>What are the postcolonial legacies of colonial policies around sexuality?</w:t>
      </w:r>
    </w:p>
    <w:p w14:paraId="6DE7D090" w14:textId="77777777" w:rsidR="002C5C71" w:rsidRDefault="002C5C71" w:rsidP="002C5C71">
      <w:pPr>
        <w:rPr>
          <w:b/>
          <w:bCs/>
        </w:rPr>
      </w:pPr>
      <w:r>
        <w:rPr>
          <w:b/>
          <w:bCs/>
        </w:rPr>
        <w:t>To prepare for class:</w:t>
      </w:r>
    </w:p>
    <w:p w14:paraId="71390F15" w14:textId="77777777" w:rsidR="002C5C71" w:rsidRDefault="002C5C71" w:rsidP="002C5C71">
      <w:pPr>
        <w:pStyle w:val="ListParagraph"/>
        <w:numPr>
          <w:ilvl w:val="0"/>
          <w:numId w:val="5"/>
        </w:numPr>
      </w:pPr>
      <w:r>
        <w:t>P</w:t>
      </w:r>
      <w:r w:rsidRPr="00E55B21">
        <w:t xml:space="preserve">lease read </w:t>
      </w:r>
      <w:r>
        <w:rPr>
          <w:b/>
          <w:bCs/>
        </w:rPr>
        <w:t xml:space="preserve">at least one </w:t>
      </w:r>
      <w:r>
        <w:t xml:space="preserve">of </w:t>
      </w:r>
      <w:r w:rsidRPr="00E55B21">
        <w:t>the key reading</w:t>
      </w:r>
      <w:r>
        <w:t>s</w:t>
      </w:r>
      <w:r w:rsidRPr="00E55B21">
        <w:t xml:space="preserve"> for the </w:t>
      </w:r>
      <w:r>
        <w:t>class.</w:t>
      </w:r>
    </w:p>
    <w:p w14:paraId="350492B0" w14:textId="77777777" w:rsidR="002C5C71" w:rsidRDefault="002C5C71" w:rsidP="002C5C71">
      <w:pPr>
        <w:pStyle w:val="ListParagraph"/>
        <w:numPr>
          <w:ilvl w:val="0"/>
          <w:numId w:val="5"/>
        </w:numPr>
      </w:pPr>
      <w:r>
        <w:t>If you have time, you might want to explore some of the further reading listed.</w:t>
      </w:r>
    </w:p>
    <w:p w14:paraId="0B7C3FBC" w14:textId="77777777" w:rsidR="002C5C71" w:rsidRPr="00677100" w:rsidRDefault="002C5C71" w:rsidP="002C5C71">
      <w:pPr>
        <w:pStyle w:val="ListParagraph"/>
        <w:numPr>
          <w:ilvl w:val="0"/>
          <w:numId w:val="5"/>
        </w:numPr>
      </w:pPr>
      <w:r>
        <w:t xml:space="preserve">Bring your notes to class – you will be expected to draw on your reading in class exercises. </w:t>
      </w:r>
    </w:p>
    <w:p w14:paraId="43D1EBDC" w14:textId="3391AE83" w:rsidR="009C1F13" w:rsidRPr="009C1F13" w:rsidRDefault="009C1F13" w:rsidP="007022EB">
      <w:pPr>
        <w:rPr>
          <w:b/>
          <w:bCs/>
        </w:rPr>
      </w:pPr>
      <w:r>
        <w:rPr>
          <w:b/>
          <w:bCs/>
        </w:rPr>
        <w:t>Key reading:</w:t>
      </w:r>
    </w:p>
    <w:p w14:paraId="7215D1E1" w14:textId="7125006A" w:rsidR="00701E38" w:rsidRDefault="00701E38" w:rsidP="00701E38">
      <w:r>
        <w:t xml:space="preserve">Marc Epprecht, ‘The making of “African” Sexuality: Early sources, current debates’, </w:t>
      </w:r>
      <w:r>
        <w:rPr>
          <w:i/>
          <w:iCs/>
        </w:rPr>
        <w:t xml:space="preserve">History Compass </w:t>
      </w:r>
      <w:r>
        <w:t>8.8 (2010), 768-779.</w:t>
      </w:r>
    </w:p>
    <w:p w14:paraId="3367D728" w14:textId="77777777" w:rsidR="009C1F13" w:rsidRDefault="009C1F13" w:rsidP="009C1F13">
      <w:r>
        <w:t xml:space="preserve">Philippa Levine, ‘A Multitude of Unchaste Women: Prostitution in the British Empire’, </w:t>
      </w:r>
      <w:r>
        <w:rPr>
          <w:i/>
          <w:iCs/>
        </w:rPr>
        <w:t xml:space="preserve">Journal of Women’s History </w:t>
      </w:r>
      <w:r>
        <w:t>15.4 (2004), 159-163.</w:t>
      </w:r>
    </w:p>
    <w:p w14:paraId="2996E2A6" w14:textId="643F3415" w:rsidR="00837483" w:rsidRPr="00CD3FD6" w:rsidRDefault="00837483" w:rsidP="00837483">
      <w:r w:rsidRPr="0063553B">
        <w:t xml:space="preserve">Liat Kozma, ‘Prostitution and Colonial Relations’, </w:t>
      </w:r>
      <w:r>
        <w:t xml:space="preserve">in Lex </w:t>
      </w:r>
      <w:proofErr w:type="spellStart"/>
      <w:r>
        <w:t>Heerma</w:t>
      </w:r>
      <w:proofErr w:type="spellEnd"/>
      <w:r>
        <w:t xml:space="preserve"> van Voss, Elise van </w:t>
      </w:r>
      <w:proofErr w:type="spellStart"/>
      <w:r>
        <w:t>Nederveen</w:t>
      </w:r>
      <w:proofErr w:type="spellEnd"/>
      <w:r>
        <w:t xml:space="preserve"> </w:t>
      </w:r>
      <w:proofErr w:type="spellStart"/>
      <w:r>
        <w:t>Meerkerk</w:t>
      </w:r>
      <w:proofErr w:type="spellEnd"/>
      <w:r>
        <w:t xml:space="preserve"> and Magaly Rodriguez Garcia (eds.), </w:t>
      </w:r>
      <w:r>
        <w:rPr>
          <w:i/>
          <w:iCs/>
        </w:rPr>
        <w:t xml:space="preserve">Selling Sex in the City: A Global History of Prostitution, 1600s-2000s </w:t>
      </w:r>
      <w:r>
        <w:t>(Brill, 2017).</w:t>
      </w:r>
    </w:p>
    <w:p w14:paraId="22AF1FE8" w14:textId="12D2A0F2" w:rsidR="009C1F13" w:rsidRDefault="009C1F13" w:rsidP="00701E38">
      <w:pPr>
        <w:rPr>
          <w:b/>
          <w:bCs/>
        </w:rPr>
      </w:pPr>
      <w:r>
        <w:rPr>
          <w:b/>
          <w:bCs/>
        </w:rPr>
        <w:t>Further reading:</w:t>
      </w:r>
    </w:p>
    <w:p w14:paraId="4A966AE9" w14:textId="43BBE697" w:rsidR="00C50D8E" w:rsidRDefault="00837483" w:rsidP="00461B2E">
      <w:pPr>
        <w:pStyle w:val="Heading4"/>
      </w:pPr>
      <w:r>
        <w:t>LGBTQI+ Histories</w:t>
      </w:r>
    </w:p>
    <w:p w14:paraId="039B64BE" w14:textId="35342B80" w:rsidR="00926D48" w:rsidRDefault="00926D48" w:rsidP="00837483">
      <w:r>
        <w:t xml:space="preserve">Suparna Bhaskaran, ‘The Politics of Penetration: Section 377 of the Indian Penal Code’, </w:t>
      </w:r>
      <w:r w:rsidR="00CB03BD">
        <w:t xml:space="preserve">in </w:t>
      </w:r>
      <w:r w:rsidR="00EC3E88">
        <w:t xml:space="preserve">Ruth Vanita, </w:t>
      </w:r>
      <w:r w:rsidR="00EC3E88">
        <w:rPr>
          <w:i/>
          <w:iCs/>
        </w:rPr>
        <w:t xml:space="preserve">Queering India: Same-Sex Love and Eroticism in Indian Culture and Society </w:t>
      </w:r>
      <w:r w:rsidR="00A16A6A">
        <w:t xml:space="preserve">(Routledge, 2013), pp. </w:t>
      </w:r>
      <w:r w:rsidR="00DC756D">
        <w:t xml:space="preserve">5-29, available here: </w:t>
      </w:r>
      <w:hyperlink r:id="rId28" w:history="1">
        <w:r w:rsidR="00A16A6A" w:rsidRPr="006E0F66">
          <w:rPr>
            <w:rStyle w:val="Hyperlink"/>
          </w:rPr>
          <w:t>https://bildungsportal.sachsen.de/opal/auth/RepositoryEntry/43868258305/CourseNode/1721096985126574007/Queering+India+Same-Sex+Love+and+Eroticism+in+Indian+Culture+and+Society+by+Ruth+Vanita+%28editor%29+%28z-lib.org%29-26-40.pdf</w:t>
        </w:r>
      </w:hyperlink>
    </w:p>
    <w:p w14:paraId="47FDCE47" w14:textId="77777777" w:rsidR="00A16A6A" w:rsidRDefault="00A16A6A" w:rsidP="00837483"/>
    <w:p w14:paraId="01DD9118" w14:textId="047EB8F8" w:rsidR="00022425" w:rsidRDefault="00B7316C" w:rsidP="00022425">
      <w:r>
        <w:lastRenderedPageBreak/>
        <w:t xml:space="preserve">Ashley Currier and Keeley B. </w:t>
      </w:r>
      <w:proofErr w:type="spellStart"/>
      <w:r>
        <w:t>Gogul</w:t>
      </w:r>
      <w:proofErr w:type="spellEnd"/>
      <w:r>
        <w:t xml:space="preserve">, ‘African </w:t>
      </w:r>
      <w:proofErr w:type="spellStart"/>
      <w:r>
        <w:t>Antisodomy</w:t>
      </w:r>
      <w:proofErr w:type="spellEnd"/>
      <w:r>
        <w:t xml:space="preserve"> Laws as Unwanted Colonial Inheritances’, </w:t>
      </w:r>
      <w:r>
        <w:rPr>
          <w:i/>
          <w:iCs/>
        </w:rPr>
        <w:t xml:space="preserve">Women’s Studies Quarterly </w:t>
      </w:r>
      <w:r>
        <w:t>48.1-2 (2020), 103-</w:t>
      </w:r>
      <w:r w:rsidR="00022425">
        <w:t>121. Available here:</w:t>
      </w:r>
      <w:r w:rsidR="00022425" w:rsidRPr="00022425">
        <w:t xml:space="preserve"> </w:t>
      </w:r>
      <w:hyperlink r:id="rId29" w:history="1">
        <w:r w:rsidR="00022425" w:rsidRPr="00022425">
          <w:rPr>
            <w:rStyle w:val="Hyperlink"/>
          </w:rPr>
          <w:t>Currier_Gogul_WSQ_2020_uncorrected_proofs20200211-2305-1p8at8u-libre.pdf</w:t>
        </w:r>
      </w:hyperlink>
    </w:p>
    <w:p w14:paraId="3D28AD59" w14:textId="1B6B63BA" w:rsidR="00837483" w:rsidRDefault="00837483" w:rsidP="00837483">
      <w:r>
        <w:t xml:space="preserve">Marc Epprecht, ‘The “Unsaying of Indigenous </w:t>
      </w:r>
      <w:proofErr w:type="spellStart"/>
      <w:r>
        <w:t>Homosexualities</w:t>
      </w:r>
      <w:proofErr w:type="spellEnd"/>
      <w:r>
        <w:t xml:space="preserve"> in Zimbabwe: Mapping a Blindspot in an African Masculinity’ </w:t>
      </w:r>
      <w:r>
        <w:rPr>
          <w:i/>
          <w:iCs/>
        </w:rPr>
        <w:t xml:space="preserve">Journal of Southern African Studies </w:t>
      </w:r>
      <w:r>
        <w:t>24 (1998), 631-52.</w:t>
      </w:r>
    </w:p>
    <w:p w14:paraId="5C8EF53D" w14:textId="77777777" w:rsidR="00837483" w:rsidRDefault="00837483" w:rsidP="00837483">
      <w:r>
        <w:t xml:space="preserve">Marc Epprecht, ‘Sexuality, History, Africa’, </w:t>
      </w:r>
      <w:r>
        <w:rPr>
          <w:i/>
          <w:iCs/>
        </w:rPr>
        <w:t xml:space="preserve">American Historical Review </w:t>
      </w:r>
      <w:r>
        <w:t>114.5 (2009), 1258-1272.</w:t>
      </w:r>
    </w:p>
    <w:p w14:paraId="7363110E" w14:textId="77777777" w:rsidR="00837483" w:rsidRPr="0081320D" w:rsidRDefault="00837483" w:rsidP="00837483">
      <w:r>
        <w:t>Marc Epprecht, ‘Sexuality and Social Justice in Africa: Rethinking Homophobia and Forging Resistance’ (Zed, 2013).</w:t>
      </w:r>
    </w:p>
    <w:p w14:paraId="3A923581" w14:textId="77777777" w:rsidR="00837483" w:rsidRDefault="00837483" w:rsidP="00837483">
      <w:r>
        <w:t>Ross Forman, ‘Randy on the Rand: Portuguese African Labour and the Discourse on “Unnatural Vice” in the Transvaal in the Early 20</w:t>
      </w:r>
      <w:r w:rsidRPr="00D135DB">
        <w:rPr>
          <w:vertAlign w:val="superscript"/>
        </w:rPr>
        <w:t>th</w:t>
      </w:r>
      <w:r>
        <w:t xml:space="preserve"> Century’, </w:t>
      </w:r>
      <w:r>
        <w:rPr>
          <w:i/>
          <w:iCs/>
        </w:rPr>
        <w:t xml:space="preserve">Journal of the History of Sexuality </w:t>
      </w:r>
      <w:r>
        <w:t>11.4 (2002), 570-609.</w:t>
      </w:r>
    </w:p>
    <w:p w14:paraId="161B739A" w14:textId="77777777" w:rsidR="00837483" w:rsidRDefault="00837483" w:rsidP="00837483">
      <w:r w:rsidRPr="00142D54">
        <w:t>Rudolf P. Gaudio, ‘Trans-Saharan Trade: Th</w:t>
      </w:r>
      <w:r>
        <w:t xml:space="preserve">e routes of “African Sexuality”, </w:t>
      </w:r>
      <w:r>
        <w:rPr>
          <w:i/>
          <w:iCs/>
        </w:rPr>
        <w:t xml:space="preserve">Journal of African History </w:t>
      </w:r>
      <w:r>
        <w:t>55.3 (2014), 317-330.</w:t>
      </w:r>
    </w:p>
    <w:p w14:paraId="6BDB0EDD" w14:textId="2F5D7A0B" w:rsidR="007F0CB6" w:rsidRPr="007F0CB6" w:rsidRDefault="007F0CB6" w:rsidP="00837483">
      <w:r>
        <w:t xml:space="preserve">Enze Han and Joseph O’Mahoney, ‘British Colonialism and the Criminalisation of Homosexuality’, </w:t>
      </w:r>
      <w:r>
        <w:rPr>
          <w:i/>
          <w:iCs/>
        </w:rPr>
        <w:t xml:space="preserve">Cambridge Review of International Affairs </w:t>
      </w:r>
      <w:r>
        <w:t>27.2 (2014), 268-288.</w:t>
      </w:r>
    </w:p>
    <w:p w14:paraId="45FF3440" w14:textId="77777777" w:rsidR="005E60F7" w:rsidRDefault="005E60F7" w:rsidP="005E60F7">
      <w:proofErr w:type="spellStart"/>
      <w:r>
        <w:t>Zethu</w:t>
      </w:r>
      <w:proofErr w:type="spellEnd"/>
      <w:r>
        <w:t xml:space="preserve"> Matebeni, Surya Monro and Vasu Reddy (eds.), </w:t>
      </w:r>
      <w:r>
        <w:rPr>
          <w:i/>
          <w:iCs/>
        </w:rPr>
        <w:t xml:space="preserve">Queer in Africa: LGBTQI Identities Citizenship, and Activism </w:t>
      </w:r>
      <w:r>
        <w:t>(Routledge, 2018).</w:t>
      </w:r>
    </w:p>
    <w:p w14:paraId="6A84614A" w14:textId="77777777" w:rsidR="005E60F7" w:rsidRDefault="005E60F7" w:rsidP="005E60F7">
      <w:r>
        <w:t xml:space="preserve">Stephen O. Murray </w:t>
      </w:r>
      <w:proofErr w:type="gramStart"/>
      <w:r>
        <w:t>and  W.</w:t>
      </w:r>
      <w:proofErr w:type="gramEnd"/>
      <w:r>
        <w:t xml:space="preserve"> Roscoe, </w:t>
      </w:r>
      <w:r w:rsidRPr="002610D3">
        <w:rPr>
          <w:i/>
          <w:iCs/>
        </w:rPr>
        <w:t>Boy-Wives and Female Husbands: Studies of</w:t>
      </w:r>
      <w:r>
        <w:rPr>
          <w:i/>
          <w:iCs/>
        </w:rPr>
        <w:t xml:space="preserve"> </w:t>
      </w:r>
      <w:r w:rsidRPr="002610D3">
        <w:rPr>
          <w:i/>
          <w:iCs/>
        </w:rPr>
        <w:t xml:space="preserve">African </w:t>
      </w:r>
      <w:proofErr w:type="spellStart"/>
      <w:r w:rsidRPr="002610D3">
        <w:rPr>
          <w:i/>
          <w:iCs/>
        </w:rPr>
        <w:t>Homosexualities</w:t>
      </w:r>
      <w:proofErr w:type="spellEnd"/>
      <w:r>
        <w:t xml:space="preserve"> (1998)</w:t>
      </w:r>
    </w:p>
    <w:p w14:paraId="739553EF" w14:textId="77777777" w:rsidR="005E60F7" w:rsidRDefault="005E60F7" w:rsidP="005E60F7">
      <w:proofErr w:type="spellStart"/>
      <w:r w:rsidRPr="00C3019D">
        <w:t>Nakanyike</w:t>
      </w:r>
      <w:proofErr w:type="spellEnd"/>
      <w:r w:rsidRPr="00C3019D">
        <w:t xml:space="preserve"> Musisi, ‘Gender and sexuality</w:t>
      </w:r>
      <w:r>
        <w:t xml:space="preserve"> in African history: A personal reflection’, </w:t>
      </w:r>
      <w:r>
        <w:rPr>
          <w:i/>
          <w:iCs/>
        </w:rPr>
        <w:t xml:space="preserve">Journal of African History </w:t>
      </w:r>
      <w:r>
        <w:t>55.3 (2014), 303-315.</w:t>
      </w:r>
    </w:p>
    <w:p w14:paraId="42C1E1EC" w14:textId="77777777" w:rsidR="005E60F7" w:rsidRDefault="005E60F7" w:rsidP="005E60F7">
      <w:r>
        <w:t xml:space="preserve">Basile Ndjio, ‘Postcolonial histories of sexuality: The political invention of a libidinal African straight’, </w:t>
      </w:r>
      <w:r>
        <w:rPr>
          <w:i/>
          <w:iCs/>
        </w:rPr>
        <w:t xml:space="preserve">Africa </w:t>
      </w:r>
      <w:r>
        <w:t>82.4 (2012), 609-631.</w:t>
      </w:r>
    </w:p>
    <w:p w14:paraId="1CB3C32B" w14:textId="1241F807" w:rsidR="00DA451D" w:rsidRDefault="00DA451D" w:rsidP="005E60F7">
      <w:r w:rsidRPr="00DA451D">
        <w:t xml:space="preserve">Jyoti Puri, </w:t>
      </w:r>
      <w:r w:rsidRPr="00DA451D">
        <w:rPr>
          <w:i/>
          <w:iCs/>
        </w:rPr>
        <w:t>Sexual States: Governance an</w:t>
      </w:r>
      <w:r>
        <w:rPr>
          <w:i/>
          <w:iCs/>
        </w:rPr>
        <w:t xml:space="preserve">d the Struggle Over the </w:t>
      </w:r>
      <w:proofErr w:type="spellStart"/>
      <w:r>
        <w:rPr>
          <w:i/>
          <w:iCs/>
        </w:rPr>
        <w:t>Antisodomy</w:t>
      </w:r>
      <w:proofErr w:type="spellEnd"/>
      <w:r>
        <w:rPr>
          <w:i/>
          <w:iCs/>
        </w:rPr>
        <w:t xml:space="preserve"> Law in India </w:t>
      </w:r>
      <w:r>
        <w:t>(Duke University Press, 2016).</w:t>
      </w:r>
    </w:p>
    <w:p w14:paraId="396BE986" w14:textId="325E70CA" w:rsidR="00621533" w:rsidRPr="00621533" w:rsidRDefault="00621533" w:rsidP="00621533">
      <w:r>
        <w:t xml:space="preserve">Douglas E. Sanders, ‘377 and the Unnatural Afterlife of British Colonialism in Asia’, </w:t>
      </w:r>
      <w:r>
        <w:rPr>
          <w:i/>
          <w:iCs/>
        </w:rPr>
        <w:t xml:space="preserve">Asian Journal of Comparative Law </w:t>
      </w:r>
      <w:r>
        <w:t xml:space="preserve">4 (2009), 1-49. Available here: </w:t>
      </w:r>
      <w:hyperlink r:id="rId30" w:history="1">
        <w:r w:rsidRPr="00621533">
          <w:rPr>
            <w:rStyle w:val="Hyperlink"/>
          </w:rPr>
          <w:t>377 and the Unnatural Afterlife of British Colonialism in Asia | Asian Journal of Comparative Law | Cambridge Core</w:t>
        </w:r>
      </w:hyperlink>
    </w:p>
    <w:p w14:paraId="2FE993A9" w14:textId="77777777" w:rsidR="00461B2E" w:rsidRPr="00F16710" w:rsidRDefault="00461B2E" w:rsidP="00461B2E">
      <w:r>
        <w:t xml:space="preserve">Rachel Spronk and S. N. </w:t>
      </w:r>
      <w:proofErr w:type="spellStart"/>
      <w:r>
        <w:t>Nyeck</w:t>
      </w:r>
      <w:proofErr w:type="spellEnd"/>
      <w:r>
        <w:t xml:space="preserve">, ‘Frontiers and pioneers in (the study of) queer experiences in Africa: Introduction’ </w:t>
      </w:r>
      <w:r>
        <w:rPr>
          <w:i/>
          <w:iCs/>
        </w:rPr>
        <w:t xml:space="preserve">Africa </w:t>
      </w:r>
      <w:r>
        <w:t>91.3 (2021), 388-397.</w:t>
      </w:r>
    </w:p>
    <w:p w14:paraId="48102F0B" w14:textId="0E05B973" w:rsidR="00461B2E" w:rsidRPr="0057491B" w:rsidRDefault="00461B2E" w:rsidP="00461B2E">
      <w:r w:rsidRPr="00B829E0">
        <w:lastRenderedPageBreak/>
        <w:t>Sylvia Tamale, ‘Confronting the Politics of</w:t>
      </w:r>
      <w:r>
        <w:t xml:space="preserve"> Nonconforming Sexualities in Africa’, </w:t>
      </w:r>
      <w:r>
        <w:rPr>
          <w:i/>
          <w:iCs/>
        </w:rPr>
        <w:t xml:space="preserve">African Studies Review </w:t>
      </w:r>
      <w:r>
        <w:t>56.2 (2013), 31-45.</w:t>
      </w:r>
    </w:p>
    <w:p w14:paraId="25A52A94" w14:textId="1E62B2EC" w:rsidR="00837483" w:rsidRDefault="00837483" w:rsidP="00461B2E">
      <w:pPr>
        <w:pStyle w:val="Heading4"/>
      </w:pPr>
      <w:r>
        <w:t>Regulating women’s sexualities</w:t>
      </w:r>
    </w:p>
    <w:p w14:paraId="4778DD24" w14:textId="77777777" w:rsidR="005E60F7" w:rsidRDefault="005E60F7" w:rsidP="005E60F7">
      <w:r w:rsidRPr="0063553B">
        <w:t xml:space="preserve">Liat Kozma, ‘Prostitution and Colonial Relations’, </w:t>
      </w:r>
      <w:r>
        <w:t xml:space="preserve">in Lex </w:t>
      </w:r>
      <w:proofErr w:type="spellStart"/>
      <w:r>
        <w:t>Heerma</w:t>
      </w:r>
      <w:proofErr w:type="spellEnd"/>
      <w:r>
        <w:t xml:space="preserve"> van Voss, Elise van </w:t>
      </w:r>
      <w:proofErr w:type="spellStart"/>
      <w:r>
        <w:t>Nederveen</w:t>
      </w:r>
      <w:proofErr w:type="spellEnd"/>
      <w:r>
        <w:t xml:space="preserve"> </w:t>
      </w:r>
      <w:proofErr w:type="spellStart"/>
      <w:r>
        <w:t>Meerkerk</w:t>
      </w:r>
      <w:proofErr w:type="spellEnd"/>
      <w:r>
        <w:t xml:space="preserve"> and Magaly Rodriguez Garcia (eds.), </w:t>
      </w:r>
      <w:r>
        <w:rPr>
          <w:i/>
          <w:iCs/>
        </w:rPr>
        <w:t xml:space="preserve">Selling Sex in the City: A Global History of Prostitution, 1600s-2000s </w:t>
      </w:r>
      <w:r>
        <w:t>(Brill, 2017).</w:t>
      </w:r>
    </w:p>
    <w:p w14:paraId="563B5FD4" w14:textId="332D39A5" w:rsidR="00461B2E" w:rsidRDefault="00461B2E" w:rsidP="00461B2E">
      <w:r w:rsidRPr="00CE731F">
        <w:t>Richard Phillips, ‘Imperialism and the regulation of sexuality: Colonial legislation on contagious diseases and ages of consent’, </w:t>
      </w:r>
      <w:r w:rsidRPr="00CE731F">
        <w:rPr>
          <w:i/>
          <w:iCs/>
        </w:rPr>
        <w:t xml:space="preserve">Journal of Historical Geography, </w:t>
      </w:r>
      <w:r w:rsidRPr="00CE731F">
        <w:t>28.3 (2002) 339-62.</w:t>
      </w:r>
    </w:p>
    <w:p w14:paraId="7A792F4C" w14:textId="1C337D27" w:rsidR="007B77C9" w:rsidRPr="007B77C9" w:rsidRDefault="007B77C9" w:rsidP="00461B2E">
      <w:r w:rsidRPr="00DC652B">
        <w:t xml:space="preserve">Jo Doezema, ‘Ouch! </w:t>
      </w:r>
      <w:r w:rsidRPr="007B77C9">
        <w:t>Western Feminists’ “Wounded Attachment” t</w:t>
      </w:r>
      <w:r>
        <w:t xml:space="preserve">o the “Third World Prostitute”, </w:t>
      </w:r>
      <w:r>
        <w:rPr>
          <w:i/>
          <w:iCs/>
        </w:rPr>
        <w:t xml:space="preserve">Feminist Review </w:t>
      </w:r>
      <w:r>
        <w:t>67 (2001), 16-38.</w:t>
      </w:r>
    </w:p>
    <w:p w14:paraId="29B301D8" w14:textId="603D7368" w:rsidR="005E60F7" w:rsidRPr="00DC652B" w:rsidRDefault="005E60F7" w:rsidP="00461B2E">
      <w:pPr>
        <w:pStyle w:val="Heading5"/>
      </w:pPr>
      <w:r w:rsidRPr="00DC652B">
        <w:t>Africa</w:t>
      </w:r>
    </w:p>
    <w:p w14:paraId="0277ECDA" w14:textId="77777777" w:rsidR="002610D3" w:rsidRDefault="002610D3" w:rsidP="002610D3">
      <w:pPr>
        <w:rPr>
          <w:iCs/>
        </w:rPr>
      </w:pPr>
      <w:r w:rsidRPr="00CE731F">
        <w:t xml:space="preserve">Saheed Aderinto, ‘Of Gender, Race, and Class: The Politics of Prostitution in Lagos, Nigeria, 1923-1954’, </w:t>
      </w:r>
      <w:r w:rsidRPr="00CE731F">
        <w:rPr>
          <w:i/>
          <w:iCs/>
        </w:rPr>
        <w:t xml:space="preserve">Frontiers </w:t>
      </w:r>
      <w:r w:rsidRPr="00CE731F">
        <w:rPr>
          <w:iCs/>
        </w:rPr>
        <w:t>33.3 (2012), 71-92.</w:t>
      </w:r>
    </w:p>
    <w:p w14:paraId="4DC610C8" w14:textId="77777777" w:rsidR="002610D3" w:rsidRDefault="002610D3" w:rsidP="002610D3">
      <w:r w:rsidRPr="00CE731F">
        <w:t xml:space="preserve">Saheed Aderinto, </w:t>
      </w:r>
      <w:r w:rsidRPr="00CE731F">
        <w:rPr>
          <w:i/>
          <w:iCs/>
        </w:rPr>
        <w:t xml:space="preserve">When Sex Threatened the State: Illicit Sexuality, Nationalism and Politics in Colonial Nigeria, 1900-1958 </w:t>
      </w:r>
      <w:r w:rsidRPr="00CE731F">
        <w:t>(University of Illinois Press, 2015).</w:t>
      </w:r>
    </w:p>
    <w:p w14:paraId="7C83E375" w14:textId="7D36C18D" w:rsidR="00245726" w:rsidRDefault="00245726" w:rsidP="002610D3">
      <w:r>
        <w:t xml:space="preserve">Saheed Aderinto, ‘Journey to work: Transnational prostitution in colonial British West Africa’, </w:t>
      </w:r>
      <w:r>
        <w:rPr>
          <w:i/>
          <w:iCs/>
        </w:rPr>
        <w:t xml:space="preserve">Journal of the History of Sexuality </w:t>
      </w:r>
      <w:r>
        <w:t>24.1 (2015), 99-124.</w:t>
      </w:r>
    </w:p>
    <w:p w14:paraId="413CA7A3" w14:textId="69E60EAD" w:rsidR="004B1CD8" w:rsidRPr="00F9789F" w:rsidRDefault="00F9789F" w:rsidP="004B1CD8">
      <w:r>
        <w:t xml:space="preserve">Saheed Aderinto, ‘“The problem of Nigeria is slavery, not white slave traffic”: Globalization and the politicisation of prostitution in Southern Nigeria, 1921-1955’, </w:t>
      </w:r>
      <w:r>
        <w:rPr>
          <w:i/>
          <w:iCs/>
        </w:rPr>
        <w:t xml:space="preserve">Canadian Journal of African Studies </w:t>
      </w:r>
      <w:r>
        <w:t>46.1 (2012), 1-22.</w:t>
      </w:r>
    </w:p>
    <w:p w14:paraId="6F8401B4" w14:textId="18959076" w:rsidR="006419B8" w:rsidRDefault="006419B8" w:rsidP="002610D3">
      <w:r>
        <w:t>E</w:t>
      </w:r>
      <w:r w:rsidR="004B1CD8">
        <w:t>mmanuel</w:t>
      </w:r>
      <w:r>
        <w:t xml:space="preserve"> Akyeampong, ‘Sexuality and prostitution among the Akan of the Gold Coast, c.1650-1950’, </w:t>
      </w:r>
      <w:r>
        <w:rPr>
          <w:i/>
          <w:iCs/>
        </w:rPr>
        <w:t xml:space="preserve">Past and Present </w:t>
      </w:r>
      <w:r>
        <w:t>156 (1997), 144-173.</w:t>
      </w:r>
    </w:p>
    <w:p w14:paraId="475F5022" w14:textId="54C0F018" w:rsidR="00E22D58" w:rsidRPr="00762248" w:rsidRDefault="00E22D58" w:rsidP="0020496B">
      <w:r>
        <w:t xml:space="preserve">Emmanuel Akyeampong, ‘Threats to empire: Illicit distillation, venereal diseases and colonial disorder in British West Africa, 1930-1948’ in Jessica R. Pliley, Robert Kramm and Harald Fischer-Tiné (eds.), </w:t>
      </w:r>
      <w:r w:rsidR="00762248">
        <w:rPr>
          <w:i/>
          <w:iCs/>
        </w:rPr>
        <w:t xml:space="preserve">Global Anti-Vice Activism, 1890-1950: Fighting Drinks, Drugs and “Immorality” </w:t>
      </w:r>
      <w:r w:rsidR="00762248">
        <w:t xml:space="preserve">(Cambridge University Press, 2016), 152-178. Available online here: </w:t>
      </w:r>
      <w:hyperlink r:id="rId31" w:history="1">
        <w:r w:rsidR="0020496B" w:rsidRPr="0020496B">
          <w:rPr>
            <w:rStyle w:val="Hyperlink"/>
          </w:rPr>
          <w:t>content</w:t>
        </w:r>
      </w:hyperlink>
    </w:p>
    <w:p w14:paraId="7281C600" w14:textId="274A048E" w:rsidR="009908AB" w:rsidRDefault="009908AB" w:rsidP="002610D3">
      <w:proofErr w:type="spellStart"/>
      <w:r>
        <w:t>Ifi</w:t>
      </w:r>
      <w:proofErr w:type="spellEnd"/>
      <w:r>
        <w:t xml:space="preserve"> </w:t>
      </w:r>
      <w:proofErr w:type="spellStart"/>
      <w:r>
        <w:t>Amadiume</w:t>
      </w:r>
      <w:proofErr w:type="spellEnd"/>
      <w:r>
        <w:t xml:space="preserve">, </w:t>
      </w:r>
      <w:r>
        <w:rPr>
          <w:i/>
          <w:iCs/>
        </w:rPr>
        <w:t xml:space="preserve">Male daughters, female husbands: Gender and sex in an African Society </w:t>
      </w:r>
      <w:r>
        <w:t>(Zed, 1987).</w:t>
      </w:r>
    </w:p>
    <w:p w14:paraId="0B602D6F" w14:textId="5C2F3E7C" w:rsidR="00192896" w:rsidRDefault="00192896" w:rsidP="002610D3">
      <w:proofErr w:type="spellStart"/>
      <w:r w:rsidRPr="00453C47">
        <w:t>Mfon</w:t>
      </w:r>
      <w:proofErr w:type="spellEnd"/>
      <w:r w:rsidRPr="00453C47">
        <w:t xml:space="preserve"> Umoren </w:t>
      </w:r>
      <w:proofErr w:type="spellStart"/>
      <w:r w:rsidRPr="00453C47">
        <w:t>Ekp</w:t>
      </w:r>
      <w:r w:rsidR="00453C47" w:rsidRPr="00453C47">
        <w:t>ootu</w:t>
      </w:r>
      <w:proofErr w:type="spellEnd"/>
      <w:r w:rsidR="00453C47" w:rsidRPr="00453C47">
        <w:t>, ‘Sexualising the c</w:t>
      </w:r>
      <w:r w:rsidR="00453C47">
        <w:t xml:space="preserve">ity: Female prostitution in Nigeria’s urban centres in a historical perspective’, in Lex </w:t>
      </w:r>
      <w:proofErr w:type="spellStart"/>
      <w:r w:rsidR="00453C47">
        <w:t>Heerma</w:t>
      </w:r>
      <w:proofErr w:type="spellEnd"/>
      <w:r w:rsidR="00453C47">
        <w:t xml:space="preserve"> van Voss, Elise van </w:t>
      </w:r>
      <w:proofErr w:type="spellStart"/>
      <w:r w:rsidR="00453C47">
        <w:t>Nederveen</w:t>
      </w:r>
      <w:proofErr w:type="spellEnd"/>
      <w:r w:rsidR="00453C47">
        <w:t xml:space="preserve"> </w:t>
      </w:r>
      <w:proofErr w:type="spellStart"/>
      <w:r w:rsidR="00453C47">
        <w:t>Meerkerk</w:t>
      </w:r>
      <w:proofErr w:type="spellEnd"/>
      <w:r w:rsidR="00453C47">
        <w:t xml:space="preserve"> and Magaly Rodriguez Garcia (eds.), </w:t>
      </w:r>
      <w:r w:rsidR="00453C47">
        <w:rPr>
          <w:i/>
          <w:iCs/>
        </w:rPr>
        <w:t xml:space="preserve">Selling Sex in the City: A Global History of Prostitution, 1600s-2000s </w:t>
      </w:r>
      <w:r w:rsidR="00453C47">
        <w:t>(Brill, 2017).</w:t>
      </w:r>
    </w:p>
    <w:p w14:paraId="17D85FF2" w14:textId="77777777" w:rsidR="00837483" w:rsidRDefault="00837483" w:rsidP="00837483">
      <w:r>
        <w:lastRenderedPageBreak/>
        <w:t xml:space="preserve">M. J. Hay and M. Wright (eds.), </w:t>
      </w:r>
      <w:r w:rsidRPr="007368B6">
        <w:rPr>
          <w:i/>
          <w:iCs/>
        </w:rPr>
        <w:t>African Women and the Law: Historical Perspectives</w:t>
      </w:r>
      <w:r>
        <w:t xml:space="preserve"> (Boston, 1982).</w:t>
      </w:r>
    </w:p>
    <w:p w14:paraId="62E57B36" w14:textId="77777777" w:rsidR="00837483" w:rsidRDefault="00837483" w:rsidP="00837483">
      <w:r>
        <w:t xml:space="preserve">D. Hodgson and S. McCurdy (eds.), </w:t>
      </w:r>
      <w:r w:rsidRPr="0092216D">
        <w:rPr>
          <w:i/>
          <w:iCs/>
        </w:rPr>
        <w:t>‘Wicked Women’ and the Reconfiguration of Gender in Africa</w:t>
      </w:r>
      <w:r>
        <w:t xml:space="preserve"> (Oxford, 2001), chapters by Allman, Byfield, Cornwall, McCurdy, Musisi, Parpart.</w:t>
      </w:r>
    </w:p>
    <w:p w14:paraId="18B4BE95" w14:textId="77777777" w:rsidR="00837483" w:rsidRDefault="00837483" w:rsidP="00837483">
      <w:r>
        <w:t xml:space="preserve">John Illiffe, </w:t>
      </w:r>
      <w:r w:rsidRPr="002A03F7">
        <w:rPr>
          <w:i/>
          <w:iCs/>
        </w:rPr>
        <w:t>Honour in African History</w:t>
      </w:r>
      <w:r>
        <w:t xml:space="preserve"> (Cambridge, 2005).</w:t>
      </w:r>
    </w:p>
    <w:p w14:paraId="6900062F" w14:textId="77777777" w:rsidR="00837483" w:rsidRDefault="00837483" w:rsidP="00837483">
      <w:r>
        <w:t xml:space="preserve">Tabitha </w:t>
      </w:r>
      <w:proofErr w:type="spellStart"/>
      <w:r>
        <w:t>Kanogo</w:t>
      </w:r>
      <w:proofErr w:type="spellEnd"/>
      <w:r>
        <w:t xml:space="preserve">, </w:t>
      </w:r>
      <w:r w:rsidRPr="00CD3E3E">
        <w:rPr>
          <w:i/>
          <w:iCs/>
        </w:rPr>
        <w:t>African Womanhood in Colonial Kenya, 1900-50</w:t>
      </w:r>
      <w:r>
        <w:t xml:space="preserve"> (Ohio, 2005).</w:t>
      </w:r>
    </w:p>
    <w:p w14:paraId="655BBF37" w14:textId="0D3B48BC" w:rsidR="00B31AB2" w:rsidRDefault="00B31AB2" w:rsidP="009C1F13">
      <w:r>
        <w:t xml:space="preserve">Kwame Edwin Otu, </w:t>
      </w:r>
      <w:r>
        <w:rPr>
          <w:i/>
          <w:iCs/>
        </w:rPr>
        <w:t xml:space="preserve">Amphibious Subjects: Sasso and the Contested Politics of Queer Self-Making in Neoliberal Ghana </w:t>
      </w:r>
      <w:r>
        <w:t>(University of California Press, 2022).</w:t>
      </w:r>
    </w:p>
    <w:p w14:paraId="25626C5F" w14:textId="27B6081C" w:rsidR="006759EF" w:rsidRPr="006759EF" w:rsidRDefault="006759EF" w:rsidP="009C1F13">
      <w:r w:rsidRPr="006759EF">
        <w:t>Amrita Pande, ‘De(coding) “loose women” in colonial</w:t>
      </w:r>
      <w:r>
        <w:t xml:space="preserve"> archives’, </w:t>
      </w:r>
      <w:r>
        <w:rPr>
          <w:i/>
          <w:iCs/>
        </w:rPr>
        <w:t xml:space="preserve">Journal of Contemporary African Studies </w:t>
      </w:r>
      <w:r>
        <w:t>41.3 (2023), 309-324.</w:t>
      </w:r>
    </w:p>
    <w:p w14:paraId="78F05AB6" w14:textId="41B4A5BA" w:rsidR="009A7400" w:rsidRDefault="009A7400" w:rsidP="009A7400">
      <w:r>
        <w:t>Jane</w:t>
      </w:r>
      <w:r w:rsidR="00374A8E">
        <w:t xml:space="preserve"> Parpart, </w:t>
      </w:r>
      <w:r>
        <w:t>‘“Where is you</w:t>
      </w:r>
      <w:r w:rsidR="00CD3E3E">
        <w:t>r</w:t>
      </w:r>
      <w:r>
        <w:t xml:space="preserve"> </w:t>
      </w:r>
      <w:proofErr w:type="gramStart"/>
      <w:r>
        <w:t>Mother</w:t>
      </w:r>
      <w:proofErr w:type="gramEnd"/>
      <w:r>
        <w:t xml:space="preserve">”: Gender, Urban Marriage and Colonial Discourse on the Zambian Copperbelt’, </w:t>
      </w:r>
      <w:r w:rsidRPr="00374A8E">
        <w:rPr>
          <w:i/>
          <w:iCs/>
        </w:rPr>
        <w:t>International Journal of African Historical Studies</w:t>
      </w:r>
      <w:r>
        <w:t>, 27:2 (1994), 241-71.</w:t>
      </w:r>
    </w:p>
    <w:p w14:paraId="0C626E27" w14:textId="1D6B7E26" w:rsidR="003379BB" w:rsidRDefault="003379BB" w:rsidP="003379BB">
      <w:r w:rsidRPr="00CE731F">
        <w:t>Elizabeth B. Van Heyningen, “The Social Evil in the Cape Colony 1868-1902: Prostitution and the Contagious Diseases Acts,”</w:t>
      </w:r>
      <w:r w:rsidRPr="00CE731F">
        <w:rPr>
          <w:i/>
          <w:iCs/>
        </w:rPr>
        <w:t> Journal of Southern African Studies, </w:t>
      </w:r>
      <w:r w:rsidRPr="00CE731F">
        <w:t>10:2 (1984), pp. 17</w:t>
      </w:r>
      <w:r w:rsidR="00DC0E97" w:rsidRPr="00CE731F">
        <w:t>0-197.</w:t>
      </w:r>
    </w:p>
    <w:p w14:paraId="25A927AD" w14:textId="46114168" w:rsidR="005F3BA4" w:rsidRDefault="005F3BA4" w:rsidP="005F3BA4">
      <w:r w:rsidRPr="00DA5B5A">
        <w:t>Luise</w:t>
      </w:r>
      <w:r w:rsidRPr="00CE731F">
        <w:t xml:space="preserve"> White</w:t>
      </w:r>
      <w:r w:rsidRPr="00DA5B5A">
        <w:t>, </w:t>
      </w:r>
      <w:r w:rsidRPr="00DA5B5A">
        <w:rPr>
          <w:i/>
          <w:iCs/>
        </w:rPr>
        <w:t>The Comforts of Home: Prostitution in Colonial Nairobi</w:t>
      </w:r>
      <w:r w:rsidRPr="00DA5B5A">
        <w:t> (University of Chicago Press, 1990).</w:t>
      </w:r>
    </w:p>
    <w:p w14:paraId="2BFF41EF" w14:textId="1CEACC88" w:rsidR="003F287C" w:rsidRDefault="003F287C" w:rsidP="003F287C">
      <w:pPr>
        <w:pStyle w:val="Heading5"/>
      </w:pPr>
      <w:r>
        <w:t>India</w:t>
      </w:r>
    </w:p>
    <w:p w14:paraId="5DEAFAA4" w14:textId="77777777" w:rsidR="000450A4" w:rsidRDefault="000450A4" w:rsidP="003F287C">
      <w:r>
        <w:t xml:space="preserve">Ankita Chakraborty, Dipa Dube and John Winterdyk, ‘The Enduring Legacy of British Colonialism on Sexual Exploitation in India’, </w:t>
      </w:r>
      <w:r>
        <w:rPr>
          <w:i/>
          <w:iCs/>
        </w:rPr>
        <w:t xml:space="preserve">International Criminology </w:t>
      </w:r>
      <w:r>
        <w:t>4.4 (2024), 336-348.</w:t>
      </w:r>
    </w:p>
    <w:p w14:paraId="30F17543" w14:textId="3BB65BC2" w:rsidR="005140BD" w:rsidRDefault="005140BD" w:rsidP="003F287C">
      <w:r>
        <w:t>Divya Rama Gopalakrishnan, ‘</w:t>
      </w:r>
      <w:proofErr w:type="spellStart"/>
      <w:r>
        <w:t>Gomastahs</w:t>
      </w:r>
      <w:proofErr w:type="spellEnd"/>
      <w:r>
        <w:t xml:space="preserve">, Peons, Police and </w:t>
      </w:r>
      <w:proofErr w:type="spellStart"/>
      <w:r>
        <w:t>Chowdranies</w:t>
      </w:r>
      <w:proofErr w:type="spellEnd"/>
      <w:r>
        <w:t xml:space="preserve">: The Role of Indian Subordinate in the Functioning of the Lock Hospitals and the Indian Contagious Diseases Act, 1805-1889’, </w:t>
      </w:r>
      <w:proofErr w:type="spellStart"/>
      <w:r>
        <w:rPr>
          <w:i/>
          <w:iCs/>
        </w:rPr>
        <w:t>Naturwissenschaften</w:t>
      </w:r>
      <w:proofErr w:type="spellEnd"/>
      <w:r>
        <w:rPr>
          <w:i/>
          <w:iCs/>
        </w:rPr>
        <w:t xml:space="preserve">, Technik und </w:t>
      </w:r>
      <w:proofErr w:type="spellStart"/>
      <w:r>
        <w:rPr>
          <w:i/>
          <w:iCs/>
        </w:rPr>
        <w:t>Medizin</w:t>
      </w:r>
      <w:proofErr w:type="spellEnd"/>
      <w:r>
        <w:rPr>
          <w:i/>
          <w:iCs/>
        </w:rPr>
        <w:t xml:space="preserve"> </w:t>
      </w:r>
      <w:r>
        <w:t>30.1 (2022), 29-61.</w:t>
      </w:r>
    </w:p>
    <w:p w14:paraId="240160EB" w14:textId="13AD4C45" w:rsidR="00A17C0F" w:rsidRPr="00A17C0F" w:rsidRDefault="00A17C0F" w:rsidP="003F287C">
      <w:r>
        <w:t xml:space="preserve">Divya Rama Gopalakrishnan, ‘Anthropometry and Lock Hospitals in Nineteenth-Century Madras’, </w:t>
      </w:r>
      <w:r>
        <w:rPr>
          <w:i/>
          <w:iCs/>
        </w:rPr>
        <w:t xml:space="preserve">Society </w:t>
      </w:r>
      <w:r>
        <w:t>61.2 (2024), 143-155.</w:t>
      </w:r>
    </w:p>
    <w:p w14:paraId="205A9D30" w14:textId="40379F92" w:rsidR="003F287C" w:rsidRDefault="003F287C" w:rsidP="003F287C">
      <w:r w:rsidRPr="003F287C">
        <w:t xml:space="preserve">Chieko Ichikawa, </w:t>
      </w:r>
      <w:proofErr w:type="gramStart"/>
      <w:r w:rsidRPr="003F287C">
        <w:t>‘ “</w:t>
      </w:r>
      <w:proofErr w:type="gramEnd"/>
      <w:r w:rsidRPr="003F287C">
        <w:t>Jane Eyre’s Dau</w:t>
      </w:r>
      <w:r>
        <w:t>ghters</w:t>
      </w:r>
      <w:r w:rsidR="005140BD">
        <w:t>”</w:t>
      </w:r>
      <w:r>
        <w:t>: The Feminist Missions of Mary Carpenter and Josephine Butler in India’</w:t>
      </w:r>
      <w:r w:rsidR="005140BD">
        <w:t xml:space="preserve">, </w:t>
      </w:r>
      <w:r w:rsidR="005140BD">
        <w:rPr>
          <w:i/>
          <w:iCs/>
        </w:rPr>
        <w:t xml:space="preserve">Women’s History Review </w:t>
      </w:r>
      <w:r w:rsidR="005140BD">
        <w:t>23.2 (2014), 220-238.</w:t>
      </w:r>
    </w:p>
    <w:p w14:paraId="4C30BA02" w14:textId="3FD1489E" w:rsidR="007601F5" w:rsidRDefault="005140BD" w:rsidP="000450A4">
      <w:r>
        <w:t xml:space="preserve">Stephen Legg, ‘Stimulation, Segregation and Scandal: Geographies of Prostitution Regulation in British India, between Registration (1888) and Suppression (1923), </w:t>
      </w:r>
      <w:r>
        <w:rPr>
          <w:i/>
          <w:iCs/>
        </w:rPr>
        <w:t xml:space="preserve">Modern Asian Studies </w:t>
      </w:r>
      <w:r>
        <w:t>46.6 (2012), 1459-1505.</w:t>
      </w:r>
    </w:p>
    <w:p w14:paraId="1DEF0F3C" w14:textId="10AD9CBE" w:rsidR="0073075B" w:rsidRDefault="0073075B" w:rsidP="000450A4">
      <w:r w:rsidRPr="0073075B">
        <w:lastRenderedPageBreak/>
        <w:t xml:space="preserve">Stephen Legg, ‘An Intimate </w:t>
      </w:r>
      <w:r>
        <w:t xml:space="preserve">and Imperial Feminism: </w:t>
      </w:r>
      <w:proofErr w:type="spellStart"/>
      <w:r>
        <w:t>Meliscent</w:t>
      </w:r>
      <w:proofErr w:type="spellEnd"/>
      <w:r>
        <w:t xml:space="preserve"> Shephard and the Regulation of Prostitution in Colonial India’, </w:t>
      </w:r>
      <w:r>
        <w:rPr>
          <w:i/>
          <w:iCs/>
        </w:rPr>
        <w:t xml:space="preserve">Society and Space </w:t>
      </w:r>
      <w:r>
        <w:t>28.2 (2010), 68-94.</w:t>
      </w:r>
    </w:p>
    <w:p w14:paraId="253CEDEC" w14:textId="5931F9FC" w:rsidR="00B212DB" w:rsidRDefault="00B212DB" w:rsidP="000450A4">
      <w:r>
        <w:t xml:space="preserve">Stephen Legg, ‘Governing Prostitution in colonial Delhi: From Cantonment Regulations to International Hygiene (1864-1939)’, </w:t>
      </w:r>
      <w:r>
        <w:rPr>
          <w:i/>
          <w:iCs/>
        </w:rPr>
        <w:t xml:space="preserve">Social History </w:t>
      </w:r>
      <w:r>
        <w:t>34.4 (2009), 447-467.</w:t>
      </w:r>
    </w:p>
    <w:p w14:paraId="7CC693D0" w14:textId="4AEA3CDF" w:rsidR="007E5152" w:rsidRPr="007E5152" w:rsidRDefault="007E5152" w:rsidP="000450A4">
      <w:r>
        <w:t xml:space="preserve">Stephen Legg, ‘Carceral and Colonial Domesticities: Subaltern Case Geographies of a Delhi Rescue Home’, </w:t>
      </w:r>
      <w:r>
        <w:rPr>
          <w:i/>
          <w:iCs/>
        </w:rPr>
        <w:t xml:space="preserve">Society and Space </w:t>
      </w:r>
      <w:r>
        <w:t>41.6 (2023), 960-977.</w:t>
      </w:r>
    </w:p>
    <w:p w14:paraId="1B99640E" w14:textId="310D7187" w:rsidR="0073075B" w:rsidRDefault="0073075B" w:rsidP="000450A4">
      <w:r w:rsidRPr="0073075B">
        <w:t>Sonia Mondal, ‘Women in Cantonments: Evolutio</w:t>
      </w:r>
      <w:r>
        <w:t xml:space="preserve">n of Regulated Military Prostitution in Colonial India’, </w:t>
      </w:r>
      <w:r>
        <w:rPr>
          <w:i/>
          <w:iCs/>
        </w:rPr>
        <w:t xml:space="preserve">Indian Journal of Gender Studies </w:t>
      </w:r>
      <w:r>
        <w:t>29.3 (2022), 384-393.</w:t>
      </w:r>
    </w:p>
    <w:p w14:paraId="2B21BD42" w14:textId="7CC79B1D" w:rsidR="008A1035" w:rsidRPr="008A1035" w:rsidRDefault="008A1035" w:rsidP="000450A4">
      <w:r>
        <w:t xml:space="preserve">Sonia Mondal, </w:t>
      </w:r>
      <w:proofErr w:type="gramStart"/>
      <w:r>
        <w:t>‘ “</w:t>
      </w:r>
      <w:proofErr w:type="gramEnd"/>
      <w:r>
        <w:t xml:space="preserve">Pleasure”, “Vice” or “Profession”: Myriad Social Perceptions and Representations of Prostitutes in Colonial Calcutta’, </w:t>
      </w:r>
      <w:r>
        <w:rPr>
          <w:i/>
          <w:iCs/>
        </w:rPr>
        <w:t xml:space="preserve">Lilith </w:t>
      </w:r>
      <w:r>
        <w:t>29 (2023), 97-</w:t>
      </w:r>
      <w:r w:rsidR="00F40131">
        <w:t>116.</w:t>
      </w:r>
    </w:p>
    <w:p w14:paraId="1BCA14A9" w14:textId="711698CB" w:rsidR="007B77C9" w:rsidRDefault="007B77C9" w:rsidP="000450A4">
      <w:r>
        <w:t xml:space="preserve">Erica Wald, ‘From begums and </w:t>
      </w:r>
      <w:proofErr w:type="spellStart"/>
      <w:r>
        <w:t>bibis</w:t>
      </w:r>
      <w:proofErr w:type="spellEnd"/>
      <w:r>
        <w:t xml:space="preserve"> to abandoned females and idle women: Sexual relationships, venereal disease and the redefinition of prostitution in early nineteenth-century India’, </w:t>
      </w:r>
      <w:r>
        <w:rPr>
          <w:i/>
          <w:iCs/>
        </w:rPr>
        <w:t xml:space="preserve">Indian Economic and Social History Review </w:t>
      </w:r>
      <w:r>
        <w:t>46.1 (</w:t>
      </w:r>
      <w:r w:rsidR="00281152">
        <w:t>2009), 5-25.</w:t>
      </w:r>
    </w:p>
    <w:p w14:paraId="16414478" w14:textId="7176B897" w:rsidR="005B2D3E" w:rsidRPr="005B2D3E" w:rsidRDefault="005B2D3E" w:rsidP="000450A4">
      <w:r>
        <w:t>Erica Wald, ‘Defining Prostitution and Redefining Women’s Roles: The Colonial State and Society in Early 19</w:t>
      </w:r>
      <w:r w:rsidRPr="005B2D3E">
        <w:rPr>
          <w:vertAlign w:val="superscript"/>
        </w:rPr>
        <w:t>th</w:t>
      </w:r>
      <w:r>
        <w:t xml:space="preserve"> Century India’, </w:t>
      </w:r>
      <w:r>
        <w:rPr>
          <w:i/>
          <w:iCs/>
        </w:rPr>
        <w:t xml:space="preserve">History Compass </w:t>
      </w:r>
      <w:r>
        <w:t>7.6 (2009), 1470-1483.</w:t>
      </w:r>
    </w:p>
    <w:p w14:paraId="5FA4CCAB" w14:textId="7942A19B" w:rsidR="001C7FA5" w:rsidRPr="003F287C" w:rsidRDefault="006B0F5C" w:rsidP="001C7FA5">
      <w:pPr>
        <w:rPr>
          <w:rFonts w:eastAsiaTheme="majorEastAsia" w:cstheme="majorBidi"/>
          <w:color w:val="0F4761" w:themeColor="accent1" w:themeShade="BF"/>
          <w:sz w:val="28"/>
          <w:szCs w:val="28"/>
        </w:rPr>
      </w:pPr>
      <w:r w:rsidRPr="003F287C">
        <w:br w:type="page"/>
      </w:r>
    </w:p>
    <w:p w14:paraId="71B90F51" w14:textId="31F8E44C" w:rsidR="00D949F4" w:rsidRDefault="0087535A" w:rsidP="006B0F5C">
      <w:pPr>
        <w:pStyle w:val="Heading3"/>
      </w:pPr>
      <w:r>
        <w:lastRenderedPageBreak/>
        <w:t xml:space="preserve">Session </w:t>
      </w:r>
      <w:r w:rsidR="00BB23CB">
        <w:t>9</w:t>
      </w:r>
      <w:r>
        <w:t>: Gender</w:t>
      </w:r>
      <w:r w:rsidR="00D949F4">
        <w:t xml:space="preserve"> and anti-colonial</w:t>
      </w:r>
      <w:r w:rsidR="00381D5B">
        <w:t xml:space="preserve"> struggles</w:t>
      </w:r>
    </w:p>
    <w:p w14:paraId="2FC652E6" w14:textId="1ED7E5DD" w:rsidR="00225827" w:rsidRPr="00225827" w:rsidRDefault="00BC06F0" w:rsidP="00225827">
      <w:r>
        <w:t xml:space="preserve">Women played important roles in anti-colonial struggles, </w:t>
      </w:r>
      <w:r w:rsidR="00FD79BB">
        <w:t>whether through funding, the provision of material and moral support, or through involvement in armed combat. Yet, as historians in the 1960s and 1970s turned their attention to histories of anti-colonial and nationalist movements, women’s contributions were marginalised. This session will examine the roles of women in anti-colonial struggles</w:t>
      </w:r>
      <w:r w:rsidR="0035325E">
        <w:t xml:space="preserve">, </w:t>
      </w:r>
      <w:r w:rsidR="00F36869">
        <w:t xml:space="preserve">exploring how gender operated in nationalist movements, and how far </w:t>
      </w:r>
      <w:r w:rsidR="001F6ACB">
        <w:t xml:space="preserve">women’s roles in these struggles reinforced or challenged pre-existing gender norms. We will then turn our attention to the ways in which women’s roles in anti-colonial movements have been </w:t>
      </w:r>
      <w:proofErr w:type="gramStart"/>
      <w:r w:rsidR="001F6ACB">
        <w:t>remembered, and</w:t>
      </w:r>
      <w:proofErr w:type="gramEnd"/>
      <w:r w:rsidR="001F6ACB">
        <w:t xml:space="preserve"> forgotten.</w:t>
      </w:r>
    </w:p>
    <w:p w14:paraId="2FE0E01A" w14:textId="3EBC93DE" w:rsidR="00F856CA" w:rsidRDefault="00F856CA" w:rsidP="00F856CA">
      <w:r>
        <w:t>What roles did women play in anti-colonial struggles?</w:t>
      </w:r>
    </w:p>
    <w:p w14:paraId="2981E10B" w14:textId="4EB1E7E0" w:rsidR="009268EF" w:rsidRDefault="009268EF" w:rsidP="00F856CA">
      <w:r>
        <w:t>How did nationalist movements conceive of women and gender roles?</w:t>
      </w:r>
    </w:p>
    <w:p w14:paraId="1E53DA1A" w14:textId="34EE8780" w:rsidR="00BC0637" w:rsidRDefault="00F856CA" w:rsidP="00BC0637">
      <w:r>
        <w:t>How have women’s roles in anti-colonia</w:t>
      </w:r>
      <w:r w:rsidR="000D7D90">
        <w:t>l and nationalist movements been remembered (and forgotten)?</w:t>
      </w:r>
    </w:p>
    <w:p w14:paraId="03348137" w14:textId="77777777" w:rsidR="002C5C71" w:rsidRDefault="002C5C71" w:rsidP="002C5C71">
      <w:pPr>
        <w:rPr>
          <w:b/>
          <w:bCs/>
        </w:rPr>
      </w:pPr>
      <w:r>
        <w:rPr>
          <w:b/>
          <w:bCs/>
        </w:rPr>
        <w:t>To prepare for class:</w:t>
      </w:r>
    </w:p>
    <w:p w14:paraId="104DCDB6" w14:textId="77777777" w:rsidR="002C5C71" w:rsidRDefault="002C5C71" w:rsidP="002C5C71">
      <w:pPr>
        <w:pStyle w:val="ListParagraph"/>
        <w:numPr>
          <w:ilvl w:val="0"/>
          <w:numId w:val="5"/>
        </w:numPr>
      </w:pPr>
      <w:r>
        <w:t>P</w:t>
      </w:r>
      <w:r w:rsidRPr="00E55B21">
        <w:t xml:space="preserve">lease read </w:t>
      </w:r>
      <w:r>
        <w:rPr>
          <w:b/>
          <w:bCs/>
        </w:rPr>
        <w:t xml:space="preserve">at least one </w:t>
      </w:r>
      <w:r>
        <w:t xml:space="preserve">of </w:t>
      </w:r>
      <w:r w:rsidRPr="00E55B21">
        <w:t>the key reading</w:t>
      </w:r>
      <w:r>
        <w:t>s</w:t>
      </w:r>
      <w:r w:rsidRPr="00E55B21">
        <w:t xml:space="preserve"> for the </w:t>
      </w:r>
      <w:r>
        <w:t>class.</w:t>
      </w:r>
    </w:p>
    <w:p w14:paraId="13D97179" w14:textId="77777777" w:rsidR="002C5C71" w:rsidRDefault="002C5C71" w:rsidP="002C5C71">
      <w:pPr>
        <w:pStyle w:val="ListParagraph"/>
        <w:numPr>
          <w:ilvl w:val="0"/>
          <w:numId w:val="5"/>
        </w:numPr>
      </w:pPr>
      <w:r>
        <w:t>If you have time, you might want to explore some of the further reading listed.</w:t>
      </w:r>
    </w:p>
    <w:p w14:paraId="17E2FBD6" w14:textId="77777777" w:rsidR="002C5C71" w:rsidRPr="00677100" w:rsidRDefault="002C5C71" w:rsidP="002C5C71">
      <w:pPr>
        <w:pStyle w:val="ListParagraph"/>
        <w:numPr>
          <w:ilvl w:val="0"/>
          <w:numId w:val="5"/>
        </w:numPr>
      </w:pPr>
      <w:r>
        <w:t xml:space="preserve">Bring your notes to class – you will be expected to draw on your reading in class exercises. </w:t>
      </w:r>
    </w:p>
    <w:p w14:paraId="6CC76D00" w14:textId="73522FCA" w:rsidR="000F663E" w:rsidRDefault="000F663E" w:rsidP="00BC0637">
      <w:pPr>
        <w:rPr>
          <w:b/>
          <w:bCs/>
        </w:rPr>
      </w:pPr>
      <w:r>
        <w:rPr>
          <w:b/>
          <w:bCs/>
        </w:rPr>
        <w:t>Key reading:</w:t>
      </w:r>
    </w:p>
    <w:p w14:paraId="0B70A6DA" w14:textId="1DF4ACEF" w:rsidR="00C8021F" w:rsidRPr="000F33F3" w:rsidRDefault="00C8021F" w:rsidP="00B836E1">
      <w:r>
        <w:t xml:space="preserve">Kalpana Hiralal, ‘Women in Anti-Colonial and Nationalist Movements: A Comparative Study of India and South Africa’, </w:t>
      </w:r>
      <w:r>
        <w:rPr>
          <w:i/>
          <w:iCs/>
        </w:rPr>
        <w:t xml:space="preserve">Alternation </w:t>
      </w:r>
      <w:r>
        <w:t xml:space="preserve">(2017). </w:t>
      </w:r>
      <w:hyperlink r:id="rId32" w:history="1">
        <w:r w:rsidR="00B836E1" w:rsidRPr="00B836E1">
          <w:rPr>
            <w:rStyle w:val="Hyperlink"/>
          </w:rPr>
          <w:t>Alternation article template</w:t>
        </w:r>
      </w:hyperlink>
    </w:p>
    <w:p w14:paraId="12C73D2D" w14:textId="77777777" w:rsidR="000F663E" w:rsidRPr="004850D9" w:rsidRDefault="000F663E" w:rsidP="000F663E">
      <w:r>
        <w:t xml:space="preserve">Jean Allman, ‘The Disappearing of Hannah Kudjoe: Nationalism, Feminism and the Tyrannies of History’, </w:t>
      </w:r>
      <w:r>
        <w:rPr>
          <w:i/>
          <w:iCs/>
        </w:rPr>
        <w:t xml:space="preserve">Journal of Women’s History </w:t>
      </w:r>
      <w:r>
        <w:t>21.3(2009), 13-35.</w:t>
      </w:r>
    </w:p>
    <w:p w14:paraId="219C7FB7" w14:textId="77777777" w:rsidR="00B836E1" w:rsidRPr="000F663E" w:rsidRDefault="00B836E1" w:rsidP="00B836E1">
      <w:r w:rsidRPr="000F663E">
        <w:t>Mrinalini Sinha, ‘Nations in an imperial cruc</w:t>
      </w:r>
      <w:r>
        <w:t xml:space="preserve">ible’ in </w:t>
      </w:r>
      <w:r w:rsidRPr="00CE731F">
        <w:t xml:space="preserve">Philippa Levine (ed.), </w:t>
      </w:r>
      <w:r w:rsidRPr="00CE731F">
        <w:rPr>
          <w:i/>
          <w:iCs/>
        </w:rPr>
        <w:t xml:space="preserve">Gender and Empire </w:t>
      </w:r>
      <w:r w:rsidRPr="00CE731F">
        <w:t>(Oxford University Press, 2004), pp.</w:t>
      </w:r>
      <w:r>
        <w:t>181-202.</w:t>
      </w:r>
    </w:p>
    <w:p w14:paraId="6AB8136E" w14:textId="77777777" w:rsidR="005328B4" w:rsidRDefault="005328B4" w:rsidP="00BC0637">
      <w:pPr>
        <w:rPr>
          <w:b/>
          <w:bCs/>
        </w:rPr>
      </w:pPr>
      <w:r>
        <w:rPr>
          <w:b/>
          <w:bCs/>
        </w:rPr>
        <w:t>Further reading</w:t>
      </w:r>
    </w:p>
    <w:p w14:paraId="0E71AAD8" w14:textId="77777777" w:rsidR="007C531A" w:rsidRDefault="007C531A" w:rsidP="001C25D7">
      <w:pPr>
        <w:rPr>
          <w:b/>
          <w:bCs/>
          <w:u w:val="single"/>
        </w:rPr>
      </w:pPr>
      <w:r>
        <w:rPr>
          <w:b/>
          <w:bCs/>
          <w:u w:val="single"/>
        </w:rPr>
        <w:t>African contexts</w:t>
      </w:r>
    </w:p>
    <w:p w14:paraId="09B8B793" w14:textId="02DA5EC0" w:rsidR="001C25D7" w:rsidRDefault="001C25D7" w:rsidP="001C25D7">
      <w:r>
        <w:t xml:space="preserve">Susan Andrade, ‘Gender and the “Public Sphere” in Africa: Writing Women and Rioting Women’, </w:t>
      </w:r>
      <w:r>
        <w:rPr>
          <w:i/>
          <w:iCs/>
        </w:rPr>
        <w:t xml:space="preserve">Agenda </w:t>
      </w:r>
      <w:r>
        <w:t>54 (2002), 45-59.</w:t>
      </w:r>
    </w:p>
    <w:p w14:paraId="2D6E54E7" w14:textId="71440BA0" w:rsidR="000F663E" w:rsidRPr="000F663E" w:rsidRDefault="00ED051D" w:rsidP="00BC0637">
      <w:pPr>
        <w:rPr>
          <w:u w:val="single"/>
        </w:rPr>
      </w:pPr>
      <w:r>
        <w:rPr>
          <w:u w:val="single"/>
        </w:rPr>
        <w:t>West Africa</w:t>
      </w:r>
    </w:p>
    <w:p w14:paraId="6E194454" w14:textId="77777777" w:rsidR="003707B3" w:rsidRDefault="003707B3" w:rsidP="001935F7">
      <w:r>
        <w:t xml:space="preserve">Oluwakemi Adesina, Jacob Adesina, Ndidi </w:t>
      </w:r>
      <w:proofErr w:type="spellStart"/>
      <w:r>
        <w:t>Olibamoyo</w:t>
      </w:r>
      <w:proofErr w:type="spellEnd"/>
      <w:r>
        <w:t xml:space="preserve"> and Yemisi Disu, ‘Silent Protests, Loud Impact: Madam </w:t>
      </w:r>
      <w:proofErr w:type="spellStart"/>
      <w:r>
        <w:t>Alimotu</w:t>
      </w:r>
      <w:proofErr w:type="spellEnd"/>
      <w:r>
        <w:t xml:space="preserve"> Pelewura (1865-1951) and Women’s Activism in Colonial Lagos, Nigeria’, </w:t>
      </w:r>
      <w:r>
        <w:rPr>
          <w:i/>
          <w:iCs/>
        </w:rPr>
        <w:t xml:space="preserve">African Historical Review </w:t>
      </w:r>
      <w:r>
        <w:t>55.2 (2024), 81-104.</w:t>
      </w:r>
    </w:p>
    <w:p w14:paraId="4AD0368D" w14:textId="67A2DD86" w:rsidR="00505D58" w:rsidRDefault="00505D58" w:rsidP="001935F7">
      <w:r>
        <w:lastRenderedPageBreak/>
        <w:t xml:space="preserve">Victoria </w:t>
      </w:r>
      <w:proofErr w:type="spellStart"/>
      <w:r>
        <w:t>Akoleowo</w:t>
      </w:r>
      <w:proofErr w:type="spellEnd"/>
      <w:r>
        <w:t xml:space="preserve">, ‘African Feminism, Activism and Decolonization: The Case of </w:t>
      </w:r>
      <w:proofErr w:type="spellStart"/>
      <w:r>
        <w:t>Alimotu</w:t>
      </w:r>
      <w:proofErr w:type="spellEnd"/>
      <w:r>
        <w:t xml:space="preserve"> </w:t>
      </w:r>
      <w:proofErr w:type="spellStart"/>
      <w:r>
        <w:t>Pelewura</w:t>
      </w:r>
      <w:proofErr w:type="spellEnd"/>
      <w:r>
        <w:t xml:space="preserve">’, </w:t>
      </w:r>
      <w:r>
        <w:rPr>
          <w:i/>
          <w:iCs/>
        </w:rPr>
        <w:t xml:space="preserve">African Identities </w:t>
      </w:r>
      <w:r>
        <w:t>22.4 (2024), 963-978.</w:t>
      </w:r>
    </w:p>
    <w:p w14:paraId="7FD94AC0" w14:textId="0F2839B5" w:rsidR="00D12DBF" w:rsidRPr="00D12DBF" w:rsidRDefault="00D12DBF" w:rsidP="001935F7">
      <w:r w:rsidRPr="00D12DBF">
        <w:t>Judith van Allen, ‘Sitting on a Man: Co</w:t>
      </w:r>
      <w:r>
        <w:t xml:space="preserve">lonialism and the Lost Institutions of Igbo Women’, </w:t>
      </w:r>
      <w:r>
        <w:rPr>
          <w:i/>
          <w:iCs/>
        </w:rPr>
        <w:t xml:space="preserve">Canadian Journal of African Studies </w:t>
      </w:r>
      <w:r>
        <w:t>6.2 (?), 165-181.</w:t>
      </w:r>
    </w:p>
    <w:p w14:paraId="1FED8B7F" w14:textId="7006AAB8" w:rsidR="001935F7" w:rsidRDefault="001935F7" w:rsidP="001935F7">
      <w:r w:rsidRPr="00CE731F">
        <w:t xml:space="preserve">Misty L. Bastian, ‘Dancing Women and Colonial Men: The </w:t>
      </w:r>
      <w:proofErr w:type="spellStart"/>
      <w:r w:rsidRPr="00CE731F">
        <w:rPr>
          <w:i/>
          <w:iCs/>
        </w:rPr>
        <w:t>Nwaobiala</w:t>
      </w:r>
      <w:proofErr w:type="spellEnd"/>
      <w:r w:rsidRPr="00CE731F">
        <w:rPr>
          <w:i/>
          <w:iCs/>
        </w:rPr>
        <w:t xml:space="preserve"> </w:t>
      </w:r>
      <w:r w:rsidRPr="00CE731F">
        <w:t xml:space="preserve">of 1925’ in Dorothy Hodgson and Sheryl McCurdy, </w:t>
      </w:r>
      <w:r w:rsidRPr="00CE731F">
        <w:rPr>
          <w:i/>
          <w:iCs/>
        </w:rPr>
        <w:t>"Wicked" Women and the Reconfiguration of Gender in Africa</w:t>
      </w:r>
      <w:r w:rsidRPr="00CE731F">
        <w:t xml:space="preserve"> (Heinemann, 2001).</w:t>
      </w:r>
    </w:p>
    <w:p w14:paraId="569FCDD4" w14:textId="77777777" w:rsidR="00FC20AF" w:rsidRDefault="00F17C46" w:rsidP="00FC20AF">
      <w:pPr>
        <w:rPr>
          <w:iCs/>
        </w:rPr>
      </w:pPr>
      <w:r w:rsidRPr="00F17C46">
        <w:t>Misty</w:t>
      </w:r>
      <w:r>
        <w:t xml:space="preserve"> L. </w:t>
      </w:r>
      <w:proofErr w:type="gramStart"/>
      <w:r>
        <w:t xml:space="preserve">Bastian, </w:t>
      </w:r>
      <w:r w:rsidRPr="00F17C46">
        <w:t xml:space="preserve"> ‘</w:t>
      </w:r>
      <w:proofErr w:type="gramEnd"/>
      <w:r w:rsidRPr="00F17C46">
        <w:t xml:space="preserve">Vultures of the Marketplace: Southeastern Nigerian Women and Discourses of the </w:t>
      </w:r>
      <w:r w:rsidRPr="00F17C46">
        <w:rPr>
          <w:i/>
          <w:iCs/>
        </w:rPr>
        <w:t xml:space="preserve">Ogu </w:t>
      </w:r>
      <w:proofErr w:type="spellStart"/>
      <w:r w:rsidRPr="00F17C46">
        <w:rPr>
          <w:i/>
          <w:iCs/>
        </w:rPr>
        <w:t>Umunwaayni</w:t>
      </w:r>
      <w:proofErr w:type="spellEnd"/>
      <w:r w:rsidRPr="00F17C46">
        <w:rPr>
          <w:i/>
          <w:iCs/>
        </w:rPr>
        <w:t xml:space="preserve"> </w:t>
      </w:r>
      <w:r w:rsidRPr="00F17C46">
        <w:t xml:space="preserve">(Women’s War) of 1929’, </w:t>
      </w:r>
      <w:proofErr w:type="gramStart"/>
      <w:r w:rsidRPr="00F17C46">
        <w:t xml:space="preserve">in </w:t>
      </w:r>
      <w:r w:rsidR="00FC20AF">
        <w:t xml:space="preserve"> </w:t>
      </w:r>
      <w:r w:rsidR="00FC20AF">
        <w:rPr>
          <w:iCs/>
        </w:rPr>
        <w:t>Jean</w:t>
      </w:r>
      <w:proofErr w:type="gramEnd"/>
      <w:r w:rsidR="00FC20AF">
        <w:rPr>
          <w:iCs/>
        </w:rPr>
        <w:t xml:space="preserve"> Allman, Susan Geiger and </w:t>
      </w:r>
      <w:proofErr w:type="spellStart"/>
      <w:r w:rsidR="00FC20AF">
        <w:rPr>
          <w:iCs/>
        </w:rPr>
        <w:t>Nakanyike</w:t>
      </w:r>
      <w:proofErr w:type="spellEnd"/>
      <w:r w:rsidR="00FC20AF">
        <w:rPr>
          <w:iCs/>
        </w:rPr>
        <w:t xml:space="preserve"> Musisi (eds.), </w:t>
      </w:r>
      <w:r w:rsidR="00FC20AF">
        <w:rPr>
          <w:i/>
        </w:rPr>
        <w:t xml:space="preserve">Women in African Colonial Histories </w:t>
      </w:r>
      <w:r w:rsidR="00FC20AF">
        <w:rPr>
          <w:iCs/>
        </w:rPr>
        <w:t>(Indiana University Press, 2002), pp. 260-281.</w:t>
      </w:r>
    </w:p>
    <w:p w14:paraId="2F8A53BF" w14:textId="30C027C7" w:rsidR="00692E3B" w:rsidRDefault="00692E3B" w:rsidP="00692E3B">
      <w:r w:rsidRPr="00FB64D1">
        <w:t>Laray Denzer, ‘Gender and Decoloni</w:t>
      </w:r>
      <w:r>
        <w:t xml:space="preserve">zation: A Study of Three Women in West African Public Life’ in Andrea Cornwall (ed.), </w:t>
      </w:r>
      <w:r>
        <w:rPr>
          <w:i/>
          <w:iCs/>
        </w:rPr>
        <w:t xml:space="preserve">Readings in Gender in Africa </w:t>
      </w:r>
      <w:r>
        <w:t>(Indiana University Press, 2005), pp. 217-224.</w:t>
      </w:r>
    </w:p>
    <w:p w14:paraId="589A16AC" w14:textId="77777777" w:rsidR="00C95DBC" w:rsidRDefault="00C95DBC" w:rsidP="00C95DBC">
      <w:r>
        <w:t xml:space="preserve">Erin Hern, ‘Colonial Education and Women’s Political Behaviour in Ghana and Senegal’, </w:t>
      </w:r>
      <w:r>
        <w:rPr>
          <w:i/>
          <w:iCs/>
        </w:rPr>
        <w:t xml:space="preserve">African Studies Review </w:t>
      </w:r>
      <w:r>
        <w:t>64.1 (2021), 217-241.</w:t>
      </w:r>
    </w:p>
    <w:p w14:paraId="2F0B789E" w14:textId="77777777" w:rsidR="00C95DBC" w:rsidRDefault="00C95DBC" w:rsidP="00C95DBC">
      <w:r>
        <w:t xml:space="preserve">C. Ifeka-Moller, ‘Female Militancy and Colonial Revolt: The Women’s War of 1929, Eastern Nigeria’ in Shirley </w:t>
      </w:r>
      <w:proofErr w:type="spellStart"/>
      <w:r>
        <w:t>Ardener</w:t>
      </w:r>
      <w:proofErr w:type="spellEnd"/>
      <w:r>
        <w:t xml:space="preserve"> (ed.), </w:t>
      </w:r>
      <w:r>
        <w:rPr>
          <w:i/>
          <w:iCs/>
        </w:rPr>
        <w:t xml:space="preserve">Perceiving Women </w:t>
      </w:r>
      <w:r>
        <w:t>(1975), 128-132.</w:t>
      </w:r>
    </w:p>
    <w:p w14:paraId="661F03A9" w14:textId="77777777" w:rsidR="00C95DBC" w:rsidRDefault="00C95DBC" w:rsidP="00C95DBC">
      <w:r w:rsidRPr="000A28F9">
        <w:t xml:space="preserve">Koko Ete Ina, ‘The Tax Crisis </w:t>
      </w:r>
      <w:r>
        <w:t xml:space="preserve">of 1929 in </w:t>
      </w:r>
      <w:proofErr w:type="spellStart"/>
      <w:r>
        <w:t>Ibibioland</w:t>
      </w:r>
      <w:proofErr w:type="spellEnd"/>
      <w:r>
        <w:t xml:space="preserve">’, </w:t>
      </w:r>
      <w:proofErr w:type="spellStart"/>
      <w:r>
        <w:rPr>
          <w:i/>
          <w:iCs/>
        </w:rPr>
        <w:t>Transafrican</w:t>
      </w:r>
      <w:proofErr w:type="spellEnd"/>
      <w:r>
        <w:rPr>
          <w:i/>
          <w:iCs/>
        </w:rPr>
        <w:t xml:space="preserve"> Journal of History </w:t>
      </w:r>
      <w:r>
        <w:t>21 (1992), 171-181.</w:t>
      </w:r>
    </w:p>
    <w:p w14:paraId="4EDC686C" w14:textId="77777777" w:rsidR="00C95DBC" w:rsidRDefault="00C95DBC" w:rsidP="00C95DBC">
      <w:pPr>
        <w:rPr>
          <w:i/>
          <w:iCs/>
        </w:rPr>
      </w:pPr>
      <w:r w:rsidRPr="00A73B89">
        <w:t>Daniel Olisa Iweze, ‘Women</w:t>
      </w:r>
      <w:r>
        <w:t>’</w:t>
      </w:r>
      <w:r w:rsidRPr="00A73B89">
        <w:t>s Prot</w:t>
      </w:r>
      <w:r>
        <w:t xml:space="preserve">ests Against Colonial Taxation in the Eastern Provinces of Nigeria’, in Korinna </w:t>
      </w:r>
      <w:proofErr w:type="spellStart"/>
      <w:r>
        <w:t>Schönhärl</w:t>
      </w:r>
      <w:proofErr w:type="spellEnd"/>
      <w:r>
        <w:t xml:space="preserve">, Gisela Hürlmann and Dorothea Rohde (eds.), </w:t>
      </w:r>
      <w:r>
        <w:rPr>
          <w:i/>
          <w:iCs/>
        </w:rPr>
        <w:t xml:space="preserve">Histories of Tax Evasion, Avoidance and Resistance </w:t>
      </w:r>
      <w:r>
        <w:t>(Routledge, 2022), pp. 115-134.</w:t>
      </w:r>
      <w:r>
        <w:rPr>
          <w:i/>
          <w:iCs/>
        </w:rPr>
        <w:t xml:space="preserve"> </w:t>
      </w:r>
    </w:p>
    <w:p w14:paraId="22449E6C" w14:textId="63757976" w:rsidR="005328B4" w:rsidRPr="005328B4" w:rsidRDefault="005328B4" w:rsidP="005328B4">
      <w:r>
        <w:t xml:space="preserve">Chima Korieh, ‘The Women’s War of 1929: A History of Anti-Colonial Resistance in Eastern Nigeria’, </w:t>
      </w:r>
      <w:r>
        <w:rPr>
          <w:i/>
          <w:iCs/>
        </w:rPr>
        <w:t xml:space="preserve">Africa </w:t>
      </w:r>
      <w:r>
        <w:t>83.3 (2013), 526-527.</w:t>
      </w:r>
    </w:p>
    <w:p w14:paraId="4D813D6C" w14:textId="77777777" w:rsidR="005328B4" w:rsidRPr="004C0234" w:rsidRDefault="005328B4" w:rsidP="005328B4">
      <w:r>
        <w:t xml:space="preserve">Abdul Kuba, ‘Women Nationalists in Nineteenth and Twentieth Century Ghana and Zimbabwe: Case Studies of </w:t>
      </w:r>
      <w:proofErr w:type="spellStart"/>
      <w:r>
        <w:t>Charwe</w:t>
      </w:r>
      <w:proofErr w:type="spellEnd"/>
      <w:r>
        <w:t xml:space="preserve"> Nehanda </w:t>
      </w:r>
      <w:proofErr w:type="spellStart"/>
      <w:r>
        <w:t>Nyakasikana</w:t>
      </w:r>
      <w:proofErr w:type="spellEnd"/>
      <w:r>
        <w:t xml:space="preserve"> and Yaa Asantewaa’, </w:t>
      </w:r>
      <w:r>
        <w:rPr>
          <w:i/>
          <w:iCs/>
        </w:rPr>
        <w:t xml:space="preserve">Journal of International Women’s Studies </w:t>
      </w:r>
      <w:r>
        <w:t>19.2 (2018), 159-171.</w:t>
      </w:r>
    </w:p>
    <w:p w14:paraId="73063944" w14:textId="77777777" w:rsidR="005328B4" w:rsidRDefault="005328B4" w:rsidP="005328B4">
      <w:r>
        <w:t xml:space="preserve">Cheryl P. Johnson, ‘Grassroots Organising: Women in Anti-Colonial Activity in Southwestern Nigeria’, </w:t>
      </w:r>
      <w:r>
        <w:rPr>
          <w:i/>
          <w:iCs/>
        </w:rPr>
        <w:t xml:space="preserve">African Studies Review </w:t>
      </w:r>
      <w:r>
        <w:t>25.2 (1982).</w:t>
      </w:r>
    </w:p>
    <w:p w14:paraId="15011B66" w14:textId="1557EB46" w:rsidR="00ED051D" w:rsidRPr="00ED051D" w:rsidRDefault="00692E3B" w:rsidP="00FC20AF">
      <w:pPr>
        <w:rPr>
          <w:iCs/>
          <w:u w:val="single"/>
        </w:rPr>
      </w:pPr>
      <w:r>
        <w:rPr>
          <w:iCs/>
          <w:u w:val="single"/>
        </w:rPr>
        <w:t>East Africa</w:t>
      </w:r>
    </w:p>
    <w:p w14:paraId="57320B85" w14:textId="2B8827DE" w:rsidR="00AB27A3" w:rsidRDefault="00AB27A3" w:rsidP="00FC20AF">
      <w:pPr>
        <w:rPr>
          <w:iCs/>
        </w:rPr>
      </w:pPr>
      <w:r>
        <w:rPr>
          <w:iCs/>
        </w:rPr>
        <w:t xml:space="preserve">Katherine Bruce-Lockhart, ‘“Unsound” Minds and Broken Bodies: The Detention of “Hardcore” Mau </w:t>
      </w:r>
      <w:proofErr w:type="spellStart"/>
      <w:r>
        <w:rPr>
          <w:iCs/>
        </w:rPr>
        <w:t>Mau</w:t>
      </w:r>
      <w:proofErr w:type="spellEnd"/>
      <w:r>
        <w:rPr>
          <w:iCs/>
        </w:rPr>
        <w:t xml:space="preserve"> Women at Kamiti and </w:t>
      </w:r>
      <w:proofErr w:type="spellStart"/>
      <w:r>
        <w:rPr>
          <w:iCs/>
        </w:rPr>
        <w:t>Gitamayu</w:t>
      </w:r>
      <w:proofErr w:type="spellEnd"/>
      <w:r>
        <w:rPr>
          <w:iCs/>
        </w:rPr>
        <w:t xml:space="preserve"> Detention Camps in Kenya, 1954-1960’, </w:t>
      </w:r>
      <w:r>
        <w:rPr>
          <w:i/>
        </w:rPr>
        <w:t xml:space="preserve">Journal of Eastern African Studies </w:t>
      </w:r>
      <w:r>
        <w:rPr>
          <w:iCs/>
        </w:rPr>
        <w:t>8.4 (2014), 590-608.</w:t>
      </w:r>
    </w:p>
    <w:p w14:paraId="4D81F3BF" w14:textId="5BE378D8" w:rsidR="00692E3B" w:rsidRDefault="00692E3B" w:rsidP="00692E3B">
      <w:r w:rsidRPr="00461ED4">
        <w:lastRenderedPageBreak/>
        <w:t>Susan Geiger, ‘Tanganyikan Nationalism as “Wome</w:t>
      </w:r>
      <w:r>
        <w:t xml:space="preserve">n’s Work”: Life Histories, Collective Biography and Changing Historiography’, </w:t>
      </w:r>
      <w:r>
        <w:rPr>
          <w:i/>
          <w:iCs/>
        </w:rPr>
        <w:t xml:space="preserve">Journal of African History </w:t>
      </w:r>
      <w:r>
        <w:t>37.3 (1986), 465-478.</w:t>
      </w:r>
    </w:p>
    <w:p w14:paraId="7402765D" w14:textId="0825796D" w:rsidR="00C95DBC" w:rsidRDefault="00C95DBC" w:rsidP="00C95DBC">
      <w:r>
        <w:t xml:space="preserve">Stacey Hynd, ‘“Uncircumcised Boys” and “Girl Spartans”: Youth, Gender and Generation in Colonial Insurgencies and Counterinsurgency, c. 1954-59’. </w:t>
      </w:r>
      <w:r>
        <w:rPr>
          <w:i/>
          <w:iCs/>
        </w:rPr>
        <w:t xml:space="preserve">Gender and History </w:t>
      </w:r>
      <w:r>
        <w:t>33.2 (2021), 536-556.</w:t>
      </w:r>
    </w:p>
    <w:p w14:paraId="5742B0E5" w14:textId="77777777" w:rsidR="005328B4" w:rsidRDefault="005328B4" w:rsidP="005328B4">
      <w:r w:rsidRPr="00B53B2A">
        <w:t xml:space="preserve">Cora Ann Presley, ‘The Mau </w:t>
      </w:r>
      <w:proofErr w:type="spellStart"/>
      <w:r w:rsidRPr="00B53B2A">
        <w:t>Mau</w:t>
      </w:r>
      <w:proofErr w:type="spellEnd"/>
      <w:r w:rsidRPr="00B53B2A">
        <w:t xml:space="preserve"> Reb</w:t>
      </w:r>
      <w:r>
        <w:t xml:space="preserve">ellion, Kikuyu Women and Social Change’, </w:t>
      </w:r>
      <w:r>
        <w:rPr>
          <w:i/>
          <w:iCs/>
        </w:rPr>
        <w:t xml:space="preserve">Canadian Journal of African Studies </w:t>
      </w:r>
      <w:r>
        <w:t>22.3 (1988) 502-527.</w:t>
      </w:r>
    </w:p>
    <w:p w14:paraId="3489193C" w14:textId="77777777" w:rsidR="005328B4" w:rsidRDefault="005328B4" w:rsidP="005328B4">
      <w:r>
        <w:t xml:space="preserve">Bethany Rebisz, ‘Mapping Women’s Memories of Britain’s Forced Resettlement Scheme in Late Colonial Kenya, c.1953-1960’, </w:t>
      </w:r>
      <w:r>
        <w:rPr>
          <w:i/>
          <w:iCs/>
        </w:rPr>
        <w:t xml:space="preserve">Historical Journal </w:t>
      </w:r>
      <w:r>
        <w:t>67.5 (2024), 1045-1065.</w:t>
      </w:r>
    </w:p>
    <w:p w14:paraId="0A99D6AF" w14:textId="77777777" w:rsidR="005328B4" w:rsidRDefault="005328B4" w:rsidP="005328B4">
      <w:r>
        <w:t xml:space="preserve">Marina Santoru, ‘The Colonial Idea of Women and Direct Intervention: The Mau </w:t>
      </w:r>
      <w:proofErr w:type="spellStart"/>
      <w:r>
        <w:t>Mau</w:t>
      </w:r>
      <w:proofErr w:type="spellEnd"/>
      <w:r>
        <w:t xml:space="preserve"> Case’, </w:t>
      </w:r>
      <w:r>
        <w:rPr>
          <w:i/>
          <w:iCs/>
        </w:rPr>
        <w:t xml:space="preserve">African Affairs </w:t>
      </w:r>
      <w:r>
        <w:t>95 (1996), 253-267.</w:t>
      </w:r>
    </w:p>
    <w:p w14:paraId="2D752BEB" w14:textId="77777777" w:rsidR="005328B4" w:rsidRPr="00827D3C" w:rsidRDefault="005328B4" w:rsidP="005328B4">
      <w:pPr>
        <w:rPr>
          <w:iCs/>
        </w:rPr>
      </w:pPr>
      <w:r w:rsidRPr="00827D3C">
        <w:rPr>
          <w:iCs/>
        </w:rPr>
        <w:t xml:space="preserve">Aili Mari Tripp, ‘Women’s Mobilization in Uganda: </w:t>
      </w:r>
      <w:proofErr w:type="spellStart"/>
      <w:r w:rsidRPr="00827D3C">
        <w:rPr>
          <w:iCs/>
        </w:rPr>
        <w:t>Nonracial</w:t>
      </w:r>
      <w:proofErr w:type="spellEnd"/>
      <w:r w:rsidRPr="00827D3C">
        <w:rPr>
          <w:iCs/>
        </w:rPr>
        <w:t xml:space="preserve"> Ideologies in </w:t>
      </w:r>
      <w:proofErr w:type="gramStart"/>
      <w:r w:rsidRPr="00827D3C">
        <w:rPr>
          <w:iCs/>
        </w:rPr>
        <w:t>European</w:t>
      </w:r>
      <w:r>
        <w:rPr>
          <w:iCs/>
        </w:rPr>
        <w:t>-African</w:t>
      </w:r>
      <w:proofErr w:type="gramEnd"/>
      <w:r>
        <w:rPr>
          <w:iCs/>
        </w:rPr>
        <w:t xml:space="preserve">-Asian Encounters, 1945-1962’, </w:t>
      </w:r>
      <w:r>
        <w:rPr>
          <w:i/>
        </w:rPr>
        <w:t xml:space="preserve">International Journal of African Historical Studies </w:t>
      </w:r>
      <w:r>
        <w:rPr>
          <w:iCs/>
        </w:rPr>
        <w:t>34.3 (2001), 543-564.</w:t>
      </w:r>
    </w:p>
    <w:p w14:paraId="5468E5BF" w14:textId="4D7779FA" w:rsidR="005328B4" w:rsidRPr="00692E3B" w:rsidRDefault="005328B4" w:rsidP="005328B4">
      <w:r>
        <w:t xml:space="preserve">Luise White, ‘Separating the Men from the Boys: Constructions of Gender, Sexuality and Terrorism in Central Kenya, 1939-1959’, </w:t>
      </w:r>
      <w:r>
        <w:rPr>
          <w:i/>
          <w:iCs/>
        </w:rPr>
        <w:t xml:space="preserve">International Journal of African Historical Studies </w:t>
      </w:r>
      <w:r>
        <w:t>23.1 (1990), 1-25.</w:t>
      </w:r>
    </w:p>
    <w:p w14:paraId="09B31CD3" w14:textId="18015F60" w:rsidR="00692E3B" w:rsidRDefault="00692E3B" w:rsidP="00FC20AF">
      <w:pPr>
        <w:rPr>
          <w:iCs/>
          <w:u w:val="single"/>
        </w:rPr>
      </w:pPr>
      <w:r>
        <w:rPr>
          <w:iCs/>
          <w:u w:val="single"/>
        </w:rPr>
        <w:t>Southern Africa</w:t>
      </w:r>
    </w:p>
    <w:p w14:paraId="77961998" w14:textId="4B136E72" w:rsidR="00692E3B" w:rsidRDefault="00692E3B" w:rsidP="00692E3B">
      <w:r>
        <w:t xml:space="preserve">Gisela Geisler, </w:t>
      </w:r>
      <w:r>
        <w:rPr>
          <w:i/>
          <w:iCs/>
        </w:rPr>
        <w:t xml:space="preserve">Women and the Remaking of Politics in Southern Africa: Negotiating Autonomy, Incorporation and Representation </w:t>
      </w:r>
      <w:r>
        <w:t>(</w:t>
      </w:r>
      <w:proofErr w:type="spellStart"/>
      <w:r>
        <w:t>Nordiska</w:t>
      </w:r>
      <w:proofErr w:type="spellEnd"/>
      <w:r>
        <w:t xml:space="preserve"> </w:t>
      </w:r>
      <w:proofErr w:type="spellStart"/>
      <w:r>
        <w:t>Afrikainstitutet</w:t>
      </w:r>
      <w:proofErr w:type="spellEnd"/>
      <w:r>
        <w:t>, 2004), Chapter 2.</w:t>
      </w:r>
    </w:p>
    <w:p w14:paraId="723D2BC5" w14:textId="77777777" w:rsidR="00692E3B" w:rsidRPr="003E6317" w:rsidRDefault="00692E3B" w:rsidP="00692E3B">
      <w:proofErr w:type="spellStart"/>
      <w:r>
        <w:t>Frene</w:t>
      </w:r>
      <w:proofErr w:type="spellEnd"/>
      <w:r>
        <w:t xml:space="preserve"> Ginwala, ‘Women and the African National Congress, 1912-1943’, </w:t>
      </w:r>
      <w:r>
        <w:rPr>
          <w:i/>
          <w:iCs/>
        </w:rPr>
        <w:t xml:space="preserve">Agenda </w:t>
      </w:r>
      <w:r>
        <w:t>8.8 (1990), 77-93.</w:t>
      </w:r>
    </w:p>
    <w:p w14:paraId="6E5C9E98" w14:textId="347F3B45" w:rsidR="00692E3B" w:rsidRDefault="00692E3B" w:rsidP="00692E3B">
      <w:r>
        <w:t xml:space="preserve">Shireen Hassim, ‘Nationalism, Feminism and Autonomy: The ANC in Exile and the Question of Women’, </w:t>
      </w:r>
      <w:r>
        <w:rPr>
          <w:i/>
          <w:iCs/>
        </w:rPr>
        <w:t xml:space="preserve">Journal of Southern Arican Studies </w:t>
      </w:r>
      <w:r>
        <w:t>30.3 (2004), 433-456.</w:t>
      </w:r>
    </w:p>
    <w:p w14:paraId="3AC1E69C" w14:textId="4A97580E" w:rsidR="00A530F1" w:rsidRDefault="00A530F1" w:rsidP="00A530F1">
      <w:r>
        <w:t xml:space="preserve">Meghan Healy-Clancy, ‘Women and the Problem of Family in Early African Nationalist History and Historiography’, </w:t>
      </w:r>
      <w:r>
        <w:rPr>
          <w:i/>
          <w:iCs/>
        </w:rPr>
        <w:t xml:space="preserve">South African Historical Journal </w:t>
      </w:r>
      <w:r>
        <w:t>64.3(2012), 450-471.</w:t>
      </w:r>
    </w:p>
    <w:p w14:paraId="35E07D36" w14:textId="77777777" w:rsidR="00C95DBC" w:rsidRPr="00DF4CA2" w:rsidRDefault="00C95DBC" w:rsidP="00C95DBC">
      <w:r>
        <w:t xml:space="preserve">Chipo Hungwe, ‘Putting Them </w:t>
      </w:r>
      <w:proofErr w:type="gramStart"/>
      <w:r>
        <w:t>In</w:t>
      </w:r>
      <w:proofErr w:type="gramEnd"/>
      <w:r>
        <w:t xml:space="preserve"> Their Place: “Respectable” and “Unrespectable” Women in Zimbabwean Gender Struggles’, </w:t>
      </w:r>
      <w:r>
        <w:rPr>
          <w:i/>
          <w:iCs/>
        </w:rPr>
        <w:t xml:space="preserve">Feminist Africa </w:t>
      </w:r>
      <w:r>
        <w:t>6 (2006), 33-47.</w:t>
      </w:r>
    </w:p>
    <w:p w14:paraId="1D3BE935" w14:textId="77777777" w:rsidR="00C95DBC" w:rsidRDefault="00C95DBC" w:rsidP="00C95DBC">
      <w:r>
        <w:t xml:space="preserve">David Jones, ‘Narrowing the Liberation Agenda: Women, Corporal Punishment and Scandal in Namibia’s Struggle for Independence’, </w:t>
      </w:r>
      <w:r>
        <w:rPr>
          <w:i/>
          <w:iCs/>
        </w:rPr>
        <w:t xml:space="preserve">Journal of Southern African Studies </w:t>
      </w:r>
      <w:r>
        <w:t>44.4 (2018), 543-558.</w:t>
      </w:r>
    </w:p>
    <w:p w14:paraId="42773D87" w14:textId="77777777" w:rsidR="005328B4" w:rsidRPr="004C0234" w:rsidRDefault="005328B4" w:rsidP="005328B4">
      <w:r>
        <w:lastRenderedPageBreak/>
        <w:t xml:space="preserve">Abdul Kuba, ‘Women Nationalists in Nineteenth and Twentieth Century Ghana and Zimbabwe: Case Studies of </w:t>
      </w:r>
      <w:proofErr w:type="spellStart"/>
      <w:r>
        <w:t>Charwe</w:t>
      </w:r>
      <w:proofErr w:type="spellEnd"/>
      <w:r>
        <w:t xml:space="preserve"> Nehanda </w:t>
      </w:r>
      <w:proofErr w:type="spellStart"/>
      <w:r>
        <w:t>Nyakasikana</w:t>
      </w:r>
      <w:proofErr w:type="spellEnd"/>
      <w:r>
        <w:t xml:space="preserve"> and Yaa Asantewaa’, </w:t>
      </w:r>
      <w:r>
        <w:rPr>
          <w:i/>
          <w:iCs/>
        </w:rPr>
        <w:t xml:space="preserve">Journal of International Women’s Studies </w:t>
      </w:r>
      <w:r>
        <w:t>19.2 (2018), 159-171.</w:t>
      </w:r>
    </w:p>
    <w:p w14:paraId="29065A9B" w14:textId="77777777" w:rsidR="005328B4" w:rsidRDefault="005328B4" w:rsidP="005328B4">
      <w:pPr>
        <w:rPr>
          <w:iCs/>
        </w:rPr>
      </w:pPr>
      <w:r>
        <w:t xml:space="preserve">Tanya Lyons, ‘Guerrilla Girls and Women in the Zimbabwean National Liberation </w:t>
      </w:r>
      <w:proofErr w:type="gramStart"/>
      <w:r>
        <w:t>Struggle;,</w:t>
      </w:r>
      <w:proofErr w:type="gramEnd"/>
      <w:r>
        <w:t xml:space="preserve"> </w:t>
      </w:r>
      <w:r>
        <w:rPr>
          <w:iCs/>
        </w:rPr>
        <w:t xml:space="preserve">Jean Allman, Susan Geiger and </w:t>
      </w:r>
      <w:proofErr w:type="spellStart"/>
      <w:r>
        <w:rPr>
          <w:iCs/>
        </w:rPr>
        <w:t>Nakanyike</w:t>
      </w:r>
      <w:proofErr w:type="spellEnd"/>
      <w:r>
        <w:rPr>
          <w:iCs/>
        </w:rPr>
        <w:t xml:space="preserve"> Musisi (eds.), </w:t>
      </w:r>
      <w:r>
        <w:rPr>
          <w:i/>
        </w:rPr>
        <w:t xml:space="preserve">Women in African Colonial Histories </w:t>
      </w:r>
      <w:r>
        <w:rPr>
          <w:iCs/>
        </w:rPr>
        <w:t>(Indiana University Press, 2002), pp. 305-326.</w:t>
      </w:r>
    </w:p>
    <w:p w14:paraId="55CD8650" w14:textId="67C5956A" w:rsidR="005328B4" w:rsidRPr="005328B4" w:rsidRDefault="005328B4" w:rsidP="005328B4">
      <w:r>
        <w:t xml:space="preserve">Diane Whitelaw, ‘Gender and Decolonization in Zambia: Re-Examining Women’s Contributions to the Anti-Colonial Struggle’, </w:t>
      </w:r>
      <w:r>
        <w:rPr>
          <w:i/>
          <w:iCs/>
        </w:rPr>
        <w:t xml:space="preserve">Journal of Southern African Studies </w:t>
      </w:r>
      <w:r>
        <w:t>48.3 (2022), 545-561.</w:t>
      </w:r>
    </w:p>
    <w:p w14:paraId="14DA5D68" w14:textId="68E9A748" w:rsidR="00ED051D" w:rsidRPr="00ED051D" w:rsidRDefault="00ED051D" w:rsidP="00FC20AF">
      <w:pPr>
        <w:rPr>
          <w:b/>
          <w:bCs/>
          <w:iCs/>
        </w:rPr>
      </w:pPr>
      <w:r>
        <w:rPr>
          <w:b/>
          <w:bCs/>
          <w:iCs/>
        </w:rPr>
        <w:t>South Asian cont</w:t>
      </w:r>
      <w:r w:rsidR="00692E3B">
        <w:rPr>
          <w:b/>
          <w:bCs/>
          <w:iCs/>
        </w:rPr>
        <w:t>e</w:t>
      </w:r>
      <w:r>
        <w:rPr>
          <w:b/>
          <w:bCs/>
          <w:iCs/>
        </w:rPr>
        <w:t>xts</w:t>
      </w:r>
    </w:p>
    <w:p w14:paraId="3974C7AD" w14:textId="77777777" w:rsidR="005328B4" w:rsidRDefault="005328B4" w:rsidP="005328B4">
      <w:r>
        <w:t xml:space="preserve">Sanjam Ahluwalia, ‘Rethinking Boundaries: Feminism and (Inter)Nationalism in Early-Twentieth Century India’, </w:t>
      </w:r>
      <w:r>
        <w:rPr>
          <w:i/>
          <w:iCs/>
        </w:rPr>
        <w:t xml:space="preserve">Journal of Women’s History </w:t>
      </w:r>
      <w:r>
        <w:t>14.4 (2003), 188-195.</w:t>
      </w:r>
    </w:p>
    <w:p w14:paraId="09941AD8" w14:textId="77777777" w:rsidR="005328B4" w:rsidRDefault="005328B4" w:rsidP="005328B4">
      <w:r>
        <w:t xml:space="preserve">Aparna Basu, ‘Feminism and Nationalism in India, 1917-1947’, </w:t>
      </w:r>
      <w:r>
        <w:rPr>
          <w:i/>
          <w:iCs/>
        </w:rPr>
        <w:t xml:space="preserve">Journal of Women’s History </w:t>
      </w:r>
      <w:r>
        <w:t>7.4 (1995), 95-107.</w:t>
      </w:r>
    </w:p>
    <w:p w14:paraId="4FF537FA" w14:textId="5621E2B3" w:rsidR="00863B7E" w:rsidRPr="00863B7E" w:rsidRDefault="00863B7E" w:rsidP="00FC20AF">
      <w:pPr>
        <w:rPr>
          <w:i/>
        </w:rPr>
      </w:pPr>
      <w:r>
        <w:rPr>
          <w:iCs/>
        </w:rPr>
        <w:t xml:space="preserve">Urvashi Butalia, ‘Legacies of Departure: Decolonization, Nation-making and Gender’, in </w:t>
      </w:r>
      <w:r w:rsidR="00A24593" w:rsidRPr="00CE731F">
        <w:t xml:space="preserve">Philippa Levine (ed.), </w:t>
      </w:r>
      <w:r w:rsidR="00A24593" w:rsidRPr="00CE731F">
        <w:rPr>
          <w:i/>
          <w:iCs/>
        </w:rPr>
        <w:t xml:space="preserve">Gender and Empire </w:t>
      </w:r>
      <w:r w:rsidR="00A24593" w:rsidRPr="00CE731F">
        <w:t>(Oxford University Press, 2004), pp.</w:t>
      </w:r>
      <w:r w:rsidR="00A24593">
        <w:t>203-219.</w:t>
      </w:r>
    </w:p>
    <w:p w14:paraId="5CFCB492" w14:textId="51CC0DF0" w:rsidR="007A30A5" w:rsidRDefault="007A30A5" w:rsidP="007A30A5">
      <w:r w:rsidRPr="00CE731F">
        <w:t xml:space="preserve">Partha Chatterjee, ‘’The Nationalist Resolution of the Women’s Question’ in Kumkum Sangari and Sudesh Vaid (eds.), </w:t>
      </w:r>
      <w:r w:rsidRPr="00CE731F">
        <w:rPr>
          <w:i/>
          <w:iCs/>
        </w:rPr>
        <w:t xml:space="preserve">Recasting Women: Essays in Indian Colonial History </w:t>
      </w:r>
      <w:r w:rsidRPr="00CE731F">
        <w:t>(Rutgers University Press, 1990).</w:t>
      </w:r>
    </w:p>
    <w:p w14:paraId="40B2E1BC" w14:textId="5C2033FC" w:rsidR="00D334BB" w:rsidRDefault="00D334BB" w:rsidP="007A30A5">
      <w:r>
        <w:t xml:space="preserve">Partha Chatterjee, ‘Colonialism, Nationalism, and Colonialized Women: The Contest in India’, </w:t>
      </w:r>
      <w:r>
        <w:rPr>
          <w:i/>
          <w:iCs/>
        </w:rPr>
        <w:t xml:space="preserve">American Ethnologist </w:t>
      </w:r>
      <w:r>
        <w:t>16.4 (1989), 622-633.</w:t>
      </w:r>
    </w:p>
    <w:p w14:paraId="50E173C5" w14:textId="185D3520" w:rsidR="0071120A" w:rsidRDefault="0071120A" w:rsidP="007A30A5">
      <w:proofErr w:type="spellStart"/>
      <w:r>
        <w:t>Neekee</w:t>
      </w:r>
      <w:proofErr w:type="spellEnd"/>
      <w:r>
        <w:t xml:space="preserve"> Chaturvedi, ‘“Once Upon </w:t>
      </w:r>
      <w:proofErr w:type="gramStart"/>
      <w:r>
        <w:t>A</w:t>
      </w:r>
      <w:proofErr w:type="gramEnd"/>
      <w:r>
        <w:t xml:space="preserve"> Time There Was </w:t>
      </w:r>
      <w:proofErr w:type="gramStart"/>
      <w:r>
        <w:t>A</w:t>
      </w:r>
      <w:proofErr w:type="gramEnd"/>
      <w:r>
        <w:t xml:space="preserve"> Freedom Fighter Called Amma”: Mothers and Grandmothers of Rajputana and the Indian Freedom Movement’, </w:t>
      </w:r>
      <w:r>
        <w:rPr>
          <w:i/>
          <w:iCs/>
        </w:rPr>
        <w:t xml:space="preserve">Women’s Studies International Forum </w:t>
      </w:r>
      <w:r>
        <w:t>100 (2023)</w:t>
      </w:r>
      <w:r w:rsidR="006E1434">
        <w:t>.</w:t>
      </w:r>
    </w:p>
    <w:p w14:paraId="156FD446" w14:textId="05191D24" w:rsidR="00147D77" w:rsidRDefault="00147D77" w:rsidP="007A30A5">
      <w:r>
        <w:t xml:space="preserve">Nupur Chaudhuri, ‘Indian Women Between Nationalism and Feminism (1880s-1947), </w:t>
      </w:r>
      <w:r>
        <w:rPr>
          <w:i/>
          <w:iCs/>
        </w:rPr>
        <w:t xml:space="preserve">Clio </w:t>
      </w:r>
      <w:r>
        <w:t>33.1 (2011), 85-106.</w:t>
      </w:r>
    </w:p>
    <w:p w14:paraId="32811238" w14:textId="555DAD00" w:rsidR="002E7053" w:rsidRPr="005F0C98" w:rsidRDefault="002E7053" w:rsidP="007A30A5">
      <w:r>
        <w:t xml:space="preserve">R. Gupta, ‘Gandhi and Women in the Indian Freedom Struggle’, </w:t>
      </w:r>
      <w:r>
        <w:rPr>
          <w:i/>
          <w:iCs/>
        </w:rPr>
        <w:t xml:space="preserve">Social Scientist </w:t>
      </w:r>
      <w:r w:rsidR="005F0C98">
        <w:t>47.1-2 (2019), 37-48.</w:t>
      </w:r>
    </w:p>
    <w:p w14:paraId="4C9EE874" w14:textId="3EAF6749" w:rsidR="004B42C3" w:rsidRDefault="004B42C3" w:rsidP="007A30A5">
      <w:r>
        <w:t xml:space="preserve">Carol Hills and Daniel Silverman, ‘Nationalism and Feminism in Late Colonial India: The Rani of Jhansi Regiment, 1943-1945’, </w:t>
      </w:r>
      <w:r>
        <w:rPr>
          <w:i/>
          <w:iCs/>
        </w:rPr>
        <w:t xml:space="preserve">Modern Asian Studies </w:t>
      </w:r>
      <w:r w:rsidR="004F5205">
        <w:t>27.4 (1993), 741-760.</w:t>
      </w:r>
    </w:p>
    <w:p w14:paraId="7F31E782" w14:textId="5AF6E790" w:rsidR="00A02558" w:rsidRDefault="00A02558" w:rsidP="007A30A5">
      <w:r>
        <w:t xml:space="preserve">Stephen Legg, ‘Gendered Politics and Nationalised Homes: Women and the Anti-Colonial Struggle in Delhi, 1930-47’, </w:t>
      </w:r>
      <w:r>
        <w:rPr>
          <w:i/>
          <w:iCs/>
        </w:rPr>
        <w:t xml:space="preserve">Gender, Place and Culture </w:t>
      </w:r>
      <w:r>
        <w:t>10.1 (2003), 7-27.</w:t>
      </w:r>
    </w:p>
    <w:p w14:paraId="5AC97493" w14:textId="1F497A48" w:rsidR="006C2A86" w:rsidRPr="00050D58" w:rsidRDefault="006C2A86" w:rsidP="007A30A5">
      <w:r w:rsidRPr="006C2A86">
        <w:t xml:space="preserve">Pravin </w:t>
      </w:r>
      <w:r w:rsidR="00050D58">
        <w:t>Mishra, and Sangya Tripathi,</w:t>
      </w:r>
      <w:r w:rsidRPr="006C2A86">
        <w:t xml:space="preserve"> ‘Tribal Women’s Valiant Co</w:t>
      </w:r>
      <w:r>
        <w:t xml:space="preserve">ntributions to India’s Fight for Freedom’, </w:t>
      </w:r>
      <w:r w:rsidR="00050D58">
        <w:rPr>
          <w:i/>
          <w:iCs/>
        </w:rPr>
        <w:t xml:space="preserve">Indian Historical Review </w:t>
      </w:r>
      <w:r w:rsidR="00050D58">
        <w:t>51.2 (2024), 314-330.</w:t>
      </w:r>
    </w:p>
    <w:p w14:paraId="140631F7" w14:textId="36CD2124" w:rsidR="00C9300C" w:rsidRPr="00991A2B" w:rsidRDefault="00C9300C" w:rsidP="007A30A5">
      <w:r w:rsidRPr="00C9300C">
        <w:lastRenderedPageBreak/>
        <w:t>Atanu Mitra, ‘Role of Wome</w:t>
      </w:r>
      <w:r>
        <w:t xml:space="preserve">n and Commercial Sex Workers in the Indian Freedom Struggle’, </w:t>
      </w:r>
      <w:proofErr w:type="spellStart"/>
      <w:r>
        <w:rPr>
          <w:i/>
          <w:iCs/>
        </w:rPr>
        <w:t>Antyajaa</w:t>
      </w:r>
      <w:proofErr w:type="spellEnd"/>
      <w:r w:rsidR="00991A2B">
        <w:rPr>
          <w:i/>
          <w:iCs/>
        </w:rPr>
        <w:t xml:space="preserve">: Indian Journal of Women and Social Change </w:t>
      </w:r>
      <w:r w:rsidR="00991A2B">
        <w:t>7.1 (2022), 42-58.</w:t>
      </w:r>
    </w:p>
    <w:p w14:paraId="506B6C69" w14:textId="147826E7" w:rsidR="00A67491" w:rsidRPr="00A67491" w:rsidRDefault="00A67491" w:rsidP="00A67491">
      <w:r>
        <w:t xml:space="preserve">Rosalind Parr, ‘Self-Sacrifice, Suffrage and Socialism: Gandhi and the Mobilisation of Women, 1930-31’, </w:t>
      </w:r>
      <w:r>
        <w:rPr>
          <w:i/>
          <w:iCs/>
        </w:rPr>
        <w:t xml:space="preserve">South Asia </w:t>
      </w:r>
      <w:r>
        <w:t>46.4 (2023), 834-850.</w:t>
      </w:r>
    </w:p>
    <w:p w14:paraId="17BED5EA" w14:textId="3273F207" w:rsidR="00641A16" w:rsidRPr="00641A16" w:rsidRDefault="00641A16" w:rsidP="007A30A5">
      <w:r>
        <w:t xml:space="preserve">R. Sethi, ‘Contesting Identities and Resistance of Women in the Indian National Movement’, </w:t>
      </w:r>
      <w:r>
        <w:rPr>
          <w:i/>
          <w:iCs/>
        </w:rPr>
        <w:t xml:space="preserve">Journal of Gender Studies </w:t>
      </w:r>
      <w:r>
        <w:t>5.3 (1996), 305-315.</w:t>
      </w:r>
    </w:p>
    <w:p w14:paraId="3A222842" w14:textId="455BABCD" w:rsidR="004C7F0A" w:rsidRPr="004C7F0A" w:rsidRDefault="004C7F0A" w:rsidP="007A30A5">
      <w:r w:rsidRPr="004C7F0A">
        <w:t>Mrinalini Sinha, ‘Refashioning Mother India: Feminism an</w:t>
      </w:r>
      <w:r>
        <w:t xml:space="preserve">d Nationalism in Late-Colonial India’, </w:t>
      </w:r>
      <w:r>
        <w:rPr>
          <w:i/>
          <w:iCs/>
        </w:rPr>
        <w:t xml:space="preserve">Feminist Studies </w:t>
      </w:r>
      <w:r>
        <w:t>26.3 (2000), 623-644.</w:t>
      </w:r>
    </w:p>
    <w:p w14:paraId="6ADB2B89" w14:textId="5DE1E289" w:rsidR="00FF5EFE" w:rsidRDefault="00FF5EFE" w:rsidP="007A30A5">
      <w:r>
        <w:t>Suruchi Thapar-</w:t>
      </w:r>
      <w:proofErr w:type="spellStart"/>
      <w:r>
        <w:t>Björket</w:t>
      </w:r>
      <w:proofErr w:type="spellEnd"/>
      <w:r>
        <w:t xml:space="preserve">, ‘The Domestic Sphere as a Political Site: A Study of Women in the Indian Nationalist Movement’, </w:t>
      </w:r>
      <w:r>
        <w:rPr>
          <w:i/>
          <w:iCs/>
        </w:rPr>
        <w:t xml:space="preserve">Women’s Studies International Forum </w:t>
      </w:r>
      <w:r>
        <w:t>20.4 (1997), 493-504.</w:t>
      </w:r>
    </w:p>
    <w:p w14:paraId="084E23AF" w14:textId="4752A9EF" w:rsidR="005236C2" w:rsidRDefault="005236C2" w:rsidP="007A30A5">
      <w:r>
        <w:t>Suruchi Thapar-</w:t>
      </w:r>
      <w:proofErr w:type="spellStart"/>
      <w:r>
        <w:t>Björket</w:t>
      </w:r>
      <w:proofErr w:type="spellEnd"/>
      <w:r>
        <w:t xml:space="preserve">, ‘Women as Activists, Women </w:t>
      </w:r>
      <w:proofErr w:type="gramStart"/>
      <w:r>
        <w:t>As</w:t>
      </w:r>
      <w:proofErr w:type="gramEnd"/>
      <w:r>
        <w:t xml:space="preserve"> Symbols: A Study of the Indian Nationalist Movement’, </w:t>
      </w:r>
      <w:r>
        <w:rPr>
          <w:i/>
          <w:iCs/>
        </w:rPr>
        <w:t xml:space="preserve">Feminist Review </w:t>
      </w:r>
      <w:r w:rsidR="0071120A">
        <w:t>44 (1993), 81-96.</w:t>
      </w:r>
    </w:p>
    <w:p w14:paraId="1B310D34" w14:textId="7B6AEF65" w:rsidR="00195C70" w:rsidRDefault="00195C70" w:rsidP="007A30A5">
      <w:r w:rsidRPr="00195C70">
        <w:t>Suruchi Thapar-</w:t>
      </w:r>
      <w:proofErr w:type="spellStart"/>
      <w:r w:rsidRPr="00195C70">
        <w:t>Björket</w:t>
      </w:r>
      <w:proofErr w:type="spellEnd"/>
      <w:r w:rsidRPr="00195C70">
        <w:t>, ‘Gender, Nationalism and th</w:t>
      </w:r>
      <w:r>
        <w:t xml:space="preserve">e Colonial Jail: A Study of Women Activists in Uttar Pradesh’, </w:t>
      </w:r>
      <w:r>
        <w:rPr>
          <w:i/>
          <w:iCs/>
        </w:rPr>
        <w:t xml:space="preserve">Women’s History Review </w:t>
      </w:r>
      <w:r>
        <w:t>7.4 (1998), 583-615.</w:t>
      </w:r>
    </w:p>
    <w:p w14:paraId="1B4B5173" w14:textId="77777777" w:rsidR="001C7FA5" w:rsidRDefault="001C7FA5">
      <w:pPr>
        <w:rPr>
          <w:rFonts w:eastAsiaTheme="majorEastAsia" w:cstheme="majorBidi"/>
          <w:color w:val="0F4761" w:themeColor="accent1" w:themeShade="BF"/>
          <w:sz w:val="28"/>
          <w:szCs w:val="28"/>
        </w:rPr>
      </w:pPr>
      <w:r>
        <w:br w:type="page"/>
      </w:r>
    </w:p>
    <w:p w14:paraId="7BC31BB9" w14:textId="0DE8C28C" w:rsidR="0040465C" w:rsidRDefault="0040465C" w:rsidP="00191A34">
      <w:pPr>
        <w:pStyle w:val="Heading3"/>
      </w:pPr>
      <w:r w:rsidRPr="00CE731F">
        <w:lastRenderedPageBreak/>
        <w:t>Session 1</w:t>
      </w:r>
      <w:r w:rsidR="00BB23CB">
        <w:t>0</w:t>
      </w:r>
      <w:r w:rsidRPr="00CE731F">
        <w:t>:</w:t>
      </w:r>
      <w:r w:rsidR="00D76DAA" w:rsidRPr="00CE731F">
        <w:t xml:space="preserve"> </w:t>
      </w:r>
      <w:r w:rsidR="00191A34">
        <w:t xml:space="preserve">‘Girl power’ and the limits of contemporary liberal humanitarianism </w:t>
      </w:r>
    </w:p>
    <w:p w14:paraId="624ED5C0" w14:textId="08FD9947" w:rsidR="004D7055" w:rsidRDefault="004D7055" w:rsidP="004D7055">
      <w:r>
        <w:t>This session will bring together some of the key themes we have explored during the module, paying particular attention to the notions of ‘tradition’ and ‘culture’ as they have been used to underpin interventions in women’s and girls’ lives in the Global South. We will consider the ‘Girl Power’ rhetoric of contemporary development discourse</w:t>
      </w:r>
      <w:r w:rsidR="00DF28F1">
        <w:t xml:space="preserve">, examining how far this framing </w:t>
      </w:r>
      <w:r w:rsidR="000B4D74">
        <w:t xml:space="preserve">empowers girls and women, and how far it falls short of addressing the issues it claims to </w:t>
      </w:r>
      <w:r w:rsidR="0092637E">
        <w:t xml:space="preserve">ameliorate. We will end by considering the legacies of imperial notions of ‘tradition’ and ‘culture’ in our own society, both </w:t>
      </w:r>
      <w:r w:rsidR="00804792">
        <w:t>in formerly colonised contexts and within the United Kingdom.</w:t>
      </w:r>
    </w:p>
    <w:p w14:paraId="5868B1EE" w14:textId="66F81F91" w:rsidR="00804792" w:rsidRPr="00804792" w:rsidRDefault="00804792" w:rsidP="004D7055">
      <w:pPr>
        <w:rPr>
          <w:b/>
          <w:bCs/>
        </w:rPr>
      </w:pPr>
      <w:r>
        <w:rPr>
          <w:b/>
          <w:bCs/>
        </w:rPr>
        <w:t>Questions to consider:</w:t>
      </w:r>
    </w:p>
    <w:p w14:paraId="01064EA0" w14:textId="2C3D6C08" w:rsidR="00A24336" w:rsidRDefault="007C0FD0" w:rsidP="00804792">
      <w:pPr>
        <w:pStyle w:val="ListParagraph"/>
        <w:numPr>
          <w:ilvl w:val="0"/>
          <w:numId w:val="34"/>
        </w:numPr>
      </w:pPr>
      <w:r w:rsidRPr="007C0FD0">
        <w:t>Do narratives of individual empower</w:t>
      </w:r>
      <w:r>
        <w:t xml:space="preserve">ment fail to address structural causes of </w:t>
      </w:r>
      <w:r w:rsidR="00DF28F1">
        <w:t>gendered oppression?</w:t>
      </w:r>
    </w:p>
    <w:p w14:paraId="29BA6A55" w14:textId="161EE0A0" w:rsidR="00DF28F1" w:rsidRDefault="00DF28F1" w:rsidP="00804792">
      <w:pPr>
        <w:pStyle w:val="ListParagraph"/>
        <w:numPr>
          <w:ilvl w:val="0"/>
          <w:numId w:val="34"/>
        </w:numPr>
      </w:pPr>
      <w:r>
        <w:t>What are the opportunities and risks presented by ‘empowerment’ models?</w:t>
      </w:r>
    </w:p>
    <w:p w14:paraId="35ED3A26" w14:textId="63E1DBC3" w:rsidR="00DF28F1" w:rsidRDefault="00DF28F1" w:rsidP="00804792">
      <w:pPr>
        <w:pStyle w:val="ListParagraph"/>
        <w:numPr>
          <w:ilvl w:val="0"/>
          <w:numId w:val="34"/>
        </w:numPr>
      </w:pPr>
      <w:r>
        <w:t xml:space="preserve">How far does contemporary development discourse replicate imperial tropes about ‘harmful traditional </w:t>
      </w:r>
      <w:proofErr w:type="gramStart"/>
      <w:r>
        <w:t>practices’</w:t>
      </w:r>
      <w:proofErr w:type="gramEnd"/>
      <w:r>
        <w:t>?</w:t>
      </w:r>
    </w:p>
    <w:p w14:paraId="4DAB61FF" w14:textId="37C06F25" w:rsidR="00DF28F1" w:rsidRPr="007C0FD0" w:rsidRDefault="00DF28F1" w:rsidP="00804792">
      <w:pPr>
        <w:pStyle w:val="ListParagraph"/>
        <w:numPr>
          <w:ilvl w:val="0"/>
          <w:numId w:val="34"/>
        </w:numPr>
      </w:pPr>
      <w:r>
        <w:t>What are the resonances of imperial notions of ‘tradition’ and ‘culture’ today?</w:t>
      </w:r>
    </w:p>
    <w:p w14:paraId="4DEF7512" w14:textId="77777777" w:rsidR="00804792" w:rsidRDefault="00804792" w:rsidP="00191A34">
      <w:pPr>
        <w:rPr>
          <w:b/>
          <w:bCs/>
        </w:rPr>
      </w:pPr>
      <w:r>
        <w:rPr>
          <w:b/>
          <w:bCs/>
        </w:rPr>
        <w:t>Key reading:</w:t>
      </w:r>
    </w:p>
    <w:p w14:paraId="3E44445C" w14:textId="03109513" w:rsidR="00191A34" w:rsidRPr="00191A34" w:rsidRDefault="00191A34" w:rsidP="00191A34">
      <w:r w:rsidRPr="00191A34">
        <w:t xml:space="preserve">Ofra Koffman and Rosalind Gill, ‘“The Revolution Will Be Led by a 12-year-old Girl”’: Girl Power and Global Biopolitics’, </w:t>
      </w:r>
      <w:r w:rsidRPr="00EB583C">
        <w:rPr>
          <w:i/>
          <w:iCs/>
        </w:rPr>
        <w:t>Feminist Review,</w:t>
      </w:r>
      <w:r w:rsidRPr="00191A34">
        <w:t xml:space="preserve"> 105 (2013)</w:t>
      </w:r>
      <w:r w:rsidR="00EB583C">
        <w:t>, 83-102.</w:t>
      </w:r>
    </w:p>
    <w:p w14:paraId="521F8491" w14:textId="323EB9B0" w:rsidR="00880406" w:rsidRDefault="00880406" w:rsidP="00880406">
      <w:r w:rsidRPr="00880406">
        <w:t>Thais Bessa, ‘Informed Powerlessness: Child Marriage Interventions and Third World Girlhood Discourses’, Third World Quarterly, (2019), 1-16.</w:t>
      </w:r>
    </w:p>
    <w:p w14:paraId="0490EC8B" w14:textId="215C587E" w:rsidR="00804792" w:rsidRPr="00804792" w:rsidRDefault="00804792" w:rsidP="00880406">
      <w:pPr>
        <w:rPr>
          <w:b/>
          <w:bCs/>
        </w:rPr>
      </w:pPr>
      <w:r>
        <w:rPr>
          <w:b/>
          <w:bCs/>
        </w:rPr>
        <w:t>Further reading:</w:t>
      </w:r>
    </w:p>
    <w:p w14:paraId="3A4A5411" w14:textId="77777777" w:rsidR="00AA271C" w:rsidRDefault="00AA271C" w:rsidP="00AA271C">
      <w:r w:rsidRPr="006473C1">
        <w:t>Rosalind Gill, ‘Critical Respect: The Difficulties and Dilemmas of Agency and “Choice” for Feminism’, European Journal of Women’s Studies 14:1 (2007), 69-80</w:t>
      </w:r>
    </w:p>
    <w:p w14:paraId="74DD3784" w14:textId="77777777" w:rsidR="00AA271C" w:rsidRDefault="00AA271C" w:rsidP="00AA271C">
      <w:r w:rsidRPr="00750DA3">
        <w:t xml:space="preserve">Lyndsay M. C. Hayhurst, ‘Girls as the “New” Agents of Social Change? Exploring the “Girl Effect” Through Sport, Gender, and Development Programs in Uganda’, Social Research Online, 18:2 (2013), </w:t>
      </w:r>
      <w:hyperlink r:id="rId33" w:history="1">
        <w:r w:rsidRPr="001525EF">
          <w:rPr>
            <w:rStyle w:val="Hyperlink"/>
          </w:rPr>
          <w:t>http://www.socresonline.org.uk/18/2/8.html</w:t>
        </w:r>
      </w:hyperlink>
    </w:p>
    <w:p w14:paraId="4171A323" w14:textId="628F841B" w:rsidR="00962FD4" w:rsidRDefault="00962FD4" w:rsidP="00962FD4">
      <w:r w:rsidRPr="00962FD4">
        <w:t xml:space="preserve">Jason Hickel, ‘The “Girl Effect”: Liberalism, Empowerment, and the Contradictions of Development’, </w:t>
      </w:r>
      <w:r w:rsidRPr="002E5F90">
        <w:rPr>
          <w:i/>
          <w:iCs/>
        </w:rPr>
        <w:t>Third World Quarterly</w:t>
      </w:r>
      <w:r w:rsidRPr="00962FD4">
        <w:t>, 35:8 (2014), 1355-1373.</w:t>
      </w:r>
    </w:p>
    <w:p w14:paraId="23D69DF7" w14:textId="77777777" w:rsidR="004D7055" w:rsidRDefault="006473C1" w:rsidP="006473C1">
      <w:proofErr w:type="spellStart"/>
      <w:r w:rsidRPr="006473C1">
        <w:t>Shenila</w:t>
      </w:r>
      <w:proofErr w:type="spellEnd"/>
      <w:r w:rsidRPr="006473C1">
        <w:t xml:space="preserve"> Khoja-</w:t>
      </w:r>
      <w:proofErr w:type="spellStart"/>
      <w:r w:rsidRPr="006473C1">
        <w:t>Moolji</w:t>
      </w:r>
      <w:proofErr w:type="spellEnd"/>
      <w:r w:rsidRPr="006473C1">
        <w:t xml:space="preserve">, ‘Doing the “Work of Hearing”: Girls’ Voices in Transnational Educational Development Campaigns’, </w:t>
      </w:r>
      <w:r w:rsidRPr="00AA271C">
        <w:rPr>
          <w:i/>
          <w:iCs/>
        </w:rPr>
        <w:t>Compare</w:t>
      </w:r>
      <w:r w:rsidRPr="006473C1">
        <w:t>, 46:5 (2016), 745-763</w:t>
      </w:r>
    </w:p>
    <w:p w14:paraId="1D4B4FCA" w14:textId="76C3380D" w:rsidR="006473C1" w:rsidRDefault="006473C1" w:rsidP="006473C1">
      <w:r w:rsidRPr="006473C1">
        <w:t xml:space="preserve">Farzana Shain, ‘“The Girl Effect”: Exploring Narratives of Gendered Impacts and Opportunities in Neoliberal Development’, </w:t>
      </w:r>
      <w:r w:rsidRPr="00AA271C">
        <w:rPr>
          <w:i/>
          <w:iCs/>
        </w:rPr>
        <w:t>Sociological Research Online</w:t>
      </w:r>
      <w:r w:rsidRPr="006473C1">
        <w:t xml:space="preserve">, 18:2 (2013), </w:t>
      </w:r>
      <w:hyperlink r:id="rId34" w:history="1">
        <w:r w:rsidR="00750DA3" w:rsidRPr="001525EF">
          <w:rPr>
            <w:rStyle w:val="Hyperlink"/>
          </w:rPr>
          <w:t>http://www.socresonline.org.uk/18/2/9.html</w:t>
        </w:r>
      </w:hyperlink>
    </w:p>
    <w:p w14:paraId="56776136" w14:textId="77777777" w:rsidR="00AA271C" w:rsidRDefault="00AA271C" w:rsidP="00AA271C">
      <w:r w:rsidRPr="00940E42">
        <w:lastRenderedPageBreak/>
        <w:t xml:space="preserve">Heather Switzer, ‘(Post)Feminist Development Fables: The Girl Effect and the Production of Sexual Subjects’, </w:t>
      </w:r>
      <w:r w:rsidRPr="000B36F9">
        <w:rPr>
          <w:i/>
          <w:iCs/>
        </w:rPr>
        <w:t>Feminist Theory</w:t>
      </w:r>
      <w:r w:rsidRPr="00940E42">
        <w:t>, 14:3 (2013), 347</w:t>
      </w:r>
    </w:p>
    <w:p w14:paraId="2A79173C" w14:textId="48CFF187" w:rsidR="00414055" w:rsidRPr="00880406" w:rsidRDefault="00414055" w:rsidP="00414055">
      <w:r w:rsidRPr="00414055">
        <w:t>Helen Berents, ‘</w:t>
      </w:r>
      <w:proofErr w:type="spellStart"/>
      <w:r w:rsidRPr="00414055">
        <w:t>Hashtagging</w:t>
      </w:r>
      <w:proofErr w:type="spellEnd"/>
      <w:r w:rsidRPr="00414055">
        <w:t xml:space="preserve"> Girlhood: #IAmMalala, #BringBackOurGirls and Gendering Representations of Global Politics’, </w:t>
      </w:r>
      <w:r w:rsidRPr="00C77349">
        <w:rPr>
          <w:i/>
          <w:iCs/>
        </w:rPr>
        <w:t>International Feminist Journal of Politics</w:t>
      </w:r>
      <w:r w:rsidRPr="00414055">
        <w:t>, 18:4 (2016), 513-527.</w:t>
      </w:r>
    </w:p>
    <w:sectPr w:rsidR="00414055" w:rsidRPr="00880406">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981A9" w14:textId="77777777" w:rsidR="007E74A7" w:rsidRPr="00CE731F" w:rsidRDefault="007E74A7" w:rsidP="009B65E3">
      <w:pPr>
        <w:spacing w:after="0" w:line="240" w:lineRule="auto"/>
      </w:pPr>
      <w:r w:rsidRPr="00CE731F">
        <w:separator/>
      </w:r>
    </w:p>
  </w:endnote>
  <w:endnote w:type="continuationSeparator" w:id="0">
    <w:p w14:paraId="08B20AD2" w14:textId="77777777" w:rsidR="007E74A7" w:rsidRPr="00CE731F" w:rsidRDefault="007E74A7" w:rsidP="009B65E3">
      <w:pPr>
        <w:spacing w:after="0" w:line="240" w:lineRule="auto"/>
      </w:pPr>
      <w:r w:rsidRPr="00CE73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707986"/>
      <w:docPartObj>
        <w:docPartGallery w:val="Page Numbers (Bottom of Page)"/>
        <w:docPartUnique/>
      </w:docPartObj>
    </w:sdtPr>
    <w:sdtEndPr>
      <w:rPr>
        <w:noProof/>
      </w:rPr>
    </w:sdtEndPr>
    <w:sdtContent>
      <w:p w14:paraId="0090C253" w14:textId="2A8D19CA" w:rsidR="001E6B14" w:rsidRDefault="001E6B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543BB5" w14:textId="77777777" w:rsidR="001E6B14" w:rsidRDefault="001E6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B04D8" w14:textId="77777777" w:rsidR="007E74A7" w:rsidRPr="00CE731F" w:rsidRDefault="007E74A7" w:rsidP="009B65E3">
      <w:pPr>
        <w:spacing w:after="0" w:line="240" w:lineRule="auto"/>
      </w:pPr>
      <w:r w:rsidRPr="00CE731F">
        <w:separator/>
      </w:r>
    </w:p>
  </w:footnote>
  <w:footnote w:type="continuationSeparator" w:id="0">
    <w:p w14:paraId="30B95711" w14:textId="77777777" w:rsidR="007E74A7" w:rsidRPr="00CE731F" w:rsidRDefault="007E74A7" w:rsidP="009B65E3">
      <w:pPr>
        <w:spacing w:after="0" w:line="240" w:lineRule="auto"/>
      </w:pPr>
      <w:r w:rsidRPr="00CE731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5C2"/>
    <w:multiLevelType w:val="multilevel"/>
    <w:tmpl w:val="D240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32148F"/>
    <w:multiLevelType w:val="multilevel"/>
    <w:tmpl w:val="E098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9F4870"/>
    <w:multiLevelType w:val="hybridMultilevel"/>
    <w:tmpl w:val="5E206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75BD3"/>
    <w:multiLevelType w:val="hybridMultilevel"/>
    <w:tmpl w:val="01822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34F9F"/>
    <w:multiLevelType w:val="multilevel"/>
    <w:tmpl w:val="AE742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F958FB"/>
    <w:multiLevelType w:val="multilevel"/>
    <w:tmpl w:val="B4B64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545DF4"/>
    <w:multiLevelType w:val="multilevel"/>
    <w:tmpl w:val="2E38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B67F3A"/>
    <w:multiLevelType w:val="hybridMultilevel"/>
    <w:tmpl w:val="55E6B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9200F2"/>
    <w:multiLevelType w:val="multilevel"/>
    <w:tmpl w:val="F258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6F5AC3"/>
    <w:multiLevelType w:val="hybridMultilevel"/>
    <w:tmpl w:val="4DA62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D43138"/>
    <w:multiLevelType w:val="hybridMultilevel"/>
    <w:tmpl w:val="B9D24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C02602"/>
    <w:multiLevelType w:val="multilevel"/>
    <w:tmpl w:val="C1266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D51DB4"/>
    <w:multiLevelType w:val="hybridMultilevel"/>
    <w:tmpl w:val="50EE5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B96A96"/>
    <w:multiLevelType w:val="multilevel"/>
    <w:tmpl w:val="78FE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4327B5"/>
    <w:multiLevelType w:val="multilevel"/>
    <w:tmpl w:val="2238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3A2172"/>
    <w:multiLevelType w:val="hybridMultilevel"/>
    <w:tmpl w:val="9C76E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D258AD"/>
    <w:multiLevelType w:val="hybridMultilevel"/>
    <w:tmpl w:val="73BE9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AE28C4"/>
    <w:multiLevelType w:val="multilevel"/>
    <w:tmpl w:val="28800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4F36C3"/>
    <w:multiLevelType w:val="multilevel"/>
    <w:tmpl w:val="0660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1D4A8C"/>
    <w:multiLevelType w:val="hybridMultilevel"/>
    <w:tmpl w:val="3A3C9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DA7706"/>
    <w:multiLevelType w:val="multilevel"/>
    <w:tmpl w:val="C76AB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6E3191"/>
    <w:multiLevelType w:val="hybridMultilevel"/>
    <w:tmpl w:val="7110D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7212EC"/>
    <w:multiLevelType w:val="multilevel"/>
    <w:tmpl w:val="33F25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8E943CE"/>
    <w:multiLevelType w:val="hybridMultilevel"/>
    <w:tmpl w:val="DEFE7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3B4A38"/>
    <w:multiLevelType w:val="hybridMultilevel"/>
    <w:tmpl w:val="230E4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E970D1"/>
    <w:multiLevelType w:val="multilevel"/>
    <w:tmpl w:val="B998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FE32F3"/>
    <w:multiLevelType w:val="hybridMultilevel"/>
    <w:tmpl w:val="87265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384DAF"/>
    <w:multiLevelType w:val="multilevel"/>
    <w:tmpl w:val="0946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0049E1"/>
    <w:multiLevelType w:val="multilevel"/>
    <w:tmpl w:val="E2EA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0E2EFD"/>
    <w:multiLevelType w:val="multilevel"/>
    <w:tmpl w:val="CB7CE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51483C"/>
    <w:multiLevelType w:val="multilevel"/>
    <w:tmpl w:val="CEF6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5DC7815"/>
    <w:multiLevelType w:val="multilevel"/>
    <w:tmpl w:val="31A2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8C81324"/>
    <w:multiLevelType w:val="hybridMultilevel"/>
    <w:tmpl w:val="09D0D0BE"/>
    <w:lvl w:ilvl="0" w:tplc="AAD2EB76">
      <w:start w:val="1"/>
      <w:numFmt w:val="bullet"/>
      <w:lvlText w:val=""/>
      <w:lvlJc w:val="left"/>
      <w:pPr>
        <w:tabs>
          <w:tab w:val="num" w:pos="720"/>
        </w:tabs>
        <w:ind w:left="720" w:hanging="360"/>
      </w:pPr>
      <w:rPr>
        <w:rFonts w:ascii="Wingdings" w:hAnsi="Wingdings" w:hint="default"/>
      </w:rPr>
    </w:lvl>
    <w:lvl w:ilvl="1" w:tplc="CA20CC7E">
      <w:start w:val="1"/>
      <w:numFmt w:val="bullet"/>
      <w:lvlText w:val=""/>
      <w:lvlJc w:val="left"/>
      <w:pPr>
        <w:tabs>
          <w:tab w:val="num" w:pos="1440"/>
        </w:tabs>
        <w:ind w:left="1440" w:hanging="360"/>
      </w:pPr>
      <w:rPr>
        <w:rFonts w:ascii="Wingdings" w:hAnsi="Wingdings" w:hint="default"/>
      </w:rPr>
    </w:lvl>
    <w:lvl w:ilvl="2" w:tplc="7DE2E4D2" w:tentative="1">
      <w:start w:val="1"/>
      <w:numFmt w:val="bullet"/>
      <w:lvlText w:val=""/>
      <w:lvlJc w:val="left"/>
      <w:pPr>
        <w:tabs>
          <w:tab w:val="num" w:pos="2160"/>
        </w:tabs>
        <w:ind w:left="2160" w:hanging="360"/>
      </w:pPr>
      <w:rPr>
        <w:rFonts w:ascii="Wingdings" w:hAnsi="Wingdings" w:hint="default"/>
      </w:rPr>
    </w:lvl>
    <w:lvl w:ilvl="3" w:tplc="F98AE3D2" w:tentative="1">
      <w:start w:val="1"/>
      <w:numFmt w:val="bullet"/>
      <w:lvlText w:val=""/>
      <w:lvlJc w:val="left"/>
      <w:pPr>
        <w:tabs>
          <w:tab w:val="num" w:pos="2880"/>
        </w:tabs>
        <w:ind w:left="2880" w:hanging="360"/>
      </w:pPr>
      <w:rPr>
        <w:rFonts w:ascii="Wingdings" w:hAnsi="Wingdings" w:hint="default"/>
      </w:rPr>
    </w:lvl>
    <w:lvl w:ilvl="4" w:tplc="A9021F2C" w:tentative="1">
      <w:start w:val="1"/>
      <w:numFmt w:val="bullet"/>
      <w:lvlText w:val=""/>
      <w:lvlJc w:val="left"/>
      <w:pPr>
        <w:tabs>
          <w:tab w:val="num" w:pos="3600"/>
        </w:tabs>
        <w:ind w:left="3600" w:hanging="360"/>
      </w:pPr>
      <w:rPr>
        <w:rFonts w:ascii="Wingdings" w:hAnsi="Wingdings" w:hint="default"/>
      </w:rPr>
    </w:lvl>
    <w:lvl w:ilvl="5" w:tplc="395E14E0" w:tentative="1">
      <w:start w:val="1"/>
      <w:numFmt w:val="bullet"/>
      <w:lvlText w:val=""/>
      <w:lvlJc w:val="left"/>
      <w:pPr>
        <w:tabs>
          <w:tab w:val="num" w:pos="4320"/>
        </w:tabs>
        <w:ind w:left="4320" w:hanging="360"/>
      </w:pPr>
      <w:rPr>
        <w:rFonts w:ascii="Wingdings" w:hAnsi="Wingdings" w:hint="default"/>
      </w:rPr>
    </w:lvl>
    <w:lvl w:ilvl="6" w:tplc="5D227D26" w:tentative="1">
      <w:start w:val="1"/>
      <w:numFmt w:val="bullet"/>
      <w:lvlText w:val=""/>
      <w:lvlJc w:val="left"/>
      <w:pPr>
        <w:tabs>
          <w:tab w:val="num" w:pos="5040"/>
        </w:tabs>
        <w:ind w:left="5040" w:hanging="360"/>
      </w:pPr>
      <w:rPr>
        <w:rFonts w:ascii="Wingdings" w:hAnsi="Wingdings" w:hint="default"/>
      </w:rPr>
    </w:lvl>
    <w:lvl w:ilvl="7" w:tplc="A510FB46" w:tentative="1">
      <w:start w:val="1"/>
      <w:numFmt w:val="bullet"/>
      <w:lvlText w:val=""/>
      <w:lvlJc w:val="left"/>
      <w:pPr>
        <w:tabs>
          <w:tab w:val="num" w:pos="5760"/>
        </w:tabs>
        <w:ind w:left="5760" w:hanging="360"/>
      </w:pPr>
      <w:rPr>
        <w:rFonts w:ascii="Wingdings" w:hAnsi="Wingdings" w:hint="default"/>
      </w:rPr>
    </w:lvl>
    <w:lvl w:ilvl="8" w:tplc="48D8EE8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DB21E25"/>
    <w:multiLevelType w:val="multilevel"/>
    <w:tmpl w:val="3014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3531278"/>
    <w:multiLevelType w:val="hybridMultilevel"/>
    <w:tmpl w:val="7CA2B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304604"/>
    <w:multiLevelType w:val="multilevel"/>
    <w:tmpl w:val="A1AA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80055526">
    <w:abstractNumId w:val="2"/>
  </w:num>
  <w:num w:numId="2" w16cid:durableId="1458110754">
    <w:abstractNumId w:val="15"/>
  </w:num>
  <w:num w:numId="3" w16cid:durableId="1547838862">
    <w:abstractNumId w:val="32"/>
  </w:num>
  <w:num w:numId="4" w16cid:durableId="172693609">
    <w:abstractNumId w:val="9"/>
  </w:num>
  <w:num w:numId="5" w16cid:durableId="1200506781">
    <w:abstractNumId w:val="7"/>
  </w:num>
  <w:num w:numId="6" w16cid:durableId="474837655">
    <w:abstractNumId w:val="26"/>
  </w:num>
  <w:num w:numId="7" w16cid:durableId="362941692">
    <w:abstractNumId w:val="21"/>
  </w:num>
  <w:num w:numId="8" w16cid:durableId="1264413361">
    <w:abstractNumId w:val="23"/>
  </w:num>
  <w:num w:numId="9" w16cid:durableId="1570576490">
    <w:abstractNumId w:val="19"/>
  </w:num>
  <w:num w:numId="10" w16cid:durableId="1156259030">
    <w:abstractNumId w:val="35"/>
  </w:num>
  <w:num w:numId="11" w16cid:durableId="936906199">
    <w:abstractNumId w:val="30"/>
  </w:num>
  <w:num w:numId="12" w16cid:durableId="243339460">
    <w:abstractNumId w:val="27"/>
  </w:num>
  <w:num w:numId="13" w16cid:durableId="572399500">
    <w:abstractNumId w:val="17"/>
  </w:num>
  <w:num w:numId="14" w16cid:durableId="994644048">
    <w:abstractNumId w:val="22"/>
  </w:num>
  <w:num w:numId="15" w16cid:durableId="1158379987">
    <w:abstractNumId w:val="13"/>
  </w:num>
  <w:num w:numId="16" w16cid:durableId="407381689">
    <w:abstractNumId w:val="6"/>
  </w:num>
  <w:num w:numId="17" w16cid:durableId="661199332">
    <w:abstractNumId w:val="4"/>
  </w:num>
  <w:num w:numId="18" w16cid:durableId="512962432">
    <w:abstractNumId w:val="20"/>
  </w:num>
  <w:num w:numId="19" w16cid:durableId="717969579">
    <w:abstractNumId w:val="28"/>
  </w:num>
  <w:num w:numId="20" w16cid:durableId="1992757901">
    <w:abstractNumId w:val="5"/>
  </w:num>
  <w:num w:numId="21" w16cid:durableId="921644468">
    <w:abstractNumId w:val="11"/>
  </w:num>
  <w:num w:numId="22" w16cid:durableId="1018430616">
    <w:abstractNumId w:val="1"/>
  </w:num>
  <w:num w:numId="23" w16cid:durableId="427237196">
    <w:abstractNumId w:val="8"/>
  </w:num>
  <w:num w:numId="24" w16cid:durableId="581573801">
    <w:abstractNumId w:val="33"/>
  </w:num>
  <w:num w:numId="25" w16cid:durableId="1506440135">
    <w:abstractNumId w:val="29"/>
  </w:num>
  <w:num w:numId="26" w16cid:durableId="1075783401">
    <w:abstractNumId w:val="14"/>
  </w:num>
  <w:num w:numId="27" w16cid:durableId="856775954">
    <w:abstractNumId w:val="25"/>
  </w:num>
  <w:num w:numId="28" w16cid:durableId="731855491">
    <w:abstractNumId w:val="31"/>
  </w:num>
  <w:num w:numId="29" w16cid:durableId="176967718">
    <w:abstractNumId w:val="0"/>
  </w:num>
  <w:num w:numId="30" w16cid:durableId="1594819356">
    <w:abstractNumId w:val="34"/>
  </w:num>
  <w:num w:numId="31" w16cid:durableId="1894390973">
    <w:abstractNumId w:val="18"/>
  </w:num>
  <w:num w:numId="32" w16cid:durableId="561914338">
    <w:abstractNumId w:val="3"/>
  </w:num>
  <w:num w:numId="33" w16cid:durableId="1665742521">
    <w:abstractNumId w:val="10"/>
  </w:num>
  <w:num w:numId="34" w16cid:durableId="345324232">
    <w:abstractNumId w:val="24"/>
  </w:num>
  <w:num w:numId="35" w16cid:durableId="1019430577">
    <w:abstractNumId w:val="16"/>
  </w:num>
  <w:num w:numId="36" w16cid:durableId="511065105">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041"/>
    <w:rsid w:val="000021E8"/>
    <w:rsid w:val="000045DA"/>
    <w:rsid w:val="00004E4C"/>
    <w:rsid w:val="0000544C"/>
    <w:rsid w:val="000066B8"/>
    <w:rsid w:val="00011041"/>
    <w:rsid w:val="000137CB"/>
    <w:rsid w:val="00022425"/>
    <w:rsid w:val="000274CD"/>
    <w:rsid w:val="00027679"/>
    <w:rsid w:val="00031967"/>
    <w:rsid w:val="00031DF1"/>
    <w:rsid w:val="00032039"/>
    <w:rsid w:val="00040BFA"/>
    <w:rsid w:val="000450A4"/>
    <w:rsid w:val="00050D58"/>
    <w:rsid w:val="000623C9"/>
    <w:rsid w:val="00062F59"/>
    <w:rsid w:val="0006336B"/>
    <w:rsid w:val="00063BCF"/>
    <w:rsid w:val="00064A06"/>
    <w:rsid w:val="0007362B"/>
    <w:rsid w:val="000763F1"/>
    <w:rsid w:val="00080361"/>
    <w:rsid w:val="00080EA5"/>
    <w:rsid w:val="00084D54"/>
    <w:rsid w:val="000852AA"/>
    <w:rsid w:val="00087586"/>
    <w:rsid w:val="00090422"/>
    <w:rsid w:val="0009078C"/>
    <w:rsid w:val="000913AC"/>
    <w:rsid w:val="00095F8C"/>
    <w:rsid w:val="000A28F9"/>
    <w:rsid w:val="000A3623"/>
    <w:rsid w:val="000A488F"/>
    <w:rsid w:val="000A76D7"/>
    <w:rsid w:val="000B06C0"/>
    <w:rsid w:val="000B36F9"/>
    <w:rsid w:val="000B4D74"/>
    <w:rsid w:val="000C21B3"/>
    <w:rsid w:val="000C7DA4"/>
    <w:rsid w:val="000D1604"/>
    <w:rsid w:val="000D5357"/>
    <w:rsid w:val="000D7D90"/>
    <w:rsid w:val="000F181E"/>
    <w:rsid w:val="000F2FCA"/>
    <w:rsid w:val="000F33F3"/>
    <w:rsid w:val="000F663E"/>
    <w:rsid w:val="000F719E"/>
    <w:rsid w:val="00101473"/>
    <w:rsid w:val="00101567"/>
    <w:rsid w:val="00104DF7"/>
    <w:rsid w:val="00110CE2"/>
    <w:rsid w:val="00112818"/>
    <w:rsid w:val="0011478A"/>
    <w:rsid w:val="00114E05"/>
    <w:rsid w:val="00116530"/>
    <w:rsid w:val="001240E2"/>
    <w:rsid w:val="0013531F"/>
    <w:rsid w:val="00135403"/>
    <w:rsid w:val="001400E4"/>
    <w:rsid w:val="00141C91"/>
    <w:rsid w:val="00142D54"/>
    <w:rsid w:val="0014324E"/>
    <w:rsid w:val="00144705"/>
    <w:rsid w:val="001456DE"/>
    <w:rsid w:val="001467E6"/>
    <w:rsid w:val="00147D77"/>
    <w:rsid w:val="00152A8F"/>
    <w:rsid w:val="00153762"/>
    <w:rsid w:val="001538CD"/>
    <w:rsid w:val="001616F6"/>
    <w:rsid w:val="0016185F"/>
    <w:rsid w:val="00171C76"/>
    <w:rsid w:val="00174E26"/>
    <w:rsid w:val="00181170"/>
    <w:rsid w:val="00183F6A"/>
    <w:rsid w:val="00185009"/>
    <w:rsid w:val="001862AA"/>
    <w:rsid w:val="00186825"/>
    <w:rsid w:val="0018766E"/>
    <w:rsid w:val="00191A34"/>
    <w:rsid w:val="00192896"/>
    <w:rsid w:val="001935F7"/>
    <w:rsid w:val="001941D3"/>
    <w:rsid w:val="00195C70"/>
    <w:rsid w:val="0019646A"/>
    <w:rsid w:val="00196EBE"/>
    <w:rsid w:val="001A0672"/>
    <w:rsid w:val="001A0876"/>
    <w:rsid w:val="001A38D7"/>
    <w:rsid w:val="001A3D1A"/>
    <w:rsid w:val="001B0075"/>
    <w:rsid w:val="001B39B6"/>
    <w:rsid w:val="001B71CE"/>
    <w:rsid w:val="001B78DC"/>
    <w:rsid w:val="001C25D7"/>
    <w:rsid w:val="001C3B6E"/>
    <w:rsid w:val="001C511D"/>
    <w:rsid w:val="001C57AD"/>
    <w:rsid w:val="001C5831"/>
    <w:rsid w:val="001C64DF"/>
    <w:rsid w:val="001C6B2A"/>
    <w:rsid w:val="001C7FA5"/>
    <w:rsid w:val="001D1024"/>
    <w:rsid w:val="001D1192"/>
    <w:rsid w:val="001D4644"/>
    <w:rsid w:val="001E3E0F"/>
    <w:rsid w:val="001E6B14"/>
    <w:rsid w:val="001F6ACB"/>
    <w:rsid w:val="0020496B"/>
    <w:rsid w:val="00211AC1"/>
    <w:rsid w:val="00211C56"/>
    <w:rsid w:val="002130B4"/>
    <w:rsid w:val="00213B59"/>
    <w:rsid w:val="00216072"/>
    <w:rsid w:val="00220AAC"/>
    <w:rsid w:val="002250F8"/>
    <w:rsid w:val="00225827"/>
    <w:rsid w:val="00227CE9"/>
    <w:rsid w:val="00241151"/>
    <w:rsid w:val="00242DA1"/>
    <w:rsid w:val="00245726"/>
    <w:rsid w:val="00254429"/>
    <w:rsid w:val="002610D3"/>
    <w:rsid w:val="00270A24"/>
    <w:rsid w:val="00270D52"/>
    <w:rsid w:val="002736E3"/>
    <w:rsid w:val="002750E8"/>
    <w:rsid w:val="00275BEC"/>
    <w:rsid w:val="00276E38"/>
    <w:rsid w:val="00281152"/>
    <w:rsid w:val="002828C8"/>
    <w:rsid w:val="0028454D"/>
    <w:rsid w:val="00284621"/>
    <w:rsid w:val="002868FB"/>
    <w:rsid w:val="00291308"/>
    <w:rsid w:val="0029470B"/>
    <w:rsid w:val="00295878"/>
    <w:rsid w:val="00296AE9"/>
    <w:rsid w:val="002A03F7"/>
    <w:rsid w:val="002A07C4"/>
    <w:rsid w:val="002A08C1"/>
    <w:rsid w:val="002B50A3"/>
    <w:rsid w:val="002B55D3"/>
    <w:rsid w:val="002C30D6"/>
    <w:rsid w:val="002C5C71"/>
    <w:rsid w:val="002C6410"/>
    <w:rsid w:val="002D258D"/>
    <w:rsid w:val="002D2D85"/>
    <w:rsid w:val="002D3D40"/>
    <w:rsid w:val="002D619A"/>
    <w:rsid w:val="002D61D6"/>
    <w:rsid w:val="002E088C"/>
    <w:rsid w:val="002E2612"/>
    <w:rsid w:val="002E5F90"/>
    <w:rsid w:val="002E7053"/>
    <w:rsid w:val="002F03E1"/>
    <w:rsid w:val="002F56F1"/>
    <w:rsid w:val="0030529D"/>
    <w:rsid w:val="00305639"/>
    <w:rsid w:val="003156D4"/>
    <w:rsid w:val="00321BFF"/>
    <w:rsid w:val="00324CEA"/>
    <w:rsid w:val="003268FC"/>
    <w:rsid w:val="003304E4"/>
    <w:rsid w:val="003327FA"/>
    <w:rsid w:val="003379BB"/>
    <w:rsid w:val="00337E18"/>
    <w:rsid w:val="003408AC"/>
    <w:rsid w:val="00343CDF"/>
    <w:rsid w:val="00347DE3"/>
    <w:rsid w:val="00350F76"/>
    <w:rsid w:val="00352690"/>
    <w:rsid w:val="0035325E"/>
    <w:rsid w:val="0036132E"/>
    <w:rsid w:val="00361694"/>
    <w:rsid w:val="00362083"/>
    <w:rsid w:val="00362932"/>
    <w:rsid w:val="003650DB"/>
    <w:rsid w:val="00366876"/>
    <w:rsid w:val="0037015A"/>
    <w:rsid w:val="003707B3"/>
    <w:rsid w:val="00370DDC"/>
    <w:rsid w:val="003728AA"/>
    <w:rsid w:val="00373C08"/>
    <w:rsid w:val="00374A8E"/>
    <w:rsid w:val="003806F8"/>
    <w:rsid w:val="00381065"/>
    <w:rsid w:val="00381D5B"/>
    <w:rsid w:val="00381F76"/>
    <w:rsid w:val="0038317C"/>
    <w:rsid w:val="0038782A"/>
    <w:rsid w:val="00387F9B"/>
    <w:rsid w:val="003915C9"/>
    <w:rsid w:val="00394B30"/>
    <w:rsid w:val="00396D1B"/>
    <w:rsid w:val="00397086"/>
    <w:rsid w:val="003A3E26"/>
    <w:rsid w:val="003A6BBB"/>
    <w:rsid w:val="003A6D05"/>
    <w:rsid w:val="003A7E30"/>
    <w:rsid w:val="003B0085"/>
    <w:rsid w:val="003B1551"/>
    <w:rsid w:val="003B17B1"/>
    <w:rsid w:val="003B48B5"/>
    <w:rsid w:val="003C004A"/>
    <w:rsid w:val="003C0B8C"/>
    <w:rsid w:val="003C2534"/>
    <w:rsid w:val="003C3518"/>
    <w:rsid w:val="003C35CE"/>
    <w:rsid w:val="003C39D2"/>
    <w:rsid w:val="003D0581"/>
    <w:rsid w:val="003D0E7A"/>
    <w:rsid w:val="003D1A3B"/>
    <w:rsid w:val="003D2808"/>
    <w:rsid w:val="003D4724"/>
    <w:rsid w:val="003D4F96"/>
    <w:rsid w:val="003D5332"/>
    <w:rsid w:val="003E6317"/>
    <w:rsid w:val="003F159F"/>
    <w:rsid w:val="003F287C"/>
    <w:rsid w:val="003F7AD9"/>
    <w:rsid w:val="0040465C"/>
    <w:rsid w:val="00412229"/>
    <w:rsid w:val="00413B7B"/>
    <w:rsid w:val="00414055"/>
    <w:rsid w:val="004141A7"/>
    <w:rsid w:val="0041660B"/>
    <w:rsid w:val="004216DF"/>
    <w:rsid w:val="0042282D"/>
    <w:rsid w:val="004230BA"/>
    <w:rsid w:val="00426865"/>
    <w:rsid w:val="00427538"/>
    <w:rsid w:val="00427793"/>
    <w:rsid w:val="00430F6E"/>
    <w:rsid w:val="0043320A"/>
    <w:rsid w:val="00437120"/>
    <w:rsid w:val="00444836"/>
    <w:rsid w:val="004467DF"/>
    <w:rsid w:val="00453C47"/>
    <w:rsid w:val="00456CC9"/>
    <w:rsid w:val="00461AEC"/>
    <w:rsid w:val="00461B2E"/>
    <w:rsid w:val="00461ED4"/>
    <w:rsid w:val="00462213"/>
    <w:rsid w:val="00471F50"/>
    <w:rsid w:val="0047604D"/>
    <w:rsid w:val="004765FD"/>
    <w:rsid w:val="004767F1"/>
    <w:rsid w:val="00480885"/>
    <w:rsid w:val="00480FA9"/>
    <w:rsid w:val="004841D7"/>
    <w:rsid w:val="004850D9"/>
    <w:rsid w:val="00493A38"/>
    <w:rsid w:val="00497E89"/>
    <w:rsid w:val="004A2D20"/>
    <w:rsid w:val="004A512F"/>
    <w:rsid w:val="004B041D"/>
    <w:rsid w:val="004B19C2"/>
    <w:rsid w:val="004B1CD8"/>
    <w:rsid w:val="004B42C3"/>
    <w:rsid w:val="004B50DF"/>
    <w:rsid w:val="004B52C9"/>
    <w:rsid w:val="004C0234"/>
    <w:rsid w:val="004C5B4D"/>
    <w:rsid w:val="004C7F0A"/>
    <w:rsid w:val="004D056E"/>
    <w:rsid w:val="004D6124"/>
    <w:rsid w:val="004D7055"/>
    <w:rsid w:val="004E11C8"/>
    <w:rsid w:val="004E4ECA"/>
    <w:rsid w:val="004F044A"/>
    <w:rsid w:val="004F3AF3"/>
    <w:rsid w:val="004F5205"/>
    <w:rsid w:val="00500BA0"/>
    <w:rsid w:val="005044B7"/>
    <w:rsid w:val="0050474E"/>
    <w:rsid w:val="00505D58"/>
    <w:rsid w:val="0050623F"/>
    <w:rsid w:val="00507B76"/>
    <w:rsid w:val="00513F62"/>
    <w:rsid w:val="005140BD"/>
    <w:rsid w:val="005170B8"/>
    <w:rsid w:val="005236C2"/>
    <w:rsid w:val="005328B4"/>
    <w:rsid w:val="00532F3A"/>
    <w:rsid w:val="005367B7"/>
    <w:rsid w:val="00540897"/>
    <w:rsid w:val="00560630"/>
    <w:rsid w:val="0056367A"/>
    <w:rsid w:val="00566DA7"/>
    <w:rsid w:val="0057491B"/>
    <w:rsid w:val="005846EB"/>
    <w:rsid w:val="00586CAD"/>
    <w:rsid w:val="00587780"/>
    <w:rsid w:val="005905C5"/>
    <w:rsid w:val="0059138A"/>
    <w:rsid w:val="00593C4B"/>
    <w:rsid w:val="00594AA3"/>
    <w:rsid w:val="00597335"/>
    <w:rsid w:val="005A33E5"/>
    <w:rsid w:val="005B1139"/>
    <w:rsid w:val="005B2D3E"/>
    <w:rsid w:val="005C0087"/>
    <w:rsid w:val="005C64A1"/>
    <w:rsid w:val="005D7645"/>
    <w:rsid w:val="005E335A"/>
    <w:rsid w:val="005E3CD7"/>
    <w:rsid w:val="005E4DFD"/>
    <w:rsid w:val="005E5002"/>
    <w:rsid w:val="005E60F7"/>
    <w:rsid w:val="005E693B"/>
    <w:rsid w:val="005F0C98"/>
    <w:rsid w:val="005F136E"/>
    <w:rsid w:val="005F1FAD"/>
    <w:rsid w:val="005F21EA"/>
    <w:rsid w:val="005F3BA4"/>
    <w:rsid w:val="006015AC"/>
    <w:rsid w:val="00605DA6"/>
    <w:rsid w:val="006069AE"/>
    <w:rsid w:val="00607305"/>
    <w:rsid w:val="00611C48"/>
    <w:rsid w:val="006121D1"/>
    <w:rsid w:val="006162FC"/>
    <w:rsid w:val="0062124A"/>
    <w:rsid w:val="00621533"/>
    <w:rsid w:val="00630AD5"/>
    <w:rsid w:val="006344D8"/>
    <w:rsid w:val="0063456B"/>
    <w:rsid w:val="0063461E"/>
    <w:rsid w:val="0063553B"/>
    <w:rsid w:val="006357A2"/>
    <w:rsid w:val="00637152"/>
    <w:rsid w:val="00637BE5"/>
    <w:rsid w:val="006400C1"/>
    <w:rsid w:val="006414A3"/>
    <w:rsid w:val="006419B8"/>
    <w:rsid w:val="00641A16"/>
    <w:rsid w:val="006433FD"/>
    <w:rsid w:val="00646B62"/>
    <w:rsid w:val="006473C1"/>
    <w:rsid w:val="006533A0"/>
    <w:rsid w:val="00655A25"/>
    <w:rsid w:val="00661E04"/>
    <w:rsid w:val="00663251"/>
    <w:rsid w:val="00664E11"/>
    <w:rsid w:val="006723E9"/>
    <w:rsid w:val="006759EF"/>
    <w:rsid w:val="00675E1B"/>
    <w:rsid w:val="00677100"/>
    <w:rsid w:val="006822CB"/>
    <w:rsid w:val="00684234"/>
    <w:rsid w:val="0069175F"/>
    <w:rsid w:val="00691C47"/>
    <w:rsid w:val="006921AC"/>
    <w:rsid w:val="00692E3B"/>
    <w:rsid w:val="00693741"/>
    <w:rsid w:val="006947CC"/>
    <w:rsid w:val="00694B74"/>
    <w:rsid w:val="006A2286"/>
    <w:rsid w:val="006A30B6"/>
    <w:rsid w:val="006A49C2"/>
    <w:rsid w:val="006A7348"/>
    <w:rsid w:val="006A7CBC"/>
    <w:rsid w:val="006B0F5C"/>
    <w:rsid w:val="006B7F6F"/>
    <w:rsid w:val="006C1398"/>
    <w:rsid w:val="006C2A86"/>
    <w:rsid w:val="006C640F"/>
    <w:rsid w:val="006C721C"/>
    <w:rsid w:val="006D2353"/>
    <w:rsid w:val="006D3FCE"/>
    <w:rsid w:val="006E1434"/>
    <w:rsid w:val="006E152D"/>
    <w:rsid w:val="006E263F"/>
    <w:rsid w:val="006F07DC"/>
    <w:rsid w:val="00701E38"/>
    <w:rsid w:val="007022EB"/>
    <w:rsid w:val="00705757"/>
    <w:rsid w:val="0071120A"/>
    <w:rsid w:val="0071130C"/>
    <w:rsid w:val="00711AC1"/>
    <w:rsid w:val="007238E3"/>
    <w:rsid w:val="00724E5D"/>
    <w:rsid w:val="0073075B"/>
    <w:rsid w:val="007368B6"/>
    <w:rsid w:val="00741A17"/>
    <w:rsid w:val="00743263"/>
    <w:rsid w:val="007438A6"/>
    <w:rsid w:val="007464B0"/>
    <w:rsid w:val="00746881"/>
    <w:rsid w:val="00750A5B"/>
    <w:rsid w:val="00750DA3"/>
    <w:rsid w:val="00751E2B"/>
    <w:rsid w:val="00755B7A"/>
    <w:rsid w:val="00756B36"/>
    <w:rsid w:val="007601F5"/>
    <w:rsid w:val="00762248"/>
    <w:rsid w:val="00763402"/>
    <w:rsid w:val="007634FD"/>
    <w:rsid w:val="00763C12"/>
    <w:rsid w:val="007672B6"/>
    <w:rsid w:val="00785A7B"/>
    <w:rsid w:val="00791D25"/>
    <w:rsid w:val="00792529"/>
    <w:rsid w:val="00794AEA"/>
    <w:rsid w:val="007A30A5"/>
    <w:rsid w:val="007A31D2"/>
    <w:rsid w:val="007A6C8C"/>
    <w:rsid w:val="007B13C3"/>
    <w:rsid w:val="007B1DF2"/>
    <w:rsid w:val="007B2B0B"/>
    <w:rsid w:val="007B2FC1"/>
    <w:rsid w:val="007B3232"/>
    <w:rsid w:val="007B4667"/>
    <w:rsid w:val="007B4704"/>
    <w:rsid w:val="007B7430"/>
    <w:rsid w:val="007B77C9"/>
    <w:rsid w:val="007C0FD0"/>
    <w:rsid w:val="007C2F9B"/>
    <w:rsid w:val="007C3CA5"/>
    <w:rsid w:val="007C503B"/>
    <w:rsid w:val="007C531A"/>
    <w:rsid w:val="007C5825"/>
    <w:rsid w:val="007C62C4"/>
    <w:rsid w:val="007C6CAE"/>
    <w:rsid w:val="007C6FDB"/>
    <w:rsid w:val="007D118C"/>
    <w:rsid w:val="007D2B48"/>
    <w:rsid w:val="007D6E73"/>
    <w:rsid w:val="007D7E4C"/>
    <w:rsid w:val="007E18CA"/>
    <w:rsid w:val="007E3F87"/>
    <w:rsid w:val="007E49E6"/>
    <w:rsid w:val="007E5152"/>
    <w:rsid w:val="007E71B5"/>
    <w:rsid w:val="007E74A7"/>
    <w:rsid w:val="007F0CB6"/>
    <w:rsid w:val="007F6B79"/>
    <w:rsid w:val="007F7FA4"/>
    <w:rsid w:val="00804792"/>
    <w:rsid w:val="00806669"/>
    <w:rsid w:val="0080776D"/>
    <w:rsid w:val="008106B7"/>
    <w:rsid w:val="00811762"/>
    <w:rsid w:val="0081320D"/>
    <w:rsid w:val="008166F8"/>
    <w:rsid w:val="00820120"/>
    <w:rsid w:val="00827D3C"/>
    <w:rsid w:val="008303E4"/>
    <w:rsid w:val="008366A5"/>
    <w:rsid w:val="00836BDF"/>
    <w:rsid w:val="00837483"/>
    <w:rsid w:val="008420BA"/>
    <w:rsid w:val="00842A0D"/>
    <w:rsid w:val="00850CC6"/>
    <w:rsid w:val="00852971"/>
    <w:rsid w:val="00854FF8"/>
    <w:rsid w:val="00857BEF"/>
    <w:rsid w:val="00863B7E"/>
    <w:rsid w:val="008646FB"/>
    <w:rsid w:val="008648BE"/>
    <w:rsid w:val="0086556D"/>
    <w:rsid w:val="00870200"/>
    <w:rsid w:val="00873C94"/>
    <w:rsid w:val="0087535A"/>
    <w:rsid w:val="00880406"/>
    <w:rsid w:val="008823C0"/>
    <w:rsid w:val="008841EE"/>
    <w:rsid w:val="00886BCC"/>
    <w:rsid w:val="00887D7F"/>
    <w:rsid w:val="00890FCB"/>
    <w:rsid w:val="00895252"/>
    <w:rsid w:val="008A07CD"/>
    <w:rsid w:val="008A1035"/>
    <w:rsid w:val="008A2E9A"/>
    <w:rsid w:val="008A3118"/>
    <w:rsid w:val="008A5992"/>
    <w:rsid w:val="008A7434"/>
    <w:rsid w:val="008A7C26"/>
    <w:rsid w:val="008B419A"/>
    <w:rsid w:val="008B47F0"/>
    <w:rsid w:val="008B560E"/>
    <w:rsid w:val="008C3B8B"/>
    <w:rsid w:val="008C4B0F"/>
    <w:rsid w:val="008C5E25"/>
    <w:rsid w:val="008C6CD7"/>
    <w:rsid w:val="008C76E4"/>
    <w:rsid w:val="008D1AA4"/>
    <w:rsid w:val="008E1236"/>
    <w:rsid w:val="008E3705"/>
    <w:rsid w:val="008E5E11"/>
    <w:rsid w:val="008E64CE"/>
    <w:rsid w:val="008F0DC2"/>
    <w:rsid w:val="008F1208"/>
    <w:rsid w:val="008F345A"/>
    <w:rsid w:val="008F4018"/>
    <w:rsid w:val="008F4DC4"/>
    <w:rsid w:val="008F5780"/>
    <w:rsid w:val="008F6E43"/>
    <w:rsid w:val="008F7614"/>
    <w:rsid w:val="008F7E0C"/>
    <w:rsid w:val="00905E78"/>
    <w:rsid w:val="00910B7B"/>
    <w:rsid w:val="00910C48"/>
    <w:rsid w:val="00920043"/>
    <w:rsid w:val="0092204E"/>
    <w:rsid w:val="0092216D"/>
    <w:rsid w:val="009225FF"/>
    <w:rsid w:val="0092637E"/>
    <w:rsid w:val="009268EF"/>
    <w:rsid w:val="00926D48"/>
    <w:rsid w:val="00930281"/>
    <w:rsid w:val="0093374B"/>
    <w:rsid w:val="00933D03"/>
    <w:rsid w:val="00935BBB"/>
    <w:rsid w:val="00936745"/>
    <w:rsid w:val="00940E42"/>
    <w:rsid w:val="0094229A"/>
    <w:rsid w:val="00950BE3"/>
    <w:rsid w:val="00953A1D"/>
    <w:rsid w:val="00961043"/>
    <w:rsid w:val="00962FD4"/>
    <w:rsid w:val="00963ECA"/>
    <w:rsid w:val="00964C8E"/>
    <w:rsid w:val="00972EBD"/>
    <w:rsid w:val="00980215"/>
    <w:rsid w:val="00983DD0"/>
    <w:rsid w:val="0098560E"/>
    <w:rsid w:val="009901FF"/>
    <w:rsid w:val="009904A5"/>
    <w:rsid w:val="009908AB"/>
    <w:rsid w:val="00991A2B"/>
    <w:rsid w:val="00991B91"/>
    <w:rsid w:val="00991D63"/>
    <w:rsid w:val="00993811"/>
    <w:rsid w:val="009954A2"/>
    <w:rsid w:val="00997CF4"/>
    <w:rsid w:val="009A15AA"/>
    <w:rsid w:val="009A1661"/>
    <w:rsid w:val="009A1E17"/>
    <w:rsid w:val="009A3861"/>
    <w:rsid w:val="009A449B"/>
    <w:rsid w:val="009A7400"/>
    <w:rsid w:val="009B09C4"/>
    <w:rsid w:val="009B3F93"/>
    <w:rsid w:val="009B65E3"/>
    <w:rsid w:val="009B6957"/>
    <w:rsid w:val="009B7314"/>
    <w:rsid w:val="009C0A10"/>
    <w:rsid w:val="009C1F13"/>
    <w:rsid w:val="009C3E95"/>
    <w:rsid w:val="009C74E6"/>
    <w:rsid w:val="009D0531"/>
    <w:rsid w:val="009D67B5"/>
    <w:rsid w:val="009D726F"/>
    <w:rsid w:val="009E15ED"/>
    <w:rsid w:val="009E2549"/>
    <w:rsid w:val="009E2A7C"/>
    <w:rsid w:val="009E6CD4"/>
    <w:rsid w:val="009F28DA"/>
    <w:rsid w:val="009F48F6"/>
    <w:rsid w:val="009F6CE2"/>
    <w:rsid w:val="009F6D94"/>
    <w:rsid w:val="00A02558"/>
    <w:rsid w:val="00A04D30"/>
    <w:rsid w:val="00A069DC"/>
    <w:rsid w:val="00A13EC4"/>
    <w:rsid w:val="00A153EA"/>
    <w:rsid w:val="00A16A6A"/>
    <w:rsid w:val="00A175F8"/>
    <w:rsid w:val="00A17C0F"/>
    <w:rsid w:val="00A24336"/>
    <w:rsid w:val="00A24593"/>
    <w:rsid w:val="00A274B5"/>
    <w:rsid w:val="00A2775C"/>
    <w:rsid w:val="00A33580"/>
    <w:rsid w:val="00A34BBF"/>
    <w:rsid w:val="00A3753B"/>
    <w:rsid w:val="00A45A24"/>
    <w:rsid w:val="00A52DC5"/>
    <w:rsid w:val="00A530F1"/>
    <w:rsid w:val="00A64185"/>
    <w:rsid w:val="00A65710"/>
    <w:rsid w:val="00A6666A"/>
    <w:rsid w:val="00A67491"/>
    <w:rsid w:val="00A73B89"/>
    <w:rsid w:val="00A73FFA"/>
    <w:rsid w:val="00A861F6"/>
    <w:rsid w:val="00A8656C"/>
    <w:rsid w:val="00A87E8F"/>
    <w:rsid w:val="00AA271C"/>
    <w:rsid w:val="00AA2737"/>
    <w:rsid w:val="00AA5562"/>
    <w:rsid w:val="00AA63C8"/>
    <w:rsid w:val="00AA7860"/>
    <w:rsid w:val="00AB27A3"/>
    <w:rsid w:val="00AB31B3"/>
    <w:rsid w:val="00AB64BE"/>
    <w:rsid w:val="00AC4B55"/>
    <w:rsid w:val="00AC4F66"/>
    <w:rsid w:val="00AD6923"/>
    <w:rsid w:val="00AE0E75"/>
    <w:rsid w:val="00AE314C"/>
    <w:rsid w:val="00AE366D"/>
    <w:rsid w:val="00AE523E"/>
    <w:rsid w:val="00AE611D"/>
    <w:rsid w:val="00AE6B53"/>
    <w:rsid w:val="00AF2E1B"/>
    <w:rsid w:val="00AF7F59"/>
    <w:rsid w:val="00B06DE7"/>
    <w:rsid w:val="00B119BB"/>
    <w:rsid w:val="00B15CD8"/>
    <w:rsid w:val="00B1608F"/>
    <w:rsid w:val="00B161EF"/>
    <w:rsid w:val="00B212DB"/>
    <w:rsid w:val="00B239BE"/>
    <w:rsid w:val="00B23B10"/>
    <w:rsid w:val="00B25496"/>
    <w:rsid w:val="00B26ED9"/>
    <w:rsid w:val="00B31AB2"/>
    <w:rsid w:val="00B35DDB"/>
    <w:rsid w:val="00B40B30"/>
    <w:rsid w:val="00B44CD8"/>
    <w:rsid w:val="00B46688"/>
    <w:rsid w:val="00B53B2A"/>
    <w:rsid w:val="00B559E5"/>
    <w:rsid w:val="00B60EBF"/>
    <w:rsid w:val="00B620C4"/>
    <w:rsid w:val="00B63B5A"/>
    <w:rsid w:val="00B656AD"/>
    <w:rsid w:val="00B672CD"/>
    <w:rsid w:val="00B67E90"/>
    <w:rsid w:val="00B7316C"/>
    <w:rsid w:val="00B82708"/>
    <w:rsid w:val="00B829E0"/>
    <w:rsid w:val="00B836E1"/>
    <w:rsid w:val="00B83D6D"/>
    <w:rsid w:val="00B938BC"/>
    <w:rsid w:val="00BA3149"/>
    <w:rsid w:val="00BA3D2D"/>
    <w:rsid w:val="00BA4081"/>
    <w:rsid w:val="00BA5FC7"/>
    <w:rsid w:val="00BB0845"/>
    <w:rsid w:val="00BB0D89"/>
    <w:rsid w:val="00BB23CB"/>
    <w:rsid w:val="00BB2CCE"/>
    <w:rsid w:val="00BB662E"/>
    <w:rsid w:val="00BC0637"/>
    <w:rsid w:val="00BC06F0"/>
    <w:rsid w:val="00BC1129"/>
    <w:rsid w:val="00BC4BD3"/>
    <w:rsid w:val="00BD0E0E"/>
    <w:rsid w:val="00BD53E1"/>
    <w:rsid w:val="00BE1BAD"/>
    <w:rsid w:val="00BE3A64"/>
    <w:rsid w:val="00BE3F1E"/>
    <w:rsid w:val="00BE49B4"/>
    <w:rsid w:val="00BF091F"/>
    <w:rsid w:val="00BF2404"/>
    <w:rsid w:val="00BF3F38"/>
    <w:rsid w:val="00BF5056"/>
    <w:rsid w:val="00BF5C93"/>
    <w:rsid w:val="00C01B59"/>
    <w:rsid w:val="00C051EB"/>
    <w:rsid w:val="00C145E9"/>
    <w:rsid w:val="00C14AAA"/>
    <w:rsid w:val="00C14E2A"/>
    <w:rsid w:val="00C17C8F"/>
    <w:rsid w:val="00C248B2"/>
    <w:rsid w:val="00C253A1"/>
    <w:rsid w:val="00C259A8"/>
    <w:rsid w:val="00C3019D"/>
    <w:rsid w:val="00C33AF0"/>
    <w:rsid w:val="00C34C9A"/>
    <w:rsid w:val="00C37875"/>
    <w:rsid w:val="00C41142"/>
    <w:rsid w:val="00C44A39"/>
    <w:rsid w:val="00C50D8E"/>
    <w:rsid w:val="00C64268"/>
    <w:rsid w:val="00C64ACC"/>
    <w:rsid w:val="00C655FC"/>
    <w:rsid w:val="00C65F2B"/>
    <w:rsid w:val="00C723D9"/>
    <w:rsid w:val="00C733CB"/>
    <w:rsid w:val="00C73A90"/>
    <w:rsid w:val="00C772A2"/>
    <w:rsid w:val="00C77349"/>
    <w:rsid w:val="00C77D42"/>
    <w:rsid w:val="00C8021F"/>
    <w:rsid w:val="00C81515"/>
    <w:rsid w:val="00C81C50"/>
    <w:rsid w:val="00C82DCD"/>
    <w:rsid w:val="00C82ECE"/>
    <w:rsid w:val="00C87031"/>
    <w:rsid w:val="00C9300C"/>
    <w:rsid w:val="00C94C2D"/>
    <w:rsid w:val="00C95DBC"/>
    <w:rsid w:val="00C9630E"/>
    <w:rsid w:val="00C97D74"/>
    <w:rsid w:val="00CA29FE"/>
    <w:rsid w:val="00CB03BD"/>
    <w:rsid w:val="00CB241A"/>
    <w:rsid w:val="00CB58C1"/>
    <w:rsid w:val="00CB597A"/>
    <w:rsid w:val="00CB601C"/>
    <w:rsid w:val="00CC2061"/>
    <w:rsid w:val="00CC307C"/>
    <w:rsid w:val="00CD07B9"/>
    <w:rsid w:val="00CD1C3B"/>
    <w:rsid w:val="00CD2FFE"/>
    <w:rsid w:val="00CD38A4"/>
    <w:rsid w:val="00CD3E3E"/>
    <w:rsid w:val="00CD3FD6"/>
    <w:rsid w:val="00CD547F"/>
    <w:rsid w:val="00CE3C23"/>
    <w:rsid w:val="00CE4919"/>
    <w:rsid w:val="00CE5405"/>
    <w:rsid w:val="00CE731F"/>
    <w:rsid w:val="00CF648D"/>
    <w:rsid w:val="00CF6DD3"/>
    <w:rsid w:val="00D03F2B"/>
    <w:rsid w:val="00D073A6"/>
    <w:rsid w:val="00D10A9D"/>
    <w:rsid w:val="00D12DBF"/>
    <w:rsid w:val="00D135DB"/>
    <w:rsid w:val="00D14BAB"/>
    <w:rsid w:val="00D20D21"/>
    <w:rsid w:val="00D218F6"/>
    <w:rsid w:val="00D24611"/>
    <w:rsid w:val="00D252D3"/>
    <w:rsid w:val="00D3264F"/>
    <w:rsid w:val="00D32D6E"/>
    <w:rsid w:val="00D334AD"/>
    <w:rsid w:val="00D334BB"/>
    <w:rsid w:val="00D353BD"/>
    <w:rsid w:val="00D4553D"/>
    <w:rsid w:val="00D5275F"/>
    <w:rsid w:val="00D62F0A"/>
    <w:rsid w:val="00D66267"/>
    <w:rsid w:val="00D672BE"/>
    <w:rsid w:val="00D6759C"/>
    <w:rsid w:val="00D70F86"/>
    <w:rsid w:val="00D71089"/>
    <w:rsid w:val="00D71EE9"/>
    <w:rsid w:val="00D75B24"/>
    <w:rsid w:val="00D76003"/>
    <w:rsid w:val="00D76DAA"/>
    <w:rsid w:val="00D85F9B"/>
    <w:rsid w:val="00D92B70"/>
    <w:rsid w:val="00D93C2C"/>
    <w:rsid w:val="00D949F4"/>
    <w:rsid w:val="00D94E74"/>
    <w:rsid w:val="00D96297"/>
    <w:rsid w:val="00D96A13"/>
    <w:rsid w:val="00DA4406"/>
    <w:rsid w:val="00DA451D"/>
    <w:rsid w:val="00DA5B5A"/>
    <w:rsid w:val="00DB13E2"/>
    <w:rsid w:val="00DB4FB5"/>
    <w:rsid w:val="00DC0E97"/>
    <w:rsid w:val="00DC4472"/>
    <w:rsid w:val="00DC652B"/>
    <w:rsid w:val="00DC756D"/>
    <w:rsid w:val="00DD586A"/>
    <w:rsid w:val="00DD6E0C"/>
    <w:rsid w:val="00DE0DC6"/>
    <w:rsid w:val="00DE216D"/>
    <w:rsid w:val="00DF28F1"/>
    <w:rsid w:val="00DF31CD"/>
    <w:rsid w:val="00DF3E4C"/>
    <w:rsid w:val="00DF3ED7"/>
    <w:rsid w:val="00DF4CA2"/>
    <w:rsid w:val="00DF4DED"/>
    <w:rsid w:val="00DF6F13"/>
    <w:rsid w:val="00E0148F"/>
    <w:rsid w:val="00E07011"/>
    <w:rsid w:val="00E1399E"/>
    <w:rsid w:val="00E15B62"/>
    <w:rsid w:val="00E169A7"/>
    <w:rsid w:val="00E2061F"/>
    <w:rsid w:val="00E22B48"/>
    <w:rsid w:val="00E22D58"/>
    <w:rsid w:val="00E23B69"/>
    <w:rsid w:val="00E300EF"/>
    <w:rsid w:val="00E30747"/>
    <w:rsid w:val="00E308F9"/>
    <w:rsid w:val="00E3376F"/>
    <w:rsid w:val="00E41902"/>
    <w:rsid w:val="00E41ECB"/>
    <w:rsid w:val="00E42AEC"/>
    <w:rsid w:val="00E433A6"/>
    <w:rsid w:val="00E44B6A"/>
    <w:rsid w:val="00E4771B"/>
    <w:rsid w:val="00E47FCD"/>
    <w:rsid w:val="00E5219D"/>
    <w:rsid w:val="00E55C4C"/>
    <w:rsid w:val="00E57E13"/>
    <w:rsid w:val="00E60779"/>
    <w:rsid w:val="00E666FE"/>
    <w:rsid w:val="00E74400"/>
    <w:rsid w:val="00E74737"/>
    <w:rsid w:val="00E747ED"/>
    <w:rsid w:val="00E74997"/>
    <w:rsid w:val="00E831CE"/>
    <w:rsid w:val="00E832D1"/>
    <w:rsid w:val="00E84768"/>
    <w:rsid w:val="00E85FE8"/>
    <w:rsid w:val="00E87F16"/>
    <w:rsid w:val="00E93717"/>
    <w:rsid w:val="00E96E8E"/>
    <w:rsid w:val="00E972E3"/>
    <w:rsid w:val="00EA3CA3"/>
    <w:rsid w:val="00EA7890"/>
    <w:rsid w:val="00EB41AA"/>
    <w:rsid w:val="00EB4FBE"/>
    <w:rsid w:val="00EB5566"/>
    <w:rsid w:val="00EB583C"/>
    <w:rsid w:val="00EB6527"/>
    <w:rsid w:val="00EB7719"/>
    <w:rsid w:val="00EB7BDD"/>
    <w:rsid w:val="00EC3E88"/>
    <w:rsid w:val="00EC493D"/>
    <w:rsid w:val="00ED051D"/>
    <w:rsid w:val="00ED4656"/>
    <w:rsid w:val="00ED54B7"/>
    <w:rsid w:val="00ED7748"/>
    <w:rsid w:val="00EE12CA"/>
    <w:rsid w:val="00EE1653"/>
    <w:rsid w:val="00EE17B6"/>
    <w:rsid w:val="00EE4FE0"/>
    <w:rsid w:val="00EF2D16"/>
    <w:rsid w:val="00EF340F"/>
    <w:rsid w:val="00EF7A5D"/>
    <w:rsid w:val="00F0170B"/>
    <w:rsid w:val="00F02022"/>
    <w:rsid w:val="00F02533"/>
    <w:rsid w:val="00F04823"/>
    <w:rsid w:val="00F12835"/>
    <w:rsid w:val="00F16710"/>
    <w:rsid w:val="00F16DC9"/>
    <w:rsid w:val="00F17C46"/>
    <w:rsid w:val="00F21E08"/>
    <w:rsid w:val="00F262D8"/>
    <w:rsid w:val="00F26628"/>
    <w:rsid w:val="00F30899"/>
    <w:rsid w:val="00F32067"/>
    <w:rsid w:val="00F33BEA"/>
    <w:rsid w:val="00F36869"/>
    <w:rsid w:val="00F40131"/>
    <w:rsid w:val="00F4186B"/>
    <w:rsid w:val="00F42AEE"/>
    <w:rsid w:val="00F45958"/>
    <w:rsid w:val="00F53171"/>
    <w:rsid w:val="00F55565"/>
    <w:rsid w:val="00F63E1A"/>
    <w:rsid w:val="00F64E7E"/>
    <w:rsid w:val="00F6626E"/>
    <w:rsid w:val="00F728DA"/>
    <w:rsid w:val="00F72A98"/>
    <w:rsid w:val="00F7366D"/>
    <w:rsid w:val="00F767FE"/>
    <w:rsid w:val="00F84ED5"/>
    <w:rsid w:val="00F856CA"/>
    <w:rsid w:val="00F87D64"/>
    <w:rsid w:val="00F94EEE"/>
    <w:rsid w:val="00F9789F"/>
    <w:rsid w:val="00FA0C73"/>
    <w:rsid w:val="00FA7C2E"/>
    <w:rsid w:val="00FB0FDA"/>
    <w:rsid w:val="00FB3C92"/>
    <w:rsid w:val="00FB479D"/>
    <w:rsid w:val="00FB4A17"/>
    <w:rsid w:val="00FB64D1"/>
    <w:rsid w:val="00FB7271"/>
    <w:rsid w:val="00FC077F"/>
    <w:rsid w:val="00FC20AF"/>
    <w:rsid w:val="00FC2EB6"/>
    <w:rsid w:val="00FC394C"/>
    <w:rsid w:val="00FC6923"/>
    <w:rsid w:val="00FD5ACE"/>
    <w:rsid w:val="00FD60E5"/>
    <w:rsid w:val="00FD6793"/>
    <w:rsid w:val="00FD79BB"/>
    <w:rsid w:val="00FE1D54"/>
    <w:rsid w:val="00FE32DF"/>
    <w:rsid w:val="00FE43DB"/>
    <w:rsid w:val="00FE70DD"/>
    <w:rsid w:val="00FF0F75"/>
    <w:rsid w:val="00FF5E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440B9"/>
  <w15:chartTrackingRefBased/>
  <w15:docId w15:val="{B6CD11AF-1887-4E8A-81DB-0ECD4C081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483"/>
  </w:style>
  <w:style w:type="paragraph" w:styleId="Heading1">
    <w:name w:val="heading 1"/>
    <w:basedOn w:val="Normal"/>
    <w:next w:val="Normal"/>
    <w:link w:val="Heading1Char"/>
    <w:uiPriority w:val="9"/>
    <w:qFormat/>
    <w:rsid w:val="000110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10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110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110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110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0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0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0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0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0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10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110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110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110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0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0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0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041"/>
    <w:rPr>
      <w:rFonts w:eastAsiaTheme="majorEastAsia" w:cstheme="majorBidi"/>
      <w:color w:val="272727" w:themeColor="text1" w:themeTint="D8"/>
    </w:rPr>
  </w:style>
  <w:style w:type="paragraph" w:styleId="Title">
    <w:name w:val="Title"/>
    <w:basedOn w:val="Normal"/>
    <w:next w:val="Normal"/>
    <w:link w:val="TitleChar"/>
    <w:uiPriority w:val="10"/>
    <w:qFormat/>
    <w:rsid w:val="000110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0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0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0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041"/>
    <w:pPr>
      <w:spacing w:before="160"/>
      <w:jc w:val="center"/>
    </w:pPr>
    <w:rPr>
      <w:i/>
      <w:iCs/>
      <w:color w:val="404040" w:themeColor="text1" w:themeTint="BF"/>
    </w:rPr>
  </w:style>
  <w:style w:type="character" w:customStyle="1" w:styleId="QuoteChar">
    <w:name w:val="Quote Char"/>
    <w:basedOn w:val="DefaultParagraphFont"/>
    <w:link w:val="Quote"/>
    <w:uiPriority w:val="29"/>
    <w:rsid w:val="00011041"/>
    <w:rPr>
      <w:i/>
      <w:iCs/>
      <w:color w:val="404040" w:themeColor="text1" w:themeTint="BF"/>
    </w:rPr>
  </w:style>
  <w:style w:type="paragraph" w:styleId="ListParagraph">
    <w:name w:val="List Paragraph"/>
    <w:basedOn w:val="Normal"/>
    <w:uiPriority w:val="34"/>
    <w:qFormat/>
    <w:rsid w:val="00011041"/>
    <w:pPr>
      <w:ind w:left="720"/>
      <w:contextualSpacing/>
    </w:pPr>
  </w:style>
  <w:style w:type="character" w:styleId="IntenseEmphasis">
    <w:name w:val="Intense Emphasis"/>
    <w:basedOn w:val="DefaultParagraphFont"/>
    <w:uiPriority w:val="21"/>
    <w:qFormat/>
    <w:rsid w:val="00011041"/>
    <w:rPr>
      <w:i/>
      <w:iCs/>
      <w:color w:val="0F4761" w:themeColor="accent1" w:themeShade="BF"/>
    </w:rPr>
  </w:style>
  <w:style w:type="paragraph" w:styleId="IntenseQuote">
    <w:name w:val="Intense Quote"/>
    <w:basedOn w:val="Normal"/>
    <w:next w:val="Normal"/>
    <w:link w:val="IntenseQuoteChar"/>
    <w:uiPriority w:val="30"/>
    <w:qFormat/>
    <w:rsid w:val="000110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041"/>
    <w:rPr>
      <w:i/>
      <w:iCs/>
      <w:color w:val="0F4761" w:themeColor="accent1" w:themeShade="BF"/>
    </w:rPr>
  </w:style>
  <w:style w:type="character" w:styleId="IntenseReference">
    <w:name w:val="Intense Reference"/>
    <w:basedOn w:val="DefaultParagraphFont"/>
    <w:uiPriority w:val="32"/>
    <w:qFormat/>
    <w:rsid w:val="00011041"/>
    <w:rPr>
      <w:b/>
      <w:bCs/>
      <w:smallCaps/>
      <w:color w:val="0F4761" w:themeColor="accent1" w:themeShade="BF"/>
      <w:spacing w:val="5"/>
    </w:rPr>
  </w:style>
  <w:style w:type="character" w:styleId="Hyperlink">
    <w:name w:val="Hyperlink"/>
    <w:basedOn w:val="DefaultParagraphFont"/>
    <w:uiPriority w:val="99"/>
    <w:unhideWhenUsed/>
    <w:rsid w:val="00114E05"/>
    <w:rPr>
      <w:color w:val="467886" w:themeColor="hyperlink"/>
      <w:u w:val="single"/>
    </w:rPr>
  </w:style>
  <w:style w:type="character" w:styleId="UnresolvedMention">
    <w:name w:val="Unresolved Mention"/>
    <w:basedOn w:val="DefaultParagraphFont"/>
    <w:uiPriority w:val="99"/>
    <w:semiHidden/>
    <w:unhideWhenUsed/>
    <w:rsid w:val="00114E05"/>
    <w:rPr>
      <w:color w:val="605E5C"/>
      <w:shd w:val="clear" w:color="auto" w:fill="E1DFDD"/>
    </w:rPr>
  </w:style>
  <w:style w:type="paragraph" w:styleId="Header">
    <w:name w:val="header"/>
    <w:basedOn w:val="Normal"/>
    <w:link w:val="HeaderChar"/>
    <w:uiPriority w:val="99"/>
    <w:unhideWhenUsed/>
    <w:rsid w:val="009B65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5E3"/>
  </w:style>
  <w:style w:type="paragraph" w:styleId="Footer">
    <w:name w:val="footer"/>
    <w:basedOn w:val="Normal"/>
    <w:link w:val="FooterChar"/>
    <w:uiPriority w:val="99"/>
    <w:unhideWhenUsed/>
    <w:rsid w:val="009B65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5E3"/>
  </w:style>
  <w:style w:type="character" w:styleId="FollowedHyperlink">
    <w:name w:val="FollowedHyperlink"/>
    <w:basedOn w:val="DefaultParagraphFont"/>
    <w:uiPriority w:val="99"/>
    <w:semiHidden/>
    <w:unhideWhenUsed/>
    <w:rsid w:val="009A1E17"/>
    <w:rPr>
      <w:color w:val="96607D" w:themeColor="followedHyperlink"/>
      <w:u w:val="single"/>
    </w:rPr>
  </w:style>
  <w:style w:type="paragraph" w:customStyle="1" w:styleId="msonormal0">
    <w:name w:val="msonormal"/>
    <w:basedOn w:val="Normal"/>
    <w:rsid w:val="00E41ECB"/>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first-link">
    <w:name w:val="first-link"/>
    <w:basedOn w:val="DefaultParagraphFont"/>
    <w:rsid w:val="00E41ECB"/>
  </w:style>
  <w:style w:type="character" w:customStyle="1" w:styleId="author">
    <w:name w:val="author"/>
    <w:basedOn w:val="DefaultParagraphFont"/>
    <w:rsid w:val="00E41ECB"/>
  </w:style>
  <w:style w:type="character" w:customStyle="1" w:styleId="pubyear">
    <w:name w:val="pubyear"/>
    <w:basedOn w:val="DefaultParagraphFont"/>
    <w:rsid w:val="00E41ECB"/>
  </w:style>
  <w:style w:type="character" w:customStyle="1" w:styleId="articletitle">
    <w:name w:val="articletitle"/>
    <w:basedOn w:val="DefaultParagraphFont"/>
    <w:rsid w:val="00E41ECB"/>
  </w:style>
  <w:style w:type="character" w:customStyle="1" w:styleId="vol">
    <w:name w:val="vol"/>
    <w:basedOn w:val="DefaultParagraphFont"/>
    <w:rsid w:val="00E41ECB"/>
  </w:style>
  <w:style w:type="character" w:customStyle="1" w:styleId="pagefirst">
    <w:name w:val="pagefirst"/>
    <w:basedOn w:val="DefaultParagraphFont"/>
    <w:rsid w:val="00E41ECB"/>
  </w:style>
  <w:style w:type="character" w:customStyle="1" w:styleId="pagelast">
    <w:name w:val="pagelast"/>
    <w:basedOn w:val="DefaultParagraphFont"/>
    <w:rsid w:val="00E41ECB"/>
  </w:style>
  <w:style w:type="character" w:customStyle="1" w:styleId="booktitle">
    <w:name w:val="booktitle"/>
    <w:basedOn w:val="DefaultParagraphFont"/>
    <w:rsid w:val="00E41ECB"/>
  </w:style>
  <w:style w:type="character" w:customStyle="1" w:styleId="publisherlocation">
    <w:name w:val="publisherlocation"/>
    <w:basedOn w:val="DefaultParagraphFont"/>
    <w:rsid w:val="00E41ECB"/>
  </w:style>
  <w:style w:type="character" w:customStyle="1" w:styleId="citedissue">
    <w:name w:val="citedissue"/>
    <w:basedOn w:val="DefaultParagraphFont"/>
    <w:rsid w:val="00E41ECB"/>
  </w:style>
  <w:style w:type="character" w:customStyle="1" w:styleId="chaptertitle">
    <w:name w:val="chaptertitle"/>
    <w:basedOn w:val="DefaultParagraphFont"/>
    <w:rsid w:val="00E41ECB"/>
  </w:style>
  <w:style w:type="character" w:customStyle="1" w:styleId="editor">
    <w:name w:val="editor"/>
    <w:basedOn w:val="DefaultParagraphFont"/>
    <w:rsid w:val="00E41ECB"/>
  </w:style>
  <w:style w:type="character" w:customStyle="1" w:styleId="edition">
    <w:name w:val="edition"/>
    <w:basedOn w:val="DefaultParagraphFont"/>
    <w:rsid w:val="00E41ECB"/>
  </w:style>
  <w:style w:type="character" w:customStyle="1" w:styleId="othertitle">
    <w:name w:val="othertitle"/>
    <w:basedOn w:val="DefaultParagraphFont"/>
    <w:rsid w:val="00E41E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6459">
      <w:bodyDiv w:val="1"/>
      <w:marLeft w:val="0"/>
      <w:marRight w:val="0"/>
      <w:marTop w:val="0"/>
      <w:marBottom w:val="0"/>
      <w:divBdr>
        <w:top w:val="none" w:sz="0" w:space="0" w:color="auto"/>
        <w:left w:val="none" w:sz="0" w:space="0" w:color="auto"/>
        <w:bottom w:val="none" w:sz="0" w:space="0" w:color="auto"/>
        <w:right w:val="none" w:sz="0" w:space="0" w:color="auto"/>
      </w:divBdr>
      <w:divsChild>
        <w:div w:id="2136605778">
          <w:marLeft w:val="0"/>
          <w:marRight w:val="0"/>
          <w:marTop w:val="0"/>
          <w:marBottom w:val="0"/>
          <w:divBdr>
            <w:top w:val="none" w:sz="0" w:space="0" w:color="auto"/>
            <w:left w:val="none" w:sz="0" w:space="0" w:color="auto"/>
            <w:bottom w:val="single" w:sz="6" w:space="0" w:color="DEE2E6"/>
            <w:right w:val="none" w:sz="0" w:space="0" w:color="auto"/>
          </w:divBdr>
          <w:divsChild>
            <w:div w:id="1042441777">
              <w:marLeft w:val="0"/>
              <w:marRight w:val="0"/>
              <w:marTop w:val="0"/>
              <w:marBottom w:val="0"/>
              <w:divBdr>
                <w:top w:val="none" w:sz="0" w:space="0" w:color="auto"/>
                <w:left w:val="none" w:sz="0" w:space="0" w:color="auto"/>
                <w:bottom w:val="none" w:sz="0" w:space="0" w:color="auto"/>
                <w:right w:val="none" w:sz="0" w:space="0" w:color="auto"/>
              </w:divBdr>
              <w:divsChild>
                <w:div w:id="243417095">
                  <w:marLeft w:val="0"/>
                  <w:marRight w:val="0"/>
                  <w:marTop w:val="0"/>
                  <w:marBottom w:val="0"/>
                  <w:divBdr>
                    <w:top w:val="none" w:sz="0" w:space="0" w:color="auto"/>
                    <w:left w:val="none" w:sz="0" w:space="0" w:color="auto"/>
                    <w:bottom w:val="none" w:sz="0" w:space="0" w:color="auto"/>
                    <w:right w:val="none" w:sz="0" w:space="0" w:color="auto"/>
                  </w:divBdr>
                </w:div>
                <w:div w:id="1582641120">
                  <w:marLeft w:val="0"/>
                  <w:marRight w:val="0"/>
                  <w:marTop w:val="0"/>
                  <w:marBottom w:val="0"/>
                  <w:divBdr>
                    <w:top w:val="none" w:sz="0" w:space="0" w:color="auto"/>
                    <w:left w:val="none" w:sz="0" w:space="0" w:color="auto"/>
                    <w:bottom w:val="none" w:sz="0" w:space="0" w:color="auto"/>
                    <w:right w:val="none" w:sz="0" w:space="0" w:color="auto"/>
                  </w:divBdr>
                  <w:divsChild>
                    <w:div w:id="291517976">
                      <w:marLeft w:val="0"/>
                      <w:marRight w:val="0"/>
                      <w:marTop w:val="0"/>
                      <w:marBottom w:val="0"/>
                      <w:divBdr>
                        <w:top w:val="none" w:sz="0" w:space="0" w:color="auto"/>
                        <w:left w:val="none" w:sz="0" w:space="0" w:color="auto"/>
                        <w:bottom w:val="none" w:sz="0" w:space="0" w:color="auto"/>
                        <w:right w:val="none" w:sz="0" w:space="0" w:color="auto"/>
                      </w:divBdr>
                      <w:divsChild>
                        <w:div w:id="179785727">
                          <w:marLeft w:val="0"/>
                          <w:marRight w:val="0"/>
                          <w:marTop w:val="0"/>
                          <w:marBottom w:val="0"/>
                          <w:divBdr>
                            <w:top w:val="none" w:sz="0" w:space="0" w:color="auto"/>
                            <w:left w:val="none" w:sz="0" w:space="0" w:color="auto"/>
                            <w:bottom w:val="none" w:sz="0" w:space="0" w:color="auto"/>
                            <w:right w:val="none" w:sz="0" w:space="0" w:color="auto"/>
                          </w:divBdr>
                          <w:divsChild>
                            <w:div w:id="198157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425107">
                  <w:marLeft w:val="0"/>
                  <w:marRight w:val="0"/>
                  <w:marTop w:val="0"/>
                  <w:marBottom w:val="0"/>
                  <w:divBdr>
                    <w:top w:val="single" w:sz="6" w:space="0" w:color="DEE2E6"/>
                    <w:left w:val="none" w:sz="0" w:space="0" w:color="auto"/>
                    <w:bottom w:val="none" w:sz="0" w:space="0" w:color="auto"/>
                    <w:right w:val="none" w:sz="0" w:space="0" w:color="auto"/>
                  </w:divBdr>
                  <w:divsChild>
                    <w:div w:id="841969603">
                      <w:marLeft w:val="0"/>
                      <w:marRight w:val="0"/>
                      <w:marTop w:val="0"/>
                      <w:marBottom w:val="0"/>
                      <w:divBdr>
                        <w:top w:val="none" w:sz="0" w:space="0" w:color="auto"/>
                        <w:left w:val="none" w:sz="0" w:space="0" w:color="auto"/>
                        <w:bottom w:val="none" w:sz="0" w:space="0" w:color="auto"/>
                        <w:right w:val="none" w:sz="0" w:space="0" w:color="auto"/>
                      </w:divBdr>
                      <w:divsChild>
                        <w:div w:id="78407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392404">
          <w:marLeft w:val="0"/>
          <w:marRight w:val="0"/>
          <w:marTop w:val="0"/>
          <w:marBottom w:val="0"/>
          <w:divBdr>
            <w:top w:val="none" w:sz="0" w:space="0" w:color="auto"/>
            <w:left w:val="none" w:sz="0" w:space="0" w:color="auto"/>
            <w:bottom w:val="single" w:sz="6" w:space="0" w:color="DEE2E6"/>
            <w:right w:val="none" w:sz="0" w:space="0" w:color="auto"/>
          </w:divBdr>
          <w:divsChild>
            <w:div w:id="1572424774">
              <w:marLeft w:val="0"/>
              <w:marRight w:val="0"/>
              <w:marTop w:val="0"/>
              <w:marBottom w:val="0"/>
              <w:divBdr>
                <w:top w:val="none" w:sz="0" w:space="0" w:color="auto"/>
                <w:left w:val="none" w:sz="0" w:space="0" w:color="auto"/>
                <w:bottom w:val="none" w:sz="0" w:space="0" w:color="auto"/>
                <w:right w:val="none" w:sz="0" w:space="0" w:color="auto"/>
              </w:divBdr>
              <w:divsChild>
                <w:div w:id="982005976">
                  <w:marLeft w:val="0"/>
                  <w:marRight w:val="0"/>
                  <w:marTop w:val="0"/>
                  <w:marBottom w:val="0"/>
                  <w:divBdr>
                    <w:top w:val="none" w:sz="0" w:space="0" w:color="auto"/>
                    <w:left w:val="none" w:sz="0" w:space="0" w:color="auto"/>
                    <w:bottom w:val="none" w:sz="0" w:space="0" w:color="auto"/>
                    <w:right w:val="none" w:sz="0" w:space="0" w:color="auto"/>
                  </w:divBdr>
                </w:div>
                <w:div w:id="1651248064">
                  <w:marLeft w:val="0"/>
                  <w:marRight w:val="0"/>
                  <w:marTop w:val="0"/>
                  <w:marBottom w:val="0"/>
                  <w:divBdr>
                    <w:top w:val="none" w:sz="0" w:space="0" w:color="auto"/>
                    <w:left w:val="none" w:sz="0" w:space="0" w:color="auto"/>
                    <w:bottom w:val="none" w:sz="0" w:space="0" w:color="auto"/>
                    <w:right w:val="none" w:sz="0" w:space="0" w:color="auto"/>
                  </w:divBdr>
                  <w:divsChild>
                    <w:div w:id="905529011">
                      <w:marLeft w:val="0"/>
                      <w:marRight w:val="0"/>
                      <w:marTop w:val="0"/>
                      <w:marBottom w:val="0"/>
                      <w:divBdr>
                        <w:top w:val="none" w:sz="0" w:space="0" w:color="auto"/>
                        <w:left w:val="none" w:sz="0" w:space="0" w:color="auto"/>
                        <w:bottom w:val="none" w:sz="0" w:space="0" w:color="auto"/>
                        <w:right w:val="none" w:sz="0" w:space="0" w:color="auto"/>
                      </w:divBdr>
                      <w:divsChild>
                        <w:div w:id="839347980">
                          <w:marLeft w:val="0"/>
                          <w:marRight w:val="0"/>
                          <w:marTop w:val="0"/>
                          <w:marBottom w:val="0"/>
                          <w:divBdr>
                            <w:top w:val="none" w:sz="0" w:space="0" w:color="auto"/>
                            <w:left w:val="none" w:sz="0" w:space="0" w:color="auto"/>
                            <w:bottom w:val="none" w:sz="0" w:space="0" w:color="auto"/>
                            <w:right w:val="none" w:sz="0" w:space="0" w:color="auto"/>
                          </w:divBdr>
                          <w:divsChild>
                            <w:div w:id="101596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1185034">
      <w:bodyDiv w:val="1"/>
      <w:marLeft w:val="0"/>
      <w:marRight w:val="0"/>
      <w:marTop w:val="0"/>
      <w:marBottom w:val="0"/>
      <w:divBdr>
        <w:top w:val="none" w:sz="0" w:space="0" w:color="auto"/>
        <w:left w:val="none" w:sz="0" w:space="0" w:color="auto"/>
        <w:bottom w:val="none" w:sz="0" w:space="0" w:color="auto"/>
        <w:right w:val="none" w:sz="0" w:space="0" w:color="auto"/>
      </w:divBdr>
    </w:div>
    <w:div w:id="354232372">
      <w:bodyDiv w:val="1"/>
      <w:marLeft w:val="0"/>
      <w:marRight w:val="0"/>
      <w:marTop w:val="0"/>
      <w:marBottom w:val="0"/>
      <w:divBdr>
        <w:top w:val="none" w:sz="0" w:space="0" w:color="auto"/>
        <w:left w:val="none" w:sz="0" w:space="0" w:color="auto"/>
        <w:bottom w:val="none" w:sz="0" w:space="0" w:color="auto"/>
        <w:right w:val="none" w:sz="0" w:space="0" w:color="auto"/>
      </w:divBdr>
    </w:div>
    <w:div w:id="609944328">
      <w:bodyDiv w:val="1"/>
      <w:marLeft w:val="0"/>
      <w:marRight w:val="0"/>
      <w:marTop w:val="0"/>
      <w:marBottom w:val="0"/>
      <w:divBdr>
        <w:top w:val="none" w:sz="0" w:space="0" w:color="auto"/>
        <w:left w:val="none" w:sz="0" w:space="0" w:color="auto"/>
        <w:bottom w:val="none" w:sz="0" w:space="0" w:color="auto"/>
        <w:right w:val="none" w:sz="0" w:space="0" w:color="auto"/>
      </w:divBdr>
      <w:divsChild>
        <w:div w:id="991254371">
          <w:marLeft w:val="0"/>
          <w:marRight w:val="0"/>
          <w:marTop w:val="0"/>
          <w:marBottom w:val="0"/>
          <w:divBdr>
            <w:top w:val="none" w:sz="0" w:space="0" w:color="auto"/>
            <w:left w:val="none" w:sz="0" w:space="0" w:color="auto"/>
            <w:bottom w:val="none" w:sz="0" w:space="0" w:color="auto"/>
            <w:right w:val="none" w:sz="0" w:space="0" w:color="auto"/>
          </w:divBdr>
          <w:divsChild>
            <w:div w:id="854225114">
              <w:marLeft w:val="0"/>
              <w:marRight w:val="0"/>
              <w:marTop w:val="0"/>
              <w:marBottom w:val="0"/>
              <w:divBdr>
                <w:top w:val="none" w:sz="0" w:space="0" w:color="auto"/>
                <w:left w:val="none" w:sz="0" w:space="0" w:color="auto"/>
                <w:bottom w:val="none" w:sz="0" w:space="0" w:color="auto"/>
                <w:right w:val="none" w:sz="0" w:space="0" w:color="auto"/>
              </w:divBdr>
              <w:divsChild>
                <w:div w:id="1379941121">
                  <w:marLeft w:val="0"/>
                  <w:marRight w:val="0"/>
                  <w:marTop w:val="0"/>
                  <w:marBottom w:val="0"/>
                  <w:divBdr>
                    <w:top w:val="none" w:sz="0" w:space="0" w:color="auto"/>
                    <w:left w:val="none" w:sz="0" w:space="0" w:color="auto"/>
                    <w:bottom w:val="none" w:sz="0" w:space="0" w:color="auto"/>
                    <w:right w:val="none" w:sz="0" w:space="0" w:color="auto"/>
                  </w:divBdr>
                </w:div>
              </w:divsChild>
            </w:div>
            <w:div w:id="332144619">
              <w:marLeft w:val="0"/>
              <w:marRight w:val="0"/>
              <w:marTop w:val="0"/>
              <w:marBottom w:val="0"/>
              <w:divBdr>
                <w:top w:val="none" w:sz="0" w:space="0" w:color="auto"/>
                <w:left w:val="none" w:sz="0" w:space="0" w:color="auto"/>
                <w:bottom w:val="none" w:sz="0" w:space="0" w:color="auto"/>
                <w:right w:val="none" w:sz="0" w:space="0" w:color="auto"/>
              </w:divBdr>
            </w:div>
            <w:div w:id="522978157">
              <w:marLeft w:val="0"/>
              <w:marRight w:val="0"/>
              <w:marTop w:val="0"/>
              <w:marBottom w:val="0"/>
              <w:divBdr>
                <w:top w:val="none" w:sz="0" w:space="0" w:color="auto"/>
                <w:left w:val="none" w:sz="0" w:space="0" w:color="auto"/>
                <w:bottom w:val="none" w:sz="0" w:space="0" w:color="auto"/>
                <w:right w:val="none" w:sz="0" w:space="0" w:color="auto"/>
              </w:divBdr>
              <w:divsChild>
                <w:div w:id="153255659">
                  <w:marLeft w:val="0"/>
                  <w:marRight w:val="0"/>
                  <w:marTop w:val="0"/>
                  <w:marBottom w:val="0"/>
                  <w:divBdr>
                    <w:top w:val="none" w:sz="0" w:space="0" w:color="auto"/>
                    <w:left w:val="none" w:sz="0" w:space="0" w:color="auto"/>
                    <w:bottom w:val="none" w:sz="0" w:space="0" w:color="auto"/>
                    <w:right w:val="none" w:sz="0" w:space="0" w:color="auto"/>
                  </w:divBdr>
                </w:div>
              </w:divsChild>
            </w:div>
            <w:div w:id="1706977435">
              <w:marLeft w:val="0"/>
              <w:marRight w:val="0"/>
              <w:marTop w:val="0"/>
              <w:marBottom w:val="0"/>
              <w:divBdr>
                <w:top w:val="none" w:sz="0" w:space="0" w:color="auto"/>
                <w:left w:val="none" w:sz="0" w:space="0" w:color="auto"/>
                <w:bottom w:val="none" w:sz="0" w:space="0" w:color="auto"/>
                <w:right w:val="none" w:sz="0" w:space="0" w:color="auto"/>
              </w:divBdr>
            </w:div>
            <w:div w:id="591819168">
              <w:marLeft w:val="0"/>
              <w:marRight w:val="0"/>
              <w:marTop w:val="0"/>
              <w:marBottom w:val="0"/>
              <w:divBdr>
                <w:top w:val="none" w:sz="0" w:space="0" w:color="auto"/>
                <w:left w:val="none" w:sz="0" w:space="0" w:color="auto"/>
                <w:bottom w:val="none" w:sz="0" w:space="0" w:color="auto"/>
                <w:right w:val="none" w:sz="0" w:space="0" w:color="auto"/>
              </w:divBdr>
              <w:divsChild>
                <w:div w:id="993605113">
                  <w:marLeft w:val="0"/>
                  <w:marRight w:val="0"/>
                  <w:marTop w:val="0"/>
                  <w:marBottom w:val="0"/>
                  <w:divBdr>
                    <w:top w:val="none" w:sz="0" w:space="0" w:color="auto"/>
                    <w:left w:val="none" w:sz="0" w:space="0" w:color="auto"/>
                    <w:bottom w:val="none" w:sz="0" w:space="0" w:color="auto"/>
                    <w:right w:val="none" w:sz="0" w:space="0" w:color="auto"/>
                  </w:divBdr>
                </w:div>
              </w:divsChild>
            </w:div>
            <w:div w:id="544174381">
              <w:marLeft w:val="0"/>
              <w:marRight w:val="0"/>
              <w:marTop w:val="0"/>
              <w:marBottom w:val="0"/>
              <w:divBdr>
                <w:top w:val="none" w:sz="0" w:space="0" w:color="auto"/>
                <w:left w:val="none" w:sz="0" w:space="0" w:color="auto"/>
                <w:bottom w:val="none" w:sz="0" w:space="0" w:color="auto"/>
                <w:right w:val="none" w:sz="0" w:space="0" w:color="auto"/>
              </w:divBdr>
            </w:div>
            <w:div w:id="1647737826">
              <w:marLeft w:val="0"/>
              <w:marRight w:val="0"/>
              <w:marTop w:val="0"/>
              <w:marBottom w:val="0"/>
              <w:divBdr>
                <w:top w:val="none" w:sz="0" w:space="0" w:color="auto"/>
                <w:left w:val="none" w:sz="0" w:space="0" w:color="auto"/>
                <w:bottom w:val="none" w:sz="0" w:space="0" w:color="auto"/>
                <w:right w:val="none" w:sz="0" w:space="0" w:color="auto"/>
              </w:divBdr>
            </w:div>
            <w:div w:id="1240674351">
              <w:marLeft w:val="0"/>
              <w:marRight w:val="0"/>
              <w:marTop w:val="0"/>
              <w:marBottom w:val="0"/>
              <w:divBdr>
                <w:top w:val="none" w:sz="0" w:space="0" w:color="auto"/>
                <w:left w:val="none" w:sz="0" w:space="0" w:color="auto"/>
                <w:bottom w:val="none" w:sz="0" w:space="0" w:color="auto"/>
                <w:right w:val="none" w:sz="0" w:space="0" w:color="auto"/>
              </w:divBdr>
            </w:div>
            <w:div w:id="1356156108">
              <w:marLeft w:val="0"/>
              <w:marRight w:val="0"/>
              <w:marTop w:val="0"/>
              <w:marBottom w:val="0"/>
              <w:divBdr>
                <w:top w:val="none" w:sz="0" w:space="0" w:color="auto"/>
                <w:left w:val="none" w:sz="0" w:space="0" w:color="auto"/>
                <w:bottom w:val="none" w:sz="0" w:space="0" w:color="auto"/>
                <w:right w:val="none" w:sz="0" w:space="0" w:color="auto"/>
              </w:divBdr>
              <w:divsChild>
                <w:div w:id="515197756">
                  <w:marLeft w:val="0"/>
                  <w:marRight w:val="0"/>
                  <w:marTop w:val="0"/>
                  <w:marBottom w:val="0"/>
                  <w:divBdr>
                    <w:top w:val="none" w:sz="0" w:space="0" w:color="auto"/>
                    <w:left w:val="none" w:sz="0" w:space="0" w:color="auto"/>
                    <w:bottom w:val="none" w:sz="0" w:space="0" w:color="auto"/>
                    <w:right w:val="none" w:sz="0" w:space="0" w:color="auto"/>
                  </w:divBdr>
                </w:div>
              </w:divsChild>
            </w:div>
            <w:div w:id="727146350">
              <w:marLeft w:val="0"/>
              <w:marRight w:val="0"/>
              <w:marTop w:val="0"/>
              <w:marBottom w:val="0"/>
              <w:divBdr>
                <w:top w:val="none" w:sz="0" w:space="0" w:color="auto"/>
                <w:left w:val="none" w:sz="0" w:space="0" w:color="auto"/>
                <w:bottom w:val="none" w:sz="0" w:space="0" w:color="auto"/>
                <w:right w:val="none" w:sz="0" w:space="0" w:color="auto"/>
              </w:divBdr>
              <w:divsChild>
                <w:div w:id="1181972459">
                  <w:marLeft w:val="0"/>
                  <w:marRight w:val="0"/>
                  <w:marTop w:val="0"/>
                  <w:marBottom w:val="0"/>
                  <w:divBdr>
                    <w:top w:val="none" w:sz="0" w:space="0" w:color="auto"/>
                    <w:left w:val="none" w:sz="0" w:space="0" w:color="auto"/>
                    <w:bottom w:val="none" w:sz="0" w:space="0" w:color="auto"/>
                    <w:right w:val="none" w:sz="0" w:space="0" w:color="auto"/>
                  </w:divBdr>
                </w:div>
              </w:divsChild>
            </w:div>
            <w:div w:id="655302738">
              <w:marLeft w:val="0"/>
              <w:marRight w:val="0"/>
              <w:marTop w:val="0"/>
              <w:marBottom w:val="0"/>
              <w:divBdr>
                <w:top w:val="none" w:sz="0" w:space="0" w:color="auto"/>
                <w:left w:val="none" w:sz="0" w:space="0" w:color="auto"/>
                <w:bottom w:val="none" w:sz="0" w:space="0" w:color="auto"/>
                <w:right w:val="none" w:sz="0" w:space="0" w:color="auto"/>
              </w:divBdr>
            </w:div>
            <w:div w:id="2039968139">
              <w:marLeft w:val="0"/>
              <w:marRight w:val="0"/>
              <w:marTop w:val="0"/>
              <w:marBottom w:val="0"/>
              <w:divBdr>
                <w:top w:val="none" w:sz="0" w:space="0" w:color="auto"/>
                <w:left w:val="none" w:sz="0" w:space="0" w:color="auto"/>
                <w:bottom w:val="none" w:sz="0" w:space="0" w:color="auto"/>
                <w:right w:val="none" w:sz="0" w:space="0" w:color="auto"/>
              </w:divBdr>
            </w:div>
            <w:div w:id="229272688">
              <w:marLeft w:val="0"/>
              <w:marRight w:val="0"/>
              <w:marTop w:val="0"/>
              <w:marBottom w:val="0"/>
              <w:divBdr>
                <w:top w:val="none" w:sz="0" w:space="0" w:color="auto"/>
                <w:left w:val="none" w:sz="0" w:space="0" w:color="auto"/>
                <w:bottom w:val="none" w:sz="0" w:space="0" w:color="auto"/>
                <w:right w:val="none" w:sz="0" w:space="0" w:color="auto"/>
              </w:divBdr>
            </w:div>
            <w:div w:id="805053820">
              <w:marLeft w:val="0"/>
              <w:marRight w:val="0"/>
              <w:marTop w:val="0"/>
              <w:marBottom w:val="0"/>
              <w:divBdr>
                <w:top w:val="none" w:sz="0" w:space="0" w:color="auto"/>
                <w:left w:val="none" w:sz="0" w:space="0" w:color="auto"/>
                <w:bottom w:val="none" w:sz="0" w:space="0" w:color="auto"/>
                <w:right w:val="none" w:sz="0" w:space="0" w:color="auto"/>
              </w:divBdr>
            </w:div>
            <w:div w:id="226767602">
              <w:marLeft w:val="0"/>
              <w:marRight w:val="0"/>
              <w:marTop w:val="0"/>
              <w:marBottom w:val="0"/>
              <w:divBdr>
                <w:top w:val="none" w:sz="0" w:space="0" w:color="auto"/>
                <w:left w:val="none" w:sz="0" w:space="0" w:color="auto"/>
                <w:bottom w:val="none" w:sz="0" w:space="0" w:color="auto"/>
                <w:right w:val="none" w:sz="0" w:space="0" w:color="auto"/>
              </w:divBdr>
            </w:div>
            <w:div w:id="227769702">
              <w:marLeft w:val="0"/>
              <w:marRight w:val="0"/>
              <w:marTop w:val="0"/>
              <w:marBottom w:val="0"/>
              <w:divBdr>
                <w:top w:val="none" w:sz="0" w:space="0" w:color="auto"/>
                <w:left w:val="none" w:sz="0" w:space="0" w:color="auto"/>
                <w:bottom w:val="none" w:sz="0" w:space="0" w:color="auto"/>
                <w:right w:val="none" w:sz="0" w:space="0" w:color="auto"/>
              </w:divBdr>
            </w:div>
            <w:div w:id="1477722396">
              <w:marLeft w:val="0"/>
              <w:marRight w:val="0"/>
              <w:marTop w:val="0"/>
              <w:marBottom w:val="0"/>
              <w:divBdr>
                <w:top w:val="none" w:sz="0" w:space="0" w:color="auto"/>
                <w:left w:val="none" w:sz="0" w:space="0" w:color="auto"/>
                <w:bottom w:val="none" w:sz="0" w:space="0" w:color="auto"/>
                <w:right w:val="none" w:sz="0" w:space="0" w:color="auto"/>
              </w:divBdr>
            </w:div>
            <w:div w:id="1661277331">
              <w:marLeft w:val="0"/>
              <w:marRight w:val="0"/>
              <w:marTop w:val="0"/>
              <w:marBottom w:val="0"/>
              <w:divBdr>
                <w:top w:val="none" w:sz="0" w:space="0" w:color="auto"/>
                <w:left w:val="none" w:sz="0" w:space="0" w:color="auto"/>
                <w:bottom w:val="none" w:sz="0" w:space="0" w:color="auto"/>
                <w:right w:val="none" w:sz="0" w:space="0" w:color="auto"/>
              </w:divBdr>
            </w:div>
            <w:div w:id="1379085849">
              <w:marLeft w:val="0"/>
              <w:marRight w:val="0"/>
              <w:marTop w:val="0"/>
              <w:marBottom w:val="0"/>
              <w:divBdr>
                <w:top w:val="none" w:sz="0" w:space="0" w:color="auto"/>
                <w:left w:val="none" w:sz="0" w:space="0" w:color="auto"/>
                <w:bottom w:val="none" w:sz="0" w:space="0" w:color="auto"/>
                <w:right w:val="none" w:sz="0" w:space="0" w:color="auto"/>
              </w:divBdr>
            </w:div>
            <w:div w:id="2019968401">
              <w:marLeft w:val="0"/>
              <w:marRight w:val="0"/>
              <w:marTop w:val="0"/>
              <w:marBottom w:val="0"/>
              <w:divBdr>
                <w:top w:val="none" w:sz="0" w:space="0" w:color="auto"/>
                <w:left w:val="none" w:sz="0" w:space="0" w:color="auto"/>
                <w:bottom w:val="none" w:sz="0" w:space="0" w:color="auto"/>
                <w:right w:val="none" w:sz="0" w:space="0" w:color="auto"/>
              </w:divBdr>
              <w:divsChild>
                <w:div w:id="354624341">
                  <w:marLeft w:val="0"/>
                  <w:marRight w:val="0"/>
                  <w:marTop w:val="0"/>
                  <w:marBottom w:val="0"/>
                  <w:divBdr>
                    <w:top w:val="none" w:sz="0" w:space="0" w:color="auto"/>
                    <w:left w:val="none" w:sz="0" w:space="0" w:color="auto"/>
                    <w:bottom w:val="none" w:sz="0" w:space="0" w:color="auto"/>
                    <w:right w:val="none" w:sz="0" w:space="0" w:color="auto"/>
                  </w:divBdr>
                </w:div>
              </w:divsChild>
            </w:div>
            <w:div w:id="1867406856">
              <w:marLeft w:val="0"/>
              <w:marRight w:val="0"/>
              <w:marTop w:val="0"/>
              <w:marBottom w:val="0"/>
              <w:divBdr>
                <w:top w:val="none" w:sz="0" w:space="0" w:color="auto"/>
                <w:left w:val="none" w:sz="0" w:space="0" w:color="auto"/>
                <w:bottom w:val="none" w:sz="0" w:space="0" w:color="auto"/>
                <w:right w:val="none" w:sz="0" w:space="0" w:color="auto"/>
              </w:divBdr>
            </w:div>
            <w:div w:id="1565874973">
              <w:marLeft w:val="0"/>
              <w:marRight w:val="0"/>
              <w:marTop w:val="0"/>
              <w:marBottom w:val="0"/>
              <w:divBdr>
                <w:top w:val="none" w:sz="0" w:space="0" w:color="auto"/>
                <w:left w:val="none" w:sz="0" w:space="0" w:color="auto"/>
                <w:bottom w:val="none" w:sz="0" w:space="0" w:color="auto"/>
                <w:right w:val="none" w:sz="0" w:space="0" w:color="auto"/>
              </w:divBdr>
              <w:divsChild>
                <w:div w:id="96338850">
                  <w:marLeft w:val="0"/>
                  <w:marRight w:val="0"/>
                  <w:marTop w:val="0"/>
                  <w:marBottom w:val="0"/>
                  <w:divBdr>
                    <w:top w:val="none" w:sz="0" w:space="0" w:color="auto"/>
                    <w:left w:val="none" w:sz="0" w:space="0" w:color="auto"/>
                    <w:bottom w:val="none" w:sz="0" w:space="0" w:color="auto"/>
                    <w:right w:val="none" w:sz="0" w:space="0" w:color="auto"/>
                  </w:divBdr>
                </w:div>
              </w:divsChild>
            </w:div>
            <w:div w:id="1811094931">
              <w:marLeft w:val="0"/>
              <w:marRight w:val="0"/>
              <w:marTop w:val="0"/>
              <w:marBottom w:val="0"/>
              <w:divBdr>
                <w:top w:val="none" w:sz="0" w:space="0" w:color="auto"/>
                <w:left w:val="none" w:sz="0" w:space="0" w:color="auto"/>
                <w:bottom w:val="none" w:sz="0" w:space="0" w:color="auto"/>
                <w:right w:val="none" w:sz="0" w:space="0" w:color="auto"/>
              </w:divBdr>
              <w:divsChild>
                <w:div w:id="249387100">
                  <w:marLeft w:val="0"/>
                  <w:marRight w:val="0"/>
                  <w:marTop w:val="0"/>
                  <w:marBottom w:val="0"/>
                  <w:divBdr>
                    <w:top w:val="none" w:sz="0" w:space="0" w:color="auto"/>
                    <w:left w:val="none" w:sz="0" w:space="0" w:color="auto"/>
                    <w:bottom w:val="none" w:sz="0" w:space="0" w:color="auto"/>
                    <w:right w:val="none" w:sz="0" w:space="0" w:color="auto"/>
                  </w:divBdr>
                </w:div>
              </w:divsChild>
            </w:div>
            <w:div w:id="629436738">
              <w:marLeft w:val="0"/>
              <w:marRight w:val="0"/>
              <w:marTop w:val="0"/>
              <w:marBottom w:val="0"/>
              <w:divBdr>
                <w:top w:val="none" w:sz="0" w:space="0" w:color="auto"/>
                <w:left w:val="none" w:sz="0" w:space="0" w:color="auto"/>
                <w:bottom w:val="none" w:sz="0" w:space="0" w:color="auto"/>
                <w:right w:val="none" w:sz="0" w:space="0" w:color="auto"/>
              </w:divBdr>
              <w:divsChild>
                <w:div w:id="338968551">
                  <w:marLeft w:val="0"/>
                  <w:marRight w:val="0"/>
                  <w:marTop w:val="0"/>
                  <w:marBottom w:val="0"/>
                  <w:divBdr>
                    <w:top w:val="none" w:sz="0" w:space="0" w:color="auto"/>
                    <w:left w:val="none" w:sz="0" w:space="0" w:color="auto"/>
                    <w:bottom w:val="none" w:sz="0" w:space="0" w:color="auto"/>
                    <w:right w:val="none" w:sz="0" w:space="0" w:color="auto"/>
                  </w:divBdr>
                </w:div>
              </w:divsChild>
            </w:div>
            <w:div w:id="530342285">
              <w:marLeft w:val="0"/>
              <w:marRight w:val="0"/>
              <w:marTop w:val="0"/>
              <w:marBottom w:val="0"/>
              <w:divBdr>
                <w:top w:val="none" w:sz="0" w:space="0" w:color="auto"/>
                <w:left w:val="none" w:sz="0" w:space="0" w:color="auto"/>
                <w:bottom w:val="none" w:sz="0" w:space="0" w:color="auto"/>
                <w:right w:val="none" w:sz="0" w:space="0" w:color="auto"/>
              </w:divBdr>
              <w:divsChild>
                <w:div w:id="339554028">
                  <w:marLeft w:val="0"/>
                  <w:marRight w:val="0"/>
                  <w:marTop w:val="0"/>
                  <w:marBottom w:val="0"/>
                  <w:divBdr>
                    <w:top w:val="none" w:sz="0" w:space="0" w:color="auto"/>
                    <w:left w:val="none" w:sz="0" w:space="0" w:color="auto"/>
                    <w:bottom w:val="none" w:sz="0" w:space="0" w:color="auto"/>
                    <w:right w:val="none" w:sz="0" w:space="0" w:color="auto"/>
                  </w:divBdr>
                </w:div>
              </w:divsChild>
            </w:div>
            <w:div w:id="313608174">
              <w:marLeft w:val="0"/>
              <w:marRight w:val="0"/>
              <w:marTop w:val="0"/>
              <w:marBottom w:val="0"/>
              <w:divBdr>
                <w:top w:val="none" w:sz="0" w:space="0" w:color="auto"/>
                <w:left w:val="none" w:sz="0" w:space="0" w:color="auto"/>
                <w:bottom w:val="none" w:sz="0" w:space="0" w:color="auto"/>
                <w:right w:val="none" w:sz="0" w:space="0" w:color="auto"/>
              </w:divBdr>
            </w:div>
            <w:div w:id="373894869">
              <w:marLeft w:val="0"/>
              <w:marRight w:val="0"/>
              <w:marTop w:val="0"/>
              <w:marBottom w:val="0"/>
              <w:divBdr>
                <w:top w:val="none" w:sz="0" w:space="0" w:color="auto"/>
                <w:left w:val="none" w:sz="0" w:space="0" w:color="auto"/>
                <w:bottom w:val="none" w:sz="0" w:space="0" w:color="auto"/>
                <w:right w:val="none" w:sz="0" w:space="0" w:color="auto"/>
              </w:divBdr>
            </w:div>
            <w:div w:id="718016814">
              <w:marLeft w:val="0"/>
              <w:marRight w:val="0"/>
              <w:marTop w:val="0"/>
              <w:marBottom w:val="0"/>
              <w:divBdr>
                <w:top w:val="none" w:sz="0" w:space="0" w:color="auto"/>
                <w:left w:val="none" w:sz="0" w:space="0" w:color="auto"/>
                <w:bottom w:val="none" w:sz="0" w:space="0" w:color="auto"/>
                <w:right w:val="none" w:sz="0" w:space="0" w:color="auto"/>
              </w:divBdr>
            </w:div>
            <w:div w:id="493649370">
              <w:marLeft w:val="0"/>
              <w:marRight w:val="0"/>
              <w:marTop w:val="0"/>
              <w:marBottom w:val="0"/>
              <w:divBdr>
                <w:top w:val="none" w:sz="0" w:space="0" w:color="auto"/>
                <w:left w:val="none" w:sz="0" w:space="0" w:color="auto"/>
                <w:bottom w:val="none" w:sz="0" w:space="0" w:color="auto"/>
                <w:right w:val="none" w:sz="0" w:space="0" w:color="auto"/>
              </w:divBdr>
            </w:div>
            <w:div w:id="2031374699">
              <w:marLeft w:val="0"/>
              <w:marRight w:val="0"/>
              <w:marTop w:val="0"/>
              <w:marBottom w:val="0"/>
              <w:divBdr>
                <w:top w:val="none" w:sz="0" w:space="0" w:color="auto"/>
                <w:left w:val="none" w:sz="0" w:space="0" w:color="auto"/>
                <w:bottom w:val="none" w:sz="0" w:space="0" w:color="auto"/>
                <w:right w:val="none" w:sz="0" w:space="0" w:color="auto"/>
              </w:divBdr>
              <w:divsChild>
                <w:div w:id="1311521516">
                  <w:marLeft w:val="0"/>
                  <w:marRight w:val="0"/>
                  <w:marTop w:val="0"/>
                  <w:marBottom w:val="0"/>
                  <w:divBdr>
                    <w:top w:val="none" w:sz="0" w:space="0" w:color="auto"/>
                    <w:left w:val="none" w:sz="0" w:space="0" w:color="auto"/>
                    <w:bottom w:val="none" w:sz="0" w:space="0" w:color="auto"/>
                    <w:right w:val="none" w:sz="0" w:space="0" w:color="auto"/>
                  </w:divBdr>
                </w:div>
              </w:divsChild>
            </w:div>
            <w:div w:id="126777055">
              <w:marLeft w:val="0"/>
              <w:marRight w:val="0"/>
              <w:marTop w:val="0"/>
              <w:marBottom w:val="0"/>
              <w:divBdr>
                <w:top w:val="none" w:sz="0" w:space="0" w:color="auto"/>
                <w:left w:val="none" w:sz="0" w:space="0" w:color="auto"/>
                <w:bottom w:val="none" w:sz="0" w:space="0" w:color="auto"/>
                <w:right w:val="none" w:sz="0" w:space="0" w:color="auto"/>
              </w:divBdr>
              <w:divsChild>
                <w:div w:id="413015099">
                  <w:marLeft w:val="0"/>
                  <w:marRight w:val="0"/>
                  <w:marTop w:val="0"/>
                  <w:marBottom w:val="0"/>
                  <w:divBdr>
                    <w:top w:val="none" w:sz="0" w:space="0" w:color="auto"/>
                    <w:left w:val="none" w:sz="0" w:space="0" w:color="auto"/>
                    <w:bottom w:val="none" w:sz="0" w:space="0" w:color="auto"/>
                    <w:right w:val="none" w:sz="0" w:space="0" w:color="auto"/>
                  </w:divBdr>
                </w:div>
              </w:divsChild>
            </w:div>
            <w:div w:id="993951662">
              <w:marLeft w:val="0"/>
              <w:marRight w:val="0"/>
              <w:marTop w:val="0"/>
              <w:marBottom w:val="0"/>
              <w:divBdr>
                <w:top w:val="none" w:sz="0" w:space="0" w:color="auto"/>
                <w:left w:val="none" w:sz="0" w:space="0" w:color="auto"/>
                <w:bottom w:val="none" w:sz="0" w:space="0" w:color="auto"/>
                <w:right w:val="none" w:sz="0" w:space="0" w:color="auto"/>
              </w:divBdr>
              <w:divsChild>
                <w:div w:id="39597652">
                  <w:marLeft w:val="0"/>
                  <w:marRight w:val="0"/>
                  <w:marTop w:val="0"/>
                  <w:marBottom w:val="0"/>
                  <w:divBdr>
                    <w:top w:val="none" w:sz="0" w:space="0" w:color="auto"/>
                    <w:left w:val="none" w:sz="0" w:space="0" w:color="auto"/>
                    <w:bottom w:val="none" w:sz="0" w:space="0" w:color="auto"/>
                    <w:right w:val="none" w:sz="0" w:space="0" w:color="auto"/>
                  </w:divBdr>
                </w:div>
              </w:divsChild>
            </w:div>
            <w:div w:id="1248802502">
              <w:marLeft w:val="0"/>
              <w:marRight w:val="0"/>
              <w:marTop w:val="0"/>
              <w:marBottom w:val="0"/>
              <w:divBdr>
                <w:top w:val="none" w:sz="0" w:space="0" w:color="auto"/>
                <w:left w:val="none" w:sz="0" w:space="0" w:color="auto"/>
                <w:bottom w:val="none" w:sz="0" w:space="0" w:color="auto"/>
                <w:right w:val="none" w:sz="0" w:space="0" w:color="auto"/>
              </w:divBdr>
              <w:divsChild>
                <w:div w:id="2001688971">
                  <w:marLeft w:val="0"/>
                  <w:marRight w:val="0"/>
                  <w:marTop w:val="0"/>
                  <w:marBottom w:val="0"/>
                  <w:divBdr>
                    <w:top w:val="none" w:sz="0" w:space="0" w:color="auto"/>
                    <w:left w:val="none" w:sz="0" w:space="0" w:color="auto"/>
                    <w:bottom w:val="none" w:sz="0" w:space="0" w:color="auto"/>
                    <w:right w:val="none" w:sz="0" w:space="0" w:color="auto"/>
                  </w:divBdr>
                </w:div>
              </w:divsChild>
            </w:div>
            <w:div w:id="1845506669">
              <w:marLeft w:val="0"/>
              <w:marRight w:val="0"/>
              <w:marTop w:val="0"/>
              <w:marBottom w:val="0"/>
              <w:divBdr>
                <w:top w:val="none" w:sz="0" w:space="0" w:color="auto"/>
                <w:left w:val="none" w:sz="0" w:space="0" w:color="auto"/>
                <w:bottom w:val="none" w:sz="0" w:space="0" w:color="auto"/>
                <w:right w:val="none" w:sz="0" w:space="0" w:color="auto"/>
              </w:divBdr>
            </w:div>
            <w:div w:id="632515588">
              <w:marLeft w:val="0"/>
              <w:marRight w:val="0"/>
              <w:marTop w:val="0"/>
              <w:marBottom w:val="0"/>
              <w:divBdr>
                <w:top w:val="none" w:sz="0" w:space="0" w:color="auto"/>
                <w:left w:val="none" w:sz="0" w:space="0" w:color="auto"/>
                <w:bottom w:val="none" w:sz="0" w:space="0" w:color="auto"/>
                <w:right w:val="none" w:sz="0" w:space="0" w:color="auto"/>
              </w:divBdr>
            </w:div>
            <w:div w:id="2009747880">
              <w:marLeft w:val="0"/>
              <w:marRight w:val="0"/>
              <w:marTop w:val="0"/>
              <w:marBottom w:val="0"/>
              <w:divBdr>
                <w:top w:val="none" w:sz="0" w:space="0" w:color="auto"/>
                <w:left w:val="none" w:sz="0" w:space="0" w:color="auto"/>
                <w:bottom w:val="none" w:sz="0" w:space="0" w:color="auto"/>
                <w:right w:val="none" w:sz="0" w:space="0" w:color="auto"/>
              </w:divBdr>
            </w:div>
            <w:div w:id="1843621634">
              <w:marLeft w:val="0"/>
              <w:marRight w:val="0"/>
              <w:marTop w:val="0"/>
              <w:marBottom w:val="0"/>
              <w:divBdr>
                <w:top w:val="none" w:sz="0" w:space="0" w:color="auto"/>
                <w:left w:val="none" w:sz="0" w:space="0" w:color="auto"/>
                <w:bottom w:val="none" w:sz="0" w:space="0" w:color="auto"/>
                <w:right w:val="none" w:sz="0" w:space="0" w:color="auto"/>
              </w:divBdr>
              <w:divsChild>
                <w:div w:id="853491773">
                  <w:marLeft w:val="0"/>
                  <w:marRight w:val="0"/>
                  <w:marTop w:val="0"/>
                  <w:marBottom w:val="0"/>
                  <w:divBdr>
                    <w:top w:val="none" w:sz="0" w:space="0" w:color="auto"/>
                    <w:left w:val="none" w:sz="0" w:space="0" w:color="auto"/>
                    <w:bottom w:val="none" w:sz="0" w:space="0" w:color="auto"/>
                    <w:right w:val="none" w:sz="0" w:space="0" w:color="auto"/>
                  </w:divBdr>
                </w:div>
              </w:divsChild>
            </w:div>
            <w:div w:id="1275944105">
              <w:marLeft w:val="0"/>
              <w:marRight w:val="0"/>
              <w:marTop w:val="0"/>
              <w:marBottom w:val="0"/>
              <w:divBdr>
                <w:top w:val="none" w:sz="0" w:space="0" w:color="auto"/>
                <w:left w:val="none" w:sz="0" w:space="0" w:color="auto"/>
                <w:bottom w:val="none" w:sz="0" w:space="0" w:color="auto"/>
                <w:right w:val="none" w:sz="0" w:space="0" w:color="auto"/>
              </w:divBdr>
            </w:div>
            <w:div w:id="1499618759">
              <w:marLeft w:val="0"/>
              <w:marRight w:val="0"/>
              <w:marTop w:val="0"/>
              <w:marBottom w:val="0"/>
              <w:divBdr>
                <w:top w:val="none" w:sz="0" w:space="0" w:color="auto"/>
                <w:left w:val="none" w:sz="0" w:space="0" w:color="auto"/>
                <w:bottom w:val="none" w:sz="0" w:space="0" w:color="auto"/>
                <w:right w:val="none" w:sz="0" w:space="0" w:color="auto"/>
              </w:divBdr>
            </w:div>
            <w:div w:id="1177843513">
              <w:marLeft w:val="0"/>
              <w:marRight w:val="0"/>
              <w:marTop w:val="0"/>
              <w:marBottom w:val="0"/>
              <w:divBdr>
                <w:top w:val="none" w:sz="0" w:space="0" w:color="auto"/>
                <w:left w:val="none" w:sz="0" w:space="0" w:color="auto"/>
                <w:bottom w:val="none" w:sz="0" w:space="0" w:color="auto"/>
                <w:right w:val="none" w:sz="0" w:space="0" w:color="auto"/>
              </w:divBdr>
            </w:div>
            <w:div w:id="1507861860">
              <w:marLeft w:val="0"/>
              <w:marRight w:val="0"/>
              <w:marTop w:val="0"/>
              <w:marBottom w:val="0"/>
              <w:divBdr>
                <w:top w:val="none" w:sz="0" w:space="0" w:color="auto"/>
                <w:left w:val="none" w:sz="0" w:space="0" w:color="auto"/>
                <w:bottom w:val="none" w:sz="0" w:space="0" w:color="auto"/>
                <w:right w:val="none" w:sz="0" w:space="0" w:color="auto"/>
              </w:divBdr>
              <w:divsChild>
                <w:div w:id="1854614196">
                  <w:marLeft w:val="0"/>
                  <w:marRight w:val="0"/>
                  <w:marTop w:val="0"/>
                  <w:marBottom w:val="0"/>
                  <w:divBdr>
                    <w:top w:val="none" w:sz="0" w:space="0" w:color="auto"/>
                    <w:left w:val="none" w:sz="0" w:space="0" w:color="auto"/>
                    <w:bottom w:val="none" w:sz="0" w:space="0" w:color="auto"/>
                    <w:right w:val="none" w:sz="0" w:space="0" w:color="auto"/>
                  </w:divBdr>
                </w:div>
              </w:divsChild>
            </w:div>
            <w:div w:id="1694111754">
              <w:marLeft w:val="0"/>
              <w:marRight w:val="0"/>
              <w:marTop w:val="0"/>
              <w:marBottom w:val="0"/>
              <w:divBdr>
                <w:top w:val="none" w:sz="0" w:space="0" w:color="auto"/>
                <w:left w:val="none" w:sz="0" w:space="0" w:color="auto"/>
                <w:bottom w:val="none" w:sz="0" w:space="0" w:color="auto"/>
                <w:right w:val="none" w:sz="0" w:space="0" w:color="auto"/>
              </w:divBdr>
              <w:divsChild>
                <w:div w:id="40786749">
                  <w:marLeft w:val="0"/>
                  <w:marRight w:val="0"/>
                  <w:marTop w:val="0"/>
                  <w:marBottom w:val="0"/>
                  <w:divBdr>
                    <w:top w:val="none" w:sz="0" w:space="0" w:color="auto"/>
                    <w:left w:val="none" w:sz="0" w:space="0" w:color="auto"/>
                    <w:bottom w:val="none" w:sz="0" w:space="0" w:color="auto"/>
                    <w:right w:val="none" w:sz="0" w:space="0" w:color="auto"/>
                  </w:divBdr>
                </w:div>
              </w:divsChild>
            </w:div>
            <w:div w:id="1287421222">
              <w:marLeft w:val="0"/>
              <w:marRight w:val="0"/>
              <w:marTop w:val="0"/>
              <w:marBottom w:val="0"/>
              <w:divBdr>
                <w:top w:val="none" w:sz="0" w:space="0" w:color="auto"/>
                <w:left w:val="none" w:sz="0" w:space="0" w:color="auto"/>
                <w:bottom w:val="none" w:sz="0" w:space="0" w:color="auto"/>
                <w:right w:val="none" w:sz="0" w:space="0" w:color="auto"/>
              </w:divBdr>
            </w:div>
            <w:div w:id="1047293828">
              <w:marLeft w:val="0"/>
              <w:marRight w:val="0"/>
              <w:marTop w:val="0"/>
              <w:marBottom w:val="0"/>
              <w:divBdr>
                <w:top w:val="none" w:sz="0" w:space="0" w:color="auto"/>
                <w:left w:val="none" w:sz="0" w:space="0" w:color="auto"/>
                <w:bottom w:val="none" w:sz="0" w:space="0" w:color="auto"/>
                <w:right w:val="none" w:sz="0" w:space="0" w:color="auto"/>
              </w:divBdr>
              <w:divsChild>
                <w:div w:id="1236818438">
                  <w:marLeft w:val="0"/>
                  <w:marRight w:val="0"/>
                  <w:marTop w:val="0"/>
                  <w:marBottom w:val="0"/>
                  <w:divBdr>
                    <w:top w:val="none" w:sz="0" w:space="0" w:color="auto"/>
                    <w:left w:val="none" w:sz="0" w:space="0" w:color="auto"/>
                    <w:bottom w:val="none" w:sz="0" w:space="0" w:color="auto"/>
                    <w:right w:val="none" w:sz="0" w:space="0" w:color="auto"/>
                  </w:divBdr>
                </w:div>
              </w:divsChild>
            </w:div>
            <w:div w:id="1456950457">
              <w:marLeft w:val="0"/>
              <w:marRight w:val="0"/>
              <w:marTop w:val="0"/>
              <w:marBottom w:val="0"/>
              <w:divBdr>
                <w:top w:val="none" w:sz="0" w:space="0" w:color="auto"/>
                <w:left w:val="none" w:sz="0" w:space="0" w:color="auto"/>
                <w:bottom w:val="none" w:sz="0" w:space="0" w:color="auto"/>
                <w:right w:val="none" w:sz="0" w:space="0" w:color="auto"/>
              </w:divBdr>
            </w:div>
            <w:div w:id="1237517443">
              <w:marLeft w:val="0"/>
              <w:marRight w:val="0"/>
              <w:marTop w:val="0"/>
              <w:marBottom w:val="0"/>
              <w:divBdr>
                <w:top w:val="none" w:sz="0" w:space="0" w:color="auto"/>
                <w:left w:val="none" w:sz="0" w:space="0" w:color="auto"/>
                <w:bottom w:val="none" w:sz="0" w:space="0" w:color="auto"/>
                <w:right w:val="none" w:sz="0" w:space="0" w:color="auto"/>
              </w:divBdr>
              <w:divsChild>
                <w:div w:id="116412210">
                  <w:marLeft w:val="0"/>
                  <w:marRight w:val="0"/>
                  <w:marTop w:val="0"/>
                  <w:marBottom w:val="0"/>
                  <w:divBdr>
                    <w:top w:val="none" w:sz="0" w:space="0" w:color="auto"/>
                    <w:left w:val="none" w:sz="0" w:space="0" w:color="auto"/>
                    <w:bottom w:val="none" w:sz="0" w:space="0" w:color="auto"/>
                    <w:right w:val="none" w:sz="0" w:space="0" w:color="auto"/>
                  </w:divBdr>
                </w:div>
              </w:divsChild>
            </w:div>
            <w:div w:id="85425795">
              <w:marLeft w:val="0"/>
              <w:marRight w:val="0"/>
              <w:marTop w:val="0"/>
              <w:marBottom w:val="0"/>
              <w:divBdr>
                <w:top w:val="none" w:sz="0" w:space="0" w:color="auto"/>
                <w:left w:val="none" w:sz="0" w:space="0" w:color="auto"/>
                <w:bottom w:val="none" w:sz="0" w:space="0" w:color="auto"/>
                <w:right w:val="none" w:sz="0" w:space="0" w:color="auto"/>
              </w:divBdr>
              <w:divsChild>
                <w:div w:id="462382657">
                  <w:marLeft w:val="0"/>
                  <w:marRight w:val="0"/>
                  <w:marTop w:val="0"/>
                  <w:marBottom w:val="0"/>
                  <w:divBdr>
                    <w:top w:val="none" w:sz="0" w:space="0" w:color="auto"/>
                    <w:left w:val="none" w:sz="0" w:space="0" w:color="auto"/>
                    <w:bottom w:val="none" w:sz="0" w:space="0" w:color="auto"/>
                    <w:right w:val="none" w:sz="0" w:space="0" w:color="auto"/>
                  </w:divBdr>
                </w:div>
              </w:divsChild>
            </w:div>
            <w:div w:id="537162895">
              <w:marLeft w:val="0"/>
              <w:marRight w:val="0"/>
              <w:marTop w:val="0"/>
              <w:marBottom w:val="0"/>
              <w:divBdr>
                <w:top w:val="none" w:sz="0" w:space="0" w:color="auto"/>
                <w:left w:val="none" w:sz="0" w:space="0" w:color="auto"/>
                <w:bottom w:val="none" w:sz="0" w:space="0" w:color="auto"/>
                <w:right w:val="none" w:sz="0" w:space="0" w:color="auto"/>
              </w:divBdr>
            </w:div>
            <w:div w:id="1277173078">
              <w:marLeft w:val="0"/>
              <w:marRight w:val="0"/>
              <w:marTop w:val="0"/>
              <w:marBottom w:val="0"/>
              <w:divBdr>
                <w:top w:val="none" w:sz="0" w:space="0" w:color="auto"/>
                <w:left w:val="none" w:sz="0" w:space="0" w:color="auto"/>
                <w:bottom w:val="none" w:sz="0" w:space="0" w:color="auto"/>
                <w:right w:val="none" w:sz="0" w:space="0" w:color="auto"/>
              </w:divBdr>
            </w:div>
            <w:div w:id="1843006237">
              <w:marLeft w:val="0"/>
              <w:marRight w:val="0"/>
              <w:marTop w:val="0"/>
              <w:marBottom w:val="0"/>
              <w:divBdr>
                <w:top w:val="none" w:sz="0" w:space="0" w:color="auto"/>
                <w:left w:val="none" w:sz="0" w:space="0" w:color="auto"/>
                <w:bottom w:val="none" w:sz="0" w:space="0" w:color="auto"/>
                <w:right w:val="none" w:sz="0" w:space="0" w:color="auto"/>
              </w:divBdr>
              <w:divsChild>
                <w:div w:id="1824661195">
                  <w:marLeft w:val="0"/>
                  <w:marRight w:val="0"/>
                  <w:marTop w:val="0"/>
                  <w:marBottom w:val="0"/>
                  <w:divBdr>
                    <w:top w:val="none" w:sz="0" w:space="0" w:color="auto"/>
                    <w:left w:val="none" w:sz="0" w:space="0" w:color="auto"/>
                    <w:bottom w:val="none" w:sz="0" w:space="0" w:color="auto"/>
                    <w:right w:val="none" w:sz="0" w:space="0" w:color="auto"/>
                  </w:divBdr>
                </w:div>
              </w:divsChild>
            </w:div>
            <w:div w:id="1517306299">
              <w:marLeft w:val="0"/>
              <w:marRight w:val="0"/>
              <w:marTop w:val="0"/>
              <w:marBottom w:val="0"/>
              <w:divBdr>
                <w:top w:val="none" w:sz="0" w:space="0" w:color="auto"/>
                <w:left w:val="none" w:sz="0" w:space="0" w:color="auto"/>
                <w:bottom w:val="none" w:sz="0" w:space="0" w:color="auto"/>
                <w:right w:val="none" w:sz="0" w:space="0" w:color="auto"/>
              </w:divBdr>
            </w:div>
            <w:div w:id="1862820742">
              <w:marLeft w:val="0"/>
              <w:marRight w:val="0"/>
              <w:marTop w:val="0"/>
              <w:marBottom w:val="0"/>
              <w:divBdr>
                <w:top w:val="none" w:sz="0" w:space="0" w:color="auto"/>
                <w:left w:val="none" w:sz="0" w:space="0" w:color="auto"/>
                <w:bottom w:val="none" w:sz="0" w:space="0" w:color="auto"/>
                <w:right w:val="none" w:sz="0" w:space="0" w:color="auto"/>
              </w:divBdr>
              <w:divsChild>
                <w:div w:id="1192186468">
                  <w:marLeft w:val="0"/>
                  <w:marRight w:val="0"/>
                  <w:marTop w:val="0"/>
                  <w:marBottom w:val="0"/>
                  <w:divBdr>
                    <w:top w:val="none" w:sz="0" w:space="0" w:color="auto"/>
                    <w:left w:val="none" w:sz="0" w:space="0" w:color="auto"/>
                    <w:bottom w:val="none" w:sz="0" w:space="0" w:color="auto"/>
                    <w:right w:val="none" w:sz="0" w:space="0" w:color="auto"/>
                  </w:divBdr>
                </w:div>
              </w:divsChild>
            </w:div>
            <w:div w:id="965308805">
              <w:marLeft w:val="0"/>
              <w:marRight w:val="0"/>
              <w:marTop w:val="0"/>
              <w:marBottom w:val="0"/>
              <w:divBdr>
                <w:top w:val="none" w:sz="0" w:space="0" w:color="auto"/>
                <w:left w:val="none" w:sz="0" w:space="0" w:color="auto"/>
                <w:bottom w:val="none" w:sz="0" w:space="0" w:color="auto"/>
                <w:right w:val="none" w:sz="0" w:space="0" w:color="auto"/>
              </w:divBdr>
              <w:divsChild>
                <w:div w:id="819886527">
                  <w:marLeft w:val="0"/>
                  <w:marRight w:val="0"/>
                  <w:marTop w:val="0"/>
                  <w:marBottom w:val="0"/>
                  <w:divBdr>
                    <w:top w:val="none" w:sz="0" w:space="0" w:color="auto"/>
                    <w:left w:val="none" w:sz="0" w:space="0" w:color="auto"/>
                    <w:bottom w:val="none" w:sz="0" w:space="0" w:color="auto"/>
                    <w:right w:val="none" w:sz="0" w:space="0" w:color="auto"/>
                  </w:divBdr>
                </w:div>
              </w:divsChild>
            </w:div>
            <w:div w:id="381027957">
              <w:marLeft w:val="0"/>
              <w:marRight w:val="0"/>
              <w:marTop w:val="0"/>
              <w:marBottom w:val="0"/>
              <w:divBdr>
                <w:top w:val="none" w:sz="0" w:space="0" w:color="auto"/>
                <w:left w:val="none" w:sz="0" w:space="0" w:color="auto"/>
                <w:bottom w:val="none" w:sz="0" w:space="0" w:color="auto"/>
                <w:right w:val="none" w:sz="0" w:space="0" w:color="auto"/>
              </w:divBdr>
            </w:div>
            <w:div w:id="938759390">
              <w:marLeft w:val="0"/>
              <w:marRight w:val="0"/>
              <w:marTop w:val="0"/>
              <w:marBottom w:val="0"/>
              <w:divBdr>
                <w:top w:val="none" w:sz="0" w:space="0" w:color="auto"/>
                <w:left w:val="none" w:sz="0" w:space="0" w:color="auto"/>
                <w:bottom w:val="none" w:sz="0" w:space="0" w:color="auto"/>
                <w:right w:val="none" w:sz="0" w:space="0" w:color="auto"/>
              </w:divBdr>
            </w:div>
            <w:div w:id="1565602803">
              <w:marLeft w:val="0"/>
              <w:marRight w:val="0"/>
              <w:marTop w:val="0"/>
              <w:marBottom w:val="0"/>
              <w:divBdr>
                <w:top w:val="none" w:sz="0" w:space="0" w:color="auto"/>
                <w:left w:val="none" w:sz="0" w:space="0" w:color="auto"/>
                <w:bottom w:val="none" w:sz="0" w:space="0" w:color="auto"/>
                <w:right w:val="none" w:sz="0" w:space="0" w:color="auto"/>
              </w:divBdr>
            </w:div>
            <w:div w:id="54550261">
              <w:marLeft w:val="0"/>
              <w:marRight w:val="0"/>
              <w:marTop w:val="0"/>
              <w:marBottom w:val="0"/>
              <w:divBdr>
                <w:top w:val="none" w:sz="0" w:space="0" w:color="auto"/>
                <w:left w:val="none" w:sz="0" w:space="0" w:color="auto"/>
                <w:bottom w:val="none" w:sz="0" w:space="0" w:color="auto"/>
                <w:right w:val="none" w:sz="0" w:space="0" w:color="auto"/>
              </w:divBdr>
            </w:div>
            <w:div w:id="1267739425">
              <w:marLeft w:val="0"/>
              <w:marRight w:val="0"/>
              <w:marTop w:val="0"/>
              <w:marBottom w:val="0"/>
              <w:divBdr>
                <w:top w:val="none" w:sz="0" w:space="0" w:color="auto"/>
                <w:left w:val="none" w:sz="0" w:space="0" w:color="auto"/>
                <w:bottom w:val="none" w:sz="0" w:space="0" w:color="auto"/>
                <w:right w:val="none" w:sz="0" w:space="0" w:color="auto"/>
              </w:divBdr>
              <w:divsChild>
                <w:div w:id="173422634">
                  <w:marLeft w:val="0"/>
                  <w:marRight w:val="0"/>
                  <w:marTop w:val="0"/>
                  <w:marBottom w:val="0"/>
                  <w:divBdr>
                    <w:top w:val="none" w:sz="0" w:space="0" w:color="auto"/>
                    <w:left w:val="none" w:sz="0" w:space="0" w:color="auto"/>
                    <w:bottom w:val="none" w:sz="0" w:space="0" w:color="auto"/>
                    <w:right w:val="none" w:sz="0" w:space="0" w:color="auto"/>
                  </w:divBdr>
                </w:div>
              </w:divsChild>
            </w:div>
            <w:div w:id="627399913">
              <w:marLeft w:val="0"/>
              <w:marRight w:val="0"/>
              <w:marTop w:val="0"/>
              <w:marBottom w:val="0"/>
              <w:divBdr>
                <w:top w:val="none" w:sz="0" w:space="0" w:color="auto"/>
                <w:left w:val="none" w:sz="0" w:space="0" w:color="auto"/>
                <w:bottom w:val="none" w:sz="0" w:space="0" w:color="auto"/>
                <w:right w:val="none" w:sz="0" w:space="0" w:color="auto"/>
              </w:divBdr>
            </w:div>
            <w:div w:id="351803444">
              <w:marLeft w:val="0"/>
              <w:marRight w:val="0"/>
              <w:marTop w:val="0"/>
              <w:marBottom w:val="0"/>
              <w:divBdr>
                <w:top w:val="none" w:sz="0" w:space="0" w:color="auto"/>
                <w:left w:val="none" w:sz="0" w:space="0" w:color="auto"/>
                <w:bottom w:val="none" w:sz="0" w:space="0" w:color="auto"/>
                <w:right w:val="none" w:sz="0" w:space="0" w:color="auto"/>
              </w:divBdr>
              <w:divsChild>
                <w:div w:id="51975240">
                  <w:marLeft w:val="0"/>
                  <w:marRight w:val="0"/>
                  <w:marTop w:val="0"/>
                  <w:marBottom w:val="0"/>
                  <w:divBdr>
                    <w:top w:val="none" w:sz="0" w:space="0" w:color="auto"/>
                    <w:left w:val="none" w:sz="0" w:space="0" w:color="auto"/>
                    <w:bottom w:val="none" w:sz="0" w:space="0" w:color="auto"/>
                    <w:right w:val="none" w:sz="0" w:space="0" w:color="auto"/>
                  </w:divBdr>
                </w:div>
              </w:divsChild>
            </w:div>
            <w:div w:id="442460337">
              <w:marLeft w:val="0"/>
              <w:marRight w:val="0"/>
              <w:marTop w:val="0"/>
              <w:marBottom w:val="0"/>
              <w:divBdr>
                <w:top w:val="none" w:sz="0" w:space="0" w:color="auto"/>
                <w:left w:val="none" w:sz="0" w:space="0" w:color="auto"/>
                <w:bottom w:val="none" w:sz="0" w:space="0" w:color="auto"/>
                <w:right w:val="none" w:sz="0" w:space="0" w:color="auto"/>
              </w:divBdr>
            </w:div>
            <w:div w:id="949823881">
              <w:marLeft w:val="0"/>
              <w:marRight w:val="0"/>
              <w:marTop w:val="0"/>
              <w:marBottom w:val="0"/>
              <w:divBdr>
                <w:top w:val="none" w:sz="0" w:space="0" w:color="auto"/>
                <w:left w:val="none" w:sz="0" w:space="0" w:color="auto"/>
                <w:bottom w:val="none" w:sz="0" w:space="0" w:color="auto"/>
                <w:right w:val="none" w:sz="0" w:space="0" w:color="auto"/>
              </w:divBdr>
              <w:divsChild>
                <w:div w:id="1862086851">
                  <w:marLeft w:val="0"/>
                  <w:marRight w:val="0"/>
                  <w:marTop w:val="0"/>
                  <w:marBottom w:val="0"/>
                  <w:divBdr>
                    <w:top w:val="none" w:sz="0" w:space="0" w:color="auto"/>
                    <w:left w:val="none" w:sz="0" w:space="0" w:color="auto"/>
                    <w:bottom w:val="none" w:sz="0" w:space="0" w:color="auto"/>
                    <w:right w:val="none" w:sz="0" w:space="0" w:color="auto"/>
                  </w:divBdr>
                </w:div>
              </w:divsChild>
            </w:div>
            <w:div w:id="407925229">
              <w:marLeft w:val="0"/>
              <w:marRight w:val="0"/>
              <w:marTop w:val="0"/>
              <w:marBottom w:val="0"/>
              <w:divBdr>
                <w:top w:val="none" w:sz="0" w:space="0" w:color="auto"/>
                <w:left w:val="none" w:sz="0" w:space="0" w:color="auto"/>
                <w:bottom w:val="none" w:sz="0" w:space="0" w:color="auto"/>
                <w:right w:val="none" w:sz="0" w:space="0" w:color="auto"/>
              </w:divBdr>
              <w:divsChild>
                <w:div w:id="244807926">
                  <w:marLeft w:val="0"/>
                  <w:marRight w:val="0"/>
                  <w:marTop w:val="0"/>
                  <w:marBottom w:val="0"/>
                  <w:divBdr>
                    <w:top w:val="none" w:sz="0" w:space="0" w:color="auto"/>
                    <w:left w:val="none" w:sz="0" w:space="0" w:color="auto"/>
                    <w:bottom w:val="none" w:sz="0" w:space="0" w:color="auto"/>
                    <w:right w:val="none" w:sz="0" w:space="0" w:color="auto"/>
                  </w:divBdr>
                </w:div>
              </w:divsChild>
            </w:div>
            <w:div w:id="733627512">
              <w:marLeft w:val="0"/>
              <w:marRight w:val="0"/>
              <w:marTop w:val="0"/>
              <w:marBottom w:val="0"/>
              <w:divBdr>
                <w:top w:val="none" w:sz="0" w:space="0" w:color="auto"/>
                <w:left w:val="none" w:sz="0" w:space="0" w:color="auto"/>
                <w:bottom w:val="none" w:sz="0" w:space="0" w:color="auto"/>
                <w:right w:val="none" w:sz="0" w:space="0" w:color="auto"/>
              </w:divBdr>
              <w:divsChild>
                <w:div w:id="808477063">
                  <w:marLeft w:val="0"/>
                  <w:marRight w:val="0"/>
                  <w:marTop w:val="0"/>
                  <w:marBottom w:val="0"/>
                  <w:divBdr>
                    <w:top w:val="none" w:sz="0" w:space="0" w:color="auto"/>
                    <w:left w:val="none" w:sz="0" w:space="0" w:color="auto"/>
                    <w:bottom w:val="none" w:sz="0" w:space="0" w:color="auto"/>
                    <w:right w:val="none" w:sz="0" w:space="0" w:color="auto"/>
                  </w:divBdr>
                </w:div>
              </w:divsChild>
            </w:div>
            <w:div w:id="1048723799">
              <w:marLeft w:val="0"/>
              <w:marRight w:val="0"/>
              <w:marTop w:val="0"/>
              <w:marBottom w:val="0"/>
              <w:divBdr>
                <w:top w:val="none" w:sz="0" w:space="0" w:color="auto"/>
                <w:left w:val="none" w:sz="0" w:space="0" w:color="auto"/>
                <w:bottom w:val="none" w:sz="0" w:space="0" w:color="auto"/>
                <w:right w:val="none" w:sz="0" w:space="0" w:color="auto"/>
              </w:divBdr>
            </w:div>
            <w:div w:id="141539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056768">
      <w:bodyDiv w:val="1"/>
      <w:marLeft w:val="0"/>
      <w:marRight w:val="0"/>
      <w:marTop w:val="0"/>
      <w:marBottom w:val="0"/>
      <w:divBdr>
        <w:top w:val="none" w:sz="0" w:space="0" w:color="auto"/>
        <w:left w:val="none" w:sz="0" w:space="0" w:color="auto"/>
        <w:bottom w:val="none" w:sz="0" w:space="0" w:color="auto"/>
        <w:right w:val="none" w:sz="0" w:space="0" w:color="auto"/>
      </w:divBdr>
      <w:divsChild>
        <w:div w:id="1317808414">
          <w:marLeft w:val="0"/>
          <w:marRight w:val="0"/>
          <w:marTop w:val="0"/>
          <w:marBottom w:val="0"/>
          <w:divBdr>
            <w:top w:val="none" w:sz="0" w:space="0" w:color="auto"/>
            <w:left w:val="none" w:sz="0" w:space="0" w:color="auto"/>
            <w:bottom w:val="none" w:sz="0" w:space="0" w:color="auto"/>
            <w:right w:val="none" w:sz="0" w:space="0" w:color="auto"/>
          </w:divBdr>
          <w:divsChild>
            <w:div w:id="2080856304">
              <w:marLeft w:val="0"/>
              <w:marRight w:val="0"/>
              <w:marTop w:val="0"/>
              <w:marBottom w:val="0"/>
              <w:divBdr>
                <w:top w:val="none" w:sz="0" w:space="0" w:color="auto"/>
                <w:left w:val="none" w:sz="0" w:space="0" w:color="auto"/>
                <w:bottom w:val="none" w:sz="0" w:space="0" w:color="auto"/>
                <w:right w:val="none" w:sz="0" w:space="0" w:color="auto"/>
              </w:divBdr>
            </w:div>
            <w:div w:id="2135783075">
              <w:marLeft w:val="0"/>
              <w:marRight w:val="0"/>
              <w:marTop w:val="0"/>
              <w:marBottom w:val="0"/>
              <w:divBdr>
                <w:top w:val="none" w:sz="0" w:space="0" w:color="auto"/>
                <w:left w:val="none" w:sz="0" w:space="0" w:color="auto"/>
                <w:bottom w:val="none" w:sz="0" w:space="0" w:color="auto"/>
                <w:right w:val="none" w:sz="0" w:space="0" w:color="auto"/>
              </w:divBdr>
            </w:div>
            <w:div w:id="84762814">
              <w:marLeft w:val="0"/>
              <w:marRight w:val="0"/>
              <w:marTop w:val="0"/>
              <w:marBottom w:val="0"/>
              <w:divBdr>
                <w:top w:val="none" w:sz="0" w:space="0" w:color="auto"/>
                <w:left w:val="none" w:sz="0" w:space="0" w:color="auto"/>
                <w:bottom w:val="none" w:sz="0" w:space="0" w:color="auto"/>
                <w:right w:val="none" w:sz="0" w:space="0" w:color="auto"/>
              </w:divBdr>
            </w:div>
            <w:div w:id="561335508">
              <w:marLeft w:val="0"/>
              <w:marRight w:val="0"/>
              <w:marTop w:val="0"/>
              <w:marBottom w:val="0"/>
              <w:divBdr>
                <w:top w:val="none" w:sz="0" w:space="0" w:color="auto"/>
                <w:left w:val="none" w:sz="0" w:space="0" w:color="auto"/>
                <w:bottom w:val="none" w:sz="0" w:space="0" w:color="auto"/>
                <w:right w:val="none" w:sz="0" w:space="0" w:color="auto"/>
              </w:divBdr>
            </w:div>
            <w:div w:id="123621571">
              <w:marLeft w:val="0"/>
              <w:marRight w:val="0"/>
              <w:marTop w:val="0"/>
              <w:marBottom w:val="0"/>
              <w:divBdr>
                <w:top w:val="none" w:sz="0" w:space="0" w:color="auto"/>
                <w:left w:val="none" w:sz="0" w:space="0" w:color="auto"/>
                <w:bottom w:val="none" w:sz="0" w:space="0" w:color="auto"/>
                <w:right w:val="none" w:sz="0" w:space="0" w:color="auto"/>
              </w:divBdr>
            </w:div>
            <w:div w:id="263390208">
              <w:marLeft w:val="0"/>
              <w:marRight w:val="0"/>
              <w:marTop w:val="0"/>
              <w:marBottom w:val="0"/>
              <w:divBdr>
                <w:top w:val="none" w:sz="0" w:space="0" w:color="auto"/>
                <w:left w:val="none" w:sz="0" w:space="0" w:color="auto"/>
                <w:bottom w:val="none" w:sz="0" w:space="0" w:color="auto"/>
                <w:right w:val="none" w:sz="0" w:space="0" w:color="auto"/>
              </w:divBdr>
            </w:div>
            <w:div w:id="1580824086">
              <w:marLeft w:val="0"/>
              <w:marRight w:val="0"/>
              <w:marTop w:val="0"/>
              <w:marBottom w:val="0"/>
              <w:divBdr>
                <w:top w:val="none" w:sz="0" w:space="0" w:color="auto"/>
                <w:left w:val="none" w:sz="0" w:space="0" w:color="auto"/>
                <w:bottom w:val="none" w:sz="0" w:space="0" w:color="auto"/>
                <w:right w:val="none" w:sz="0" w:space="0" w:color="auto"/>
              </w:divBdr>
            </w:div>
            <w:div w:id="1341547451">
              <w:marLeft w:val="0"/>
              <w:marRight w:val="0"/>
              <w:marTop w:val="0"/>
              <w:marBottom w:val="0"/>
              <w:divBdr>
                <w:top w:val="none" w:sz="0" w:space="0" w:color="auto"/>
                <w:left w:val="none" w:sz="0" w:space="0" w:color="auto"/>
                <w:bottom w:val="none" w:sz="0" w:space="0" w:color="auto"/>
                <w:right w:val="none" w:sz="0" w:space="0" w:color="auto"/>
              </w:divBdr>
            </w:div>
            <w:div w:id="1350252091">
              <w:marLeft w:val="0"/>
              <w:marRight w:val="0"/>
              <w:marTop w:val="0"/>
              <w:marBottom w:val="0"/>
              <w:divBdr>
                <w:top w:val="none" w:sz="0" w:space="0" w:color="auto"/>
                <w:left w:val="none" w:sz="0" w:space="0" w:color="auto"/>
                <w:bottom w:val="none" w:sz="0" w:space="0" w:color="auto"/>
                <w:right w:val="none" w:sz="0" w:space="0" w:color="auto"/>
              </w:divBdr>
            </w:div>
            <w:div w:id="1974559163">
              <w:marLeft w:val="0"/>
              <w:marRight w:val="0"/>
              <w:marTop w:val="0"/>
              <w:marBottom w:val="0"/>
              <w:divBdr>
                <w:top w:val="none" w:sz="0" w:space="0" w:color="auto"/>
                <w:left w:val="none" w:sz="0" w:space="0" w:color="auto"/>
                <w:bottom w:val="none" w:sz="0" w:space="0" w:color="auto"/>
                <w:right w:val="none" w:sz="0" w:space="0" w:color="auto"/>
              </w:divBdr>
            </w:div>
            <w:div w:id="1663005950">
              <w:marLeft w:val="0"/>
              <w:marRight w:val="0"/>
              <w:marTop w:val="0"/>
              <w:marBottom w:val="0"/>
              <w:divBdr>
                <w:top w:val="none" w:sz="0" w:space="0" w:color="auto"/>
                <w:left w:val="none" w:sz="0" w:space="0" w:color="auto"/>
                <w:bottom w:val="none" w:sz="0" w:space="0" w:color="auto"/>
                <w:right w:val="none" w:sz="0" w:space="0" w:color="auto"/>
              </w:divBdr>
            </w:div>
            <w:div w:id="1429890789">
              <w:marLeft w:val="0"/>
              <w:marRight w:val="0"/>
              <w:marTop w:val="0"/>
              <w:marBottom w:val="0"/>
              <w:divBdr>
                <w:top w:val="none" w:sz="0" w:space="0" w:color="auto"/>
                <w:left w:val="none" w:sz="0" w:space="0" w:color="auto"/>
                <w:bottom w:val="none" w:sz="0" w:space="0" w:color="auto"/>
                <w:right w:val="none" w:sz="0" w:space="0" w:color="auto"/>
              </w:divBdr>
            </w:div>
            <w:div w:id="408506671">
              <w:marLeft w:val="0"/>
              <w:marRight w:val="0"/>
              <w:marTop w:val="0"/>
              <w:marBottom w:val="0"/>
              <w:divBdr>
                <w:top w:val="none" w:sz="0" w:space="0" w:color="auto"/>
                <w:left w:val="none" w:sz="0" w:space="0" w:color="auto"/>
                <w:bottom w:val="none" w:sz="0" w:space="0" w:color="auto"/>
                <w:right w:val="none" w:sz="0" w:space="0" w:color="auto"/>
              </w:divBdr>
            </w:div>
            <w:div w:id="611281662">
              <w:marLeft w:val="0"/>
              <w:marRight w:val="0"/>
              <w:marTop w:val="0"/>
              <w:marBottom w:val="0"/>
              <w:divBdr>
                <w:top w:val="none" w:sz="0" w:space="0" w:color="auto"/>
                <w:left w:val="none" w:sz="0" w:space="0" w:color="auto"/>
                <w:bottom w:val="none" w:sz="0" w:space="0" w:color="auto"/>
                <w:right w:val="none" w:sz="0" w:space="0" w:color="auto"/>
              </w:divBdr>
            </w:div>
            <w:div w:id="889149890">
              <w:marLeft w:val="0"/>
              <w:marRight w:val="0"/>
              <w:marTop w:val="0"/>
              <w:marBottom w:val="0"/>
              <w:divBdr>
                <w:top w:val="none" w:sz="0" w:space="0" w:color="auto"/>
                <w:left w:val="none" w:sz="0" w:space="0" w:color="auto"/>
                <w:bottom w:val="none" w:sz="0" w:space="0" w:color="auto"/>
                <w:right w:val="none" w:sz="0" w:space="0" w:color="auto"/>
              </w:divBdr>
            </w:div>
            <w:div w:id="370763560">
              <w:marLeft w:val="0"/>
              <w:marRight w:val="0"/>
              <w:marTop w:val="0"/>
              <w:marBottom w:val="0"/>
              <w:divBdr>
                <w:top w:val="none" w:sz="0" w:space="0" w:color="auto"/>
                <w:left w:val="none" w:sz="0" w:space="0" w:color="auto"/>
                <w:bottom w:val="none" w:sz="0" w:space="0" w:color="auto"/>
                <w:right w:val="none" w:sz="0" w:space="0" w:color="auto"/>
              </w:divBdr>
            </w:div>
            <w:div w:id="214435761">
              <w:marLeft w:val="0"/>
              <w:marRight w:val="0"/>
              <w:marTop w:val="0"/>
              <w:marBottom w:val="0"/>
              <w:divBdr>
                <w:top w:val="none" w:sz="0" w:space="0" w:color="auto"/>
                <w:left w:val="none" w:sz="0" w:space="0" w:color="auto"/>
                <w:bottom w:val="none" w:sz="0" w:space="0" w:color="auto"/>
                <w:right w:val="none" w:sz="0" w:space="0" w:color="auto"/>
              </w:divBdr>
            </w:div>
            <w:div w:id="1620186235">
              <w:marLeft w:val="0"/>
              <w:marRight w:val="0"/>
              <w:marTop w:val="0"/>
              <w:marBottom w:val="0"/>
              <w:divBdr>
                <w:top w:val="none" w:sz="0" w:space="0" w:color="auto"/>
                <w:left w:val="none" w:sz="0" w:space="0" w:color="auto"/>
                <w:bottom w:val="none" w:sz="0" w:space="0" w:color="auto"/>
                <w:right w:val="none" w:sz="0" w:space="0" w:color="auto"/>
              </w:divBdr>
            </w:div>
            <w:div w:id="991985208">
              <w:marLeft w:val="0"/>
              <w:marRight w:val="0"/>
              <w:marTop w:val="0"/>
              <w:marBottom w:val="0"/>
              <w:divBdr>
                <w:top w:val="none" w:sz="0" w:space="0" w:color="auto"/>
                <w:left w:val="none" w:sz="0" w:space="0" w:color="auto"/>
                <w:bottom w:val="none" w:sz="0" w:space="0" w:color="auto"/>
                <w:right w:val="none" w:sz="0" w:space="0" w:color="auto"/>
              </w:divBdr>
            </w:div>
          </w:divsChild>
        </w:div>
        <w:div w:id="732654093">
          <w:marLeft w:val="0"/>
          <w:marRight w:val="0"/>
          <w:marTop w:val="0"/>
          <w:marBottom w:val="0"/>
          <w:divBdr>
            <w:top w:val="none" w:sz="0" w:space="0" w:color="auto"/>
            <w:left w:val="none" w:sz="0" w:space="0" w:color="auto"/>
            <w:bottom w:val="none" w:sz="0" w:space="0" w:color="auto"/>
            <w:right w:val="none" w:sz="0" w:space="0" w:color="auto"/>
          </w:divBdr>
          <w:divsChild>
            <w:div w:id="775255301">
              <w:marLeft w:val="0"/>
              <w:marRight w:val="0"/>
              <w:marTop w:val="0"/>
              <w:marBottom w:val="0"/>
              <w:divBdr>
                <w:top w:val="none" w:sz="0" w:space="0" w:color="auto"/>
                <w:left w:val="none" w:sz="0" w:space="0" w:color="auto"/>
                <w:bottom w:val="none" w:sz="0" w:space="0" w:color="auto"/>
                <w:right w:val="none" w:sz="0" w:space="0" w:color="auto"/>
              </w:divBdr>
            </w:div>
            <w:div w:id="2084714695">
              <w:marLeft w:val="0"/>
              <w:marRight w:val="0"/>
              <w:marTop w:val="0"/>
              <w:marBottom w:val="0"/>
              <w:divBdr>
                <w:top w:val="none" w:sz="0" w:space="0" w:color="auto"/>
                <w:left w:val="none" w:sz="0" w:space="0" w:color="auto"/>
                <w:bottom w:val="none" w:sz="0" w:space="0" w:color="auto"/>
                <w:right w:val="none" w:sz="0" w:space="0" w:color="auto"/>
              </w:divBdr>
            </w:div>
            <w:div w:id="2068915337">
              <w:marLeft w:val="0"/>
              <w:marRight w:val="0"/>
              <w:marTop w:val="0"/>
              <w:marBottom w:val="0"/>
              <w:divBdr>
                <w:top w:val="none" w:sz="0" w:space="0" w:color="auto"/>
                <w:left w:val="none" w:sz="0" w:space="0" w:color="auto"/>
                <w:bottom w:val="none" w:sz="0" w:space="0" w:color="auto"/>
                <w:right w:val="none" w:sz="0" w:space="0" w:color="auto"/>
              </w:divBdr>
            </w:div>
            <w:div w:id="1795363809">
              <w:marLeft w:val="0"/>
              <w:marRight w:val="0"/>
              <w:marTop w:val="0"/>
              <w:marBottom w:val="0"/>
              <w:divBdr>
                <w:top w:val="none" w:sz="0" w:space="0" w:color="auto"/>
                <w:left w:val="none" w:sz="0" w:space="0" w:color="auto"/>
                <w:bottom w:val="none" w:sz="0" w:space="0" w:color="auto"/>
                <w:right w:val="none" w:sz="0" w:space="0" w:color="auto"/>
              </w:divBdr>
            </w:div>
            <w:div w:id="842866239">
              <w:marLeft w:val="0"/>
              <w:marRight w:val="0"/>
              <w:marTop w:val="0"/>
              <w:marBottom w:val="0"/>
              <w:divBdr>
                <w:top w:val="none" w:sz="0" w:space="0" w:color="auto"/>
                <w:left w:val="none" w:sz="0" w:space="0" w:color="auto"/>
                <w:bottom w:val="none" w:sz="0" w:space="0" w:color="auto"/>
                <w:right w:val="none" w:sz="0" w:space="0" w:color="auto"/>
              </w:divBdr>
            </w:div>
            <w:div w:id="664557556">
              <w:marLeft w:val="0"/>
              <w:marRight w:val="0"/>
              <w:marTop w:val="0"/>
              <w:marBottom w:val="0"/>
              <w:divBdr>
                <w:top w:val="none" w:sz="0" w:space="0" w:color="auto"/>
                <w:left w:val="none" w:sz="0" w:space="0" w:color="auto"/>
                <w:bottom w:val="none" w:sz="0" w:space="0" w:color="auto"/>
                <w:right w:val="none" w:sz="0" w:space="0" w:color="auto"/>
              </w:divBdr>
            </w:div>
            <w:div w:id="1216743514">
              <w:marLeft w:val="0"/>
              <w:marRight w:val="0"/>
              <w:marTop w:val="0"/>
              <w:marBottom w:val="0"/>
              <w:divBdr>
                <w:top w:val="none" w:sz="0" w:space="0" w:color="auto"/>
                <w:left w:val="none" w:sz="0" w:space="0" w:color="auto"/>
                <w:bottom w:val="none" w:sz="0" w:space="0" w:color="auto"/>
                <w:right w:val="none" w:sz="0" w:space="0" w:color="auto"/>
              </w:divBdr>
            </w:div>
            <w:div w:id="1501385035">
              <w:marLeft w:val="0"/>
              <w:marRight w:val="0"/>
              <w:marTop w:val="0"/>
              <w:marBottom w:val="0"/>
              <w:divBdr>
                <w:top w:val="none" w:sz="0" w:space="0" w:color="auto"/>
                <w:left w:val="none" w:sz="0" w:space="0" w:color="auto"/>
                <w:bottom w:val="none" w:sz="0" w:space="0" w:color="auto"/>
                <w:right w:val="none" w:sz="0" w:space="0" w:color="auto"/>
              </w:divBdr>
            </w:div>
            <w:div w:id="1375471240">
              <w:marLeft w:val="0"/>
              <w:marRight w:val="0"/>
              <w:marTop w:val="0"/>
              <w:marBottom w:val="0"/>
              <w:divBdr>
                <w:top w:val="none" w:sz="0" w:space="0" w:color="auto"/>
                <w:left w:val="none" w:sz="0" w:space="0" w:color="auto"/>
                <w:bottom w:val="none" w:sz="0" w:space="0" w:color="auto"/>
                <w:right w:val="none" w:sz="0" w:space="0" w:color="auto"/>
              </w:divBdr>
            </w:div>
            <w:div w:id="30768359">
              <w:marLeft w:val="0"/>
              <w:marRight w:val="0"/>
              <w:marTop w:val="0"/>
              <w:marBottom w:val="0"/>
              <w:divBdr>
                <w:top w:val="none" w:sz="0" w:space="0" w:color="auto"/>
                <w:left w:val="none" w:sz="0" w:space="0" w:color="auto"/>
                <w:bottom w:val="none" w:sz="0" w:space="0" w:color="auto"/>
                <w:right w:val="none" w:sz="0" w:space="0" w:color="auto"/>
              </w:divBdr>
            </w:div>
            <w:div w:id="132751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813351">
      <w:bodyDiv w:val="1"/>
      <w:marLeft w:val="0"/>
      <w:marRight w:val="0"/>
      <w:marTop w:val="0"/>
      <w:marBottom w:val="0"/>
      <w:divBdr>
        <w:top w:val="none" w:sz="0" w:space="0" w:color="auto"/>
        <w:left w:val="none" w:sz="0" w:space="0" w:color="auto"/>
        <w:bottom w:val="none" w:sz="0" w:space="0" w:color="auto"/>
        <w:right w:val="none" w:sz="0" w:space="0" w:color="auto"/>
      </w:divBdr>
    </w:div>
    <w:div w:id="677924542">
      <w:bodyDiv w:val="1"/>
      <w:marLeft w:val="0"/>
      <w:marRight w:val="0"/>
      <w:marTop w:val="0"/>
      <w:marBottom w:val="0"/>
      <w:divBdr>
        <w:top w:val="none" w:sz="0" w:space="0" w:color="auto"/>
        <w:left w:val="none" w:sz="0" w:space="0" w:color="auto"/>
        <w:bottom w:val="none" w:sz="0" w:space="0" w:color="auto"/>
        <w:right w:val="none" w:sz="0" w:space="0" w:color="auto"/>
      </w:divBdr>
      <w:divsChild>
        <w:div w:id="1797600340">
          <w:marLeft w:val="0"/>
          <w:marRight w:val="0"/>
          <w:marTop w:val="0"/>
          <w:marBottom w:val="0"/>
          <w:divBdr>
            <w:top w:val="none" w:sz="0" w:space="0" w:color="auto"/>
            <w:left w:val="none" w:sz="0" w:space="0" w:color="auto"/>
            <w:bottom w:val="none" w:sz="0" w:space="0" w:color="auto"/>
            <w:right w:val="none" w:sz="0" w:space="0" w:color="auto"/>
          </w:divBdr>
          <w:divsChild>
            <w:div w:id="1426152854">
              <w:marLeft w:val="0"/>
              <w:marRight w:val="0"/>
              <w:marTop w:val="0"/>
              <w:marBottom w:val="0"/>
              <w:divBdr>
                <w:top w:val="none" w:sz="0" w:space="0" w:color="auto"/>
                <w:left w:val="none" w:sz="0" w:space="0" w:color="auto"/>
                <w:bottom w:val="none" w:sz="0" w:space="0" w:color="auto"/>
                <w:right w:val="none" w:sz="0" w:space="0" w:color="auto"/>
              </w:divBdr>
            </w:div>
            <w:div w:id="1534803722">
              <w:marLeft w:val="0"/>
              <w:marRight w:val="0"/>
              <w:marTop w:val="0"/>
              <w:marBottom w:val="0"/>
              <w:divBdr>
                <w:top w:val="none" w:sz="0" w:space="0" w:color="auto"/>
                <w:left w:val="none" w:sz="0" w:space="0" w:color="auto"/>
                <w:bottom w:val="none" w:sz="0" w:space="0" w:color="auto"/>
                <w:right w:val="none" w:sz="0" w:space="0" w:color="auto"/>
              </w:divBdr>
            </w:div>
            <w:div w:id="1992633400">
              <w:marLeft w:val="0"/>
              <w:marRight w:val="0"/>
              <w:marTop w:val="0"/>
              <w:marBottom w:val="0"/>
              <w:divBdr>
                <w:top w:val="none" w:sz="0" w:space="0" w:color="auto"/>
                <w:left w:val="none" w:sz="0" w:space="0" w:color="auto"/>
                <w:bottom w:val="none" w:sz="0" w:space="0" w:color="auto"/>
                <w:right w:val="none" w:sz="0" w:space="0" w:color="auto"/>
              </w:divBdr>
            </w:div>
            <w:div w:id="1890265744">
              <w:marLeft w:val="0"/>
              <w:marRight w:val="0"/>
              <w:marTop w:val="0"/>
              <w:marBottom w:val="0"/>
              <w:divBdr>
                <w:top w:val="none" w:sz="0" w:space="0" w:color="auto"/>
                <w:left w:val="none" w:sz="0" w:space="0" w:color="auto"/>
                <w:bottom w:val="none" w:sz="0" w:space="0" w:color="auto"/>
                <w:right w:val="none" w:sz="0" w:space="0" w:color="auto"/>
              </w:divBdr>
            </w:div>
            <w:div w:id="448474391">
              <w:marLeft w:val="0"/>
              <w:marRight w:val="0"/>
              <w:marTop w:val="0"/>
              <w:marBottom w:val="0"/>
              <w:divBdr>
                <w:top w:val="none" w:sz="0" w:space="0" w:color="auto"/>
                <w:left w:val="none" w:sz="0" w:space="0" w:color="auto"/>
                <w:bottom w:val="none" w:sz="0" w:space="0" w:color="auto"/>
                <w:right w:val="none" w:sz="0" w:space="0" w:color="auto"/>
              </w:divBdr>
            </w:div>
            <w:div w:id="1470628489">
              <w:marLeft w:val="0"/>
              <w:marRight w:val="0"/>
              <w:marTop w:val="0"/>
              <w:marBottom w:val="0"/>
              <w:divBdr>
                <w:top w:val="none" w:sz="0" w:space="0" w:color="auto"/>
                <w:left w:val="none" w:sz="0" w:space="0" w:color="auto"/>
                <w:bottom w:val="none" w:sz="0" w:space="0" w:color="auto"/>
                <w:right w:val="none" w:sz="0" w:space="0" w:color="auto"/>
              </w:divBdr>
            </w:div>
            <w:div w:id="1925648170">
              <w:marLeft w:val="0"/>
              <w:marRight w:val="0"/>
              <w:marTop w:val="0"/>
              <w:marBottom w:val="0"/>
              <w:divBdr>
                <w:top w:val="none" w:sz="0" w:space="0" w:color="auto"/>
                <w:left w:val="none" w:sz="0" w:space="0" w:color="auto"/>
                <w:bottom w:val="none" w:sz="0" w:space="0" w:color="auto"/>
                <w:right w:val="none" w:sz="0" w:space="0" w:color="auto"/>
              </w:divBdr>
            </w:div>
            <w:div w:id="2106877653">
              <w:marLeft w:val="0"/>
              <w:marRight w:val="0"/>
              <w:marTop w:val="0"/>
              <w:marBottom w:val="0"/>
              <w:divBdr>
                <w:top w:val="none" w:sz="0" w:space="0" w:color="auto"/>
                <w:left w:val="none" w:sz="0" w:space="0" w:color="auto"/>
                <w:bottom w:val="none" w:sz="0" w:space="0" w:color="auto"/>
                <w:right w:val="none" w:sz="0" w:space="0" w:color="auto"/>
              </w:divBdr>
            </w:div>
            <w:div w:id="1854300524">
              <w:marLeft w:val="0"/>
              <w:marRight w:val="0"/>
              <w:marTop w:val="0"/>
              <w:marBottom w:val="0"/>
              <w:divBdr>
                <w:top w:val="none" w:sz="0" w:space="0" w:color="auto"/>
                <w:left w:val="none" w:sz="0" w:space="0" w:color="auto"/>
                <w:bottom w:val="none" w:sz="0" w:space="0" w:color="auto"/>
                <w:right w:val="none" w:sz="0" w:space="0" w:color="auto"/>
              </w:divBdr>
            </w:div>
            <w:div w:id="1253856553">
              <w:marLeft w:val="0"/>
              <w:marRight w:val="0"/>
              <w:marTop w:val="0"/>
              <w:marBottom w:val="0"/>
              <w:divBdr>
                <w:top w:val="none" w:sz="0" w:space="0" w:color="auto"/>
                <w:left w:val="none" w:sz="0" w:space="0" w:color="auto"/>
                <w:bottom w:val="none" w:sz="0" w:space="0" w:color="auto"/>
                <w:right w:val="none" w:sz="0" w:space="0" w:color="auto"/>
              </w:divBdr>
            </w:div>
            <w:div w:id="474373821">
              <w:marLeft w:val="0"/>
              <w:marRight w:val="0"/>
              <w:marTop w:val="0"/>
              <w:marBottom w:val="0"/>
              <w:divBdr>
                <w:top w:val="none" w:sz="0" w:space="0" w:color="auto"/>
                <w:left w:val="none" w:sz="0" w:space="0" w:color="auto"/>
                <w:bottom w:val="none" w:sz="0" w:space="0" w:color="auto"/>
                <w:right w:val="none" w:sz="0" w:space="0" w:color="auto"/>
              </w:divBdr>
            </w:div>
            <w:div w:id="634337505">
              <w:marLeft w:val="0"/>
              <w:marRight w:val="0"/>
              <w:marTop w:val="0"/>
              <w:marBottom w:val="0"/>
              <w:divBdr>
                <w:top w:val="none" w:sz="0" w:space="0" w:color="auto"/>
                <w:left w:val="none" w:sz="0" w:space="0" w:color="auto"/>
                <w:bottom w:val="none" w:sz="0" w:space="0" w:color="auto"/>
                <w:right w:val="none" w:sz="0" w:space="0" w:color="auto"/>
              </w:divBdr>
            </w:div>
            <w:div w:id="585040255">
              <w:marLeft w:val="0"/>
              <w:marRight w:val="0"/>
              <w:marTop w:val="0"/>
              <w:marBottom w:val="0"/>
              <w:divBdr>
                <w:top w:val="none" w:sz="0" w:space="0" w:color="auto"/>
                <w:left w:val="none" w:sz="0" w:space="0" w:color="auto"/>
                <w:bottom w:val="none" w:sz="0" w:space="0" w:color="auto"/>
                <w:right w:val="none" w:sz="0" w:space="0" w:color="auto"/>
              </w:divBdr>
            </w:div>
            <w:div w:id="2119138295">
              <w:marLeft w:val="0"/>
              <w:marRight w:val="0"/>
              <w:marTop w:val="0"/>
              <w:marBottom w:val="0"/>
              <w:divBdr>
                <w:top w:val="none" w:sz="0" w:space="0" w:color="auto"/>
                <w:left w:val="none" w:sz="0" w:space="0" w:color="auto"/>
                <w:bottom w:val="none" w:sz="0" w:space="0" w:color="auto"/>
                <w:right w:val="none" w:sz="0" w:space="0" w:color="auto"/>
              </w:divBdr>
            </w:div>
            <w:div w:id="1785996064">
              <w:marLeft w:val="0"/>
              <w:marRight w:val="0"/>
              <w:marTop w:val="0"/>
              <w:marBottom w:val="0"/>
              <w:divBdr>
                <w:top w:val="none" w:sz="0" w:space="0" w:color="auto"/>
                <w:left w:val="none" w:sz="0" w:space="0" w:color="auto"/>
                <w:bottom w:val="none" w:sz="0" w:space="0" w:color="auto"/>
                <w:right w:val="none" w:sz="0" w:space="0" w:color="auto"/>
              </w:divBdr>
            </w:div>
            <w:div w:id="298923372">
              <w:marLeft w:val="0"/>
              <w:marRight w:val="0"/>
              <w:marTop w:val="0"/>
              <w:marBottom w:val="0"/>
              <w:divBdr>
                <w:top w:val="none" w:sz="0" w:space="0" w:color="auto"/>
                <w:left w:val="none" w:sz="0" w:space="0" w:color="auto"/>
                <w:bottom w:val="none" w:sz="0" w:space="0" w:color="auto"/>
                <w:right w:val="none" w:sz="0" w:space="0" w:color="auto"/>
              </w:divBdr>
            </w:div>
            <w:div w:id="1812668827">
              <w:marLeft w:val="0"/>
              <w:marRight w:val="0"/>
              <w:marTop w:val="0"/>
              <w:marBottom w:val="0"/>
              <w:divBdr>
                <w:top w:val="none" w:sz="0" w:space="0" w:color="auto"/>
                <w:left w:val="none" w:sz="0" w:space="0" w:color="auto"/>
                <w:bottom w:val="none" w:sz="0" w:space="0" w:color="auto"/>
                <w:right w:val="none" w:sz="0" w:space="0" w:color="auto"/>
              </w:divBdr>
            </w:div>
            <w:div w:id="191846245">
              <w:marLeft w:val="0"/>
              <w:marRight w:val="0"/>
              <w:marTop w:val="0"/>
              <w:marBottom w:val="0"/>
              <w:divBdr>
                <w:top w:val="none" w:sz="0" w:space="0" w:color="auto"/>
                <w:left w:val="none" w:sz="0" w:space="0" w:color="auto"/>
                <w:bottom w:val="none" w:sz="0" w:space="0" w:color="auto"/>
                <w:right w:val="none" w:sz="0" w:space="0" w:color="auto"/>
              </w:divBdr>
            </w:div>
            <w:div w:id="1899515559">
              <w:marLeft w:val="0"/>
              <w:marRight w:val="0"/>
              <w:marTop w:val="0"/>
              <w:marBottom w:val="0"/>
              <w:divBdr>
                <w:top w:val="none" w:sz="0" w:space="0" w:color="auto"/>
                <w:left w:val="none" w:sz="0" w:space="0" w:color="auto"/>
                <w:bottom w:val="none" w:sz="0" w:space="0" w:color="auto"/>
                <w:right w:val="none" w:sz="0" w:space="0" w:color="auto"/>
              </w:divBdr>
            </w:div>
          </w:divsChild>
        </w:div>
        <w:div w:id="1605847740">
          <w:marLeft w:val="0"/>
          <w:marRight w:val="0"/>
          <w:marTop w:val="0"/>
          <w:marBottom w:val="0"/>
          <w:divBdr>
            <w:top w:val="none" w:sz="0" w:space="0" w:color="auto"/>
            <w:left w:val="none" w:sz="0" w:space="0" w:color="auto"/>
            <w:bottom w:val="none" w:sz="0" w:space="0" w:color="auto"/>
            <w:right w:val="none" w:sz="0" w:space="0" w:color="auto"/>
          </w:divBdr>
          <w:divsChild>
            <w:div w:id="1317955215">
              <w:marLeft w:val="0"/>
              <w:marRight w:val="0"/>
              <w:marTop w:val="0"/>
              <w:marBottom w:val="0"/>
              <w:divBdr>
                <w:top w:val="none" w:sz="0" w:space="0" w:color="auto"/>
                <w:left w:val="none" w:sz="0" w:space="0" w:color="auto"/>
                <w:bottom w:val="none" w:sz="0" w:space="0" w:color="auto"/>
                <w:right w:val="none" w:sz="0" w:space="0" w:color="auto"/>
              </w:divBdr>
            </w:div>
            <w:div w:id="498154770">
              <w:marLeft w:val="0"/>
              <w:marRight w:val="0"/>
              <w:marTop w:val="0"/>
              <w:marBottom w:val="0"/>
              <w:divBdr>
                <w:top w:val="none" w:sz="0" w:space="0" w:color="auto"/>
                <w:left w:val="none" w:sz="0" w:space="0" w:color="auto"/>
                <w:bottom w:val="none" w:sz="0" w:space="0" w:color="auto"/>
                <w:right w:val="none" w:sz="0" w:space="0" w:color="auto"/>
              </w:divBdr>
            </w:div>
            <w:div w:id="1624460191">
              <w:marLeft w:val="0"/>
              <w:marRight w:val="0"/>
              <w:marTop w:val="0"/>
              <w:marBottom w:val="0"/>
              <w:divBdr>
                <w:top w:val="none" w:sz="0" w:space="0" w:color="auto"/>
                <w:left w:val="none" w:sz="0" w:space="0" w:color="auto"/>
                <w:bottom w:val="none" w:sz="0" w:space="0" w:color="auto"/>
                <w:right w:val="none" w:sz="0" w:space="0" w:color="auto"/>
              </w:divBdr>
            </w:div>
            <w:div w:id="1517764297">
              <w:marLeft w:val="0"/>
              <w:marRight w:val="0"/>
              <w:marTop w:val="0"/>
              <w:marBottom w:val="0"/>
              <w:divBdr>
                <w:top w:val="none" w:sz="0" w:space="0" w:color="auto"/>
                <w:left w:val="none" w:sz="0" w:space="0" w:color="auto"/>
                <w:bottom w:val="none" w:sz="0" w:space="0" w:color="auto"/>
                <w:right w:val="none" w:sz="0" w:space="0" w:color="auto"/>
              </w:divBdr>
            </w:div>
            <w:div w:id="920598962">
              <w:marLeft w:val="0"/>
              <w:marRight w:val="0"/>
              <w:marTop w:val="0"/>
              <w:marBottom w:val="0"/>
              <w:divBdr>
                <w:top w:val="none" w:sz="0" w:space="0" w:color="auto"/>
                <w:left w:val="none" w:sz="0" w:space="0" w:color="auto"/>
                <w:bottom w:val="none" w:sz="0" w:space="0" w:color="auto"/>
                <w:right w:val="none" w:sz="0" w:space="0" w:color="auto"/>
              </w:divBdr>
            </w:div>
            <w:div w:id="1021934359">
              <w:marLeft w:val="0"/>
              <w:marRight w:val="0"/>
              <w:marTop w:val="0"/>
              <w:marBottom w:val="0"/>
              <w:divBdr>
                <w:top w:val="none" w:sz="0" w:space="0" w:color="auto"/>
                <w:left w:val="none" w:sz="0" w:space="0" w:color="auto"/>
                <w:bottom w:val="none" w:sz="0" w:space="0" w:color="auto"/>
                <w:right w:val="none" w:sz="0" w:space="0" w:color="auto"/>
              </w:divBdr>
            </w:div>
            <w:div w:id="1526365441">
              <w:marLeft w:val="0"/>
              <w:marRight w:val="0"/>
              <w:marTop w:val="0"/>
              <w:marBottom w:val="0"/>
              <w:divBdr>
                <w:top w:val="none" w:sz="0" w:space="0" w:color="auto"/>
                <w:left w:val="none" w:sz="0" w:space="0" w:color="auto"/>
                <w:bottom w:val="none" w:sz="0" w:space="0" w:color="auto"/>
                <w:right w:val="none" w:sz="0" w:space="0" w:color="auto"/>
              </w:divBdr>
            </w:div>
            <w:div w:id="2435210">
              <w:marLeft w:val="0"/>
              <w:marRight w:val="0"/>
              <w:marTop w:val="0"/>
              <w:marBottom w:val="0"/>
              <w:divBdr>
                <w:top w:val="none" w:sz="0" w:space="0" w:color="auto"/>
                <w:left w:val="none" w:sz="0" w:space="0" w:color="auto"/>
                <w:bottom w:val="none" w:sz="0" w:space="0" w:color="auto"/>
                <w:right w:val="none" w:sz="0" w:space="0" w:color="auto"/>
              </w:divBdr>
            </w:div>
            <w:div w:id="1293244268">
              <w:marLeft w:val="0"/>
              <w:marRight w:val="0"/>
              <w:marTop w:val="0"/>
              <w:marBottom w:val="0"/>
              <w:divBdr>
                <w:top w:val="none" w:sz="0" w:space="0" w:color="auto"/>
                <w:left w:val="none" w:sz="0" w:space="0" w:color="auto"/>
                <w:bottom w:val="none" w:sz="0" w:space="0" w:color="auto"/>
                <w:right w:val="none" w:sz="0" w:space="0" w:color="auto"/>
              </w:divBdr>
            </w:div>
            <w:div w:id="1849561186">
              <w:marLeft w:val="0"/>
              <w:marRight w:val="0"/>
              <w:marTop w:val="0"/>
              <w:marBottom w:val="0"/>
              <w:divBdr>
                <w:top w:val="none" w:sz="0" w:space="0" w:color="auto"/>
                <w:left w:val="none" w:sz="0" w:space="0" w:color="auto"/>
                <w:bottom w:val="none" w:sz="0" w:space="0" w:color="auto"/>
                <w:right w:val="none" w:sz="0" w:space="0" w:color="auto"/>
              </w:divBdr>
            </w:div>
            <w:div w:id="202527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556541">
      <w:bodyDiv w:val="1"/>
      <w:marLeft w:val="0"/>
      <w:marRight w:val="0"/>
      <w:marTop w:val="0"/>
      <w:marBottom w:val="0"/>
      <w:divBdr>
        <w:top w:val="none" w:sz="0" w:space="0" w:color="auto"/>
        <w:left w:val="none" w:sz="0" w:space="0" w:color="auto"/>
        <w:bottom w:val="none" w:sz="0" w:space="0" w:color="auto"/>
        <w:right w:val="none" w:sz="0" w:space="0" w:color="auto"/>
      </w:divBdr>
    </w:div>
    <w:div w:id="1008949568">
      <w:bodyDiv w:val="1"/>
      <w:marLeft w:val="0"/>
      <w:marRight w:val="0"/>
      <w:marTop w:val="0"/>
      <w:marBottom w:val="0"/>
      <w:divBdr>
        <w:top w:val="none" w:sz="0" w:space="0" w:color="auto"/>
        <w:left w:val="none" w:sz="0" w:space="0" w:color="auto"/>
        <w:bottom w:val="none" w:sz="0" w:space="0" w:color="auto"/>
        <w:right w:val="none" w:sz="0" w:space="0" w:color="auto"/>
      </w:divBdr>
    </w:div>
    <w:div w:id="1118336769">
      <w:bodyDiv w:val="1"/>
      <w:marLeft w:val="0"/>
      <w:marRight w:val="0"/>
      <w:marTop w:val="0"/>
      <w:marBottom w:val="0"/>
      <w:divBdr>
        <w:top w:val="none" w:sz="0" w:space="0" w:color="auto"/>
        <w:left w:val="none" w:sz="0" w:space="0" w:color="auto"/>
        <w:bottom w:val="none" w:sz="0" w:space="0" w:color="auto"/>
        <w:right w:val="none" w:sz="0" w:space="0" w:color="auto"/>
      </w:divBdr>
    </w:div>
    <w:div w:id="1151096447">
      <w:bodyDiv w:val="1"/>
      <w:marLeft w:val="0"/>
      <w:marRight w:val="0"/>
      <w:marTop w:val="0"/>
      <w:marBottom w:val="0"/>
      <w:divBdr>
        <w:top w:val="none" w:sz="0" w:space="0" w:color="auto"/>
        <w:left w:val="none" w:sz="0" w:space="0" w:color="auto"/>
        <w:bottom w:val="none" w:sz="0" w:space="0" w:color="auto"/>
        <w:right w:val="none" w:sz="0" w:space="0" w:color="auto"/>
      </w:divBdr>
      <w:divsChild>
        <w:div w:id="317534351">
          <w:marLeft w:val="0"/>
          <w:marRight w:val="0"/>
          <w:marTop w:val="0"/>
          <w:marBottom w:val="0"/>
          <w:divBdr>
            <w:top w:val="none" w:sz="0" w:space="0" w:color="auto"/>
            <w:left w:val="none" w:sz="0" w:space="0" w:color="auto"/>
            <w:bottom w:val="none" w:sz="0" w:space="0" w:color="auto"/>
            <w:right w:val="none" w:sz="0" w:space="0" w:color="auto"/>
          </w:divBdr>
        </w:div>
        <w:div w:id="1794209024">
          <w:marLeft w:val="0"/>
          <w:marRight w:val="0"/>
          <w:marTop w:val="0"/>
          <w:marBottom w:val="0"/>
          <w:divBdr>
            <w:top w:val="none" w:sz="0" w:space="0" w:color="auto"/>
            <w:left w:val="none" w:sz="0" w:space="0" w:color="auto"/>
            <w:bottom w:val="none" w:sz="0" w:space="0" w:color="auto"/>
            <w:right w:val="none" w:sz="0" w:space="0" w:color="auto"/>
          </w:divBdr>
        </w:div>
        <w:div w:id="1711875924">
          <w:marLeft w:val="0"/>
          <w:marRight w:val="0"/>
          <w:marTop w:val="0"/>
          <w:marBottom w:val="0"/>
          <w:divBdr>
            <w:top w:val="none" w:sz="0" w:space="0" w:color="auto"/>
            <w:left w:val="none" w:sz="0" w:space="0" w:color="auto"/>
            <w:bottom w:val="none" w:sz="0" w:space="0" w:color="auto"/>
            <w:right w:val="none" w:sz="0" w:space="0" w:color="auto"/>
          </w:divBdr>
        </w:div>
        <w:div w:id="1170869608">
          <w:marLeft w:val="0"/>
          <w:marRight w:val="0"/>
          <w:marTop w:val="0"/>
          <w:marBottom w:val="0"/>
          <w:divBdr>
            <w:top w:val="none" w:sz="0" w:space="0" w:color="auto"/>
            <w:left w:val="none" w:sz="0" w:space="0" w:color="auto"/>
            <w:bottom w:val="none" w:sz="0" w:space="0" w:color="auto"/>
            <w:right w:val="none" w:sz="0" w:space="0" w:color="auto"/>
          </w:divBdr>
        </w:div>
        <w:div w:id="968048132">
          <w:marLeft w:val="0"/>
          <w:marRight w:val="0"/>
          <w:marTop w:val="0"/>
          <w:marBottom w:val="0"/>
          <w:divBdr>
            <w:top w:val="none" w:sz="0" w:space="0" w:color="auto"/>
            <w:left w:val="none" w:sz="0" w:space="0" w:color="auto"/>
            <w:bottom w:val="none" w:sz="0" w:space="0" w:color="auto"/>
            <w:right w:val="none" w:sz="0" w:space="0" w:color="auto"/>
          </w:divBdr>
        </w:div>
        <w:div w:id="1065252846">
          <w:marLeft w:val="0"/>
          <w:marRight w:val="0"/>
          <w:marTop w:val="0"/>
          <w:marBottom w:val="0"/>
          <w:divBdr>
            <w:top w:val="none" w:sz="0" w:space="0" w:color="auto"/>
            <w:left w:val="none" w:sz="0" w:space="0" w:color="auto"/>
            <w:bottom w:val="none" w:sz="0" w:space="0" w:color="auto"/>
            <w:right w:val="none" w:sz="0" w:space="0" w:color="auto"/>
          </w:divBdr>
        </w:div>
        <w:div w:id="1372918829">
          <w:marLeft w:val="0"/>
          <w:marRight w:val="0"/>
          <w:marTop w:val="0"/>
          <w:marBottom w:val="0"/>
          <w:divBdr>
            <w:top w:val="none" w:sz="0" w:space="0" w:color="auto"/>
            <w:left w:val="none" w:sz="0" w:space="0" w:color="auto"/>
            <w:bottom w:val="none" w:sz="0" w:space="0" w:color="auto"/>
            <w:right w:val="none" w:sz="0" w:space="0" w:color="auto"/>
          </w:divBdr>
        </w:div>
        <w:div w:id="1204173250">
          <w:marLeft w:val="0"/>
          <w:marRight w:val="0"/>
          <w:marTop w:val="0"/>
          <w:marBottom w:val="0"/>
          <w:divBdr>
            <w:top w:val="none" w:sz="0" w:space="0" w:color="auto"/>
            <w:left w:val="none" w:sz="0" w:space="0" w:color="auto"/>
            <w:bottom w:val="none" w:sz="0" w:space="0" w:color="auto"/>
            <w:right w:val="none" w:sz="0" w:space="0" w:color="auto"/>
          </w:divBdr>
        </w:div>
        <w:div w:id="1712028881">
          <w:marLeft w:val="0"/>
          <w:marRight w:val="0"/>
          <w:marTop w:val="0"/>
          <w:marBottom w:val="0"/>
          <w:divBdr>
            <w:top w:val="none" w:sz="0" w:space="0" w:color="auto"/>
            <w:left w:val="none" w:sz="0" w:space="0" w:color="auto"/>
            <w:bottom w:val="none" w:sz="0" w:space="0" w:color="auto"/>
            <w:right w:val="none" w:sz="0" w:space="0" w:color="auto"/>
          </w:divBdr>
        </w:div>
        <w:div w:id="178931779">
          <w:marLeft w:val="0"/>
          <w:marRight w:val="0"/>
          <w:marTop w:val="0"/>
          <w:marBottom w:val="0"/>
          <w:divBdr>
            <w:top w:val="none" w:sz="0" w:space="0" w:color="auto"/>
            <w:left w:val="none" w:sz="0" w:space="0" w:color="auto"/>
            <w:bottom w:val="none" w:sz="0" w:space="0" w:color="auto"/>
            <w:right w:val="none" w:sz="0" w:space="0" w:color="auto"/>
          </w:divBdr>
        </w:div>
      </w:divsChild>
    </w:div>
    <w:div w:id="1199320005">
      <w:bodyDiv w:val="1"/>
      <w:marLeft w:val="0"/>
      <w:marRight w:val="0"/>
      <w:marTop w:val="0"/>
      <w:marBottom w:val="0"/>
      <w:divBdr>
        <w:top w:val="none" w:sz="0" w:space="0" w:color="auto"/>
        <w:left w:val="none" w:sz="0" w:space="0" w:color="auto"/>
        <w:bottom w:val="none" w:sz="0" w:space="0" w:color="auto"/>
        <w:right w:val="none" w:sz="0" w:space="0" w:color="auto"/>
      </w:divBdr>
      <w:divsChild>
        <w:div w:id="336736495">
          <w:marLeft w:val="0"/>
          <w:marRight w:val="0"/>
          <w:marTop w:val="0"/>
          <w:marBottom w:val="0"/>
          <w:divBdr>
            <w:top w:val="none" w:sz="0" w:space="0" w:color="auto"/>
            <w:left w:val="none" w:sz="0" w:space="0" w:color="auto"/>
            <w:bottom w:val="none" w:sz="0" w:space="0" w:color="auto"/>
            <w:right w:val="none" w:sz="0" w:space="0" w:color="auto"/>
          </w:divBdr>
        </w:div>
      </w:divsChild>
    </w:div>
    <w:div w:id="1338389497">
      <w:bodyDiv w:val="1"/>
      <w:marLeft w:val="0"/>
      <w:marRight w:val="0"/>
      <w:marTop w:val="0"/>
      <w:marBottom w:val="0"/>
      <w:divBdr>
        <w:top w:val="none" w:sz="0" w:space="0" w:color="auto"/>
        <w:left w:val="none" w:sz="0" w:space="0" w:color="auto"/>
        <w:bottom w:val="none" w:sz="0" w:space="0" w:color="auto"/>
        <w:right w:val="none" w:sz="0" w:space="0" w:color="auto"/>
      </w:divBdr>
    </w:div>
    <w:div w:id="1363439174">
      <w:bodyDiv w:val="1"/>
      <w:marLeft w:val="0"/>
      <w:marRight w:val="0"/>
      <w:marTop w:val="0"/>
      <w:marBottom w:val="0"/>
      <w:divBdr>
        <w:top w:val="none" w:sz="0" w:space="0" w:color="auto"/>
        <w:left w:val="none" w:sz="0" w:space="0" w:color="auto"/>
        <w:bottom w:val="none" w:sz="0" w:space="0" w:color="auto"/>
        <w:right w:val="none" w:sz="0" w:space="0" w:color="auto"/>
      </w:divBdr>
    </w:div>
    <w:div w:id="1455641041">
      <w:bodyDiv w:val="1"/>
      <w:marLeft w:val="0"/>
      <w:marRight w:val="0"/>
      <w:marTop w:val="0"/>
      <w:marBottom w:val="0"/>
      <w:divBdr>
        <w:top w:val="none" w:sz="0" w:space="0" w:color="auto"/>
        <w:left w:val="none" w:sz="0" w:space="0" w:color="auto"/>
        <w:bottom w:val="none" w:sz="0" w:space="0" w:color="auto"/>
        <w:right w:val="none" w:sz="0" w:space="0" w:color="auto"/>
      </w:divBdr>
      <w:divsChild>
        <w:div w:id="1742410980">
          <w:marLeft w:val="0"/>
          <w:marRight w:val="0"/>
          <w:marTop w:val="0"/>
          <w:marBottom w:val="0"/>
          <w:divBdr>
            <w:top w:val="none" w:sz="0" w:space="0" w:color="auto"/>
            <w:left w:val="none" w:sz="0" w:space="0" w:color="auto"/>
            <w:bottom w:val="none" w:sz="0" w:space="0" w:color="auto"/>
            <w:right w:val="none" w:sz="0" w:space="0" w:color="auto"/>
          </w:divBdr>
        </w:div>
        <w:div w:id="703795646">
          <w:marLeft w:val="0"/>
          <w:marRight w:val="0"/>
          <w:marTop w:val="0"/>
          <w:marBottom w:val="0"/>
          <w:divBdr>
            <w:top w:val="none" w:sz="0" w:space="0" w:color="auto"/>
            <w:left w:val="none" w:sz="0" w:space="0" w:color="auto"/>
            <w:bottom w:val="none" w:sz="0" w:space="0" w:color="auto"/>
            <w:right w:val="none" w:sz="0" w:space="0" w:color="auto"/>
          </w:divBdr>
        </w:div>
        <w:div w:id="1663049335">
          <w:marLeft w:val="0"/>
          <w:marRight w:val="0"/>
          <w:marTop w:val="0"/>
          <w:marBottom w:val="0"/>
          <w:divBdr>
            <w:top w:val="none" w:sz="0" w:space="0" w:color="auto"/>
            <w:left w:val="none" w:sz="0" w:space="0" w:color="auto"/>
            <w:bottom w:val="none" w:sz="0" w:space="0" w:color="auto"/>
            <w:right w:val="none" w:sz="0" w:space="0" w:color="auto"/>
          </w:divBdr>
        </w:div>
        <w:div w:id="698090510">
          <w:marLeft w:val="0"/>
          <w:marRight w:val="0"/>
          <w:marTop w:val="0"/>
          <w:marBottom w:val="0"/>
          <w:divBdr>
            <w:top w:val="none" w:sz="0" w:space="0" w:color="auto"/>
            <w:left w:val="none" w:sz="0" w:space="0" w:color="auto"/>
            <w:bottom w:val="none" w:sz="0" w:space="0" w:color="auto"/>
            <w:right w:val="none" w:sz="0" w:space="0" w:color="auto"/>
          </w:divBdr>
        </w:div>
        <w:div w:id="1649288347">
          <w:marLeft w:val="0"/>
          <w:marRight w:val="0"/>
          <w:marTop w:val="0"/>
          <w:marBottom w:val="0"/>
          <w:divBdr>
            <w:top w:val="none" w:sz="0" w:space="0" w:color="auto"/>
            <w:left w:val="none" w:sz="0" w:space="0" w:color="auto"/>
            <w:bottom w:val="none" w:sz="0" w:space="0" w:color="auto"/>
            <w:right w:val="none" w:sz="0" w:space="0" w:color="auto"/>
          </w:divBdr>
        </w:div>
        <w:div w:id="1929777150">
          <w:marLeft w:val="0"/>
          <w:marRight w:val="0"/>
          <w:marTop w:val="0"/>
          <w:marBottom w:val="0"/>
          <w:divBdr>
            <w:top w:val="none" w:sz="0" w:space="0" w:color="auto"/>
            <w:left w:val="none" w:sz="0" w:space="0" w:color="auto"/>
            <w:bottom w:val="none" w:sz="0" w:space="0" w:color="auto"/>
            <w:right w:val="none" w:sz="0" w:space="0" w:color="auto"/>
          </w:divBdr>
        </w:div>
        <w:div w:id="878934533">
          <w:marLeft w:val="0"/>
          <w:marRight w:val="0"/>
          <w:marTop w:val="0"/>
          <w:marBottom w:val="0"/>
          <w:divBdr>
            <w:top w:val="none" w:sz="0" w:space="0" w:color="auto"/>
            <w:left w:val="none" w:sz="0" w:space="0" w:color="auto"/>
            <w:bottom w:val="none" w:sz="0" w:space="0" w:color="auto"/>
            <w:right w:val="none" w:sz="0" w:space="0" w:color="auto"/>
          </w:divBdr>
        </w:div>
        <w:div w:id="998387138">
          <w:marLeft w:val="0"/>
          <w:marRight w:val="0"/>
          <w:marTop w:val="0"/>
          <w:marBottom w:val="0"/>
          <w:divBdr>
            <w:top w:val="none" w:sz="0" w:space="0" w:color="auto"/>
            <w:left w:val="none" w:sz="0" w:space="0" w:color="auto"/>
            <w:bottom w:val="none" w:sz="0" w:space="0" w:color="auto"/>
            <w:right w:val="none" w:sz="0" w:space="0" w:color="auto"/>
          </w:divBdr>
        </w:div>
        <w:div w:id="1125808483">
          <w:marLeft w:val="0"/>
          <w:marRight w:val="0"/>
          <w:marTop w:val="0"/>
          <w:marBottom w:val="0"/>
          <w:divBdr>
            <w:top w:val="none" w:sz="0" w:space="0" w:color="auto"/>
            <w:left w:val="none" w:sz="0" w:space="0" w:color="auto"/>
            <w:bottom w:val="none" w:sz="0" w:space="0" w:color="auto"/>
            <w:right w:val="none" w:sz="0" w:space="0" w:color="auto"/>
          </w:divBdr>
        </w:div>
        <w:div w:id="2044358506">
          <w:marLeft w:val="0"/>
          <w:marRight w:val="0"/>
          <w:marTop w:val="0"/>
          <w:marBottom w:val="0"/>
          <w:divBdr>
            <w:top w:val="none" w:sz="0" w:space="0" w:color="auto"/>
            <w:left w:val="none" w:sz="0" w:space="0" w:color="auto"/>
            <w:bottom w:val="none" w:sz="0" w:space="0" w:color="auto"/>
            <w:right w:val="none" w:sz="0" w:space="0" w:color="auto"/>
          </w:divBdr>
        </w:div>
      </w:divsChild>
    </w:div>
    <w:div w:id="1515341861">
      <w:bodyDiv w:val="1"/>
      <w:marLeft w:val="0"/>
      <w:marRight w:val="0"/>
      <w:marTop w:val="0"/>
      <w:marBottom w:val="0"/>
      <w:divBdr>
        <w:top w:val="none" w:sz="0" w:space="0" w:color="auto"/>
        <w:left w:val="none" w:sz="0" w:space="0" w:color="auto"/>
        <w:bottom w:val="none" w:sz="0" w:space="0" w:color="auto"/>
        <w:right w:val="none" w:sz="0" w:space="0" w:color="auto"/>
      </w:divBdr>
      <w:divsChild>
        <w:div w:id="703287104">
          <w:marLeft w:val="0"/>
          <w:marRight w:val="0"/>
          <w:marTop w:val="0"/>
          <w:marBottom w:val="0"/>
          <w:divBdr>
            <w:top w:val="none" w:sz="0" w:space="0" w:color="auto"/>
            <w:left w:val="none" w:sz="0" w:space="0" w:color="auto"/>
            <w:bottom w:val="none" w:sz="0" w:space="0" w:color="auto"/>
            <w:right w:val="none" w:sz="0" w:space="0" w:color="auto"/>
          </w:divBdr>
          <w:divsChild>
            <w:div w:id="186914275">
              <w:marLeft w:val="0"/>
              <w:marRight w:val="0"/>
              <w:marTop w:val="0"/>
              <w:marBottom w:val="0"/>
              <w:divBdr>
                <w:top w:val="none" w:sz="0" w:space="0" w:color="auto"/>
                <w:left w:val="none" w:sz="0" w:space="0" w:color="auto"/>
                <w:bottom w:val="none" w:sz="0" w:space="0" w:color="auto"/>
                <w:right w:val="none" w:sz="0" w:space="0" w:color="auto"/>
              </w:divBdr>
              <w:divsChild>
                <w:div w:id="803502999">
                  <w:marLeft w:val="0"/>
                  <w:marRight w:val="0"/>
                  <w:marTop w:val="0"/>
                  <w:marBottom w:val="0"/>
                  <w:divBdr>
                    <w:top w:val="none" w:sz="0" w:space="0" w:color="auto"/>
                    <w:left w:val="none" w:sz="0" w:space="0" w:color="auto"/>
                    <w:bottom w:val="none" w:sz="0" w:space="0" w:color="auto"/>
                    <w:right w:val="none" w:sz="0" w:space="0" w:color="auto"/>
                  </w:divBdr>
                </w:div>
              </w:divsChild>
            </w:div>
            <w:div w:id="712928523">
              <w:marLeft w:val="0"/>
              <w:marRight w:val="0"/>
              <w:marTop w:val="0"/>
              <w:marBottom w:val="0"/>
              <w:divBdr>
                <w:top w:val="none" w:sz="0" w:space="0" w:color="auto"/>
                <w:left w:val="none" w:sz="0" w:space="0" w:color="auto"/>
                <w:bottom w:val="none" w:sz="0" w:space="0" w:color="auto"/>
                <w:right w:val="none" w:sz="0" w:space="0" w:color="auto"/>
              </w:divBdr>
            </w:div>
            <w:div w:id="588927565">
              <w:marLeft w:val="0"/>
              <w:marRight w:val="0"/>
              <w:marTop w:val="0"/>
              <w:marBottom w:val="0"/>
              <w:divBdr>
                <w:top w:val="none" w:sz="0" w:space="0" w:color="auto"/>
                <w:left w:val="none" w:sz="0" w:space="0" w:color="auto"/>
                <w:bottom w:val="none" w:sz="0" w:space="0" w:color="auto"/>
                <w:right w:val="none" w:sz="0" w:space="0" w:color="auto"/>
              </w:divBdr>
              <w:divsChild>
                <w:div w:id="1877504442">
                  <w:marLeft w:val="0"/>
                  <w:marRight w:val="0"/>
                  <w:marTop w:val="0"/>
                  <w:marBottom w:val="0"/>
                  <w:divBdr>
                    <w:top w:val="none" w:sz="0" w:space="0" w:color="auto"/>
                    <w:left w:val="none" w:sz="0" w:space="0" w:color="auto"/>
                    <w:bottom w:val="none" w:sz="0" w:space="0" w:color="auto"/>
                    <w:right w:val="none" w:sz="0" w:space="0" w:color="auto"/>
                  </w:divBdr>
                </w:div>
              </w:divsChild>
            </w:div>
            <w:div w:id="1882012298">
              <w:marLeft w:val="0"/>
              <w:marRight w:val="0"/>
              <w:marTop w:val="0"/>
              <w:marBottom w:val="0"/>
              <w:divBdr>
                <w:top w:val="none" w:sz="0" w:space="0" w:color="auto"/>
                <w:left w:val="none" w:sz="0" w:space="0" w:color="auto"/>
                <w:bottom w:val="none" w:sz="0" w:space="0" w:color="auto"/>
                <w:right w:val="none" w:sz="0" w:space="0" w:color="auto"/>
              </w:divBdr>
            </w:div>
            <w:div w:id="319695071">
              <w:marLeft w:val="0"/>
              <w:marRight w:val="0"/>
              <w:marTop w:val="0"/>
              <w:marBottom w:val="0"/>
              <w:divBdr>
                <w:top w:val="none" w:sz="0" w:space="0" w:color="auto"/>
                <w:left w:val="none" w:sz="0" w:space="0" w:color="auto"/>
                <w:bottom w:val="none" w:sz="0" w:space="0" w:color="auto"/>
                <w:right w:val="none" w:sz="0" w:space="0" w:color="auto"/>
              </w:divBdr>
              <w:divsChild>
                <w:div w:id="1760368152">
                  <w:marLeft w:val="0"/>
                  <w:marRight w:val="0"/>
                  <w:marTop w:val="0"/>
                  <w:marBottom w:val="0"/>
                  <w:divBdr>
                    <w:top w:val="none" w:sz="0" w:space="0" w:color="auto"/>
                    <w:left w:val="none" w:sz="0" w:space="0" w:color="auto"/>
                    <w:bottom w:val="none" w:sz="0" w:space="0" w:color="auto"/>
                    <w:right w:val="none" w:sz="0" w:space="0" w:color="auto"/>
                  </w:divBdr>
                </w:div>
              </w:divsChild>
            </w:div>
            <w:div w:id="233466527">
              <w:marLeft w:val="0"/>
              <w:marRight w:val="0"/>
              <w:marTop w:val="0"/>
              <w:marBottom w:val="0"/>
              <w:divBdr>
                <w:top w:val="none" w:sz="0" w:space="0" w:color="auto"/>
                <w:left w:val="none" w:sz="0" w:space="0" w:color="auto"/>
                <w:bottom w:val="none" w:sz="0" w:space="0" w:color="auto"/>
                <w:right w:val="none" w:sz="0" w:space="0" w:color="auto"/>
              </w:divBdr>
            </w:div>
            <w:div w:id="2021617153">
              <w:marLeft w:val="0"/>
              <w:marRight w:val="0"/>
              <w:marTop w:val="0"/>
              <w:marBottom w:val="0"/>
              <w:divBdr>
                <w:top w:val="none" w:sz="0" w:space="0" w:color="auto"/>
                <w:left w:val="none" w:sz="0" w:space="0" w:color="auto"/>
                <w:bottom w:val="none" w:sz="0" w:space="0" w:color="auto"/>
                <w:right w:val="none" w:sz="0" w:space="0" w:color="auto"/>
              </w:divBdr>
            </w:div>
            <w:div w:id="1118722185">
              <w:marLeft w:val="0"/>
              <w:marRight w:val="0"/>
              <w:marTop w:val="0"/>
              <w:marBottom w:val="0"/>
              <w:divBdr>
                <w:top w:val="none" w:sz="0" w:space="0" w:color="auto"/>
                <w:left w:val="none" w:sz="0" w:space="0" w:color="auto"/>
                <w:bottom w:val="none" w:sz="0" w:space="0" w:color="auto"/>
                <w:right w:val="none" w:sz="0" w:space="0" w:color="auto"/>
              </w:divBdr>
            </w:div>
            <w:div w:id="1854614158">
              <w:marLeft w:val="0"/>
              <w:marRight w:val="0"/>
              <w:marTop w:val="0"/>
              <w:marBottom w:val="0"/>
              <w:divBdr>
                <w:top w:val="none" w:sz="0" w:space="0" w:color="auto"/>
                <w:left w:val="none" w:sz="0" w:space="0" w:color="auto"/>
                <w:bottom w:val="none" w:sz="0" w:space="0" w:color="auto"/>
                <w:right w:val="none" w:sz="0" w:space="0" w:color="auto"/>
              </w:divBdr>
              <w:divsChild>
                <w:div w:id="559900292">
                  <w:marLeft w:val="0"/>
                  <w:marRight w:val="0"/>
                  <w:marTop w:val="0"/>
                  <w:marBottom w:val="0"/>
                  <w:divBdr>
                    <w:top w:val="none" w:sz="0" w:space="0" w:color="auto"/>
                    <w:left w:val="none" w:sz="0" w:space="0" w:color="auto"/>
                    <w:bottom w:val="none" w:sz="0" w:space="0" w:color="auto"/>
                    <w:right w:val="none" w:sz="0" w:space="0" w:color="auto"/>
                  </w:divBdr>
                </w:div>
              </w:divsChild>
            </w:div>
            <w:div w:id="1640064639">
              <w:marLeft w:val="0"/>
              <w:marRight w:val="0"/>
              <w:marTop w:val="0"/>
              <w:marBottom w:val="0"/>
              <w:divBdr>
                <w:top w:val="none" w:sz="0" w:space="0" w:color="auto"/>
                <w:left w:val="none" w:sz="0" w:space="0" w:color="auto"/>
                <w:bottom w:val="none" w:sz="0" w:space="0" w:color="auto"/>
                <w:right w:val="none" w:sz="0" w:space="0" w:color="auto"/>
              </w:divBdr>
              <w:divsChild>
                <w:div w:id="782042959">
                  <w:marLeft w:val="0"/>
                  <w:marRight w:val="0"/>
                  <w:marTop w:val="0"/>
                  <w:marBottom w:val="0"/>
                  <w:divBdr>
                    <w:top w:val="none" w:sz="0" w:space="0" w:color="auto"/>
                    <w:left w:val="none" w:sz="0" w:space="0" w:color="auto"/>
                    <w:bottom w:val="none" w:sz="0" w:space="0" w:color="auto"/>
                    <w:right w:val="none" w:sz="0" w:space="0" w:color="auto"/>
                  </w:divBdr>
                </w:div>
              </w:divsChild>
            </w:div>
            <w:div w:id="935791508">
              <w:marLeft w:val="0"/>
              <w:marRight w:val="0"/>
              <w:marTop w:val="0"/>
              <w:marBottom w:val="0"/>
              <w:divBdr>
                <w:top w:val="none" w:sz="0" w:space="0" w:color="auto"/>
                <w:left w:val="none" w:sz="0" w:space="0" w:color="auto"/>
                <w:bottom w:val="none" w:sz="0" w:space="0" w:color="auto"/>
                <w:right w:val="none" w:sz="0" w:space="0" w:color="auto"/>
              </w:divBdr>
            </w:div>
            <w:div w:id="1059129603">
              <w:marLeft w:val="0"/>
              <w:marRight w:val="0"/>
              <w:marTop w:val="0"/>
              <w:marBottom w:val="0"/>
              <w:divBdr>
                <w:top w:val="none" w:sz="0" w:space="0" w:color="auto"/>
                <w:left w:val="none" w:sz="0" w:space="0" w:color="auto"/>
                <w:bottom w:val="none" w:sz="0" w:space="0" w:color="auto"/>
                <w:right w:val="none" w:sz="0" w:space="0" w:color="auto"/>
              </w:divBdr>
            </w:div>
            <w:div w:id="978387708">
              <w:marLeft w:val="0"/>
              <w:marRight w:val="0"/>
              <w:marTop w:val="0"/>
              <w:marBottom w:val="0"/>
              <w:divBdr>
                <w:top w:val="none" w:sz="0" w:space="0" w:color="auto"/>
                <w:left w:val="none" w:sz="0" w:space="0" w:color="auto"/>
                <w:bottom w:val="none" w:sz="0" w:space="0" w:color="auto"/>
                <w:right w:val="none" w:sz="0" w:space="0" w:color="auto"/>
              </w:divBdr>
            </w:div>
            <w:div w:id="1942763574">
              <w:marLeft w:val="0"/>
              <w:marRight w:val="0"/>
              <w:marTop w:val="0"/>
              <w:marBottom w:val="0"/>
              <w:divBdr>
                <w:top w:val="none" w:sz="0" w:space="0" w:color="auto"/>
                <w:left w:val="none" w:sz="0" w:space="0" w:color="auto"/>
                <w:bottom w:val="none" w:sz="0" w:space="0" w:color="auto"/>
                <w:right w:val="none" w:sz="0" w:space="0" w:color="auto"/>
              </w:divBdr>
            </w:div>
            <w:div w:id="116608370">
              <w:marLeft w:val="0"/>
              <w:marRight w:val="0"/>
              <w:marTop w:val="0"/>
              <w:marBottom w:val="0"/>
              <w:divBdr>
                <w:top w:val="none" w:sz="0" w:space="0" w:color="auto"/>
                <w:left w:val="none" w:sz="0" w:space="0" w:color="auto"/>
                <w:bottom w:val="none" w:sz="0" w:space="0" w:color="auto"/>
                <w:right w:val="none" w:sz="0" w:space="0" w:color="auto"/>
              </w:divBdr>
            </w:div>
            <w:div w:id="1072315898">
              <w:marLeft w:val="0"/>
              <w:marRight w:val="0"/>
              <w:marTop w:val="0"/>
              <w:marBottom w:val="0"/>
              <w:divBdr>
                <w:top w:val="none" w:sz="0" w:space="0" w:color="auto"/>
                <w:left w:val="none" w:sz="0" w:space="0" w:color="auto"/>
                <w:bottom w:val="none" w:sz="0" w:space="0" w:color="auto"/>
                <w:right w:val="none" w:sz="0" w:space="0" w:color="auto"/>
              </w:divBdr>
            </w:div>
            <w:div w:id="959920506">
              <w:marLeft w:val="0"/>
              <w:marRight w:val="0"/>
              <w:marTop w:val="0"/>
              <w:marBottom w:val="0"/>
              <w:divBdr>
                <w:top w:val="none" w:sz="0" w:space="0" w:color="auto"/>
                <w:left w:val="none" w:sz="0" w:space="0" w:color="auto"/>
                <w:bottom w:val="none" w:sz="0" w:space="0" w:color="auto"/>
                <w:right w:val="none" w:sz="0" w:space="0" w:color="auto"/>
              </w:divBdr>
            </w:div>
            <w:div w:id="396166850">
              <w:marLeft w:val="0"/>
              <w:marRight w:val="0"/>
              <w:marTop w:val="0"/>
              <w:marBottom w:val="0"/>
              <w:divBdr>
                <w:top w:val="none" w:sz="0" w:space="0" w:color="auto"/>
                <w:left w:val="none" w:sz="0" w:space="0" w:color="auto"/>
                <w:bottom w:val="none" w:sz="0" w:space="0" w:color="auto"/>
                <w:right w:val="none" w:sz="0" w:space="0" w:color="auto"/>
              </w:divBdr>
            </w:div>
            <w:div w:id="1066300153">
              <w:marLeft w:val="0"/>
              <w:marRight w:val="0"/>
              <w:marTop w:val="0"/>
              <w:marBottom w:val="0"/>
              <w:divBdr>
                <w:top w:val="none" w:sz="0" w:space="0" w:color="auto"/>
                <w:left w:val="none" w:sz="0" w:space="0" w:color="auto"/>
                <w:bottom w:val="none" w:sz="0" w:space="0" w:color="auto"/>
                <w:right w:val="none" w:sz="0" w:space="0" w:color="auto"/>
              </w:divBdr>
            </w:div>
            <w:div w:id="563872661">
              <w:marLeft w:val="0"/>
              <w:marRight w:val="0"/>
              <w:marTop w:val="0"/>
              <w:marBottom w:val="0"/>
              <w:divBdr>
                <w:top w:val="none" w:sz="0" w:space="0" w:color="auto"/>
                <w:left w:val="none" w:sz="0" w:space="0" w:color="auto"/>
                <w:bottom w:val="none" w:sz="0" w:space="0" w:color="auto"/>
                <w:right w:val="none" w:sz="0" w:space="0" w:color="auto"/>
              </w:divBdr>
              <w:divsChild>
                <w:div w:id="1708412547">
                  <w:marLeft w:val="0"/>
                  <w:marRight w:val="0"/>
                  <w:marTop w:val="0"/>
                  <w:marBottom w:val="0"/>
                  <w:divBdr>
                    <w:top w:val="none" w:sz="0" w:space="0" w:color="auto"/>
                    <w:left w:val="none" w:sz="0" w:space="0" w:color="auto"/>
                    <w:bottom w:val="none" w:sz="0" w:space="0" w:color="auto"/>
                    <w:right w:val="none" w:sz="0" w:space="0" w:color="auto"/>
                  </w:divBdr>
                </w:div>
              </w:divsChild>
            </w:div>
            <w:div w:id="94175573">
              <w:marLeft w:val="0"/>
              <w:marRight w:val="0"/>
              <w:marTop w:val="0"/>
              <w:marBottom w:val="0"/>
              <w:divBdr>
                <w:top w:val="none" w:sz="0" w:space="0" w:color="auto"/>
                <w:left w:val="none" w:sz="0" w:space="0" w:color="auto"/>
                <w:bottom w:val="none" w:sz="0" w:space="0" w:color="auto"/>
                <w:right w:val="none" w:sz="0" w:space="0" w:color="auto"/>
              </w:divBdr>
            </w:div>
            <w:div w:id="41222755">
              <w:marLeft w:val="0"/>
              <w:marRight w:val="0"/>
              <w:marTop w:val="0"/>
              <w:marBottom w:val="0"/>
              <w:divBdr>
                <w:top w:val="none" w:sz="0" w:space="0" w:color="auto"/>
                <w:left w:val="none" w:sz="0" w:space="0" w:color="auto"/>
                <w:bottom w:val="none" w:sz="0" w:space="0" w:color="auto"/>
                <w:right w:val="none" w:sz="0" w:space="0" w:color="auto"/>
              </w:divBdr>
              <w:divsChild>
                <w:div w:id="801923649">
                  <w:marLeft w:val="0"/>
                  <w:marRight w:val="0"/>
                  <w:marTop w:val="0"/>
                  <w:marBottom w:val="0"/>
                  <w:divBdr>
                    <w:top w:val="none" w:sz="0" w:space="0" w:color="auto"/>
                    <w:left w:val="none" w:sz="0" w:space="0" w:color="auto"/>
                    <w:bottom w:val="none" w:sz="0" w:space="0" w:color="auto"/>
                    <w:right w:val="none" w:sz="0" w:space="0" w:color="auto"/>
                  </w:divBdr>
                </w:div>
              </w:divsChild>
            </w:div>
            <w:div w:id="266157712">
              <w:marLeft w:val="0"/>
              <w:marRight w:val="0"/>
              <w:marTop w:val="0"/>
              <w:marBottom w:val="0"/>
              <w:divBdr>
                <w:top w:val="none" w:sz="0" w:space="0" w:color="auto"/>
                <w:left w:val="none" w:sz="0" w:space="0" w:color="auto"/>
                <w:bottom w:val="none" w:sz="0" w:space="0" w:color="auto"/>
                <w:right w:val="none" w:sz="0" w:space="0" w:color="auto"/>
              </w:divBdr>
              <w:divsChild>
                <w:div w:id="203058811">
                  <w:marLeft w:val="0"/>
                  <w:marRight w:val="0"/>
                  <w:marTop w:val="0"/>
                  <w:marBottom w:val="0"/>
                  <w:divBdr>
                    <w:top w:val="none" w:sz="0" w:space="0" w:color="auto"/>
                    <w:left w:val="none" w:sz="0" w:space="0" w:color="auto"/>
                    <w:bottom w:val="none" w:sz="0" w:space="0" w:color="auto"/>
                    <w:right w:val="none" w:sz="0" w:space="0" w:color="auto"/>
                  </w:divBdr>
                </w:div>
              </w:divsChild>
            </w:div>
            <w:div w:id="698043654">
              <w:marLeft w:val="0"/>
              <w:marRight w:val="0"/>
              <w:marTop w:val="0"/>
              <w:marBottom w:val="0"/>
              <w:divBdr>
                <w:top w:val="none" w:sz="0" w:space="0" w:color="auto"/>
                <w:left w:val="none" w:sz="0" w:space="0" w:color="auto"/>
                <w:bottom w:val="none" w:sz="0" w:space="0" w:color="auto"/>
                <w:right w:val="none" w:sz="0" w:space="0" w:color="auto"/>
              </w:divBdr>
              <w:divsChild>
                <w:div w:id="574898605">
                  <w:marLeft w:val="0"/>
                  <w:marRight w:val="0"/>
                  <w:marTop w:val="0"/>
                  <w:marBottom w:val="0"/>
                  <w:divBdr>
                    <w:top w:val="none" w:sz="0" w:space="0" w:color="auto"/>
                    <w:left w:val="none" w:sz="0" w:space="0" w:color="auto"/>
                    <w:bottom w:val="none" w:sz="0" w:space="0" w:color="auto"/>
                    <w:right w:val="none" w:sz="0" w:space="0" w:color="auto"/>
                  </w:divBdr>
                </w:div>
              </w:divsChild>
            </w:div>
            <w:div w:id="672755807">
              <w:marLeft w:val="0"/>
              <w:marRight w:val="0"/>
              <w:marTop w:val="0"/>
              <w:marBottom w:val="0"/>
              <w:divBdr>
                <w:top w:val="none" w:sz="0" w:space="0" w:color="auto"/>
                <w:left w:val="none" w:sz="0" w:space="0" w:color="auto"/>
                <w:bottom w:val="none" w:sz="0" w:space="0" w:color="auto"/>
                <w:right w:val="none" w:sz="0" w:space="0" w:color="auto"/>
              </w:divBdr>
              <w:divsChild>
                <w:div w:id="2098095916">
                  <w:marLeft w:val="0"/>
                  <w:marRight w:val="0"/>
                  <w:marTop w:val="0"/>
                  <w:marBottom w:val="0"/>
                  <w:divBdr>
                    <w:top w:val="none" w:sz="0" w:space="0" w:color="auto"/>
                    <w:left w:val="none" w:sz="0" w:space="0" w:color="auto"/>
                    <w:bottom w:val="none" w:sz="0" w:space="0" w:color="auto"/>
                    <w:right w:val="none" w:sz="0" w:space="0" w:color="auto"/>
                  </w:divBdr>
                </w:div>
              </w:divsChild>
            </w:div>
            <w:div w:id="325287057">
              <w:marLeft w:val="0"/>
              <w:marRight w:val="0"/>
              <w:marTop w:val="0"/>
              <w:marBottom w:val="0"/>
              <w:divBdr>
                <w:top w:val="none" w:sz="0" w:space="0" w:color="auto"/>
                <w:left w:val="none" w:sz="0" w:space="0" w:color="auto"/>
                <w:bottom w:val="none" w:sz="0" w:space="0" w:color="auto"/>
                <w:right w:val="none" w:sz="0" w:space="0" w:color="auto"/>
              </w:divBdr>
            </w:div>
            <w:div w:id="2045516126">
              <w:marLeft w:val="0"/>
              <w:marRight w:val="0"/>
              <w:marTop w:val="0"/>
              <w:marBottom w:val="0"/>
              <w:divBdr>
                <w:top w:val="none" w:sz="0" w:space="0" w:color="auto"/>
                <w:left w:val="none" w:sz="0" w:space="0" w:color="auto"/>
                <w:bottom w:val="none" w:sz="0" w:space="0" w:color="auto"/>
                <w:right w:val="none" w:sz="0" w:space="0" w:color="auto"/>
              </w:divBdr>
            </w:div>
            <w:div w:id="670716341">
              <w:marLeft w:val="0"/>
              <w:marRight w:val="0"/>
              <w:marTop w:val="0"/>
              <w:marBottom w:val="0"/>
              <w:divBdr>
                <w:top w:val="none" w:sz="0" w:space="0" w:color="auto"/>
                <w:left w:val="none" w:sz="0" w:space="0" w:color="auto"/>
                <w:bottom w:val="none" w:sz="0" w:space="0" w:color="auto"/>
                <w:right w:val="none" w:sz="0" w:space="0" w:color="auto"/>
              </w:divBdr>
            </w:div>
            <w:div w:id="475529809">
              <w:marLeft w:val="0"/>
              <w:marRight w:val="0"/>
              <w:marTop w:val="0"/>
              <w:marBottom w:val="0"/>
              <w:divBdr>
                <w:top w:val="none" w:sz="0" w:space="0" w:color="auto"/>
                <w:left w:val="none" w:sz="0" w:space="0" w:color="auto"/>
                <w:bottom w:val="none" w:sz="0" w:space="0" w:color="auto"/>
                <w:right w:val="none" w:sz="0" w:space="0" w:color="auto"/>
              </w:divBdr>
            </w:div>
            <w:div w:id="1057977786">
              <w:marLeft w:val="0"/>
              <w:marRight w:val="0"/>
              <w:marTop w:val="0"/>
              <w:marBottom w:val="0"/>
              <w:divBdr>
                <w:top w:val="none" w:sz="0" w:space="0" w:color="auto"/>
                <w:left w:val="none" w:sz="0" w:space="0" w:color="auto"/>
                <w:bottom w:val="none" w:sz="0" w:space="0" w:color="auto"/>
                <w:right w:val="none" w:sz="0" w:space="0" w:color="auto"/>
              </w:divBdr>
              <w:divsChild>
                <w:div w:id="1972860915">
                  <w:marLeft w:val="0"/>
                  <w:marRight w:val="0"/>
                  <w:marTop w:val="0"/>
                  <w:marBottom w:val="0"/>
                  <w:divBdr>
                    <w:top w:val="none" w:sz="0" w:space="0" w:color="auto"/>
                    <w:left w:val="none" w:sz="0" w:space="0" w:color="auto"/>
                    <w:bottom w:val="none" w:sz="0" w:space="0" w:color="auto"/>
                    <w:right w:val="none" w:sz="0" w:space="0" w:color="auto"/>
                  </w:divBdr>
                </w:div>
              </w:divsChild>
            </w:div>
            <w:div w:id="2070688746">
              <w:marLeft w:val="0"/>
              <w:marRight w:val="0"/>
              <w:marTop w:val="0"/>
              <w:marBottom w:val="0"/>
              <w:divBdr>
                <w:top w:val="none" w:sz="0" w:space="0" w:color="auto"/>
                <w:left w:val="none" w:sz="0" w:space="0" w:color="auto"/>
                <w:bottom w:val="none" w:sz="0" w:space="0" w:color="auto"/>
                <w:right w:val="none" w:sz="0" w:space="0" w:color="auto"/>
              </w:divBdr>
              <w:divsChild>
                <w:div w:id="429738926">
                  <w:marLeft w:val="0"/>
                  <w:marRight w:val="0"/>
                  <w:marTop w:val="0"/>
                  <w:marBottom w:val="0"/>
                  <w:divBdr>
                    <w:top w:val="none" w:sz="0" w:space="0" w:color="auto"/>
                    <w:left w:val="none" w:sz="0" w:space="0" w:color="auto"/>
                    <w:bottom w:val="none" w:sz="0" w:space="0" w:color="auto"/>
                    <w:right w:val="none" w:sz="0" w:space="0" w:color="auto"/>
                  </w:divBdr>
                </w:div>
              </w:divsChild>
            </w:div>
            <w:div w:id="619803310">
              <w:marLeft w:val="0"/>
              <w:marRight w:val="0"/>
              <w:marTop w:val="0"/>
              <w:marBottom w:val="0"/>
              <w:divBdr>
                <w:top w:val="none" w:sz="0" w:space="0" w:color="auto"/>
                <w:left w:val="none" w:sz="0" w:space="0" w:color="auto"/>
                <w:bottom w:val="none" w:sz="0" w:space="0" w:color="auto"/>
                <w:right w:val="none" w:sz="0" w:space="0" w:color="auto"/>
              </w:divBdr>
              <w:divsChild>
                <w:div w:id="771053148">
                  <w:marLeft w:val="0"/>
                  <w:marRight w:val="0"/>
                  <w:marTop w:val="0"/>
                  <w:marBottom w:val="0"/>
                  <w:divBdr>
                    <w:top w:val="none" w:sz="0" w:space="0" w:color="auto"/>
                    <w:left w:val="none" w:sz="0" w:space="0" w:color="auto"/>
                    <w:bottom w:val="none" w:sz="0" w:space="0" w:color="auto"/>
                    <w:right w:val="none" w:sz="0" w:space="0" w:color="auto"/>
                  </w:divBdr>
                </w:div>
              </w:divsChild>
            </w:div>
            <w:div w:id="47924701">
              <w:marLeft w:val="0"/>
              <w:marRight w:val="0"/>
              <w:marTop w:val="0"/>
              <w:marBottom w:val="0"/>
              <w:divBdr>
                <w:top w:val="none" w:sz="0" w:space="0" w:color="auto"/>
                <w:left w:val="none" w:sz="0" w:space="0" w:color="auto"/>
                <w:bottom w:val="none" w:sz="0" w:space="0" w:color="auto"/>
                <w:right w:val="none" w:sz="0" w:space="0" w:color="auto"/>
              </w:divBdr>
              <w:divsChild>
                <w:div w:id="452485597">
                  <w:marLeft w:val="0"/>
                  <w:marRight w:val="0"/>
                  <w:marTop w:val="0"/>
                  <w:marBottom w:val="0"/>
                  <w:divBdr>
                    <w:top w:val="none" w:sz="0" w:space="0" w:color="auto"/>
                    <w:left w:val="none" w:sz="0" w:space="0" w:color="auto"/>
                    <w:bottom w:val="none" w:sz="0" w:space="0" w:color="auto"/>
                    <w:right w:val="none" w:sz="0" w:space="0" w:color="auto"/>
                  </w:divBdr>
                </w:div>
              </w:divsChild>
            </w:div>
            <w:div w:id="1418750855">
              <w:marLeft w:val="0"/>
              <w:marRight w:val="0"/>
              <w:marTop w:val="0"/>
              <w:marBottom w:val="0"/>
              <w:divBdr>
                <w:top w:val="none" w:sz="0" w:space="0" w:color="auto"/>
                <w:left w:val="none" w:sz="0" w:space="0" w:color="auto"/>
                <w:bottom w:val="none" w:sz="0" w:space="0" w:color="auto"/>
                <w:right w:val="none" w:sz="0" w:space="0" w:color="auto"/>
              </w:divBdr>
            </w:div>
            <w:div w:id="984092390">
              <w:marLeft w:val="0"/>
              <w:marRight w:val="0"/>
              <w:marTop w:val="0"/>
              <w:marBottom w:val="0"/>
              <w:divBdr>
                <w:top w:val="none" w:sz="0" w:space="0" w:color="auto"/>
                <w:left w:val="none" w:sz="0" w:space="0" w:color="auto"/>
                <w:bottom w:val="none" w:sz="0" w:space="0" w:color="auto"/>
                <w:right w:val="none" w:sz="0" w:space="0" w:color="auto"/>
              </w:divBdr>
            </w:div>
            <w:div w:id="629477426">
              <w:marLeft w:val="0"/>
              <w:marRight w:val="0"/>
              <w:marTop w:val="0"/>
              <w:marBottom w:val="0"/>
              <w:divBdr>
                <w:top w:val="none" w:sz="0" w:space="0" w:color="auto"/>
                <w:left w:val="none" w:sz="0" w:space="0" w:color="auto"/>
                <w:bottom w:val="none" w:sz="0" w:space="0" w:color="auto"/>
                <w:right w:val="none" w:sz="0" w:space="0" w:color="auto"/>
              </w:divBdr>
            </w:div>
            <w:div w:id="565188585">
              <w:marLeft w:val="0"/>
              <w:marRight w:val="0"/>
              <w:marTop w:val="0"/>
              <w:marBottom w:val="0"/>
              <w:divBdr>
                <w:top w:val="none" w:sz="0" w:space="0" w:color="auto"/>
                <w:left w:val="none" w:sz="0" w:space="0" w:color="auto"/>
                <w:bottom w:val="none" w:sz="0" w:space="0" w:color="auto"/>
                <w:right w:val="none" w:sz="0" w:space="0" w:color="auto"/>
              </w:divBdr>
              <w:divsChild>
                <w:div w:id="1631395122">
                  <w:marLeft w:val="0"/>
                  <w:marRight w:val="0"/>
                  <w:marTop w:val="0"/>
                  <w:marBottom w:val="0"/>
                  <w:divBdr>
                    <w:top w:val="none" w:sz="0" w:space="0" w:color="auto"/>
                    <w:left w:val="none" w:sz="0" w:space="0" w:color="auto"/>
                    <w:bottom w:val="none" w:sz="0" w:space="0" w:color="auto"/>
                    <w:right w:val="none" w:sz="0" w:space="0" w:color="auto"/>
                  </w:divBdr>
                </w:div>
              </w:divsChild>
            </w:div>
            <w:div w:id="1178888315">
              <w:marLeft w:val="0"/>
              <w:marRight w:val="0"/>
              <w:marTop w:val="0"/>
              <w:marBottom w:val="0"/>
              <w:divBdr>
                <w:top w:val="none" w:sz="0" w:space="0" w:color="auto"/>
                <w:left w:val="none" w:sz="0" w:space="0" w:color="auto"/>
                <w:bottom w:val="none" w:sz="0" w:space="0" w:color="auto"/>
                <w:right w:val="none" w:sz="0" w:space="0" w:color="auto"/>
              </w:divBdr>
            </w:div>
            <w:div w:id="1673606563">
              <w:marLeft w:val="0"/>
              <w:marRight w:val="0"/>
              <w:marTop w:val="0"/>
              <w:marBottom w:val="0"/>
              <w:divBdr>
                <w:top w:val="none" w:sz="0" w:space="0" w:color="auto"/>
                <w:left w:val="none" w:sz="0" w:space="0" w:color="auto"/>
                <w:bottom w:val="none" w:sz="0" w:space="0" w:color="auto"/>
                <w:right w:val="none" w:sz="0" w:space="0" w:color="auto"/>
              </w:divBdr>
            </w:div>
            <w:div w:id="1052655499">
              <w:marLeft w:val="0"/>
              <w:marRight w:val="0"/>
              <w:marTop w:val="0"/>
              <w:marBottom w:val="0"/>
              <w:divBdr>
                <w:top w:val="none" w:sz="0" w:space="0" w:color="auto"/>
                <w:left w:val="none" w:sz="0" w:space="0" w:color="auto"/>
                <w:bottom w:val="none" w:sz="0" w:space="0" w:color="auto"/>
                <w:right w:val="none" w:sz="0" w:space="0" w:color="auto"/>
              </w:divBdr>
            </w:div>
            <w:div w:id="899632424">
              <w:marLeft w:val="0"/>
              <w:marRight w:val="0"/>
              <w:marTop w:val="0"/>
              <w:marBottom w:val="0"/>
              <w:divBdr>
                <w:top w:val="none" w:sz="0" w:space="0" w:color="auto"/>
                <w:left w:val="none" w:sz="0" w:space="0" w:color="auto"/>
                <w:bottom w:val="none" w:sz="0" w:space="0" w:color="auto"/>
                <w:right w:val="none" w:sz="0" w:space="0" w:color="auto"/>
              </w:divBdr>
              <w:divsChild>
                <w:div w:id="1470782302">
                  <w:marLeft w:val="0"/>
                  <w:marRight w:val="0"/>
                  <w:marTop w:val="0"/>
                  <w:marBottom w:val="0"/>
                  <w:divBdr>
                    <w:top w:val="none" w:sz="0" w:space="0" w:color="auto"/>
                    <w:left w:val="none" w:sz="0" w:space="0" w:color="auto"/>
                    <w:bottom w:val="none" w:sz="0" w:space="0" w:color="auto"/>
                    <w:right w:val="none" w:sz="0" w:space="0" w:color="auto"/>
                  </w:divBdr>
                </w:div>
              </w:divsChild>
            </w:div>
            <w:div w:id="1152141393">
              <w:marLeft w:val="0"/>
              <w:marRight w:val="0"/>
              <w:marTop w:val="0"/>
              <w:marBottom w:val="0"/>
              <w:divBdr>
                <w:top w:val="none" w:sz="0" w:space="0" w:color="auto"/>
                <w:left w:val="none" w:sz="0" w:space="0" w:color="auto"/>
                <w:bottom w:val="none" w:sz="0" w:space="0" w:color="auto"/>
                <w:right w:val="none" w:sz="0" w:space="0" w:color="auto"/>
              </w:divBdr>
              <w:divsChild>
                <w:div w:id="416634764">
                  <w:marLeft w:val="0"/>
                  <w:marRight w:val="0"/>
                  <w:marTop w:val="0"/>
                  <w:marBottom w:val="0"/>
                  <w:divBdr>
                    <w:top w:val="none" w:sz="0" w:space="0" w:color="auto"/>
                    <w:left w:val="none" w:sz="0" w:space="0" w:color="auto"/>
                    <w:bottom w:val="none" w:sz="0" w:space="0" w:color="auto"/>
                    <w:right w:val="none" w:sz="0" w:space="0" w:color="auto"/>
                  </w:divBdr>
                </w:div>
              </w:divsChild>
            </w:div>
            <w:div w:id="1650284789">
              <w:marLeft w:val="0"/>
              <w:marRight w:val="0"/>
              <w:marTop w:val="0"/>
              <w:marBottom w:val="0"/>
              <w:divBdr>
                <w:top w:val="none" w:sz="0" w:space="0" w:color="auto"/>
                <w:left w:val="none" w:sz="0" w:space="0" w:color="auto"/>
                <w:bottom w:val="none" w:sz="0" w:space="0" w:color="auto"/>
                <w:right w:val="none" w:sz="0" w:space="0" w:color="auto"/>
              </w:divBdr>
            </w:div>
            <w:div w:id="1210998105">
              <w:marLeft w:val="0"/>
              <w:marRight w:val="0"/>
              <w:marTop w:val="0"/>
              <w:marBottom w:val="0"/>
              <w:divBdr>
                <w:top w:val="none" w:sz="0" w:space="0" w:color="auto"/>
                <w:left w:val="none" w:sz="0" w:space="0" w:color="auto"/>
                <w:bottom w:val="none" w:sz="0" w:space="0" w:color="auto"/>
                <w:right w:val="none" w:sz="0" w:space="0" w:color="auto"/>
              </w:divBdr>
              <w:divsChild>
                <w:div w:id="1156146528">
                  <w:marLeft w:val="0"/>
                  <w:marRight w:val="0"/>
                  <w:marTop w:val="0"/>
                  <w:marBottom w:val="0"/>
                  <w:divBdr>
                    <w:top w:val="none" w:sz="0" w:space="0" w:color="auto"/>
                    <w:left w:val="none" w:sz="0" w:space="0" w:color="auto"/>
                    <w:bottom w:val="none" w:sz="0" w:space="0" w:color="auto"/>
                    <w:right w:val="none" w:sz="0" w:space="0" w:color="auto"/>
                  </w:divBdr>
                </w:div>
              </w:divsChild>
            </w:div>
            <w:div w:id="1151479981">
              <w:marLeft w:val="0"/>
              <w:marRight w:val="0"/>
              <w:marTop w:val="0"/>
              <w:marBottom w:val="0"/>
              <w:divBdr>
                <w:top w:val="none" w:sz="0" w:space="0" w:color="auto"/>
                <w:left w:val="none" w:sz="0" w:space="0" w:color="auto"/>
                <w:bottom w:val="none" w:sz="0" w:space="0" w:color="auto"/>
                <w:right w:val="none" w:sz="0" w:space="0" w:color="auto"/>
              </w:divBdr>
            </w:div>
            <w:div w:id="2110615877">
              <w:marLeft w:val="0"/>
              <w:marRight w:val="0"/>
              <w:marTop w:val="0"/>
              <w:marBottom w:val="0"/>
              <w:divBdr>
                <w:top w:val="none" w:sz="0" w:space="0" w:color="auto"/>
                <w:left w:val="none" w:sz="0" w:space="0" w:color="auto"/>
                <w:bottom w:val="none" w:sz="0" w:space="0" w:color="auto"/>
                <w:right w:val="none" w:sz="0" w:space="0" w:color="auto"/>
              </w:divBdr>
              <w:divsChild>
                <w:div w:id="1864515915">
                  <w:marLeft w:val="0"/>
                  <w:marRight w:val="0"/>
                  <w:marTop w:val="0"/>
                  <w:marBottom w:val="0"/>
                  <w:divBdr>
                    <w:top w:val="none" w:sz="0" w:space="0" w:color="auto"/>
                    <w:left w:val="none" w:sz="0" w:space="0" w:color="auto"/>
                    <w:bottom w:val="none" w:sz="0" w:space="0" w:color="auto"/>
                    <w:right w:val="none" w:sz="0" w:space="0" w:color="auto"/>
                  </w:divBdr>
                </w:div>
              </w:divsChild>
            </w:div>
            <w:div w:id="1018771774">
              <w:marLeft w:val="0"/>
              <w:marRight w:val="0"/>
              <w:marTop w:val="0"/>
              <w:marBottom w:val="0"/>
              <w:divBdr>
                <w:top w:val="none" w:sz="0" w:space="0" w:color="auto"/>
                <w:left w:val="none" w:sz="0" w:space="0" w:color="auto"/>
                <w:bottom w:val="none" w:sz="0" w:space="0" w:color="auto"/>
                <w:right w:val="none" w:sz="0" w:space="0" w:color="auto"/>
              </w:divBdr>
              <w:divsChild>
                <w:div w:id="305596908">
                  <w:marLeft w:val="0"/>
                  <w:marRight w:val="0"/>
                  <w:marTop w:val="0"/>
                  <w:marBottom w:val="0"/>
                  <w:divBdr>
                    <w:top w:val="none" w:sz="0" w:space="0" w:color="auto"/>
                    <w:left w:val="none" w:sz="0" w:space="0" w:color="auto"/>
                    <w:bottom w:val="none" w:sz="0" w:space="0" w:color="auto"/>
                    <w:right w:val="none" w:sz="0" w:space="0" w:color="auto"/>
                  </w:divBdr>
                </w:div>
              </w:divsChild>
            </w:div>
            <w:div w:id="178471376">
              <w:marLeft w:val="0"/>
              <w:marRight w:val="0"/>
              <w:marTop w:val="0"/>
              <w:marBottom w:val="0"/>
              <w:divBdr>
                <w:top w:val="none" w:sz="0" w:space="0" w:color="auto"/>
                <w:left w:val="none" w:sz="0" w:space="0" w:color="auto"/>
                <w:bottom w:val="none" w:sz="0" w:space="0" w:color="auto"/>
                <w:right w:val="none" w:sz="0" w:space="0" w:color="auto"/>
              </w:divBdr>
            </w:div>
            <w:div w:id="1664384214">
              <w:marLeft w:val="0"/>
              <w:marRight w:val="0"/>
              <w:marTop w:val="0"/>
              <w:marBottom w:val="0"/>
              <w:divBdr>
                <w:top w:val="none" w:sz="0" w:space="0" w:color="auto"/>
                <w:left w:val="none" w:sz="0" w:space="0" w:color="auto"/>
                <w:bottom w:val="none" w:sz="0" w:space="0" w:color="auto"/>
                <w:right w:val="none" w:sz="0" w:space="0" w:color="auto"/>
              </w:divBdr>
            </w:div>
            <w:div w:id="517740533">
              <w:marLeft w:val="0"/>
              <w:marRight w:val="0"/>
              <w:marTop w:val="0"/>
              <w:marBottom w:val="0"/>
              <w:divBdr>
                <w:top w:val="none" w:sz="0" w:space="0" w:color="auto"/>
                <w:left w:val="none" w:sz="0" w:space="0" w:color="auto"/>
                <w:bottom w:val="none" w:sz="0" w:space="0" w:color="auto"/>
                <w:right w:val="none" w:sz="0" w:space="0" w:color="auto"/>
              </w:divBdr>
              <w:divsChild>
                <w:div w:id="1295407464">
                  <w:marLeft w:val="0"/>
                  <w:marRight w:val="0"/>
                  <w:marTop w:val="0"/>
                  <w:marBottom w:val="0"/>
                  <w:divBdr>
                    <w:top w:val="none" w:sz="0" w:space="0" w:color="auto"/>
                    <w:left w:val="none" w:sz="0" w:space="0" w:color="auto"/>
                    <w:bottom w:val="none" w:sz="0" w:space="0" w:color="auto"/>
                    <w:right w:val="none" w:sz="0" w:space="0" w:color="auto"/>
                  </w:divBdr>
                </w:div>
              </w:divsChild>
            </w:div>
            <w:div w:id="364526331">
              <w:marLeft w:val="0"/>
              <w:marRight w:val="0"/>
              <w:marTop w:val="0"/>
              <w:marBottom w:val="0"/>
              <w:divBdr>
                <w:top w:val="none" w:sz="0" w:space="0" w:color="auto"/>
                <w:left w:val="none" w:sz="0" w:space="0" w:color="auto"/>
                <w:bottom w:val="none" w:sz="0" w:space="0" w:color="auto"/>
                <w:right w:val="none" w:sz="0" w:space="0" w:color="auto"/>
              </w:divBdr>
            </w:div>
            <w:div w:id="1221163275">
              <w:marLeft w:val="0"/>
              <w:marRight w:val="0"/>
              <w:marTop w:val="0"/>
              <w:marBottom w:val="0"/>
              <w:divBdr>
                <w:top w:val="none" w:sz="0" w:space="0" w:color="auto"/>
                <w:left w:val="none" w:sz="0" w:space="0" w:color="auto"/>
                <w:bottom w:val="none" w:sz="0" w:space="0" w:color="auto"/>
                <w:right w:val="none" w:sz="0" w:space="0" w:color="auto"/>
              </w:divBdr>
              <w:divsChild>
                <w:div w:id="1387609111">
                  <w:marLeft w:val="0"/>
                  <w:marRight w:val="0"/>
                  <w:marTop w:val="0"/>
                  <w:marBottom w:val="0"/>
                  <w:divBdr>
                    <w:top w:val="none" w:sz="0" w:space="0" w:color="auto"/>
                    <w:left w:val="none" w:sz="0" w:space="0" w:color="auto"/>
                    <w:bottom w:val="none" w:sz="0" w:space="0" w:color="auto"/>
                    <w:right w:val="none" w:sz="0" w:space="0" w:color="auto"/>
                  </w:divBdr>
                </w:div>
              </w:divsChild>
            </w:div>
            <w:div w:id="748036761">
              <w:marLeft w:val="0"/>
              <w:marRight w:val="0"/>
              <w:marTop w:val="0"/>
              <w:marBottom w:val="0"/>
              <w:divBdr>
                <w:top w:val="none" w:sz="0" w:space="0" w:color="auto"/>
                <w:left w:val="none" w:sz="0" w:space="0" w:color="auto"/>
                <w:bottom w:val="none" w:sz="0" w:space="0" w:color="auto"/>
                <w:right w:val="none" w:sz="0" w:space="0" w:color="auto"/>
              </w:divBdr>
              <w:divsChild>
                <w:div w:id="1269893385">
                  <w:marLeft w:val="0"/>
                  <w:marRight w:val="0"/>
                  <w:marTop w:val="0"/>
                  <w:marBottom w:val="0"/>
                  <w:divBdr>
                    <w:top w:val="none" w:sz="0" w:space="0" w:color="auto"/>
                    <w:left w:val="none" w:sz="0" w:space="0" w:color="auto"/>
                    <w:bottom w:val="none" w:sz="0" w:space="0" w:color="auto"/>
                    <w:right w:val="none" w:sz="0" w:space="0" w:color="auto"/>
                  </w:divBdr>
                </w:div>
              </w:divsChild>
            </w:div>
            <w:div w:id="1471485296">
              <w:marLeft w:val="0"/>
              <w:marRight w:val="0"/>
              <w:marTop w:val="0"/>
              <w:marBottom w:val="0"/>
              <w:divBdr>
                <w:top w:val="none" w:sz="0" w:space="0" w:color="auto"/>
                <w:left w:val="none" w:sz="0" w:space="0" w:color="auto"/>
                <w:bottom w:val="none" w:sz="0" w:space="0" w:color="auto"/>
                <w:right w:val="none" w:sz="0" w:space="0" w:color="auto"/>
              </w:divBdr>
            </w:div>
            <w:div w:id="1733891283">
              <w:marLeft w:val="0"/>
              <w:marRight w:val="0"/>
              <w:marTop w:val="0"/>
              <w:marBottom w:val="0"/>
              <w:divBdr>
                <w:top w:val="none" w:sz="0" w:space="0" w:color="auto"/>
                <w:left w:val="none" w:sz="0" w:space="0" w:color="auto"/>
                <w:bottom w:val="none" w:sz="0" w:space="0" w:color="auto"/>
                <w:right w:val="none" w:sz="0" w:space="0" w:color="auto"/>
              </w:divBdr>
            </w:div>
            <w:div w:id="17659522">
              <w:marLeft w:val="0"/>
              <w:marRight w:val="0"/>
              <w:marTop w:val="0"/>
              <w:marBottom w:val="0"/>
              <w:divBdr>
                <w:top w:val="none" w:sz="0" w:space="0" w:color="auto"/>
                <w:left w:val="none" w:sz="0" w:space="0" w:color="auto"/>
                <w:bottom w:val="none" w:sz="0" w:space="0" w:color="auto"/>
                <w:right w:val="none" w:sz="0" w:space="0" w:color="auto"/>
              </w:divBdr>
            </w:div>
            <w:div w:id="2132167848">
              <w:marLeft w:val="0"/>
              <w:marRight w:val="0"/>
              <w:marTop w:val="0"/>
              <w:marBottom w:val="0"/>
              <w:divBdr>
                <w:top w:val="none" w:sz="0" w:space="0" w:color="auto"/>
                <w:left w:val="none" w:sz="0" w:space="0" w:color="auto"/>
                <w:bottom w:val="none" w:sz="0" w:space="0" w:color="auto"/>
                <w:right w:val="none" w:sz="0" w:space="0" w:color="auto"/>
              </w:divBdr>
            </w:div>
            <w:div w:id="879783063">
              <w:marLeft w:val="0"/>
              <w:marRight w:val="0"/>
              <w:marTop w:val="0"/>
              <w:marBottom w:val="0"/>
              <w:divBdr>
                <w:top w:val="none" w:sz="0" w:space="0" w:color="auto"/>
                <w:left w:val="none" w:sz="0" w:space="0" w:color="auto"/>
                <w:bottom w:val="none" w:sz="0" w:space="0" w:color="auto"/>
                <w:right w:val="none" w:sz="0" w:space="0" w:color="auto"/>
              </w:divBdr>
              <w:divsChild>
                <w:div w:id="1651325981">
                  <w:marLeft w:val="0"/>
                  <w:marRight w:val="0"/>
                  <w:marTop w:val="0"/>
                  <w:marBottom w:val="0"/>
                  <w:divBdr>
                    <w:top w:val="none" w:sz="0" w:space="0" w:color="auto"/>
                    <w:left w:val="none" w:sz="0" w:space="0" w:color="auto"/>
                    <w:bottom w:val="none" w:sz="0" w:space="0" w:color="auto"/>
                    <w:right w:val="none" w:sz="0" w:space="0" w:color="auto"/>
                  </w:divBdr>
                </w:div>
              </w:divsChild>
            </w:div>
            <w:div w:id="2137479187">
              <w:marLeft w:val="0"/>
              <w:marRight w:val="0"/>
              <w:marTop w:val="0"/>
              <w:marBottom w:val="0"/>
              <w:divBdr>
                <w:top w:val="none" w:sz="0" w:space="0" w:color="auto"/>
                <w:left w:val="none" w:sz="0" w:space="0" w:color="auto"/>
                <w:bottom w:val="none" w:sz="0" w:space="0" w:color="auto"/>
                <w:right w:val="none" w:sz="0" w:space="0" w:color="auto"/>
              </w:divBdr>
            </w:div>
            <w:div w:id="279143123">
              <w:marLeft w:val="0"/>
              <w:marRight w:val="0"/>
              <w:marTop w:val="0"/>
              <w:marBottom w:val="0"/>
              <w:divBdr>
                <w:top w:val="none" w:sz="0" w:space="0" w:color="auto"/>
                <w:left w:val="none" w:sz="0" w:space="0" w:color="auto"/>
                <w:bottom w:val="none" w:sz="0" w:space="0" w:color="auto"/>
                <w:right w:val="none" w:sz="0" w:space="0" w:color="auto"/>
              </w:divBdr>
              <w:divsChild>
                <w:div w:id="2140107020">
                  <w:marLeft w:val="0"/>
                  <w:marRight w:val="0"/>
                  <w:marTop w:val="0"/>
                  <w:marBottom w:val="0"/>
                  <w:divBdr>
                    <w:top w:val="none" w:sz="0" w:space="0" w:color="auto"/>
                    <w:left w:val="none" w:sz="0" w:space="0" w:color="auto"/>
                    <w:bottom w:val="none" w:sz="0" w:space="0" w:color="auto"/>
                    <w:right w:val="none" w:sz="0" w:space="0" w:color="auto"/>
                  </w:divBdr>
                </w:div>
              </w:divsChild>
            </w:div>
            <w:div w:id="1787771332">
              <w:marLeft w:val="0"/>
              <w:marRight w:val="0"/>
              <w:marTop w:val="0"/>
              <w:marBottom w:val="0"/>
              <w:divBdr>
                <w:top w:val="none" w:sz="0" w:space="0" w:color="auto"/>
                <w:left w:val="none" w:sz="0" w:space="0" w:color="auto"/>
                <w:bottom w:val="none" w:sz="0" w:space="0" w:color="auto"/>
                <w:right w:val="none" w:sz="0" w:space="0" w:color="auto"/>
              </w:divBdr>
            </w:div>
            <w:div w:id="1253122559">
              <w:marLeft w:val="0"/>
              <w:marRight w:val="0"/>
              <w:marTop w:val="0"/>
              <w:marBottom w:val="0"/>
              <w:divBdr>
                <w:top w:val="none" w:sz="0" w:space="0" w:color="auto"/>
                <w:left w:val="none" w:sz="0" w:space="0" w:color="auto"/>
                <w:bottom w:val="none" w:sz="0" w:space="0" w:color="auto"/>
                <w:right w:val="none" w:sz="0" w:space="0" w:color="auto"/>
              </w:divBdr>
              <w:divsChild>
                <w:div w:id="1008485900">
                  <w:marLeft w:val="0"/>
                  <w:marRight w:val="0"/>
                  <w:marTop w:val="0"/>
                  <w:marBottom w:val="0"/>
                  <w:divBdr>
                    <w:top w:val="none" w:sz="0" w:space="0" w:color="auto"/>
                    <w:left w:val="none" w:sz="0" w:space="0" w:color="auto"/>
                    <w:bottom w:val="none" w:sz="0" w:space="0" w:color="auto"/>
                    <w:right w:val="none" w:sz="0" w:space="0" w:color="auto"/>
                  </w:divBdr>
                </w:div>
              </w:divsChild>
            </w:div>
            <w:div w:id="783303951">
              <w:marLeft w:val="0"/>
              <w:marRight w:val="0"/>
              <w:marTop w:val="0"/>
              <w:marBottom w:val="0"/>
              <w:divBdr>
                <w:top w:val="none" w:sz="0" w:space="0" w:color="auto"/>
                <w:left w:val="none" w:sz="0" w:space="0" w:color="auto"/>
                <w:bottom w:val="none" w:sz="0" w:space="0" w:color="auto"/>
                <w:right w:val="none" w:sz="0" w:space="0" w:color="auto"/>
              </w:divBdr>
              <w:divsChild>
                <w:div w:id="992105632">
                  <w:marLeft w:val="0"/>
                  <w:marRight w:val="0"/>
                  <w:marTop w:val="0"/>
                  <w:marBottom w:val="0"/>
                  <w:divBdr>
                    <w:top w:val="none" w:sz="0" w:space="0" w:color="auto"/>
                    <w:left w:val="none" w:sz="0" w:space="0" w:color="auto"/>
                    <w:bottom w:val="none" w:sz="0" w:space="0" w:color="auto"/>
                    <w:right w:val="none" w:sz="0" w:space="0" w:color="auto"/>
                  </w:divBdr>
                </w:div>
              </w:divsChild>
            </w:div>
            <w:div w:id="1279682981">
              <w:marLeft w:val="0"/>
              <w:marRight w:val="0"/>
              <w:marTop w:val="0"/>
              <w:marBottom w:val="0"/>
              <w:divBdr>
                <w:top w:val="none" w:sz="0" w:space="0" w:color="auto"/>
                <w:left w:val="none" w:sz="0" w:space="0" w:color="auto"/>
                <w:bottom w:val="none" w:sz="0" w:space="0" w:color="auto"/>
                <w:right w:val="none" w:sz="0" w:space="0" w:color="auto"/>
              </w:divBdr>
              <w:divsChild>
                <w:div w:id="1982809608">
                  <w:marLeft w:val="0"/>
                  <w:marRight w:val="0"/>
                  <w:marTop w:val="0"/>
                  <w:marBottom w:val="0"/>
                  <w:divBdr>
                    <w:top w:val="none" w:sz="0" w:space="0" w:color="auto"/>
                    <w:left w:val="none" w:sz="0" w:space="0" w:color="auto"/>
                    <w:bottom w:val="none" w:sz="0" w:space="0" w:color="auto"/>
                    <w:right w:val="none" w:sz="0" w:space="0" w:color="auto"/>
                  </w:divBdr>
                </w:div>
              </w:divsChild>
            </w:div>
            <w:div w:id="374434112">
              <w:marLeft w:val="0"/>
              <w:marRight w:val="0"/>
              <w:marTop w:val="0"/>
              <w:marBottom w:val="0"/>
              <w:divBdr>
                <w:top w:val="none" w:sz="0" w:space="0" w:color="auto"/>
                <w:left w:val="none" w:sz="0" w:space="0" w:color="auto"/>
                <w:bottom w:val="none" w:sz="0" w:space="0" w:color="auto"/>
                <w:right w:val="none" w:sz="0" w:space="0" w:color="auto"/>
              </w:divBdr>
            </w:div>
            <w:div w:id="156529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498352">
      <w:bodyDiv w:val="1"/>
      <w:marLeft w:val="0"/>
      <w:marRight w:val="0"/>
      <w:marTop w:val="0"/>
      <w:marBottom w:val="0"/>
      <w:divBdr>
        <w:top w:val="none" w:sz="0" w:space="0" w:color="auto"/>
        <w:left w:val="none" w:sz="0" w:space="0" w:color="auto"/>
        <w:bottom w:val="none" w:sz="0" w:space="0" w:color="auto"/>
        <w:right w:val="none" w:sz="0" w:space="0" w:color="auto"/>
      </w:divBdr>
    </w:div>
    <w:div w:id="1689209719">
      <w:bodyDiv w:val="1"/>
      <w:marLeft w:val="0"/>
      <w:marRight w:val="0"/>
      <w:marTop w:val="0"/>
      <w:marBottom w:val="0"/>
      <w:divBdr>
        <w:top w:val="none" w:sz="0" w:space="0" w:color="auto"/>
        <w:left w:val="none" w:sz="0" w:space="0" w:color="auto"/>
        <w:bottom w:val="none" w:sz="0" w:space="0" w:color="auto"/>
        <w:right w:val="none" w:sz="0" w:space="0" w:color="auto"/>
      </w:divBdr>
    </w:div>
    <w:div w:id="1701468960">
      <w:bodyDiv w:val="1"/>
      <w:marLeft w:val="0"/>
      <w:marRight w:val="0"/>
      <w:marTop w:val="0"/>
      <w:marBottom w:val="0"/>
      <w:divBdr>
        <w:top w:val="none" w:sz="0" w:space="0" w:color="auto"/>
        <w:left w:val="none" w:sz="0" w:space="0" w:color="auto"/>
        <w:bottom w:val="none" w:sz="0" w:space="0" w:color="auto"/>
        <w:right w:val="none" w:sz="0" w:space="0" w:color="auto"/>
      </w:divBdr>
    </w:div>
    <w:div w:id="1816754799">
      <w:bodyDiv w:val="1"/>
      <w:marLeft w:val="0"/>
      <w:marRight w:val="0"/>
      <w:marTop w:val="0"/>
      <w:marBottom w:val="0"/>
      <w:divBdr>
        <w:top w:val="none" w:sz="0" w:space="0" w:color="auto"/>
        <w:left w:val="none" w:sz="0" w:space="0" w:color="auto"/>
        <w:bottom w:val="none" w:sz="0" w:space="0" w:color="auto"/>
        <w:right w:val="none" w:sz="0" w:space="0" w:color="auto"/>
      </w:divBdr>
    </w:div>
    <w:div w:id="1859730676">
      <w:bodyDiv w:val="1"/>
      <w:marLeft w:val="0"/>
      <w:marRight w:val="0"/>
      <w:marTop w:val="0"/>
      <w:marBottom w:val="0"/>
      <w:divBdr>
        <w:top w:val="none" w:sz="0" w:space="0" w:color="auto"/>
        <w:left w:val="none" w:sz="0" w:space="0" w:color="auto"/>
        <w:bottom w:val="none" w:sz="0" w:space="0" w:color="auto"/>
        <w:right w:val="none" w:sz="0" w:space="0" w:color="auto"/>
      </w:divBdr>
    </w:div>
    <w:div w:id="1872719746">
      <w:bodyDiv w:val="1"/>
      <w:marLeft w:val="0"/>
      <w:marRight w:val="0"/>
      <w:marTop w:val="0"/>
      <w:marBottom w:val="0"/>
      <w:divBdr>
        <w:top w:val="none" w:sz="0" w:space="0" w:color="auto"/>
        <w:left w:val="none" w:sz="0" w:space="0" w:color="auto"/>
        <w:bottom w:val="none" w:sz="0" w:space="0" w:color="auto"/>
        <w:right w:val="none" w:sz="0" w:space="0" w:color="auto"/>
      </w:divBdr>
      <w:divsChild>
        <w:div w:id="843008477">
          <w:marLeft w:val="0"/>
          <w:marRight w:val="0"/>
          <w:marTop w:val="0"/>
          <w:marBottom w:val="0"/>
          <w:divBdr>
            <w:top w:val="none" w:sz="0" w:space="0" w:color="auto"/>
            <w:left w:val="none" w:sz="0" w:space="0" w:color="auto"/>
            <w:bottom w:val="single" w:sz="6" w:space="0" w:color="DEE2E6"/>
            <w:right w:val="none" w:sz="0" w:space="0" w:color="auto"/>
          </w:divBdr>
          <w:divsChild>
            <w:div w:id="598025493">
              <w:marLeft w:val="0"/>
              <w:marRight w:val="0"/>
              <w:marTop w:val="0"/>
              <w:marBottom w:val="0"/>
              <w:divBdr>
                <w:top w:val="none" w:sz="0" w:space="0" w:color="auto"/>
                <w:left w:val="none" w:sz="0" w:space="0" w:color="auto"/>
                <w:bottom w:val="none" w:sz="0" w:space="0" w:color="auto"/>
                <w:right w:val="none" w:sz="0" w:space="0" w:color="auto"/>
              </w:divBdr>
              <w:divsChild>
                <w:div w:id="1150636257">
                  <w:marLeft w:val="0"/>
                  <w:marRight w:val="0"/>
                  <w:marTop w:val="0"/>
                  <w:marBottom w:val="0"/>
                  <w:divBdr>
                    <w:top w:val="none" w:sz="0" w:space="0" w:color="auto"/>
                    <w:left w:val="none" w:sz="0" w:space="0" w:color="auto"/>
                    <w:bottom w:val="none" w:sz="0" w:space="0" w:color="auto"/>
                    <w:right w:val="none" w:sz="0" w:space="0" w:color="auto"/>
                  </w:divBdr>
                </w:div>
                <w:div w:id="198671356">
                  <w:marLeft w:val="0"/>
                  <w:marRight w:val="0"/>
                  <w:marTop w:val="0"/>
                  <w:marBottom w:val="0"/>
                  <w:divBdr>
                    <w:top w:val="none" w:sz="0" w:space="0" w:color="auto"/>
                    <w:left w:val="none" w:sz="0" w:space="0" w:color="auto"/>
                    <w:bottom w:val="none" w:sz="0" w:space="0" w:color="auto"/>
                    <w:right w:val="none" w:sz="0" w:space="0" w:color="auto"/>
                  </w:divBdr>
                  <w:divsChild>
                    <w:div w:id="421995029">
                      <w:marLeft w:val="0"/>
                      <w:marRight w:val="0"/>
                      <w:marTop w:val="0"/>
                      <w:marBottom w:val="0"/>
                      <w:divBdr>
                        <w:top w:val="none" w:sz="0" w:space="0" w:color="auto"/>
                        <w:left w:val="none" w:sz="0" w:space="0" w:color="auto"/>
                        <w:bottom w:val="none" w:sz="0" w:space="0" w:color="auto"/>
                        <w:right w:val="none" w:sz="0" w:space="0" w:color="auto"/>
                      </w:divBdr>
                      <w:divsChild>
                        <w:div w:id="669409307">
                          <w:marLeft w:val="0"/>
                          <w:marRight w:val="0"/>
                          <w:marTop w:val="0"/>
                          <w:marBottom w:val="0"/>
                          <w:divBdr>
                            <w:top w:val="none" w:sz="0" w:space="0" w:color="auto"/>
                            <w:left w:val="none" w:sz="0" w:space="0" w:color="auto"/>
                            <w:bottom w:val="none" w:sz="0" w:space="0" w:color="auto"/>
                            <w:right w:val="none" w:sz="0" w:space="0" w:color="auto"/>
                          </w:divBdr>
                          <w:divsChild>
                            <w:div w:id="187342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01540">
                  <w:marLeft w:val="0"/>
                  <w:marRight w:val="0"/>
                  <w:marTop w:val="0"/>
                  <w:marBottom w:val="0"/>
                  <w:divBdr>
                    <w:top w:val="single" w:sz="6" w:space="0" w:color="DEE2E6"/>
                    <w:left w:val="none" w:sz="0" w:space="0" w:color="auto"/>
                    <w:bottom w:val="none" w:sz="0" w:space="0" w:color="auto"/>
                    <w:right w:val="none" w:sz="0" w:space="0" w:color="auto"/>
                  </w:divBdr>
                  <w:divsChild>
                    <w:div w:id="684095753">
                      <w:marLeft w:val="0"/>
                      <w:marRight w:val="0"/>
                      <w:marTop w:val="0"/>
                      <w:marBottom w:val="0"/>
                      <w:divBdr>
                        <w:top w:val="none" w:sz="0" w:space="0" w:color="auto"/>
                        <w:left w:val="none" w:sz="0" w:space="0" w:color="auto"/>
                        <w:bottom w:val="none" w:sz="0" w:space="0" w:color="auto"/>
                        <w:right w:val="none" w:sz="0" w:space="0" w:color="auto"/>
                      </w:divBdr>
                      <w:divsChild>
                        <w:div w:id="57378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321585">
          <w:marLeft w:val="0"/>
          <w:marRight w:val="0"/>
          <w:marTop w:val="0"/>
          <w:marBottom w:val="0"/>
          <w:divBdr>
            <w:top w:val="none" w:sz="0" w:space="0" w:color="auto"/>
            <w:left w:val="none" w:sz="0" w:space="0" w:color="auto"/>
            <w:bottom w:val="single" w:sz="6" w:space="0" w:color="DEE2E6"/>
            <w:right w:val="none" w:sz="0" w:space="0" w:color="auto"/>
          </w:divBdr>
          <w:divsChild>
            <w:div w:id="1273130529">
              <w:marLeft w:val="0"/>
              <w:marRight w:val="0"/>
              <w:marTop w:val="0"/>
              <w:marBottom w:val="0"/>
              <w:divBdr>
                <w:top w:val="none" w:sz="0" w:space="0" w:color="auto"/>
                <w:left w:val="none" w:sz="0" w:space="0" w:color="auto"/>
                <w:bottom w:val="none" w:sz="0" w:space="0" w:color="auto"/>
                <w:right w:val="none" w:sz="0" w:space="0" w:color="auto"/>
              </w:divBdr>
              <w:divsChild>
                <w:div w:id="1092164366">
                  <w:marLeft w:val="0"/>
                  <w:marRight w:val="0"/>
                  <w:marTop w:val="0"/>
                  <w:marBottom w:val="0"/>
                  <w:divBdr>
                    <w:top w:val="none" w:sz="0" w:space="0" w:color="auto"/>
                    <w:left w:val="none" w:sz="0" w:space="0" w:color="auto"/>
                    <w:bottom w:val="none" w:sz="0" w:space="0" w:color="auto"/>
                    <w:right w:val="none" w:sz="0" w:space="0" w:color="auto"/>
                  </w:divBdr>
                </w:div>
                <w:div w:id="1504586630">
                  <w:marLeft w:val="0"/>
                  <w:marRight w:val="0"/>
                  <w:marTop w:val="0"/>
                  <w:marBottom w:val="0"/>
                  <w:divBdr>
                    <w:top w:val="none" w:sz="0" w:space="0" w:color="auto"/>
                    <w:left w:val="none" w:sz="0" w:space="0" w:color="auto"/>
                    <w:bottom w:val="none" w:sz="0" w:space="0" w:color="auto"/>
                    <w:right w:val="none" w:sz="0" w:space="0" w:color="auto"/>
                  </w:divBdr>
                  <w:divsChild>
                    <w:div w:id="599795393">
                      <w:marLeft w:val="0"/>
                      <w:marRight w:val="0"/>
                      <w:marTop w:val="0"/>
                      <w:marBottom w:val="0"/>
                      <w:divBdr>
                        <w:top w:val="none" w:sz="0" w:space="0" w:color="auto"/>
                        <w:left w:val="none" w:sz="0" w:space="0" w:color="auto"/>
                        <w:bottom w:val="none" w:sz="0" w:space="0" w:color="auto"/>
                        <w:right w:val="none" w:sz="0" w:space="0" w:color="auto"/>
                      </w:divBdr>
                      <w:divsChild>
                        <w:div w:id="1440375222">
                          <w:marLeft w:val="0"/>
                          <w:marRight w:val="0"/>
                          <w:marTop w:val="0"/>
                          <w:marBottom w:val="0"/>
                          <w:divBdr>
                            <w:top w:val="none" w:sz="0" w:space="0" w:color="auto"/>
                            <w:left w:val="none" w:sz="0" w:space="0" w:color="auto"/>
                            <w:bottom w:val="none" w:sz="0" w:space="0" w:color="auto"/>
                            <w:right w:val="none" w:sz="0" w:space="0" w:color="auto"/>
                          </w:divBdr>
                          <w:divsChild>
                            <w:div w:id="11248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910105">
      <w:bodyDiv w:val="1"/>
      <w:marLeft w:val="0"/>
      <w:marRight w:val="0"/>
      <w:marTop w:val="0"/>
      <w:marBottom w:val="0"/>
      <w:divBdr>
        <w:top w:val="none" w:sz="0" w:space="0" w:color="auto"/>
        <w:left w:val="none" w:sz="0" w:space="0" w:color="auto"/>
        <w:bottom w:val="none" w:sz="0" w:space="0" w:color="auto"/>
        <w:right w:val="none" w:sz="0" w:space="0" w:color="auto"/>
      </w:divBdr>
    </w:div>
    <w:div w:id="2100906378">
      <w:bodyDiv w:val="1"/>
      <w:marLeft w:val="0"/>
      <w:marRight w:val="0"/>
      <w:marTop w:val="0"/>
      <w:marBottom w:val="0"/>
      <w:divBdr>
        <w:top w:val="none" w:sz="0" w:space="0" w:color="auto"/>
        <w:left w:val="none" w:sz="0" w:space="0" w:color="auto"/>
        <w:bottom w:val="none" w:sz="0" w:space="0" w:color="auto"/>
        <w:right w:val="none" w:sz="0" w:space="0" w:color="auto"/>
      </w:divBdr>
      <w:divsChild>
        <w:div w:id="1622028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keyse@uwtsd.ac.uk" TargetMode="External"/><Relationship Id="rId18" Type="http://schemas.openxmlformats.org/officeDocument/2006/relationships/hyperlink" Target="https://warwick.ac.uk/fac/arts/history/students/modules/hi997/debate/migration/paton_gender_history_atlantic_slavery.pdf" TargetMode="External"/><Relationship Id="rId26" Type="http://schemas.openxmlformats.org/officeDocument/2006/relationships/hyperlink" Target="https://ijsser.org/2018files/ijsser_03__509.pdf" TargetMode="External"/><Relationship Id="rId21" Type="http://schemas.openxmlformats.org/officeDocument/2006/relationships/hyperlink" Target="https://doi.org/10.1093/hwj/dbx053" TargetMode="External"/><Relationship Id="rId34" Type="http://schemas.openxmlformats.org/officeDocument/2006/relationships/hyperlink" Target="http://www.socresonline.org.uk/18/2/9.html" TargetMode="External"/><Relationship Id="rId7" Type="http://schemas.openxmlformats.org/officeDocument/2006/relationships/endnotes" Target="endnotes.xml"/><Relationship Id="rId12" Type="http://schemas.openxmlformats.org/officeDocument/2006/relationships/hyperlink" Target="https://www.newpathways.org.uk/" TargetMode="External"/><Relationship Id="rId17" Type="http://schemas.openxmlformats.org/officeDocument/2006/relationships/hyperlink" Target="http://www.jendajournal.com" TargetMode="External"/><Relationship Id="rId25" Type="http://schemas.openxmlformats.org/officeDocument/2006/relationships/hyperlink" Target="https://watermark.silverchair.com/CSA332_03_Sakar_fpp.pdf?token=AQECAHi208BE49Ooan9kkhW_Ercy7Dm3ZL_9Cf3qfKAc485ysgAAA2MwggNfBgkqhkiG9w0BBwagggNQMIIDTAIBADCCA0UGCSqGSIb3DQEHATAeBglghkgBZQMEAS4wEQQM4OAwH4mYPcd9aqEIAgEQgIIDFsvlsOW9l2WLJ8mYUy_353Z1YxLa-oBHcWlAM5noMw0UNqw7NdCvwnH-8T-NAlfg6mKz82Is0kvAWVcmb7ymbr3XSAHziKN_E1b8jXCkItAi6SnfitB2ocmeKYN4QiWjAJi93vqsvfZI7bzDhptdmwg1GoPkOYLmyYZ6pZ1tKJHDpWKD1eETG-mG7-c3Jz7kSsm9FZ_ZuUzGYNLceahf-U5WIHD2ET04uvDcVifm-MRIZYIE7wzZLSBpSJ3cnGrasfkpcFr_VK8tAK0Zj8b71V3Ii701q4DUX6fEQ-nT5CrHXfFjWxk030wuUHuzA3Fd2bNYaMoVIhh_tV2WrF88HDLtwa-3KYfmrFghbux-PhkSV3z49EcHsiH1RRzzn5Oiz5S0I2UM8r4iKoyZoE6BRHsH0GApJH57-LmA_GDW9m8R3pKmgNnORbdsjgcUthL8hUkd3i2lBwF--9vAZA_l0UIHJOnjkejlSS_X7ntLoB-sd7zZX7zA6bIrPHyrhcQN8z4bZeospX5XMNfyxgrUcbSgdRmcMp5nlPh0OhCusUuAkoeSyoHHftUrnxXFWPnrEttEhahz-LoZM1_oFF4PpTvB7Dztgq3LzO_HXtvYPFC7lf3UOYiLqp5yoWtpaH88D_30mDm5fDOXWTrO2tS8F9yS0i2EM8hXCE3z-brxzgbSb5FBoIk2xNPKefr2sDzioEFIzjeMjqEpdFBifTtlT2krz8DLhYC63TQfHCBWobIj0fxzLCKhha04zb7p68sSsLc_dHu9i4ZR4uXhNyMy2mDhO9g1d5_8hIQqCAb7eCUHcsG96rvRPWm50HCpZZeDeRP4yijCz1m3MNwY0cZWQUiBgl9Rn8H1X31UFnqLjbH7d5NudOrDDX1aPduKdS294Vkfes1oBpS4-gvZUMJR7YTK4khiP-QpfE0epl2bytpuX8JdQQRkUrmpydfLgiJgDvBYpx4VY6KKhIkVr-oHBSHt8jk1HUU_m0lAGnfoWDtlFvnfpF62sIAX95ZN0gVDSXs26mnbg9k54uw_Ci4aWTcgP-tJioM" TargetMode="External"/><Relationship Id="rId33" Type="http://schemas.openxmlformats.org/officeDocument/2006/relationships/hyperlink" Target="http://www.socresonline.org.uk/18/2/8.html" TargetMode="External"/><Relationship Id="rId2" Type="http://schemas.openxmlformats.org/officeDocument/2006/relationships/numbering" Target="numbering.xml"/><Relationship Id="rId16" Type="http://schemas.openxmlformats.org/officeDocument/2006/relationships/hyperlink" Target="https://transreads.org/wp-content/uploads/2024/03/2024-03-29_660624081eeb5_WhatishistoryRoseSonyaO-Whatisgenderhistory_2010Polity-libgen.li_.pdf" TargetMode="External"/><Relationship Id="rId20" Type="http://schemas.openxmlformats.org/officeDocument/2006/relationships/hyperlink" Target="https://liverpooluniversitypress.manifoldapp.org/read/colonial-violence/section/71c632a8-6ae0-4de5-8c42-f4cca41f45d8" TargetMode="External"/><Relationship Id="rId29" Type="http://schemas.openxmlformats.org/officeDocument/2006/relationships/hyperlink" Target="https://d1wqtxts1xzle7.cloudfront.net/62067208/Currier_Gogul_WSQ_2020_uncorrected_proofs20200211-2305-1p8at8u-libre.pdf?1581451802=&amp;response-content-disposition=inline%3B+filename%3DAfrican_Antisodomy_Laws_as_Unwanted_Colo.pdf&amp;Expires=1762086749&amp;Signature=dHuCob1eYJENAojlIKmgGwWc97yiFderYQoxnXMyGys7xW3dGgr~Xlp8VIeDZosGkF1X24ewiSMrxqeVrHabDCGQZNXuSI3UJOUFUuFrgrdR5m~oSqH51bgy1S~~4f9Gt97SUAoWfccXD4k4gnWoQ2bM341XDB8IuOVOKJkK3tqpWd0kocfPby4MbtVsg8ghjywEpcm0NFzFM8qZZW1aP3BEROJQvMP0ME3IrLulq3NOwnD4tF0WiHngbzTxaGDQH9r-IK5ELNeeacFtt4uVbDVWfDmeGUXmJQvPWw-I6qhcRAHGKfAdD2KamLv0Ra9Tr1L6ERHRCgjA3nyH2n1u-A__&amp;Key-Pair-Id=APKAJLOHF5GGSLRBV4Z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live-fear-free/domestic-abuse-wales" TargetMode="External"/><Relationship Id="rId24" Type="http://schemas.openxmlformats.org/officeDocument/2006/relationships/hyperlink" Target="https://research-portal.uu.nl/ws/portalfiles/portal/237166594/dissertation%20pdf%20version%20-%2066c8adad91c5d.pdf" TargetMode="External"/><Relationship Id="rId32" Type="http://schemas.openxmlformats.org/officeDocument/2006/relationships/hyperlink" Target="https://alternation.ukzn.ac.za/files/articles/volume-24/issue-1/11-Hiralal-Fin.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igitalservices.uwtsd.ac.uk/library/academic-and-infoskills/referencing-handbooks/" TargetMode="External"/><Relationship Id="rId23" Type="http://schemas.openxmlformats.org/officeDocument/2006/relationships/hyperlink" Target="https://eprints.bbk.ac.uk/id/eprint/53484/1/Blunn%2C%20SA%2C%20final%20thesis%20for%20library.pdf" TargetMode="External"/><Relationship Id="rId28" Type="http://schemas.openxmlformats.org/officeDocument/2006/relationships/hyperlink" Target="https://bildungsportal.sachsen.de/opal/auth/RepositoryEntry/43868258305/CourseNode/1721096985126574007/Queering+India+Same-Sex+Love+and+Eroticism+in+Indian+Culture+and+Society+by+Ruth+Vanita+%28editor%29+%28z-lib.org%29-26-40.pdf" TargetMode="External"/><Relationship Id="rId36" Type="http://schemas.openxmlformats.org/officeDocument/2006/relationships/fontTable" Target="fontTable.xml"/><Relationship Id="rId10" Type="http://schemas.openxmlformats.org/officeDocument/2006/relationships/hyperlink" Target="https://www.uwtsd.ac.uk/experience-facilities/student-support-wellbeing/wellbeing-support" TargetMode="External"/><Relationship Id="rId19" Type="http://schemas.openxmlformats.org/officeDocument/2006/relationships/hyperlink" Target="https://ebookcentral.proquest.com/lib/warw/reader.action?docID=895096&amp;ppg=33" TargetMode="External"/><Relationship Id="rId31" Type="http://schemas.openxmlformats.org/officeDocument/2006/relationships/hyperlink" Target="https://dash.harvard.edu/server/api/core/bitstreams/ffe131a8-889d-40ee-b1b9-51bf702402b1/conten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google.com/url?sa=t&amp;rct=j&amp;q=&amp;esrc=s&amp;source=web&amp;cd=&amp;ved=2ahUKEwitmrChyeGKAxXAX0EAHfGZD8cQFnoECBoQAQ&amp;url=https%3A%2F%2Fwww.uwtsd.ac.uk%2Fmedia%2F1893%2Fdownload%3Fattachment&amp;usg=AOvVaw2ZnKYm-XMCbMZOfpG0orVh&amp;opi=89978449" TargetMode="External"/><Relationship Id="rId22" Type="http://schemas.openxmlformats.org/officeDocument/2006/relationships/hyperlink" Target="https://eprints.bbk.ac.uk/id/eprint/40438/1/cp_G_R_Beckett_-_Spiritual_Arithmetic.pdf" TargetMode="External"/><Relationship Id="rId27" Type="http://schemas.openxmlformats.org/officeDocument/2006/relationships/hyperlink" Target="https://www.journals.uchicago.edu/doi/10.1086/709552" TargetMode="External"/><Relationship Id="rId30" Type="http://schemas.openxmlformats.org/officeDocument/2006/relationships/hyperlink" Target="https://www.cambridge.org/core/journals/asian-journal-of-comparative-law/article/377-and-the-unnatural-afterlife-of-british-colonialism-in-asia/D5C0179373D67D9D1E6F20D2A01E859F" TargetMode="External"/><Relationship Id="rId35" Type="http://schemas.openxmlformats.org/officeDocument/2006/relationships/footer" Target="footer1.xml"/><Relationship Id="rId8" Type="http://schemas.openxmlformats.org/officeDocument/2006/relationships/hyperlink" Target="mailto:r.keyse@uwtsd.ac.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B50AE-3193-4E8B-8588-30DB5874A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11556</Words>
  <Characters>65872</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2</cp:revision>
  <dcterms:created xsi:type="dcterms:W3CDTF">2026-02-11T09:18:00Z</dcterms:created>
  <dcterms:modified xsi:type="dcterms:W3CDTF">2026-02-11T09:18:00Z</dcterms:modified>
</cp:coreProperties>
</file>