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6A36D0" w14:textId="10557DFF" w:rsidR="00072747" w:rsidRDefault="003674C0" w:rsidP="00D844C5">
      <w:pPr>
        <w:spacing w:line="360" w:lineRule="auto"/>
        <w:jc w:val="center"/>
      </w:pPr>
      <w:r>
        <w:rPr>
          <w:noProof/>
        </w:rPr>
        <w:drawing>
          <wp:inline distT="0" distB="0" distL="0" distR="0" wp14:anchorId="45811D2B" wp14:editId="10510C67">
            <wp:extent cx="2969260" cy="1292225"/>
            <wp:effectExtent l="0" t="0" r="2540" b="3175"/>
            <wp:docPr id="20853381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969260" cy="1292225"/>
                    </a:xfrm>
                    <a:prstGeom prst="rect">
                      <a:avLst/>
                    </a:prstGeom>
                    <a:noFill/>
                  </pic:spPr>
                </pic:pic>
              </a:graphicData>
            </a:graphic>
          </wp:inline>
        </w:drawing>
      </w:r>
    </w:p>
    <w:p w14:paraId="6D3EA5E9" w14:textId="72DE6165" w:rsidR="00072747" w:rsidRDefault="00DF0B22" w:rsidP="00D844C5">
      <w:pPr>
        <w:spacing w:line="360" w:lineRule="auto"/>
        <w:jc w:val="center"/>
      </w:pPr>
      <w:r w:rsidRPr="00DF0B22">
        <w:t>Conference Research paper – 2,500 words +/- 10%</w:t>
      </w:r>
    </w:p>
    <w:p w14:paraId="0E2FA15B" w14:textId="390E127A" w:rsidR="00D844C5" w:rsidRDefault="00D844C5" w:rsidP="00D844C5">
      <w:pPr>
        <w:spacing w:line="360" w:lineRule="auto"/>
        <w:jc w:val="center"/>
      </w:pPr>
      <w:r w:rsidRPr="00D844C5">
        <w:t>The Deepening Mental Health Crisis in the Hospitality Industry: Impacts, Leadership, and Strategic Interventions</w:t>
      </w:r>
    </w:p>
    <w:p w14:paraId="3407B3E4" w14:textId="77777777" w:rsidR="00571233" w:rsidRDefault="00571233" w:rsidP="00D844C5">
      <w:pPr>
        <w:spacing w:line="360" w:lineRule="auto"/>
        <w:jc w:val="center"/>
      </w:pPr>
      <w:r>
        <w:t>Student Name</w:t>
      </w:r>
    </w:p>
    <w:p w14:paraId="268CEF6C" w14:textId="77777777" w:rsidR="00571233" w:rsidRDefault="00571233" w:rsidP="00D844C5">
      <w:pPr>
        <w:spacing w:line="360" w:lineRule="auto"/>
        <w:jc w:val="center"/>
      </w:pPr>
    </w:p>
    <w:p w14:paraId="07C9D88E" w14:textId="77777777" w:rsidR="00571233" w:rsidRDefault="00571233" w:rsidP="00D844C5">
      <w:pPr>
        <w:spacing w:line="360" w:lineRule="auto"/>
        <w:jc w:val="center"/>
      </w:pPr>
      <w:r>
        <w:t>Rebeca A. Baccela</w:t>
      </w:r>
    </w:p>
    <w:p w14:paraId="65857CA7" w14:textId="77777777" w:rsidR="00571233" w:rsidRDefault="00571233" w:rsidP="00D844C5">
      <w:pPr>
        <w:spacing w:line="360" w:lineRule="auto"/>
        <w:jc w:val="center"/>
      </w:pPr>
    </w:p>
    <w:p w14:paraId="4D0BEDEE" w14:textId="77777777" w:rsidR="00571233" w:rsidRDefault="00571233" w:rsidP="00D844C5">
      <w:pPr>
        <w:spacing w:line="360" w:lineRule="auto"/>
        <w:jc w:val="center"/>
      </w:pPr>
      <w:r>
        <w:t>Student ID number</w:t>
      </w:r>
    </w:p>
    <w:p w14:paraId="405AA040" w14:textId="5DB3A671" w:rsidR="00571233" w:rsidRDefault="00571233" w:rsidP="00D844C5">
      <w:pPr>
        <w:spacing w:line="360" w:lineRule="auto"/>
        <w:jc w:val="center"/>
      </w:pPr>
      <w:r>
        <w:t>2230716</w:t>
      </w:r>
    </w:p>
    <w:p w14:paraId="6FD47BE2" w14:textId="77777777" w:rsidR="004F634B" w:rsidRDefault="004F634B" w:rsidP="00D844C5">
      <w:pPr>
        <w:spacing w:line="360" w:lineRule="auto"/>
        <w:jc w:val="center"/>
      </w:pPr>
      <w:r>
        <w:t>Module Code BMIH6001</w:t>
      </w:r>
    </w:p>
    <w:p w14:paraId="38748F9D" w14:textId="45A17B2C" w:rsidR="00072747" w:rsidRDefault="004F634B" w:rsidP="00D844C5">
      <w:pPr>
        <w:spacing w:line="360" w:lineRule="auto"/>
        <w:jc w:val="center"/>
      </w:pPr>
      <w:r>
        <w:t>Module Title Contemporary Themes in the Hotel and Hospitality Sector</w:t>
      </w:r>
    </w:p>
    <w:p w14:paraId="7DBDB2F8" w14:textId="36972E7B" w:rsidR="005B63DA" w:rsidRDefault="005B63DA" w:rsidP="00D844C5">
      <w:pPr>
        <w:spacing w:line="360" w:lineRule="auto"/>
        <w:jc w:val="center"/>
      </w:pPr>
      <w:r w:rsidRPr="005B63DA">
        <w:t>Module Tutor</w:t>
      </w:r>
      <w:r>
        <w:t>:</w:t>
      </w:r>
      <w:r w:rsidR="00D844C5" w:rsidRPr="00D844C5">
        <w:t xml:space="preserve"> Lola Villard-Coles</w:t>
      </w:r>
    </w:p>
    <w:p w14:paraId="6D91C301" w14:textId="77777777" w:rsidR="00072747" w:rsidRDefault="00072747" w:rsidP="00D844C5">
      <w:pPr>
        <w:spacing w:line="360" w:lineRule="auto"/>
        <w:jc w:val="center"/>
      </w:pPr>
    </w:p>
    <w:p w14:paraId="025B67D8" w14:textId="77777777" w:rsidR="00072747" w:rsidRDefault="00072747" w:rsidP="00D844C5">
      <w:pPr>
        <w:spacing w:line="360" w:lineRule="auto"/>
        <w:jc w:val="center"/>
      </w:pPr>
    </w:p>
    <w:p w14:paraId="5AE7AA70" w14:textId="77777777" w:rsidR="00072747" w:rsidRDefault="00072747" w:rsidP="00DA50A9"/>
    <w:p w14:paraId="1B67ECE9" w14:textId="77777777" w:rsidR="00072747" w:rsidRDefault="00072747" w:rsidP="00DA50A9"/>
    <w:p w14:paraId="5F9D5DCF" w14:textId="77777777" w:rsidR="00072747" w:rsidRDefault="00072747" w:rsidP="00DA50A9"/>
    <w:p w14:paraId="249F27A5" w14:textId="77777777" w:rsidR="00072747" w:rsidRDefault="00072747" w:rsidP="00DA50A9"/>
    <w:p w14:paraId="63E2A1A8" w14:textId="77777777" w:rsidR="00072747" w:rsidRDefault="00072747" w:rsidP="00DA50A9"/>
    <w:p w14:paraId="7BE33A55" w14:textId="77777777" w:rsidR="00072747" w:rsidRDefault="00072747" w:rsidP="00DA50A9"/>
    <w:p w14:paraId="12506EC7" w14:textId="77777777" w:rsidR="00072747" w:rsidRDefault="00072747" w:rsidP="00DA50A9"/>
    <w:p w14:paraId="5EE35DD9" w14:textId="77777777" w:rsidR="00892863" w:rsidRPr="005D7CE5" w:rsidRDefault="00892863" w:rsidP="005D7CE5">
      <w:pPr>
        <w:spacing w:line="360" w:lineRule="auto"/>
        <w:jc w:val="center"/>
        <w:rPr>
          <w:rFonts w:ascii="Arial" w:hAnsi="Arial" w:cs="Arial"/>
          <w:b/>
          <w:bCs/>
        </w:rPr>
      </w:pPr>
      <w:r w:rsidRPr="005D7CE5">
        <w:rPr>
          <w:rFonts w:ascii="Arial" w:hAnsi="Arial" w:cs="Arial"/>
          <w:b/>
          <w:bCs/>
        </w:rPr>
        <w:lastRenderedPageBreak/>
        <w:t>Health-Oriented Leadership and Employee Mental Health in the Hospitality Industry</w:t>
      </w:r>
    </w:p>
    <w:p w14:paraId="53944976" w14:textId="77777777" w:rsidR="00892863" w:rsidRPr="005E36B7" w:rsidRDefault="00892863" w:rsidP="00126989">
      <w:pPr>
        <w:pStyle w:val="Heading1"/>
        <w:spacing w:line="360" w:lineRule="auto"/>
        <w:jc w:val="both"/>
        <w:rPr>
          <w:rFonts w:ascii="Arial" w:hAnsi="Arial" w:cs="Arial"/>
          <w:sz w:val="24"/>
          <w:szCs w:val="24"/>
        </w:rPr>
      </w:pPr>
      <w:r w:rsidRPr="005E36B7">
        <w:rPr>
          <w:rFonts w:ascii="Arial" w:hAnsi="Arial" w:cs="Arial"/>
          <w:sz w:val="24"/>
          <w:szCs w:val="24"/>
        </w:rPr>
        <w:t>Abstract</w:t>
      </w:r>
    </w:p>
    <w:p w14:paraId="7AD328D4" w14:textId="77777777" w:rsidR="00892863" w:rsidRPr="005E36B7" w:rsidRDefault="00892863" w:rsidP="00126989">
      <w:pPr>
        <w:spacing w:line="360" w:lineRule="auto"/>
        <w:jc w:val="both"/>
        <w:rPr>
          <w:rFonts w:ascii="Arial" w:hAnsi="Arial" w:cs="Arial"/>
        </w:rPr>
      </w:pPr>
      <w:r w:rsidRPr="005E36B7">
        <w:rPr>
          <w:rFonts w:ascii="Arial" w:hAnsi="Arial" w:cs="Arial"/>
        </w:rPr>
        <w:t>The hospitality sector is characterised by high-pressure, customer-focused environments where employees face long hours, irregular shifts, and emotionally demanding tasks, contributing to stress, anxiety, and burnout. These mental health challenges negatively affect staff well-being, job satisfaction, service quality, and organisational performance. This research examines the role of Health-Oriented Leadership (HOL) in promoting employee mental health and its broader influence on Innovative Work Behaviour (IWB) and Change-Oriented Organisational Citizenship Behaviour (Ch-OCB) within hospitality organisations.</w:t>
      </w:r>
    </w:p>
    <w:p w14:paraId="11D23B9D" w14:textId="77777777" w:rsidR="00892863" w:rsidRPr="005E36B7" w:rsidRDefault="00892863" w:rsidP="00126989">
      <w:pPr>
        <w:spacing w:line="360" w:lineRule="auto"/>
        <w:jc w:val="both"/>
        <w:rPr>
          <w:rFonts w:ascii="Arial" w:hAnsi="Arial" w:cs="Arial"/>
        </w:rPr>
      </w:pPr>
    </w:p>
    <w:p w14:paraId="4945AD68" w14:textId="77777777" w:rsidR="00892863" w:rsidRPr="005E36B7" w:rsidRDefault="00892863" w:rsidP="00126989">
      <w:pPr>
        <w:spacing w:line="360" w:lineRule="auto"/>
        <w:jc w:val="both"/>
        <w:rPr>
          <w:rFonts w:ascii="Arial" w:hAnsi="Arial" w:cs="Arial"/>
        </w:rPr>
      </w:pPr>
      <w:r w:rsidRPr="005E36B7">
        <w:rPr>
          <w:rFonts w:ascii="Arial" w:hAnsi="Arial" w:cs="Arial"/>
        </w:rPr>
        <w:t>A systematic literature review was conducted, analysing peer-reviewed journal articles, industry reports, and credible organisational publications from 2019 to 2024. The review synthesises findings on HOL practices, mental health interventions, and industry case studies, including Hilton’s Care for All, Marriott’s Take Care Certification, and Accor’s Total Wellbeing App. The analysis highlights that HOL positively impacts psychological outcomes, fosters innovation, and encourages proactive organisational behaviours, while perceived organisational support (POS) moderates these effects.</w:t>
      </w:r>
    </w:p>
    <w:p w14:paraId="111A518A" w14:textId="77777777" w:rsidR="00892863" w:rsidRPr="005E36B7" w:rsidRDefault="00892863" w:rsidP="00126989">
      <w:pPr>
        <w:spacing w:line="360" w:lineRule="auto"/>
        <w:jc w:val="both"/>
        <w:rPr>
          <w:rFonts w:ascii="Arial" w:hAnsi="Arial" w:cs="Arial"/>
        </w:rPr>
      </w:pPr>
    </w:p>
    <w:p w14:paraId="39B6DE0B" w14:textId="77777777" w:rsidR="00892863" w:rsidRPr="005E36B7" w:rsidRDefault="00892863" w:rsidP="00126989">
      <w:pPr>
        <w:spacing w:line="360" w:lineRule="auto"/>
        <w:jc w:val="both"/>
        <w:rPr>
          <w:rFonts w:ascii="Arial" w:hAnsi="Arial" w:cs="Arial"/>
        </w:rPr>
      </w:pPr>
      <w:r w:rsidRPr="005E36B7">
        <w:rPr>
          <w:rFonts w:ascii="Arial" w:hAnsi="Arial" w:cs="Arial"/>
        </w:rPr>
        <w:t>The study underscores the importance of leadership-driven mental health strategies in hospitality, providing insights for managers and policymakers to enhance employee well-being, innovation, and sustainable organisational performance. Prioritising HOL is essential for long-term sector success and a resilient, engaged workforce.</w:t>
      </w:r>
    </w:p>
    <w:p w14:paraId="37712DB4" w14:textId="77777777" w:rsidR="00892863" w:rsidRPr="005E36B7" w:rsidRDefault="00892863" w:rsidP="00126989">
      <w:pPr>
        <w:spacing w:line="360" w:lineRule="auto"/>
        <w:jc w:val="both"/>
        <w:rPr>
          <w:rFonts w:ascii="Arial" w:hAnsi="Arial" w:cs="Arial"/>
        </w:rPr>
      </w:pPr>
    </w:p>
    <w:p w14:paraId="0BF326D7" w14:textId="77777777" w:rsidR="00892863" w:rsidRPr="005E36B7" w:rsidRDefault="00892863" w:rsidP="00126989">
      <w:pPr>
        <w:pStyle w:val="Heading2"/>
        <w:spacing w:line="360" w:lineRule="auto"/>
        <w:jc w:val="both"/>
        <w:rPr>
          <w:rFonts w:ascii="Arial" w:hAnsi="Arial" w:cs="Arial"/>
          <w:sz w:val="24"/>
          <w:szCs w:val="24"/>
        </w:rPr>
      </w:pPr>
      <w:r w:rsidRPr="005E36B7">
        <w:rPr>
          <w:rFonts w:ascii="Arial" w:hAnsi="Arial" w:cs="Arial"/>
          <w:sz w:val="24"/>
          <w:szCs w:val="24"/>
        </w:rPr>
        <w:t>Introduction</w:t>
      </w:r>
    </w:p>
    <w:p w14:paraId="0A25AE6C" w14:textId="77777777" w:rsidR="00892863" w:rsidRPr="005E36B7" w:rsidRDefault="00892863" w:rsidP="00126989">
      <w:pPr>
        <w:spacing w:line="360" w:lineRule="auto"/>
        <w:jc w:val="both"/>
        <w:rPr>
          <w:rFonts w:ascii="Arial" w:hAnsi="Arial" w:cs="Arial"/>
        </w:rPr>
      </w:pPr>
      <w:r w:rsidRPr="005E36B7">
        <w:rPr>
          <w:rFonts w:ascii="Arial" w:hAnsi="Arial" w:cs="Arial"/>
        </w:rPr>
        <w:t xml:space="preserve">The hospitality sector is a high-pressure, customer-focused industry characterised by long hours, irregular shifts, and emotionally demanding work. Employees face frequent client interactions, time-sensitive tasks, and unpredictable workloads, which contribute to elevated stress, anxiety, and burnout (Nowrouzi-Kia, Gohar,  and Seto, 2024; </w:t>
      </w:r>
      <w:r w:rsidRPr="005E36B7">
        <w:rPr>
          <w:rFonts w:ascii="Arial" w:hAnsi="Arial" w:cs="Arial"/>
        </w:rPr>
        <w:lastRenderedPageBreak/>
        <w:t>Schultz and Edington, 2007). Consequently, mental health challenges among staff not only affect individual well-being but also reduce service quality, employee engagement, and organisational performance (Sharma and Kumra, 2020; Sonnentag, Fritz and Kühnel, 2023).</w:t>
      </w:r>
    </w:p>
    <w:p w14:paraId="62A10E12" w14:textId="77777777" w:rsidR="00892863" w:rsidRPr="005E36B7" w:rsidRDefault="00892863" w:rsidP="00126989">
      <w:pPr>
        <w:spacing w:line="360" w:lineRule="auto"/>
        <w:jc w:val="both"/>
        <w:rPr>
          <w:rFonts w:ascii="Arial" w:hAnsi="Arial" w:cs="Arial"/>
        </w:rPr>
      </w:pPr>
      <w:r w:rsidRPr="005E36B7">
        <w:rPr>
          <w:rFonts w:ascii="Arial" w:hAnsi="Arial" w:cs="Arial"/>
        </w:rPr>
        <w:t>Addressing employee well-being has become a contemporary priority, as psychological health is closely linked to sustainable performance. Initiatives such as Hilton’s Care for All, Marriott’s Take Care Certification, and Accor’s Total Wellbeing App reflect industry efforts to support mental health and foster a positive workplace culture (Hilton, 2022; Marriott, 2019; Accor, 2020). Leadership plays a critical role in shaping these outcomes, with Health-Oriented Leadership (HOL) promoting supportive practices, role-modelling self-care, and fostering a health-conscious environment.</w:t>
      </w:r>
    </w:p>
    <w:p w14:paraId="57A5A227" w14:textId="77777777" w:rsidR="00892863" w:rsidRPr="005E36B7" w:rsidRDefault="00892863" w:rsidP="00126989">
      <w:pPr>
        <w:spacing w:line="360" w:lineRule="auto"/>
        <w:jc w:val="both"/>
        <w:rPr>
          <w:rFonts w:ascii="Arial" w:hAnsi="Arial" w:cs="Arial"/>
        </w:rPr>
      </w:pPr>
    </w:p>
    <w:p w14:paraId="084A954D" w14:textId="77777777" w:rsidR="00892863" w:rsidRPr="005E36B7" w:rsidRDefault="00892863" w:rsidP="00126989">
      <w:pPr>
        <w:spacing w:line="360" w:lineRule="auto"/>
        <w:jc w:val="both"/>
        <w:rPr>
          <w:rFonts w:ascii="Arial" w:hAnsi="Arial" w:cs="Arial"/>
        </w:rPr>
      </w:pPr>
      <w:r w:rsidRPr="005E36B7">
        <w:rPr>
          <w:rFonts w:ascii="Arial" w:hAnsi="Arial" w:cs="Arial"/>
        </w:rPr>
        <w:t>This study explores HOL’s influence on mental health outcomes and its broader impact on innovation and organisational citizenship behaviours. By investigating these relationships, the research highlights the importance of prioritising staff well-being in hospitality for both employee satisfaction and sustainable organisational success.</w:t>
      </w:r>
    </w:p>
    <w:p w14:paraId="321BFA32" w14:textId="77777777" w:rsidR="00883FDD" w:rsidRPr="005E36B7" w:rsidRDefault="00883FDD" w:rsidP="00126989">
      <w:pPr>
        <w:pStyle w:val="Heading2"/>
        <w:spacing w:line="360" w:lineRule="auto"/>
        <w:jc w:val="both"/>
        <w:rPr>
          <w:rFonts w:ascii="Arial" w:hAnsi="Arial" w:cs="Arial"/>
          <w:sz w:val="24"/>
          <w:szCs w:val="24"/>
        </w:rPr>
      </w:pPr>
      <w:r w:rsidRPr="005E36B7">
        <w:rPr>
          <w:rFonts w:ascii="Arial" w:hAnsi="Arial" w:cs="Arial"/>
          <w:sz w:val="24"/>
          <w:szCs w:val="24"/>
        </w:rPr>
        <w:t>Methodology</w:t>
      </w:r>
    </w:p>
    <w:p w14:paraId="23FADC1B" w14:textId="77777777" w:rsidR="00947F31" w:rsidRPr="005E36B7" w:rsidRDefault="00947F31" w:rsidP="00947F31">
      <w:pPr>
        <w:pStyle w:val="Heading2"/>
        <w:spacing w:line="360" w:lineRule="auto"/>
        <w:jc w:val="both"/>
        <w:rPr>
          <w:rFonts w:ascii="Arial" w:hAnsi="Arial" w:cs="Arial"/>
          <w:sz w:val="24"/>
          <w:szCs w:val="24"/>
        </w:rPr>
      </w:pPr>
    </w:p>
    <w:p w14:paraId="69DAC941" w14:textId="77777777" w:rsidR="00947F31" w:rsidRPr="005E36B7" w:rsidRDefault="00947F31" w:rsidP="00947F31">
      <w:pPr>
        <w:rPr>
          <w:rFonts w:ascii="Arial" w:hAnsi="Arial" w:cs="Arial"/>
        </w:rPr>
      </w:pPr>
      <w:r w:rsidRPr="005E36B7">
        <w:rPr>
          <w:rFonts w:ascii="Arial" w:hAnsi="Arial" w:cs="Arial"/>
        </w:rPr>
        <w:t>This study employed a systematic literature review (SLR) to investigate the influence of Health-Oriented Leadership (HOL) on employee mental health, innovation, and organisational outcomes within the hospitality industry. The SLR method allows for a structured, transparent, and replicable synthesis of existing research, ensuring a comprehensive understanding of the topic (Hauff, Richter and Pundt, 2022).</w:t>
      </w:r>
    </w:p>
    <w:p w14:paraId="0967AD77" w14:textId="77777777" w:rsidR="00947F31" w:rsidRPr="005E36B7" w:rsidRDefault="00947F31" w:rsidP="00947F31">
      <w:pPr>
        <w:rPr>
          <w:rFonts w:ascii="Arial" w:hAnsi="Arial" w:cs="Arial"/>
        </w:rPr>
      </w:pPr>
    </w:p>
    <w:p w14:paraId="7DABED21" w14:textId="46E9C479" w:rsidR="00947F31" w:rsidRPr="005E36B7" w:rsidRDefault="00947F31" w:rsidP="00947F31">
      <w:pPr>
        <w:rPr>
          <w:rFonts w:ascii="Arial" w:hAnsi="Arial" w:cs="Arial"/>
        </w:rPr>
      </w:pPr>
      <w:r w:rsidRPr="005E36B7">
        <w:rPr>
          <w:rFonts w:ascii="Arial" w:hAnsi="Arial" w:cs="Arial"/>
        </w:rPr>
        <w:t>All secondary data were collected exclusively through Google Scholar (https://scholar.google.com/), which was selected because it provides broad access to peer-reviewed academic sources, industry reports, and organisational publications. The platform’s accessibility and extensive database of scholarly material made it suitable for gathering current and credible information relevant to this study.</w:t>
      </w:r>
    </w:p>
    <w:p w14:paraId="47B507E5" w14:textId="77777777" w:rsidR="00947F31" w:rsidRPr="005E36B7" w:rsidRDefault="00947F31" w:rsidP="00947F31">
      <w:pPr>
        <w:rPr>
          <w:rFonts w:ascii="Arial" w:hAnsi="Arial" w:cs="Arial"/>
        </w:rPr>
      </w:pPr>
    </w:p>
    <w:p w14:paraId="06FCAE3E" w14:textId="77777777" w:rsidR="00947F31" w:rsidRPr="005E36B7" w:rsidRDefault="00947F31" w:rsidP="00947F31">
      <w:pPr>
        <w:rPr>
          <w:rFonts w:ascii="Arial" w:hAnsi="Arial" w:cs="Arial"/>
        </w:rPr>
      </w:pPr>
      <w:r w:rsidRPr="005E36B7">
        <w:rPr>
          <w:rFonts w:ascii="Arial" w:hAnsi="Arial" w:cs="Arial"/>
        </w:rPr>
        <w:t>The search strategy combined keywords such as “health-oriented leadership,” “mental health in hospitality,” “employee burnout,” “well-being at work,” “innovative work behaviour,” and “organisational citizenship behaviour.” Inclusion criteria restricted the selection to studies published between 2019 and 2024, written in English, and directly addressing leadership, mental health, or burnout within hospitality or related service industries. Additional inclusion criteria considered research that examined innovation and employee engagement in the context of well-being.</w:t>
      </w:r>
    </w:p>
    <w:p w14:paraId="26B53008" w14:textId="77777777" w:rsidR="00947F31" w:rsidRPr="005E36B7" w:rsidRDefault="00947F31" w:rsidP="00947F31">
      <w:pPr>
        <w:rPr>
          <w:rFonts w:ascii="Arial" w:hAnsi="Arial" w:cs="Arial"/>
        </w:rPr>
      </w:pPr>
    </w:p>
    <w:p w14:paraId="10005C88" w14:textId="77777777" w:rsidR="00947F31" w:rsidRPr="005E36B7" w:rsidRDefault="00947F31" w:rsidP="00947F31">
      <w:pPr>
        <w:rPr>
          <w:rFonts w:ascii="Arial" w:hAnsi="Arial" w:cs="Arial"/>
        </w:rPr>
      </w:pPr>
      <w:r w:rsidRPr="005E36B7">
        <w:rPr>
          <w:rFonts w:ascii="Arial" w:hAnsi="Arial" w:cs="Arial"/>
        </w:rPr>
        <w:t>Exclusion criteria removed non-peer-reviewed materials, outdated publications prior to 2019, and sources unrelated to the hospitality context. In total, 28 peer-reviewed journal articles and three industry reports were selected, including case studies from Hilton (2022), Marriott (2019), and Accor (2020).</w:t>
      </w:r>
    </w:p>
    <w:p w14:paraId="78EA74AA" w14:textId="77777777" w:rsidR="00947F31" w:rsidRPr="005E36B7" w:rsidRDefault="00947F31" w:rsidP="00947F31">
      <w:pPr>
        <w:rPr>
          <w:rFonts w:ascii="Arial" w:hAnsi="Arial" w:cs="Arial"/>
        </w:rPr>
      </w:pPr>
    </w:p>
    <w:p w14:paraId="765A2F05" w14:textId="558AA4DA" w:rsidR="00883FDD" w:rsidRPr="005E36B7" w:rsidRDefault="00947F31" w:rsidP="00947F31">
      <w:pPr>
        <w:rPr>
          <w:rFonts w:ascii="Arial" w:hAnsi="Arial" w:cs="Arial"/>
        </w:rPr>
      </w:pPr>
      <w:r w:rsidRPr="005E36B7">
        <w:rPr>
          <w:rFonts w:ascii="Arial" w:hAnsi="Arial" w:cs="Arial"/>
        </w:rPr>
        <w:t>Each source was reviewed and thematically analysed to identify key patterns concerning HOL practices, mental health initiatives, burnout prevention strategies, and innovation outcomes. The thematic synthesis approach enabled comparison across studies, highlighting consistent findings and identifying gaps for further research. This method ensured the reliability, validity, and academic rigour of the review process while providing an evidence-based foundation for the study’s conclusions and recommendations.</w:t>
      </w:r>
    </w:p>
    <w:p w14:paraId="304E6A5D" w14:textId="77777777" w:rsidR="00892863" w:rsidRPr="005E36B7" w:rsidRDefault="00892863" w:rsidP="00126989">
      <w:pPr>
        <w:pStyle w:val="Heading2"/>
        <w:spacing w:line="360" w:lineRule="auto"/>
        <w:jc w:val="both"/>
        <w:rPr>
          <w:rFonts w:ascii="Arial" w:hAnsi="Arial" w:cs="Arial"/>
          <w:sz w:val="24"/>
          <w:szCs w:val="24"/>
        </w:rPr>
      </w:pPr>
    </w:p>
    <w:p w14:paraId="4B533EE3" w14:textId="77777777" w:rsidR="00892863" w:rsidRPr="005E36B7" w:rsidRDefault="00892863" w:rsidP="00126989">
      <w:pPr>
        <w:pStyle w:val="Heading1"/>
        <w:spacing w:line="360" w:lineRule="auto"/>
        <w:jc w:val="both"/>
        <w:rPr>
          <w:rFonts w:ascii="Arial" w:hAnsi="Arial" w:cs="Arial"/>
          <w:sz w:val="24"/>
          <w:szCs w:val="24"/>
        </w:rPr>
      </w:pPr>
      <w:r w:rsidRPr="005E36B7">
        <w:rPr>
          <w:rFonts w:ascii="Arial" w:hAnsi="Arial" w:cs="Arial"/>
          <w:sz w:val="24"/>
          <w:szCs w:val="24"/>
        </w:rPr>
        <w:t>Literature Review</w:t>
      </w:r>
    </w:p>
    <w:p w14:paraId="53A060C8" w14:textId="77777777" w:rsidR="00892863" w:rsidRPr="005E36B7" w:rsidRDefault="00892863" w:rsidP="00126989">
      <w:pPr>
        <w:pStyle w:val="Heading2"/>
        <w:spacing w:line="360" w:lineRule="auto"/>
        <w:jc w:val="both"/>
        <w:rPr>
          <w:rFonts w:ascii="Arial" w:hAnsi="Arial" w:cs="Arial"/>
          <w:sz w:val="24"/>
          <w:szCs w:val="24"/>
        </w:rPr>
      </w:pPr>
      <w:r w:rsidRPr="005E36B7">
        <w:rPr>
          <w:rFonts w:ascii="Arial" w:hAnsi="Arial" w:cs="Arial"/>
          <w:sz w:val="24"/>
          <w:szCs w:val="24"/>
        </w:rPr>
        <w:t>Employee Mental Health in Hospitality</w:t>
      </w:r>
    </w:p>
    <w:p w14:paraId="4AADBC16" w14:textId="77777777" w:rsidR="00892863" w:rsidRPr="005E36B7" w:rsidRDefault="00892863" w:rsidP="00126989">
      <w:pPr>
        <w:spacing w:line="360" w:lineRule="auto"/>
        <w:jc w:val="both"/>
        <w:rPr>
          <w:rFonts w:ascii="Arial" w:hAnsi="Arial" w:cs="Arial"/>
        </w:rPr>
      </w:pPr>
      <w:r w:rsidRPr="005E36B7">
        <w:rPr>
          <w:rFonts w:ascii="Arial" w:hAnsi="Arial" w:cs="Arial"/>
        </w:rPr>
        <w:t>The hospitality industry exposes employees to multiple stressors that undermine mental and physical well-being. High workloads, irregular shifts, and emotionally demanding interactions increase the risk of burnout and anxiety, leading to absenteeism, turnover, and reduced productivity (Campbell, 2024; World Health Organisation, 2022; Nowrouzi-Kia et al., 2024). Mental health challenges are particularly prevalent among frontline staff, who must manage customer expectations alongside organisational demands (Varga, Smith and Jones, 2021).</w:t>
      </w:r>
    </w:p>
    <w:p w14:paraId="06157342" w14:textId="77777777" w:rsidR="00892863" w:rsidRPr="005E36B7" w:rsidRDefault="00892863" w:rsidP="00126989">
      <w:pPr>
        <w:spacing w:line="360" w:lineRule="auto"/>
        <w:jc w:val="both"/>
        <w:rPr>
          <w:rFonts w:ascii="Arial" w:hAnsi="Arial" w:cs="Arial"/>
        </w:rPr>
      </w:pPr>
    </w:p>
    <w:p w14:paraId="7FF36797" w14:textId="77777777" w:rsidR="00892863" w:rsidRPr="005E36B7" w:rsidRDefault="00892863" w:rsidP="00126989">
      <w:pPr>
        <w:spacing w:line="360" w:lineRule="auto"/>
        <w:jc w:val="both"/>
        <w:rPr>
          <w:rFonts w:ascii="Arial" w:hAnsi="Arial" w:cs="Arial"/>
        </w:rPr>
      </w:pPr>
      <w:r w:rsidRPr="005E36B7">
        <w:rPr>
          <w:rFonts w:ascii="Arial" w:hAnsi="Arial" w:cs="Arial"/>
        </w:rPr>
        <w:t>The financial implications are significant. In the United States, employers spend approximately $575 billion annually on health-related initiatives, highlighting the economic consequences of unmanaged stress and mental health issues (Japsen, 2020). Within hospitality, costs associated with turnover, recruitment, and reduced service quality emphasise the need for effective interventions (Schultz and Edington, 2007). Despite corporate wellness programs, policies, and insurance schemes, challenges persist due to stigma, limited accessibility, and inconsistent implementation (Montano et al., 2017; Grimmond et al., 2024; Schulte et al., 2024).</w:t>
      </w:r>
    </w:p>
    <w:p w14:paraId="37DA0A09" w14:textId="77777777" w:rsidR="00892863" w:rsidRPr="005E36B7" w:rsidRDefault="00892863" w:rsidP="00126989">
      <w:pPr>
        <w:spacing w:line="360" w:lineRule="auto"/>
        <w:jc w:val="both"/>
        <w:rPr>
          <w:rFonts w:ascii="Arial" w:hAnsi="Arial" w:cs="Arial"/>
        </w:rPr>
      </w:pPr>
    </w:p>
    <w:p w14:paraId="42BFD09D" w14:textId="77777777" w:rsidR="00892863" w:rsidRPr="005E36B7" w:rsidRDefault="00892863" w:rsidP="00126989">
      <w:pPr>
        <w:pStyle w:val="Heading2"/>
        <w:spacing w:line="360" w:lineRule="auto"/>
        <w:jc w:val="both"/>
        <w:rPr>
          <w:rFonts w:ascii="Arial" w:hAnsi="Arial" w:cs="Arial"/>
          <w:sz w:val="24"/>
          <w:szCs w:val="24"/>
        </w:rPr>
      </w:pPr>
      <w:r w:rsidRPr="005E36B7">
        <w:rPr>
          <w:rFonts w:ascii="Arial" w:hAnsi="Arial" w:cs="Arial"/>
          <w:sz w:val="24"/>
          <w:szCs w:val="24"/>
        </w:rPr>
        <w:t>Health-Oriented Leadership (HOL) and Employee Well-being</w:t>
      </w:r>
    </w:p>
    <w:p w14:paraId="53B2EC9A" w14:textId="77777777" w:rsidR="00892863" w:rsidRPr="005E36B7" w:rsidRDefault="00892863" w:rsidP="00126989">
      <w:pPr>
        <w:spacing w:line="360" w:lineRule="auto"/>
        <w:jc w:val="both"/>
        <w:rPr>
          <w:rFonts w:ascii="Arial" w:hAnsi="Arial" w:cs="Arial"/>
        </w:rPr>
      </w:pPr>
      <w:r w:rsidRPr="005E36B7">
        <w:rPr>
          <w:rFonts w:ascii="Arial" w:hAnsi="Arial" w:cs="Arial"/>
        </w:rPr>
        <w:t>Leadership approaches are critical in mitigating mental health risks and fostering a supportive work environment. HOL emphasises promoting employees’ physical and psychological well-being through supportive behaviours, role modelling, and the cultivation of a health-conscious organisational culture (Hauff, Richter and Pundt, 2022; Klebe, Felfe and Franke, 2021). Leaders who integrate self-care with professional responsibilities enhance staff satisfaction while reducing burnout and stress-related absenteeism (Rodriguez, 2024; Volpi et al., 2023).</w:t>
      </w:r>
    </w:p>
    <w:p w14:paraId="122BBA6C" w14:textId="77777777" w:rsidR="00892863" w:rsidRPr="005E36B7" w:rsidRDefault="00892863" w:rsidP="00126989">
      <w:pPr>
        <w:spacing w:line="360" w:lineRule="auto"/>
        <w:jc w:val="both"/>
        <w:rPr>
          <w:rFonts w:ascii="Arial" w:hAnsi="Arial" w:cs="Arial"/>
        </w:rPr>
      </w:pPr>
    </w:p>
    <w:p w14:paraId="329B78FB" w14:textId="77777777" w:rsidR="00892863" w:rsidRPr="005E36B7" w:rsidRDefault="00892863" w:rsidP="00126989">
      <w:pPr>
        <w:spacing w:line="360" w:lineRule="auto"/>
        <w:jc w:val="both"/>
        <w:rPr>
          <w:rFonts w:ascii="Arial" w:hAnsi="Arial" w:cs="Arial"/>
        </w:rPr>
      </w:pPr>
      <w:r w:rsidRPr="005E36B7">
        <w:rPr>
          <w:rFonts w:ascii="Arial" w:hAnsi="Arial" w:cs="Arial"/>
        </w:rPr>
        <w:t>HOL interventions, such as health-focused communication, workload management, and accessible mental health resources, positively influence employees’ psychological outcomes (Yao et al., 2021). Prioritising staff well-being strengthens organisational commitment, loyalty, and performance, benefiting both employees and management (Rabiul, Ahmed and Kumar, 2023).</w:t>
      </w:r>
    </w:p>
    <w:p w14:paraId="117D146C" w14:textId="77777777" w:rsidR="00892863" w:rsidRPr="005E36B7" w:rsidRDefault="00892863" w:rsidP="00126989">
      <w:pPr>
        <w:spacing w:line="360" w:lineRule="auto"/>
        <w:jc w:val="both"/>
        <w:rPr>
          <w:rFonts w:ascii="Arial" w:hAnsi="Arial" w:cs="Arial"/>
        </w:rPr>
      </w:pPr>
    </w:p>
    <w:p w14:paraId="0685218B" w14:textId="77777777" w:rsidR="00892863" w:rsidRPr="005E36B7" w:rsidRDefault="00892863" w:rsidP="00126989">
      <w:pPr>
        <w:pStyle w:val="Heading2"/>
        <w:spacing w:line="360" w:lineRule="auto"/>
        <w:jc w:val="both"/>
        <w:rPr>
          <w:rFonts w:ascii="Arial" w:hAnsi="Arial" w:cs="Arial"/>
          <w:sz w:val="24"/>
          <w:szCs w:val="24"/>
        </w:rPr>
      </w:pPr>
      <w:r w:rsidRPr="005E36B7">
        <w:rPr>
          <w:rFonts w:ascii="Arial" w:hAnsi="Arial" w:cs="Arial"/>
          <w:sz w:val="24"/>
          <w:szCs w:val="24"/>
        </w:rPr>
        <w:t>Impact on Innovation and Organisational Citizenship Behaviours</w:t>
      </w:r>
    </w:p>
    <w:p w14:paraId="3C648EB7" w14:textId="77777777" w:rsidR="00892863" w:rsidRPr="005E36B7" w:rsidRDefault="00892863" w:rsidP="00126989">
      <w:pPr>
        <w:spacing w:line="360" w:lineRule="auto"/>
        <w:jc w:val="both"/>
        <w:rPr>
          <w:rFonts w:ascii="Arial" w:hAnsi="Arial" w:cs="Arial"/>
        </w:rPr>
      </w:pPr>
      <w:r w:rsidRPr="005E36B7">
        <w:rPr>
          <w:rFonts w:ascii="Arial" w:hAnsi="Arial" w:cs="Arial"/>
        </w:rPr>
        <w:t>HOL’s influence extends beyond well-being, affecting innovation and discretionary behaviours. Innovative Work Behaviour (IWB) involves employees generating, promoting, and implementing ideas to improve organisational processes (Kyei-Frimpong et al., 2024). Change-Oriented Organisational Citizenship Behaviour (Ch-OCB) refers to voluntary efforts to challenge norms and propose improvements, supporting sustainable organisational development (Malik, 2024).</w:t>
      </w:r>
    </w:p>
    <w:p w14:paraId="78C3C550" w14:textId="77777777" w:rsidR="00892863" w:rsidRPr="005E36B7" w:rsidRDefault="00892863" w:rsidP="00126989">
      <w:pPr>
        <w:spacing w:line="360" w:lineRule="auto"/>
        <w:jc w:val="both"/>
        <w:rPr>
          <w:rFonts w:ascii="Arial" w:hAnsi="Arial" w:cs="Arial"/>
        </w:rPr>
      </w:pPr>
    </w:p>
    <w:p w14:paraId="09758F2B" w14:textId="77777777" w:rsidR="00892863" w:rsidRPr="005E36B7" w:rsidRDefault="00892863" w:rsidP="00126989">
      <w:pPr>
        <w:spacing w:line="360" w:lineRule="auto"/>
        <w:jc w:val="both"/>
        <w:rPr>
          <w:rFonts w:ascii="Arial" w:hAnsi="Arial" w:cs="Arial"/>
        </w:rPr>
      </w:pPr>
      <w:r w:rsidRPr="005E36B7">
        <w:rPr>
          <w:rFonts w:ascii="Arial" w:hAnsi="Arial" w:cs="Arial"/>
        </w:rPr>
        <w:t>Supportive leadership encourages engagement in IWB and Ch-OCB, improving service quality, customer satisfaction, and corporate reputation (Al-Hawari et al., 2021; Jawad et al., 2023). Employees experiencing high perceived organisational support (POS) are more likely to translate HOL into positive innovation and citizenship behaviours (Hauff et al., 2022).</w:t>
      </w:r>
    </w:p>
    <w:p w14:paraId="7E0216E5" w14:textId="77777777" w:rsidR="00892863" w:rsidRPr="005E36B7" w:rsidRDefault="00892863" w:rsidP="00126989">
      <w:pPr>
        <w:pStyle w:val="Heading1"/>
        <w:spacing w:line="360" w:lineRule="auto"/>
        <w:jc w:val="both"/>
        <w:rPr>
          <w:rFonts w:ascii="Arial" w:hAnsi="Arial" w:cs="Arial"/>
          <w:sz w:val="24"/>
          <w:szCs w:val="24"/>
        </w:rPr>
      </w:pPr>
    </w:p>
    <w:p w14:paraId="31354AD3" w14:textId="77777777" w:rsidR="00892863" w:rsidRPr="005E36B7" w:rsidRDefault="00892863" w:rsidP="00126989">
      <w:pPr>
        <w:pStyle w:val="Heading1"/>
        <w:spacing w:line="360" w:lineRule="auto"/>
        <w:jc w:val="both"/>
        <w:rPr>
          <w:rFonts w:ascii="Arial" w:hAnsi="Arial" w:cs="Arial"/>
          <w:sz w:val="24"/>
          <w:szCs w:val="24"/>
        </w:rPr>
      </w:pPr>
      <w:r w:rsidRPr="005E36B7">
        <w:rPr>
          <w:rFonts w:ascii="Arial" w:hAnsi="Arial" w:cs="Arial"/>
          <w:sz w:val="24"/>
          <w:szCs w:val="24"/>
        </w:rPr>
        <w:t>Industry Practices and Case Studies</w:t>
      </w:r>
    </w:p>
    <w:p w14:paraId="64844F66" w14:textId="77777777" w:rsidR="00892863" w:rsidRPr="005E36B7" w:rsidRDefault="00892863" w:rsidP="00126989">
      <w:pPr>
        <w:spacing w:line="360" w:lineRule="auto"/>
        <w:jc w:val="both"/>
        <w:rPr>
          <w:rFonts w:ascii="Arial" w:hAnsi="Arial" w:cs="Arial"/>
        </w:rPr>
      </w:pPr>
      <w:r w:rsidRPr="005E36B7">
        <w:rPr>
          <w:rFonts w:ascii="Arial" w:hAnsi="Arial" w:cs="Arial"/>
        </w:rPr>
        <w:t>Hospitality organisations increasingly implement proactive strategies to support mental health. Hilton’s Care for All initiative provides mental health resources and awareness programs, Marriott’s Take Care Certification trains supervisors in wellness-focused leadership, and Accor’s Total Wellbeing App enables monitoring of employee well-being (Hilton, 2022; Marriott, 2019; Accor, 2020). Evidence shows that these programs enhance staff engagement, reduce absenteeism, and improve service quality (Teoh et al., 2022; Wood et al., 2021).</w:t>
      </w:r>
    </w:p>
    <w:p w14:paraId="42E6F896" w14:textId="77777777" w:rsidR="00892863" w:rsidRPr="005E36B7" w:rsidRDefault="00892863" w:rsidP="00126989">
      <w:pPr>
        <w:spacing w:line="360" w:lineRule="auto"/>
        <w:jc w:val="both"/>
        <w:rPr>
          <w:rFonts w:ascii="Arial" w:hAnsi="Arial" w:cs="Arial"/>
        </w:rPr>
      </w:pPr>
    </w:p>
    <w:p w14:paraId="31DB67FD" w14:textId="77777777" w:rsidR="00892863" w:rsidRPr="005E36B7" w:rsidRDefault="00892863" w:rsidP="00126989">
      <w:pPr>
        <w:spacing w:line="360" w:lineRule="auto"/>
        <w:jc w:val="both"/>
        <w:rPr>
          <w:rFonts w:ascii="Arial" w:hAnsi="Arial" w:cs="Arial"/>
        </w:rPr>
      </w:pPr>
      <w:r w:rsidRPr="005E36B7">
        <w:rPr>
          <w:rFonts w:ascii="Arial" w:hAnsi="Arial" w:cs="Arial"/>
        </w:rPr>
        <w:t>However, gaps remain. Leadership training is inconsistently implemented across organisations, and smaller establishments often lack the resources to support wellness programs effectively (Grimmond et al., 2024; Schulte et al., 2024).</w:t>
      </w:r>
    </w:p>
    <w:p w14:paraId="4931120D" w14:textId="77777777" w:rsidR="00892863" w:rsidRPr="005E36B7" w:rsidRDefault="00892863" w:rsidP="00126989">
      <w:pPr>
        <w:pStyle w:val="Heading2"/>
        <w:spacing w:line="360" w:lineRule="auto"/>
        <w:jc w:val="both"/>
        <w:rPr>
          <w:rFonts w:ascii="Arial" w:hAnsi="Arial" w:cs="Arial"/>
          <w:sz w:val="24"/>
          <w:szCs w:val="24"/>
        </w:rPr>
      </w:pPr>
      <w:r w:rsidRPr="005E36B7">
        <w:rPr>
          <w:rFonts w:ascii="Arial" w:hAnsi="Arial" w:cs="Arial"/>
          <w:sz w:val="24"/>
          <w:szCs w:val="24"/>
        </w:rPr>
        <w:t>Synthesis</w:t>
      </w:r>
    </w:p>
    <w:p w14:paraId="7A8E5EF3" w14:textId="77777777" w:rsidR="00892863" w:rsidRPr="005E36B7" w:rsidRDefault="00892863" w:rsidP="00126989">
      <w:pPr>
        <w:spacing w:line="360" w:lineRule="auto"/>
        <w:jc w:val="both"/>
        <w:rPr>
          <w:rFonts w:ascii="Arial" w:hAnsi="Arial" w:cs="Arial"/>
        </w:rPr>
      </w:pPr>
      <w:r w:rsidRPr="005E36B7">
        <w:rPr>
          <w:rFonts w:ascii="Arial" w:hAnsi="Arial" w:cs="Arial"/>
        </w:rPr>
        <w:t>Current literature emphasises HOL’s role in improving mental health while fostering innovation and organisational citizenship behaviours. Integrating HOL with wellness initiatives can reduce turnover, enhance service quality, and strengthen overall organisational performance. Further empirical research is required to explore HOL’s impact on frontline staff and the moderating role of perceived organisational support, providing actionable insights for hospitality managers and policymakers.</w:t>
      </w:r>
    </w:p>
    <w:p w14:paraId="42DD9580" w14:textId="77777777" w:rsidR="00892863" w:rsidRPr="005E36B7" w:rsidRDefault="00892863" w:rsidP="00126989">
      <w:pPr>
        <w:spacing w:line="360" w:lineRule="auto"/>
        <w:jc w:val="both"/>
        <w:rPr>
          <w:rFonts w:ascii="Arial" w:hAnsi="Arial" w:cs="Arial"/>
        </w:rPr>
      </w:pPr>
    </w:p>
    <w:p w14:paraId="49BD27D7" w14:textId="77777777" w:rsidR="00892863" w:rsidRPr="005E36B7" w:rsidRDefault="00892863" w:rsidP="00126989">
      <w:pPr>
        <w:pStyle w:val="Heading1"/>
        <w:spacing w:line="360" w:lineRule="auto"/>
        <w:jc w:val="both"/>
        <w:rPr>
          <w:rFonts w:ascii="Arial" w:hAnsi="Arial" w:cs="Arial"/>
          <w:sz w:val="24"/>
          <w:szCs w:val="24"/>
        </w:rPr>
      </w:pPr>
      <w:r w:rsidRPr="005E36B7">
        <w:rPr>
          <w:rFonts w:ascii="Arial" w:hAnsi="Arial" w:cs="Arial"/>
          <w:sz w:val="24"/>
          <w:szCs w:val="24"/>
        </w:rPr>
        <w:t>Theme Impact Analysis: Mental Health and Burnout in the Hospitality Industry</w:t>
      </w:r>
    </w:p>
    <w:p w14:paraId="78AE42DC" w14:textId="33D65542" w:rsidR="00892863" w:rsidRPr="005E36B7" w:rsidRDefault="00892863" w:rsidP="00126989">
      <w:pPr>
        <w:spacing w:line="360" w:lineRule="auto"/>
        <w:jc w:val="both"/>
        <w:rPr>
          <w:rFonts w:ascii="Arial" w:hAnsi="Arial" w:cs="Arial"/>
        </w:rPr>
      </w:pPr>
      <w:r w:rsidRPr="005E36B7">
        <w:rPr>
          <w:rFonts w:ascii="Arial" w:hAnsi="Arial" w:cs="Arial"/>
        </w:rPr>
        <w:t xml:space="preserve">The hospitality industry’s high-pressure environment exposes staff to chronic stress, leading to burnout and negatively affecting engagement, service quality, and organisational efficiency (Hauff, Richter and Pundt, 2022; Klebe, Felfe and Franke, 2021). Burnout mediates the relationship between work stress and turnover intention, with excessive workload, role conflict, and customer-related stress exacerbating adverse outcomes (Kyei-Frimpong, Agyemang and Antwi, 2024; Al-Hawari, Hartley and Ward, 2021). Emotional exhaustion is a key predictor of turnover, highlighting the need for </w:t>
      </w:r>
      <w:r w:rsidR="00547FCB" w:rsidRPr="005E36B7">
        <w:rPr>
          <w:rFonts w:ascii="Arial" w:hAnsi="Arial" w:cs="Arial"/>
        </w:rPr>
        <w:t>initiative-taking</w:t>
      </w:r>
      <w:r w:rsidRPr="005E36B7">
        <w:rPr>
          <w:rFonts w:ascii="Arial" w:hAnsi="Arial" w:cs="Arial"/>
        </w:rPr>
        <w:t xml:space="preserve"> interventions (Malik, 2024).</w:t>
      </w:r>
    </w:p>
    <w:p w14:paraId="5047F75E" w14:textId="77777777" w:rsidR="00892863" w:rsidRPr="005E36B7" w:rsidRDefault="00892863" w:rsidP="00126989">
      <w:pPr>
        <w:spacing w:line="360" w:lineRule="auto"/>
        <w:jc w:val="both"/>
        <w:rPr>
          <w:rFonts w:ascii="Arial" w:hAnsi="Arial" w:cs="Arial"/>
        </w:rPr>
      </w:pPr>
      <w:r w:rsidRPr="005E36B7">
        <w:rPr>
          <w:rFonts w:ascii="Arial" w:hAnsi="Arial" w:cs="Arial"/>
        </w:rPr>
        <w:t>A PESTLE analysis illustrates macro-environmental factors influencing burnout. Political and legal regulations mandate compliance with workplace safety and stress management regulations (Hauff, Richter,  and Pundt, 2022). Economic pressures, including staffing shortages and recessions, heighten stress (Jawad, Khan and Rehman, 2023). Social factors, such as growing awareness of mental health, reduce stigma, though cultural norms may limit engagement (Al-Hawari, Hartley and Ward, 2021). Technological tools, including wellness apps and virtual programs, improve access to support and monitoring of stress indicators (Yao, Li and Chen, 2021). Environmental factors, such as ergonomics and seasonal workloads, further influence stress levels (Klebe, Felfe,  and Franke, 2021).</w:t>
      </w:r>
    </w:p>
    <w:p w14:paraId="73E9BE51" w14:textId="77777777" w:rsidR="00892863" w:rsidRPr="005E36B7" w:rsidRDefault="00892863" w:rsidP="00126989">
      <w:pPr>
        <w:spacing w:line="360" w:lineRule="auto"/>
        <w:jc w:val="both"/>
        <w:rPr>
          <w:rFonts w:ascii="Arial" w:hAnsi="Arial" w:cs="Arial"/>
        </w:rPr>
      </w:pPr>
      <w:r w:rsidRPr="005E36B7">
        <w:rPr>
          <w:rFonts w:ascii="Arial" w:hAnsi="Arial" w:cs="Arial"/>
        </w:rPr>
        <w:t>Hospitality organisations have responded with leadership-driven strategies. HOL promotes supportive communication, role modelling, and a health-conscious culture, reducing burnout and stimulating innovative behaviours (Hauff, Richter and Pundt, 2022; Yao, Li and Chen, 2021). Practical examples include Hilton’s Care for All, Marriott’s Take Care Certification, and Accor’s Total Wellbeing App, which provide stress management resources and wellness training. Limitations include voluntary participation, stigma, and resource constraints, particularly in smaller establishments (Kyei-Frimpong, Agyemang and Antwi, 2024).</w:t>
      </w:r>
    </w:p>
    <w:p w14:paraId="69371C37" w14:textId="77777777" w:rsidR="00892863" w:rsidRPr="005E36B7" w:rsidRDefault="00892863" w:rsidP="00126989">
      <w:pPr>
        <w:spacing w:line="360" w:lineRule="auto"/>
        <w:jc w:val="both"/>
        <w:rPr>
          <w:rFonts w:ascii="Arial" w:hAnsi="Arial" w:cs="Arial"/>
        </w:rPr>
      </w:pPr>
    </w:p>
    <w:p w14:paraId="3777A297" w14:textId="02424E50" w:rsidR="00015442" w:rsidRPr="005E36B7" w:rsidRDefault="00892863" w:rsidP="00126989">
      <w:pPr>
        <w:spacing w:line="360" w:lineRule="auto"/>
        <w:jc w:val="both"/>
        <w:rPr>
          <w:rFonts w:ascii="Arial" w:hAnsi="Arial" w:cs="Arial"/>
        </w:rPr>
      </w:pPr>
      <w:r w:rsidRPr="005E36B7">
        <w:rPr>
          <w:rFonts w:ascii="Arial" w:hAnsi="Arial" w:cs="Arial"/>
        </w:rPr>
        <w:t>Critically, while HOL and wellness programs are effective in mitigating burnout, consistent implementation, leadership engagement, and supportive culture are essential. Organisational support, role clarity, and internal marketing moderate the impact of burnout on turnover and performance (Al-Hawari, Hartley,  and Ward, 2021; Malik, 2024). Proactively addressing mental health strengthens employee engagement, service quality, and organisational sustainability, providing a competitive advantage (Hauff, Richter and Pundt, 2022; Yao, Li and Chen, 2021).</w:t>
      </w:r>
    </w:p>
    <w:p w14:paraId="75D8437B" w14:textId="77777777" w:rsidR="00493CCC" w:rsidRPr="005E36B7" w:rsidRDefault="00493CCC" w:rsidP="00126989">
      <w:pPr>
        <w:spacing w:line="360" w:lineRule="auto"/>
        <w:jc w:val="both"/>
        <w:rPr>
          <w:rFonts w:ascii="Arial" w:hAnsi="Arial" w:cs="Arial"/>
        </w:rPr>
      </w:pPr>
    </w:p>
    <w:p w14:paraId="202FA049" w14:textId="77777777" w:rsidR="0068510C" w:rsidRPr="005E36B7" w:rsidRDefault="00493CCC" w:rsidP="00126989">
      <w:pPr>
        <w:spacing w:line="360" w:lineRule="auto"/>
        <w:jc w:val="both"/>
        <w:rPr>
          <w:rFonts w:ascii="Arial" w:hAnsi="Arial" w:cs="Arial"/>
        </w:rPr>
      </w:pPr>
      <w:r w:rsidRPr="005E36B7">
        <w:rPr>
          <w:rFonts w:ascii="Arial" w:hAnsi="Arial" w:cs="Arial"/>
        </w:rPr>
        <w:t xml:space="preserve"> </w:t>
      </w:r>
    </w:p>
    <w:p w14:paraId="47797187" w14:textId="77777777" w:rsidR="0068510C" w:rsidRPr="005E36B7" w:rsidRDefault="0068510C" w:rsidP="00126989">
      <w:pPr>
        <w:spacing w:line="360" w:lineRule="auto"/>
        <w:jc w:val="both"/>
        <w:rPr>
          <w:rFonts w:ascii="Arial" w:hAnsi="Arial" w:cs="Arial"/>
        </w:rPr>
      </w:pPr>
    </w:p>
    <w:p w14:paraId="74B82F5B" w14:textId="77777777" w:rsidR="0068510C" w:rsidRPr="005E36B7" w:rsidRDefault="0068510C" w:rsidP="00126989">
      <w:pPr>
        <w:spacing w:line="360" w:lineRule="auto"/>
        <w:jc w:val="both"/>
        <w:rPr>
          <w:rFonts w:ascii="Arial" w:hAnsi="Arial" w:cs="Arial"/>
        </w:rPr>
      </w:pPr>
    </w:p>
    <w:p w14:paraId="190F3109" w14:textId="77777777" w:rsidR="0068510C" w:rsidRPr="005E36B7" w:rsidRDefault="0068510C" w:rsidP="00126989">
      <w:pPr>
        <w:spacing w:line="360" w:lineRule="auto"/>
        <w:jc w:val="both"/>
        <w:rPr>
          <w:rFonts w:ascii="Arial" w:hAnsi="Arial" w:cs="Arial"/>
        </w:rPr>
      </w:pPr>
    </w:p>
    <w:p w14:paraId="7BE37AFD" w14:textId="77777777" w:rsidR="0068510C" w:rsidRPr="005E36B7" w:rsidRDefault="0068510C" w:rsidP="00126989">
      <w:pPr>
        <w:spacing w:line="360" w:lineRule="auto"/>
        <w:jc w:val="both"/>
        <w:rPr>
          <w:rFonts w:ascii="Arial" w:hAnsi="Arial" w:cs="Arial"/>
        </w:rPr>
      </w:pPr>
    </w:p>
    <w:p w14:paraId="60EBB593" w14:textId="77777777" w:rsidR="005636C1" w:rsidRPr="005E36B7" w:rsidRDefault="005636C1" w:rsidP="00126989">
      <w:pPr>
        <w:spacing w:line="360" w:lineRule="auto"/>
        <w:jc w:val="both"/>
        <w:rPr>
          <w:rFonts w:ascii="Arial" w:hAnsi="Arial" w:cs="Arial"/>
        </w:rPr>
      </w:pPr>
    </w:p>
    <w:p w14:paraId="50077198" w14:textId="77777777" w:rsidR="005636C1" w:rsidRPr="005E36B7" w:rsidRDefault="005636C1" w:rsidP="00126989">
      <w:pPr>
        <w:spacing w:line="360" w:lineRule="auto"/>
        <w:jc w:val="both"/>
        <w:rPr>
          <w:rFonts w:ascii="Arial" w:hAnsi="Arial" w:cs="Arial"/>
        </w:rPr>
      </w:pPr>
    </w:p>
    <w:p w14:paraId="7983B8C3" w14:textId="77777777" w:rsidR="00015442" w:rsidRPr="005E36B7" w:rsidRDefault="00015442" w:rsidP="00126989">
      <w:pPr>
        <w:spacing w:line="360" w:lineRule="auto"/>
        <w:jc w:val="both"/>
        <w:rPr>
          <w:rFonts w:ascii="Arial" w:hAnsi="Arial" w:cs="Arial"/>
        </w:rPr>
      </w:pPr>
    </w:p>
    <w:p w14:paraId="4D54128A" w14:textId="77777777" w:rsidR="00015442" w:rsidRPr="005E36B7" w:rsidRDefault="00015442" w:rsidP="00126989">
      <w:pPr>
        <w:spacing w:line="360" w:lineRule="auto"/>
        <w:jc w:val="both"/>
        <w:rPr>
          <w:rFonts w:ascii="Arial" w:hAnsi="Arial" w:cs="Arial"/>
        </w:rPr>
      </w:pPr>
      <w:r w:rsidRPr="005E36B7">
        <w:rPr>
          <w:rFonts w:ascii="Arial" w:hAnsi="Arial" w:cs="Arial"/>
        </w:rPr>
        <w:t xml:space="preserve"> </w:t>
      </w:r>
    </w:p>
    <w:p w14:paraId="2D582228" w14:textId="77777777" w:rsidR="00015442" w:rsidRPr="005E36B7" w:rsidRDefault="00015442" w:rsidP="00126989">
      <w:pPr>
        <w:spacing w:line="360" w:lineRule="auto"/>
        <w:jc w:val="both"/>
        <w:rPr>
          <w:rFonts w:ascii="Arial" w:hAnsi="Arial" w:cs="Arial"/>
        </w:rPr>
      </w:pPr>
    </w:p>
    <w:p w14:paraId="6D3B9736" w14:textId="77777777" w:rsidR="00B903E9" w:rsidRPr="005E36B7" w:rsidRDefault="00B903E9" w:rsidP="00126989">
      <w:pPr>
        <w:spacing w:line="360" w:lineRule="auto"/>
        <w:jc w:val="both"/>
        <w:rPr>
          <w:rFonts w:ascii="Arial" w:hAnsi="Arial" w:cs="Arial"/>
        </w:rPr>
      </w:pPr>
    </w:p>
    <w:p w14:paraId="21B33DFC" w14:textId="77777777" w:rsidR="00015442" w:rsidRPr="005E36B7" w:rsidRDefault="00015442" w:rsidP="00126989">
      <w:pPr>
        <w:pStyle w:val="Heading1"/>
        <w:spacing w:line="360" w:lineRule="auto"/>
        <w:jc w:val="both"/>
        <w:rPr>
          <w:rFonts w:ascii="Arial" w:hAnsi="Arial" w:cs="Arial"/>
          <w:sz w:val="24"/>
          <w:szCs w:val="24"/>
        </w:rPr>
      </w:pPr>
    </w:p>
    <w:p w14:paraId="338BD3A0" w14:textId="38143CF3" w:rsidR="00015442" w:rsidRPr="005E36B7" w:rsidRDefault="00015442" w:rsidP="00126989">
      <w:pPr>
        <w:pStyle w:val="Heading1"/>
        <w:spacing w:line="360" w:lineRule="auto"/>
        <w:jc w:val="both"/>
        <w:rPr>
          <w:rFonts w:ascii="Arial" w:hAnsi="Arial" w:cs="Arial"/>
          <w:sz w:val="24"/>
          <w:szCs w:val="24"/>
        </w:rPr>
      </w:pPr>
      <w:r w:rsidRPr="005E36B7">
        <w:rPr>
          <w:rFonts w:ascii="Arial" w:hAnsi="Arial" w:cs="Arial"/>
          <w:sz w:val="24"/>
          <w:szCs w:val="24"/>
        </w:rPr>
        <w:t xml:space="preserve">Conclusion </w:t>
      </w:r>
    </w:p>
    <w:p w14:paraId="4D2C7B37" w14:textId="0968D535" w:rsidR="006C0AF3" w:rsidRPr="005E36B7" w:rsidRDefault="006C0AF3" w:rsidP="00126989">
      <w:pPr>
        <w:spacing w:line="360" w:lineRule="auto"/>
        <w:jc w:val="both"/>
        <w:rPr>
          <w:rFonts w:ascii="Arial" w:hAnsi="Arial" w:cs="Arial"/>
        </w:rPr>
      </w:pPr>
      <w:r w:rsidRPr="005E36B7">
        <w:rPr>
          <w:rFonts w:ascii="Arial" w:hAnsi="Arial" w:cs="Arial"/>
        </w:rPr>
        <w:t xml:space="preserve">The study emphasises that mental health challenges and burnout remain widespread in the hospitality sector, affecting employee well-being, service quality, and organisational sustainability. Health-Oriented Leadership (HOL) provides a strategic approach by cultivating empathetic, supportive, and health-conscious workplace environments. Through </w:t>
      </w:r>
      <w:r w:rsidR="00CF672B" w:rsidRPr="005E36B7">
        <w:rPr>
          <w:rFonts w:ascii="Arial" w:hAnsi="Arial" w:cs="Arial"/>
        </w:rPr>
        <w:t>initiative-taking</w:t>
      </w:r>
      <w:r w:rsidRPr="005E36B7">
        <w:rPr>
          <w:rFonts w:ascii="Arial" w:hAnsi="Arial" w:cs="Arial"/>
        </w:rPr>
        <w:t xml:space="preserve"> leadership, balanced workloads, and accessible wellness initiatives, organisations can enhance engagement, creativity, and staff retention. Embedding mental health strategies into leadership and daily operations is essential for long-term performance, job satisfaction, and competitive advantage across the sector.</w:t>
      </w:r>
    </w:p>
    <w:p w14:paraId="3E7FC28D" w14:textId="77777777" w:rsidR="006C0AF3" w:rsidRPr="005E36B7" w:rsidRDefault="006C0AF3" w:rsidP="00126989">
      <w:pPr>
        <w:pStyle w:val="Heading1"/>
        <w:spacing w:line="360" w:lineRule="auto"/>
        <w:jc w:val="both"/>
        <w:rPr>
          <w:rFonts w:ascii="Arial" w:hAnsi="Arial" w:cs="Arial"/>
          <w:sz w:val="24"/>
          <w:szCs w:val="24"/>
        </w:rPr>
      </w:pPr>
    </w:p>
    <w:p w14:paraId="46575F55" w14:textId="741F0942" w:rsidR="006C0AF3" w:rsidRPr="005E36B7" w:rsidRDefault="006C0AF3" w:rsidP="00126989">
      <w:pPr>
        <w:pStyle w:val="Heading1"/>
        <w:spacing w:line="360" w:lineRule="auto"/>
        <w:jc w:val="both"/>
        <w:rPr>
          <w:rFonts w:ascii="Arial" w:hAnsi="Arial" w:cs="Arial"/>
          <w:sz w:val="24"/>
          <w:szCs w:val="24"/>
        </w:rPr>
      </w:pPr>
      <w:r w:rsidRPr="005E36B7">
        <w:rPr>
          <w:rFonts w:ascii="Arial" w:hAnsi="Arial" w:cs="Arial"/>
          <w:sz w:val="24"/>
          <w:szCs w:val="24"/>
        </w:rPr>
        <w:t xml:space="preserve">Recommendations </w:t>
      </w:r>
    </w:p>
    <w:p w14:paraId="20F11DFE" w14:textId="77777777" w:rsidR="006C0AF3" w:rsidRPr="005E36B7" w:rsidRDefault="006C0AF3" w:rsidP="00126989">
      <w:pPr>
        <w:spacing w:line="360" w:lineRule="auto"/>
        <w:jc w:val="both"/>
        <w:rPr>
          <w:rFonts w:ascii="Arial" w:hAnsi="Arial" w:cs="Arial"/>
        </w:rPr>
      </w:pPr>
    </w:p>
    <w:p w14:paraId="5D185224" w14:textId="77777777" w:rsidR="006C0AF3" w:rsidRPr="005E36B7" w:rsidRDefault="006C0AF3" w:rsidP="00126989">
      <w:pPr>
        <w:spacing w:line="360" w:lineRule="auto"/>
        <w:jc w:val="both"/>
        <w:rPr>
          <w:rFonts w:ascii="Arial" w:hAnsi="Arial" w:cs="Arial"/>
        </w:rPr>
      </w:pPr>
      <w:r w:rsidRPr="005E36B7">
        <w:rPr>
          <w:rFonts w:ascii="Arial" w:hAnsi="Arial" w:cs="Arial"/>
        </w:rPr>
        <w:t>Addressing the escalating mental health concerns in hospitality requires integrated strategies focusing on leadership development, workload management, and employee recognition.</w:t>
      </w:r>
    </w:p>
    <w:p w14:paraId="09142A1D" w14:textId="77777777" w:rsidR="006C0AF3" w:rsidRPr="005E36B7" w:rsidRDefault="006C0AF3" w:rsidP="00126989">
      <w:pPr>
        <w:spacing w:line="360" w:lineRule="auto"/>
        <w:jc w:val="both"/>
        <w:rPr>
          <w:rFonts w:ascii="Arial" w:hAnsi="Arial" w:cs="Arial"/>
        </w:rPr>
      </w:pPr>
    </w:p>
    <w:p w14:paraId="535349F3" w14:textId="5FB460C2" w:rsidR="006C0AF3" w:rsidRPr="005E36B7" w:rsidRDefault="006C0AF3" w:rsidP="00126989">
      <w:pPr>
        <w:spacing w:line="360" w:lineRule="auto"/>
        <w:jc w:val="both"/>
        <w:rPr>
          <w:rFonts w:ascii="Arial" w:hAnsi="Arial" w:cs="Arial"/>
        </w:rPr>
      </w:pPr>
      <w:r w:rsidRPr="005E36B7">
        <w:rPr>
          <w:rFonts w:ascii="Arial" w:hAnsi="Arial" w:cs="Arial"/>
        </w:rPr>
        <w:t xml:space="preserve">Enhance leadership capability and </w:t>
      </w:r>
      <w:r w:rsidR="00CF672B" w:rsidRPr="005E36B7">
        <w:rPr>
          <w:rFonts w:ascii="Arial" w:hAnsi="Arial" w:cs="Arial"/>
        </w:rPr>
        <w:t>empathy. Ineffective</w:t>
      </w:r>
      <w:r w:rsidRPr="005E36B7">
        <w:rPr>
          <w:rFonts w:ascii="Arial" w:hAnsi="Arial" w:cs="Arial"/>
        </w:rPr>
        <w:t xml:space="preserve"> management contributes significantly to stress and burnout. Leaders should be trained in HOL principles, which prioritise empathy, psychological awareness, and support for employee well-being (Hauff et al., 2022; Klebe et al., 2021). Competent leaders can recognise early signs of emotional exhaustion, provide guidance, and model healthy behaviours. Training programs should include communication, stress management, and conflict resolution to foster trust, belonging, and psychological safety.</w:t>
      </w:r>
    </w:p>
    <w:p w14:paraId="3D48CA04" w14:textId="77777777" w:rsidR="006C0AF3" w:rsidRPr="005E36B7" w:rsidRDefault="006C0AF3" w:rsidP="00126989">
      <w:pPr>
        <w:spacing w:line="360" w:lineRule="auto"/>
        <w:jc w:val="both"/>
        <w:rPr>
          <w:rFonts w:ascii="Arial" w:hAnsi="Arial" w:cs="Arial"/>
        </w:rPr>
      </w:pPr>
    </w:p>
    <w:p w14:paraId="7F24921D" w14:textId="6915FCBA" w:rsidR="006C0AF3" w:rsidRPr="005E36B7" w:rsidRDefault="006C0AF3" w:rsidP="00126989">
      <w:pPr>
        <w:spacing w:line="360" w:lineRule="auto"/>
        <w:jc w:val="both"/>
        <w:rPr>
          <w:rFonts w:ascii="Arial" w:hAnsi="Arial" w:cs="Arial"/>
        </w:rPr>
      </w:pPr>
      <w:r w:rsidRPr="005E36B7">
        <w:rPr>
          <w:rFonts w:ascii="Arial" w:hAnsi="Arial" w:cs="Arial"/>
        </w:rPr>
        <w:t xml:space="preserve">Manage workload and </w:t>
      </w:r>
      <w:r w:rsidR="00932097" w:rsidRPr="005E36B7">
        <w:rPr>
          <w:rFonts w:ascii="Arial" w:hAnsi="Arial" w:cs="Arial"/>
        </w:rPr>
        <w:t>staffing. Excessive</w:t>
      </w:r>
      <w:r w:rsidRPr="005E36B7">
        <w:rPr>
          <w:rFonts w:ascii="Arial" w:hAnsi="Arial" w:cs="Arial"/>
        </w:rPr>
        <w:t xml:space="preserve"> tasks and understaffing are strong predictors of burnout (Kyei-Frimpong et al., 2024). Hotels should ensure fair task allocation and sufficient staffing to prevent overwork. Flexible scheduling, regular breaks, and equitable shift rotations support mental and physical recovery. Balanced workloads improve satisfaction, service quality, and retention (Yao et al., 2021).</w:t>
      </w:r>
    </w:p>
    <w:p w14:paraId="39065B9F" w14:textId="77777777" w:rsidR="006C0AF3" w:rsidRPr="005E36B7" w:rsidRDefault="006C0AF3" w:rsidP="00126989">
      <w:pPr>
        <w:spacing w:line="360" w:lineRule="auto"/>
        <w:jc w:val="both"/>
        <w:rPr>
          <w:rFonts w:ascii="Arial" w:hAnsi="Arial" w:cs="Arial"/>
        </w:rPr>
      </w:pPr>
    </w:p>
    <w:p w14:paraId="429F50A8" w14:textId="08C4C271" w:rsidR="006C0AF3" w:rsidRPr="005E36B7" w:rsidRDefault="006C0AF3" w:rsidP="00126989">
      <w:pPr>
        <w:spacing w:line="360" w:lineRule="auto"/>
        <w:jc w:val="both"/>
        <w:rPr>
          <w:rFonts w:ascii="Arial" w:hAnsi="Arial" w:cs="Arial"/>
        </w:rPr>
      </w:pPr>
      <w:r w:rsidRPr="005E36B7">
        <w:rPr>
          <w:rFonts w:ascii="Arial" w:hAnsi="Arial" w:cs="Arial"/>
        </w:rPr>
        <w:t xml:space="preserve">Provide practical well-being </w:t>
      </w:r>
      <w:r w:rsidR="00CF672B" w:rsidRPr="005E36B7">
        <w:rPr>
          <w:rFonts w:ascii="Arial" w:hAnsi="Arial" w:cs="Arial"/>
        </w:rPr>
        <w:t>initiatives. Organisations</w:t>
      </w:r>
      <w:r w:rsidRPr="005E36B7">
        <w:rPr>
          <w:rFonts w:ascii="Arial" w:hAnsi="Arial" w:cs="Arial"/>
        </w:rPr>
        <w:t xml:space="preserve"> can implement accessible wellness practices to boost morale. Activities such as yoga, mindfulness sessions, or stress-relief workshops reduce anxiety and encourage relaxation. Employee recognition through appreciation notes, birthday acknowledgements, or small tokens strengthens loyalty and engagement. These simple measures demonstrate care and enhance workplace culture.</w:t>
      </w:r>
    </w:p>
    <w:p w14:paraId="74E60E07" w14:textId="77777777" w:rsidR="006C0AF3" w:rsidRPr="005E36B7" w:rsidRDefault="006C0AF3" w:rsidP="00126989">
      <w:pPr>
        <w:spacing w:line="360" w:lineRule="auto"/>
        <w:jc w:val="both"/>
        <w:rPr>
          <w:rFonts w:ascii="Arial" w:hAnsi="Arial" w:cs="Arial"/>
        </w:rPr>
      </w:pPr>
    </w:p>
    <w:p w14:paraId="144B55DE" w14:textId="5B556ABA" w:rsidR="006C0AF3" w:rsidRPr="005E36B7" w:rsidRDefault="006C0AF3" w:rsidP="00126989">
      <w:pPr>
        <w:spacing w:line="360" w:lineRule="auto"/>
        <w:jc w:val="both"/>
        <w:rPr>
          <w:rFonts w:ascii="Arial" w:hAnsi="Arial" w:cs="Arial"/>
        </w:rPr>
      </w:pPr>
      <w:r w:rsidRPr="005E36B7">
        <w:rPr>
          <w:rFonts w:ascii="Arial" w:hAnsi="Arial" w:cs="Arial"/>
        </w:rPr>
        <w:t xml:space="preserve">Normalise mental health </w:t>
      </w:r>
      <w:r w:rsidR="00CF672B" w:rsidRPr="005E36B7">
        <w:rPr>
          <w:rFonts w:ascii="Arial" w:hAnsi="Arial" w:cs="Arial"/>
        </w:rPr>
        <w:t>support. Open</w:t>
      </w:r>
      <w:r w:rsidRPr="005E36B7">
        <w:rPr>
          <w:rFonts w:ascii="Arial" w:hAnsi="Arial" w:cs="Arial"/>
        </w:rPr>
        <w:t xml:space="preserve"> discussions about mental health and awareness campaigns reduce stigma. Confidential counselling, employee assistance programs, and mental health first-aid training for supervisors reinforce organisational support and resilience (Malik, 2024; Jawad et al., 2023). Visible management support communicates that well-being is a collective responsibility.</w:t>
      </w:r>
    </w:p>
    <w:p w14:paraId="2929EE08" w14:textId="77777777" w:rsidR="006C0AF3" w:rsidRPr="005E36B7" w:rsidRDefault="006C0AF3" w:rsidP="00126989">
      <w:pPr>
        <w:spacing w:line="360" w:lineRule="auto"/>
        <w:jc w:val="both"/>
        <w:rPr>
          <w:rFonts w:ascii="Arial" w:hAnsi="Arial" w:cs="Arial"/>
        </w:rPr>
      </w:pPr>
    </w:p>
    <w:p w14:paraId="5A9A0E7E" w14:textId="75225C29" w:rsidR="006C0AF3" w:rsidRPr="005E36B7" w:rsidRDefault="006C0AF3" w:rsidP="00126989">
      <w:pPr>
        <w:spacing w:line="360" w:lineRule="auto"/>
        <w:jc w:val="both"/>
        <w:rPr>
          <w:rFonts w:ascii="Arial" w:hAnsi="Arial" w:cs="Arial"/>
        </w:rPr>
      </w:pPr>
      <w:r w:rsidRPr="005E36B7">
        <w:rPr>
          <w:rFonts w:ascii="Arial" w:hAnsi="Arial" w:cs="Arial"/>
        </w:rPr>
        <w:t xml:space="preserve">Integrate well-being into </w:t>
      </w:r>
      <w:r w:rsidR="00CF672B" w:rsidRPr="005E36B7">
        <w:rPr>
          <w:rFonts w:ascii="Arial" w:hAnsi="Arial" w:cs="Arial"/>
        </w:rPr>
        <w:t>strategy. Mental</w:t>
      </w:r>
      <w:r w:rsidRPr="005E36B7">
        <w:rPr>
          <w:rFonts w:ascii="Arial" w:hAnsi="Arial" w:cs="Arial"/>
        </w:rPr>
        <w:t xml:space="preserve"> health initiatives should incorporate into core business objectives rather than treated as optional. Linking wellness goals to outcomes like productivity, innovation, and customer satisfaction ensures sustained engagement and competitiveness (Al-Hawari et al., 2021). This integration positions mental health as central to operational success.</w:t>
      </w:r>
    </w:p>
    <w:p w14:paraId="632AE1CC" w14:textId="77777777" w:rsidR="006C0AF3" w:rsidRPr="005E36B7" w:rsidRDefault="006C0AF3" w:rsidP="00126989">
      <w:pPr>
        <w:pStyle w:val="Heading1"/>
        <w:spacing w:line="360" w:lineRule="auto"/>
        <w:jc w:val="both"/>
        <w:rPr>
          <w:rFonts w:ascii="Arial" w:hAnsi="Arial" w:cs="Arial"/>
          <w:sz w:val="24"/>
          <w:szCs w:val="24"/>
        </w:rPr>
      </w:pPr>
    </w:p>
    <w:p w14:paraId="7F2529C5" w14:textId="386FF8C9" w:rsidR="006C0AF3" w:rsidRPr="005E36B7" w:rsidRDefault="006C0AF3" w:rsidP="00126989">
      <w:pPr>
        <w:pStyle w:val="Heading1"/>
        <w:spacing w:line="360" w:lineRule="auto"/>
        <w:jc w:val="both"/>
        <w:rPr>
          <w:rFonts w:ascii="Arial" w:hAnsi="Arial" w:cs="Arial"/>
          <w:sz w:val="24"/>
          <w:szCs w:val="24"/>
        </w:rPr>
      </w:pPr>
      <w:r w:rsidRPr="005E36B7">
        <w:rPr>
          <w:rFonts w:ascii="Arial" w:hAnsi="Arial" w:cs="Arial"/>
          <w:sz w:val="24"/>
          <w:szCs w:val="24"/>
        </w:rPr>
        <w:t xml:space="preserve">Future Research Directions </w:t>
      </w:r>
    </w:p>
    <w:p w14:paraId="4FC06287" w14:textId="77777777" w:rsidR="006C0AF3" w:rsidRPr="005E36B7" w:rsidRDefault="006C0AF3" w:rsidP="00126989">
      <w:pPr>
        <w:spacing w:line="360" w:lineRule="auto"/>
        <w:jc w:val="both"/>
        <w:rPr>
          <w:rFonts w:ascii="Arial" w:hAnsi="Arial" w:cs="Arial"/>
        </w:rPr>
      </w:pPr>
    </w:p>
    <w:p w14:paraId="164262C4" w14:textId="2290A78B" w:rsidR="00015442" w:rsidRPr="005E36B7" w:rsidRDefault="006C0AF3" w:rsidP="00126989">
      <w:pPr>
        <w:spacing w:line="360" w:lineRule="auto"/>
        <w:jc w:val="both"/>
        <w:rPr>
          <w:rFonts w:ascii="Arial" w:hAnsi="Arial" w:cs="Arial"/>
        </w:rPr>
      </w:pPr>
      <w:r w:rsidRPr="005E36B7">
        <w:rPr>
          <w:rFonts w:ascii="Arial" w:hAnsi="Arial" w:cs="Arial"/>
        </w:rPr>
        <w:t>Future studies should examine the long-term impact of HOL on employee well-being, innovative behaviours, and change-oriented organisational citizenship across diverse hospitality settings. Comparative research between small independent hotels and large chains could reveal how leadership and resources influence burnout and retention. Investigating low-cost initiatives such as mindfulness breaks, recognition programs, and stress-relief activities may identify scalable interventions. Cross-cultural studies could further clarify how cultural norms shape perceptions of leadership, mental health, and organisational support, offering insights for globally diverse hospitality operations.</w:t>
      </w:r>
    </w:p>
    <w:p w14:paraId="0BD3B12E" w14:textId="77777777" w:rsidR="00015442" w:rsidRPr="005E36B7" w:rsidRDefault="00015442" w:rsidP="00126989">
      <w:pPr>
        <w:spacing w:line="360" w:lineRule="auto"/>
        <w:jc w:val="both"/>
        <w:rPr>
          <w:rFonts w:ascii="Arial" w:hAnsi="Arial" w:cs="Arial"/>
        </w:rPr>
      </w:pPr>
      <w:r w:rsidRPr="005E36B7">
        <w:rPr>
          <w:rFonts w:ascii="Arial" w:hAnsi="Arial" w:cs="Arial"/>
        </w:rPr>
        <w:t xml:space="preserve"> </w:t>
      </w:r>
    </w:p>
    <w:p w14:paraId="5340D91F" w14:textId="77777777" w:rsidR="00015442" w:rsidRPr="005E36B7" w:rsidRDefault="00015442" w:rsidP="00126989">
      <w:pPr>
        <w:spacing w:line="360" w:lineRule="auto"/>
        <w:jc w:val="both"/>
        <w:rPr>
          <w:rFonts w:ascii="Arial" w:hAnsi="Arial" w:cs="Arial"/>
        </w:rPr>
      </w:pPr>
    </w:p>
    <w:p w14:paraId="10DA2EB8" w14:textId="77777777" w:rsidR="00DA50A9" w:rsidRPr="005E36B7" w:rsidRDefault="00DA50A9" w:rsidP="00126989">
      <w:pPr>
        <w:spacing w:line="360" w:lineRule="auto"/>
        <w:jc w:val="both"/>
        <w:rPr>
          <w:rFonts w:ascii="Arial" w:hAnsi="Arial" w:cs="Arial"/>
        </w:rPr>
      </w:pPr>
    </w:p>
    <w:p w14:paraId="4C70F97A" w14:textId="77777777" w:rsidR="00626ABD" w:rsidRPr="005E36B7" w:rsidRDefault="00626ABD" w:rsidP="00126989">
      <w:pPr>
        <w:spacing w:line="360" w:lineRule="auto"/>
        <w:jc w:val="both"/>
        <w:rPr>
          <w:rFonts w:ascii="Arial" w:hAnsi="Arial" w:cs="Arial"/>
        </w:rPr>
      </w:pPr>
    </w:p>
    <w:p w14:paraId="45F448B7" w14:textId="77777777" w:rsidR="00626ABD" w:rsidRPr="005E36B7" w:rsidRDefault="00626ABD" w:rsidP="00126989">
      <w:pPr>
        <w:spacing w:line="360" w:lineRule="auto"/>
        <w:jc w:val="both"/>
        <w:rPr>
          <w:rFonts w:ascii="Arial" w:hAnsi="Arial" w:cs="Arial"/>
        </w:rPr>
      </w:pPr>
    </w:p>
    <w:p w14:paraId="7252231A" w14:textId="77777777" w:rsidR="00626ABD" w:rsidRPr="005E36B7" w:rsidRDefault="00626ABD" w:rsidP="00126989">
      <w:pPr>
        <w:spacing w:line="360" w:lineRule="auto"/>
        <w:jc w:val="both"/>
        <w:rPr>
          <w:rFonts w:ascii="Arial" w:hAnsi="Arial" w:cs="Arial"/>
        </w:rPr>
      </w:pPr>
    </w:p>
    <w:p w14:paraId="75FA39B5" w14:textId="77777777" w:rsidR="00626ABD" w:rsidRPr="005E36B7" w:rsidRDefault="00626ABD" w:rsidP="00126989">
      <w:pPr>
        <w:spacing w:line="360" w:lineRule="auto"/>
        <w:jc w:val="both"/>
        <w:rPr>
          <w:rFonts w:ascii="Arial" w:hAnsi="Arial" w:cs="Arial"/>
        </w:rPr>
      </w:pPr>
    </w:p>
    <w:p w14:paraId="4EB751AF" w14:textId="77777777" w:rsidR="00626ABD" w:rsidRPr="005E36B7" w:rsidRDefault="00626ABD" w:rsidP="00126989">
      <w:pPr>
        <w:spacing w:line="360" w:lineRule="auto"/>
        <w:jc w:val="both"/>
        <w:rPr>
          <w:rFonts w:ascii="Arial" w:hAnsi="Arial" w:cs="Arial"/>
        </w:rPr>
      </w:pPr>
    </w:p>
    <w:p w14:paraId="58AB5661" w14:textId="77777777" w:rsidR="00626ABD" w:rsidRPr="005E36B7" w:rsidRDefault="00626ABD" w:rsidP="00126989">
      <w:pPr>
        <w:spacing w:line="360" w:lineRule="auto"/>
        <w:jc w:val="both"/>
        <w:rPr>
          <w:rFonts w:ascii="Arial" w:hAnsi="Arial" w:cs="Arial"/>
        </w:rPr>
      </w:pPr>
    </w:p>
    <w:p w14:paraId="4AA83A39" w14:textId="77777777" w:rsidR="00626ABD" w:rsidRPr="005E36B7" w:rsidRDefault="00626ABD" w:rsidP="00126989">
      <w:pPr>
        <w:spacing w:line="360" w:lineRule="auto"/>
        <w:jc w:val="both"/>
        <w:rPr>
          <w:rFonts w:ascii="Arial" w:hAnsi="Arial" w:cs="Arial"/>
        </w:rPr>
      </w:pPr>
    </w:p>
    <w:p w14:paraId="36C33DBB" w14:textId="77777777" w:rsidR="00626ABD" w:rsidRPr="005E36B7" w:rsidRDefault="00626ABD" w:rsidP="00126989">
      <w:pPr>
        <w:spacing w:line="360" w:lineRule="auto"/>
        <w:jc w:val="both"/>
        <w:rPr>
          <w:rFonts w:ascii="Arial" w:hAnsi="Arial" w:cs="Arial"/>
        </w:rPr>
      </w:pPr>
    </w:p>
    <w:p w14:paraId="2CB9F069" w14:textId="77777777" w:rsidR="00626ABD" w:rsidRPr="005E36B7" w:rsidRDefault="00626ABD" w:rsidP="00126989">
      <w:pPr>
        <w:spacing w:line="360" w:lineRule="auto"/>
        <w:jc w:val="both"/>
        <w:rPr>
          <w:rFonts w:ascii="Arial" w:hAnsi="Arial" w:cs="Arial"/>
        </w:rPr>
      </w:pPr>
    </w:p>
    <w:p w14:paraId="24454439" w14:textId="77777777" w:rsidR="00626ABD" w:rsidRPr="005E36B7" w:rsidRDefault="00626ABD" w:rsidP="00126989">
      <w:pPr>
        <w:spacing w:line="360" w:lineRule="auto"/>
        <w:jc w:val="both"/>
        <w:rPr>
          <w:rFonts w:ascii="Arial" w:hAnsi="Arial" w:cs="Arial"/>
        </w:rPr>
      </w:pPr>
    </w:p>
    <w:p w14:paraId="77D70A38" w14:textId="77777777" w:rsidR="00626ABD" w:rsidRPr="005E36B7" w:rsidRDefault="00626ABD" w:rsidP="00126989">
      <w:pPr>
        <w:spacing w:line="360" w:lineRule="auto"/>
        <w:jc w:val="both"/>
        <w:rPr>
          <w:rFonts w:ascii="Arial" w:hAnsi="Arial" w:cs="Arial"/>
        </w:rPr>
      </w:pPr>
    </w:p>
    <w:p w14:paraId="6D544D7C" w14:textId="77777777" w:rsidR="00626ABD" w:rsidRPr="005E36B7" w:rsidRDefault="00626ABD" w:rsidP="00126989">
      <w:pPr>
        <w:spacing w:line="360" w:lineRule="auto"/>
        <w:jc w:val="both"/>
        <w:rPr>
          <w:rFonts w:ascii="Arial" w:hAnsi="Arial" w:cs="Arial"/>
        </w:rPr>
      </w:pPr>
    </w:p>
    <w:p w14:paraId="2BDF689F" w14:textId="77777777" w:rsidR="00626ABD" w:rsidRPr="005E36B7" w:rsidRDefault="00626ABD" w:rsidP="00126989">
      <w:pPr>
        <w:spacing w:line="360" w:lineRule="auto"/>
        <w:jc w:val="both"/>
        <w:rPr>
          <w:rFonts w:ascii="Arial" w:hAnsi="Arial" w:cs="Arial"/>
        </w:rPr>
      </w:pPr>
    </w:p>
    <w:p w14:paraId="639783A4" w14:textId="77777777" w:rsidR="00626ABD" w:rsidRPr="005E36B7" w:rsidRDefault="00626ABD" w:rsidP="00126989">
      <w:pPr>
        <w:spacing w:line="360" w:lineRule="auto"/>
        <w:jc w:val="both"/>
        <w:rPr>
          <w:rFonts w:ascii="Arial" w:hAnsi="Arial" w:cs="Arial"/>
        </w:rPr>
      </w:pPr>
    </w:p>
    <w:p w14:paraId="493AE7CC" w14:textId="77777777" w:rsidR="0068510C" w:rsidRPr="005E36B7" w:rsidRDefault="0068510C" w:rsidP="00126989">
      <w:pPr>
        <w:spacing w:line="360" w:lineRule="auto"/>
        <w:jc w:val="both"/>
        <w:rPr>
          <w:rFonts w:ascii="Arial" w:hAnsi="Arial" w:cs="Arial"/>
        </w:rPr>
      </w:pPr>
    </w:p>
    <w:p w14:paraId="416F90C4" w14:textId="77777777" w:rsidR="0068510C" w:rsidRPr="005E36B7" w:rsidRDefault="0068510C" w:rsidP="00126989">
      <w:pPr>
        <w:spacing w:line="360" w:lineRule="auto"/>
        <w:jc w:val="both"/>
        <w:rPr>
          <w:rFonts w:ascii="Arial" w:hAnsi="Arial" w:cs="Arial"/>
        </w:rPr>
      </w:pPr>
    </w:p>
    <w:p w14:paraId="6DD9E49C" w14:textId="77777777" w:rsidR="0068510C" w:rsidRPr="005E36B7" w:rsidRDefault="0068510C" w:rsidP="00126989">
      <w:pPr>
        <w:spacing w:line="360" w:lineRule="auto"/>
        <w:jc w:val="both"/>
        <w:rPr>
          <w:rFonts w:ascii="Arial" w:hAnsi="Arial" w:cs="Arial"/>
        </w:rPr>
      </w:pPr>
    </w:p>
    <w:p w14:paraId="1718C69B" w14:textId="77777777" w:rsidR="0068510C" w:rsidRPr="005E36B7" w:rsidRDefault="0068510C" w:rsidP="00126989">
      <w:pPr>
        <w:spacing w:line="360" w:lineRule="auto"/>
        <w:jc w:val="both"/>
        <w:rPr>
          <w:rFonts w:ascii="Arial" w:hAnsi="Arial" w:cs="Arial"/>
        </w:rPr>
      </w:pPr>
    </w:p>
    <w:p w14:paraId="7748EEAC" w14:textId="77777777" w:rsidR="0068510C" w:rsidRPr="005E36B7" w:rsidRDefault="0068510C" w:rsidP="00126989">
      <w:pPr>
        <w:pStyle w:val="Heading1"/>
        <w:spacing w:line="360" w:lineRule="auto"/>
        <w:jc w:val="both"/>
        <w:rPr>
          <w:rFonts w:ascii="Arial" w:hAnsi="Arial" w:cs="Arial"/>
          <w:sz w:val="24"/>
          <w:szCs w:val="24"/>
        </w:rPr>
      </w:pPr>
    </w:p>
    <w:p w14:paraId="4D2F4B60" w14:textId="77777777" w:rsidR="0068510C" w:rsidRPr="005E36B7" w:rsidRDefault="0068510C" w:rsidP="00126989">
      <w:pPr>
        <w:pStyle w:val="Heading1"/>
        <w:spacing w:line="360" w:lineRule="auto"/>
        <w:jc w:val="both"/>
        <w:rPr>
          <w:rFonts w:ascii="Arial" w:hAnsi="Arial" w:cs="Arial"/>
          <w:sz w:val="24"/>
          <w:szCs w:val="24"/>
        </w:rPr>
      </w:pPr>
    </w:p>
    <w:p w14:paraId="54787717" w14:textId="43F94740" w:rsidR="00626ABD" w:rsidRPr="005E36B7" w:rsidRDefault="00626ABD" w:rsidP="00126989">
      <w:pPr>
        <w:pStyle w:val="Heading1"/>
        <w:spacing w:line="360" w:lineRule="auto"/>
        <w:jc w:val="both"/>
        <w:rPr>
          <w:rFonts w:ascii="Arial" w:hAnsi="Arial" w:cs="Arial"/>
          <w:sz w:val="24"/>
          <w:szCs w:val="24"/>
        </w:rPr>
      </w:pPr>
      <w:r w:rsidRPr="005E36B7">
        <w:rPr>
          <w:rFonts w:ascii="Arial" w:hAnsi="Arial" w:cs="Arial"/>
          <w:sz w:val="24"/>
          <w:szCs w:val="24"/>
        </w:rPr>
        <w:t>References</w:t>
      </w:r>
    </w:p>
    <w:p w14:paraId="2C7D9FB3" w14:textId="77777777" w:rsidR="00626ABD" w:rsidRPr="005E36B7" w:rsidRDefault="00626ABD" w:rsidP="00126989">
      <w:pPr>
        <w:spacing w:line="360" w:lineRule="auto"/>
        <w:jc w:val="both"/>
        <w:rPr>
          <w:rFonts w:ascii="Arial" w:hAnsi="Arial" w:cs="Arial"/>
        </w:rPr>
      </w:pPr>
    </w:p>
    <w:p w14:paraId="6A64508B" w14:textId="77777777" w:rsidR="00626ABD" w:rsidRPr="005E36B7" w:rsidRDefault="00626ABD" w:rsidP="00126989">
      <w:pPr>
        <w:spacing w:line="360" w:lineRule="auto"/>
        <w:jc w:val="both"/>
        <w:rPr>
          <w:rFonts w:ascii="Arial" w:hAnsi="Arial" w:cs="Arial"/>
        </w:rPr>
      </w:pPr>
      <w:r w:rsidRPr="005E36B7">
        <w:rPr>
          <w:rFonts w:ascii="Arial" w:hAnsi="Arial" w:cs="Arial"/>
        </w:rPr>
        <w:t>Accor, 2020. Total Wellbeing App. [Online] Available at: https://assets.group.accor.com/TotalWellbeingApp</w:t>
      </w:r>
    </w:p>
    <w:p w14:paraId="2572DF61" w14:textId="77777777" w:rsidR="00626ABD" w:rsidRPr="005E36B7" w:rsidRDefault="00626ABD" w:rsidP="00126989">
      <w:pPr>
        <w:spacing w:line="360" w:lineRule="auto"/>
        <w:jc w:val="both"/>
        <w:rPr>
          <w:rFonts w:ascii="Arial" w:hAnsi="Arial" w:cs="Arial"/>
        </w:rPr>
      </w:pPr>
      <w:r w:rsidRPr="005E36B7">
        <w:rPr>
          <w:rFonts w:ascii="Arial" w:hAnsi="Arial" w:cs="Arial"/>
        </w:rPr>
        <w:t xml:space="preserve"> [Accessed 22 October 2025].</w:t>
      </w:r>
    </w:p>
    <w:p w14:paraId="42F061E2" w14:textId="77777777" w:rsidR="00626ABD" w:rsidRPr="005E36B7" w:rsidRDefault="00626ABD" w:rsidP="00126989">
      <w:pPr>
        <w:spacing w:line="360" w:lineRule="auto"/>
        <w:jc w:val="both"/>
        <w:rPr>
          <w:rFonts w:ascii="Arial" w:hAnsi="Arial" w:cs="Arial"/>
        </w:rPr>
      </w:pPr>
    </w:p>
    <w:p w14:paraId="1AE7E62F" w14:textId="46581E60" w:rsidR="00626ABD" w:rsidRPr="005E36B7" w:rsidRDefault="00626ABD" w:rsidP="00126989">
      <w:pPr>
        <w:spacing w:line="360" w:lineRule="auto"/>
        <w:jc w:val="both"/>
        <w:rPr>
          <w:rFonts w:ascii="Arial" w:hAnsi="Arial" w:cs="Arial"/>
        </w:rPr>
      </w:pPr>
      <w:r w:rsidRPr="005E36B7">
        <w:rPr>
          <w:rFonts w:ascii="Arial" w:hAnsi="Arial" w:cs="Arial"/>
        </w:rPr>
        <w:t xml:space="preserve">Al-Hawari, M., Hartley, N. and Ward, T., 2021. Employee innovative </w:t>
      </w:r>
      <w:r w:rsidR="0028309A" w:rsidRPr="005E36B7">
        <w:rPr>
          <w:rFonts w:ascii="Arial" w:hAnsi="Arial" w:cs="Arial"/>
        </w:rPr>
        <w:t>behaviour</w:t>
      </w:r>
      <w:r w:rsidRPr="005E36B7">
        <w:rPr>
          <w:rFonts w:ascii="Arial" w:hAnsi="Arial" w:cs="Arial"/>
        </w:rPr>
        <w:t xml:space="preserve"> and customer loyalty in service organizations. </w:t>
      </w:r>
      <w:r w:rsidRPr="005E36B7">
        <w:rPr>
          <w:rFonts w:ascii="Arial" w:hAnsi="Arial" w:cs="Arial"/>
          <w:i/>
          <w:iCs/>
        </w:rPr>
        <w:t>Journal of Service Research</w:t>
      </w:r>
      <w:r w:rsidRPr="005E36B7">
        <w:rPr>
          <w:rFonts w:ascii="Arial" w:hAnsi="Arial" w:cs="Arial"/>
        </w:rPr>
        <w:t>, 24(2), pp.145–160.</w:t>
      </w:r>
    </w:p>
    <w:p w14:paraId="4D764CB3" w14:textId="77777777" w:rsidR="00626ABD" w:rsidRPr="005E36B7" w:rsidRDefault="00626ABD" w:rsidP="00126989">
      <w:pPr>
        <w:spacing w:line="360" w:lineRule="auto"/>
        <w:jc w:val="both"/>
        <w:rPr>
          <w:rFonts w:ascii="Arial" w:hAnsi="Arial" w:cs="Arial"/>
        </w:rPr>
      </w:pPr>
    </w:p>
    <w:p w14:paraId="4E694EA3" w14:textId="77777777" w:rsidR="00626ABD" w:rsidRPr="005E36B7" w:rsidRDefault="00626ABD" w:rsidP="00126989">
      <w:pPr>
        <w:spacing w:line="360" w:lineRule="auto"/>
        <w:jc w:val="both"/>
        <w:rPr>
          <w:rFonts w:ascii="Arial" w:hAnsi="Arial" w:cs="Arial"/>
        </w:rPr>
      </w:pPr>
      <w:r w:rsidRPr="005E36B7">
        <w:rPr>
          <w:rFonts w:ascii="Arial" w:hAnsi="Arial" w:cs="Arial"/>
        </w:rPr>
        <w:t xml:space="preserve">Campbell, J., 2024. Employee productivity and workplace health: Trends and challenges. </w:t>
      </w:r>
      <w:r w:rsidRPr="005E36B7">
        <w:rPr>
          <w:rFonts w:ascii="Arial" w:hAnsi="Arial" w:cs="Arial"/>
          <w:i/>
          <w:iCs/>
        </w:rPr>
        <w:t>Journal of Organizational Health,</w:t>
      </w:r>
      <w:r w:rsidRPr="005E36B7">
        <w:rPr>
          <w:rFonts w:ascii="Arial" w:hAnsi="Arial" w:cs="Arial"/>
        </w:rPr>
        <w:t xml:space="preserve"> 12(3), pp.45–58.</w:t>
      </w:r>
    </w:p>
    <w:p w14:paraId="38FA945D" w14:textId="77777777" w:rsidR="00626ABD" w:rsidRPr="005E36B7" w:rsidRDefault="00626ABD" w:rsidP="00126989">
      <w:pPr>
        <w:spacing w:line="360" w:lineRule="auto"/>
        <w:jc w:val="both"/>
        <w:rPr>
          <w:rFonts w:ascii="Arial" w:hAnsi="Arial" w:cs="Arial"/>
        </w:rPr>
      </w:pPr>
    </w:p>
    <w:p w14:paraId="001A82C4" w14:textId="77777777" w:rsidR="00626ABD" w:rsidRPr="005E36B7" w:rsidRDefault="00626ABD" w:rsidP="00126989">
      <w:pPr>
        <w:spacing w:line="360" w:lineRule="auto"/>
        <w:jc w:val="both"/>
        <w:rPr>
          <w:rFonts w:ascii="Arial" w:hAnsi="Arial" w:cs="Arial"/>
        </w:rPr>
      </w:pPr>
      <w:r w:rsidRPr="005E36B7">
        <w:rPr>
          <w:rFonts w:ascii="Arial" w:hAnsi="Arial" w:cs="Arial"/>
        </w:rPr>
        <w:t>Hilton, 2022. Care for All: Employee wellness platform. [Online] Available at: https://stories.hilton.com/CareForAll</w:t>
      </w:r>
    </w:p>
    <w:p w14:paraId="1417378D" w14:textId="77777777" w:rsidR="00626ABD" w:rsidRPr="005E36B7" w:rsidRDefault="00626ABD" w:rsidP="00126989">
      <w:pPr>
        <w:spacing w:line="360" w:lineRule="auto"/>
        <w:jc w:val="both"/>
        <w:rPr>
          <w:rFonts w:ascii="Arial" w:hAnsi="Arial" w:cs="Arial"/>
        </w:rPr>
      </w:pPr>
      <w:r w:rsidRPr="005E36B7">
        <w:rPr>
          <w:rFonts w:ascii="Arial" w:hAnsi="Arial" w:cs="Arial"/>
        </w:rPr>
        <w:t xml:space="preserve"> [Accessed 22 October 2025].</w:t>
      </w:r>
    </w:p>
    <w:p w14:paraId="59BAE55A" w14:textId="77777777" w:rsidR="00626ABD" w:rsidRPr="005E36B7" w:rsidRDefault="00626ABD" w:rsidP="00126989">
      <w:pPr>
        <w:spacing w:line="360" w:lineRule="auto"/>
        <w:jc w:val="both"/>
        <w:rPr>
          <w:rFonts w:ascii="Arial" w:hAnsi="Arial" w:cs="Arial"/>
        </w:rPr>
      </w:pPr>
    </w:p>
    <w:p w14:paraId="71FDA0B0" w14:textId="77777777" w:rsidR="00626ABD" w:rsidRPr="005E36B7" w:rsidRDefault="00626ABD" w:rsidP="00126989">
      <w:pPr>
        <w:spacing w:line="360" w:lineRule="auto"/>
        <w:jc w:val="both"/>
        <w:rPr>
          <w:rFonts w:ascii="Arial" w:hAnsi="Arial" w:cs="Arial"/>
        </w:rPr>
      </w:pPr>
      <w:r w:rsidRPr="005E36B7">
        <w:rPr>
          <w:rFonts w:ascii="Arial" w:hAnsi="Arial" w:cs="Arial"/>
        </w:rPr>
        <w:t>Japsen, B., 2020. Employers spend $575 billion annually on employee health. Forbes. [Online] Available at: https://www.forbes.com</w:t>
      </w:r>
    </w:p>
    <w:p w14:paraId="2A0A810A" w14:textId="77777777" w:rsidR="00626ABD" w:rsidRPr="005E36B7" w:rsidRDefault="00626ABD" w:rsidP="00126989">
      <w:pPr>
        <w:spacing w:line="360" w:lineRule="auto"/>
        <w:jc w:val="both"/>
        <w:rPr>
          <w:rFonts w:ascii="Arial" w:hAnsi="Arial" w:cs="Arial"/>
        </w:rPr>
      </w:pPr>
      <w:r w:rsidRPr="005E36B7">
        <w:rPr>
          <w:rFonts w:ascii="Arial" w:hAnsi="Arial" w:cs="Arial"/>
        </w:rPr>
        <w:t xml:space="preserve"> [Accessed 22 October 2025].</w:t>
      </w:r>
    </w:p>
    <w:p w14:paraId="70053545" w14:textId="77777777" w:rsidR="00626ABD" w:rsidRPr="005E36B7" w:rsidRDefault="00626ABD" w:rsidP="00126989">
      <w:pPr>
        <w:spacing w:line="360" w:lineRule="auto"/>
        <w:jc w:val="both"/>
        <w:rPr>
          <w:rFonts w:ascii="Arial" w:hAnsi="Arial" w:cs="Arial"/>
        </w:rPr>
      </w:pPr>
    </w:p>
    <w:p w14:paraId="12D993B4" w14:textId="110C2749" w:rsidR="00626ABD" w:rsidRPr="005E36B7" w:rsidRDefault="00626ABD" w:rsidP="00126989">
      <w:pPr>
        <w:spacing w:line="360" w:lineRule="auto"/>
        <w:jc w:val="both"/>
        <w:rPr>
          <w:rFonts w:ascii="Arial" w:hAnsi="Arial" w:cs="Arial"/>
        </w:rPr>
      </w:pPr>
      <w:r w:rsidRPr="005E36B7">
        <w:rPr>
          <w:rFonts w:ascii="Arial" w:hAnsi="Arial" w:cs="Arial"/>
        </w:rPr>
        <w:t xml:space="preserve">Jawad, S., Khan, S. and Rehman, M., 2023. Organizational reputation and employee innovative </w:t>
      </w:r>
      <w:r w:rsidR="0028309A" w:rsidRPr="005E36B7">
        <w:rPr>
          <w:rFonts w:ascii="Arial" w:hAnsi="Arial" w:cs="Arial"/>
        </w:rPr>
        <w:t>behaviour</w:t>
      </w:r>
      <w:r w:rsidRPr="005E36B7">
        <w:rPr>
          <w:rFonts w:ascii="Arial" w:hAnsi="Arial" w:cs="Arial"/>
        </w:rPr>
        <w:t xml:space="preserve">. </w:t>
      </w:r>
      <w:r w:rsidRPr="005E36B7">
        <w:rPr>
          <w:rFonts w:ascii="Arial" w:hAnsi="Arial" w:cs="Arial"/>
          <w:i/>
          <w:iCs/>
        </w:rPr>
        <w:t>Journal of Business Research</w:t>
      </w:r>
      <w:r w:rsidRPr="005E36B7">
        <w:rPr>
          <w:rFonts w:ascii="Arial" w:hAnsi="Arial" w:cs="Arial"/>
        </w:rPr>
        <w:t>, 165, pp.135–147.</w:t>
      </w:r>
    </w:p>
    <w:p w14:paraId="400408C7" w14:textId="77777777" w:rsidR="00626ABD" w:rsidRPr="005E36B7" w:rsidRDefault="00626ABD" w:rsidP="00126989">
      <w:pPr>
        <w:spacing w:line="360" w:lineRule="auto"/>
        <w:jc w:val="both"/>
        <w:rPr>
          <w:rFonts w:ascii="Arial" w:hAnsi="Arial" w:cs="Arial"/>
        </w:rPr>
      </w:pPr>
    </w:p>
    <w:p w14:paraId="75D19075" w14:textId="5FD7C5B9" w:rsidR="00626ABD" w:rsidRPr="005E36B7" w:rsidRDefault="00626ABD" w:rsidP="00126989">
      <w:pPr>
        <w:spacing w:line="360" w:lineRule="auto"/>
        <w:jc w:val="both"/>
        <w:rPr>
          <w:rFonts w:ascii="Arial" w:hAnsi="Arial" w:cs="Arial"/>
        </w:rPr>
      </w:pPr>
      <w:r w:rsidRPr="005E36B7">
        <w:rPr>
          <w:rFonts w:ascii="Arial" w:hAnsi="Arial" w:cs="Arial"/>
        </w:rPr>
        <w:t xml:space="preserve">Klebe, T., Felfe, J. and Franke, F., 2021. Health-oriented leadership across industries: Impact on employee well-being and performance. </w:t>
      </w:r>
      <w:r w:rsidRPr="005E36B7">
        <w:rPr>
          <w:rFonts w:ascii="Arial" w:hAnsi="Arial" w:cs="Arial"/>
          <w:i/>
          <w:iCs/>
        </w:rPr>
        <w:t xml:space="preserve">Journal of Organizational </w:t>
      </w:r>
      <w:r w:rsidR="0028309A" w:rsidRPr="005E36B7">
        <w:rPr>
          <w:rFonts w:ascii="Arial" w:hAnsi="Arial" w:cs="Arial"/>
          <w:i/>
          <w:iCs/>
        </w:rPr>
        <w:t>Behaviour</w:t>
      </w:r>
      <w:r w:rsidRPr="005E36B7">
        <w:rPr>
          <w:rFonts w:ascii="Arial" w:hAnsi="Arial" w:cs="Arial"/>
        </w:rPr>
        <w:t>, 42(4), pp.461–479.</w:t>
      </w:r>
    </w:p>
    <w:p w14:paraId="039FD45D" w14:textId="77777777" w:rsidR="00626ABD" w:rsidRPr="005E36B7" w:rsidRDefault="00626ABD" w:rsidP="00126989">
      <w:pPr>
        <w:spacing w:line="360" w:lineRule="auto"/>
        <w:jc w:val="both"/>
        <w:rPr>
          <w:rFonts w:ascii="Arial" w:hAnsi="Arial" w:cs="Arial"/>
        </w:rPr>
      </w:pPr>
    </w:p>
    <w:p w14:paraId="25A2B101" w14:textId="3CF955A7" w:rsidR="00626ABD" w:rsidRPr="005E36B7" w:rsidRDefault="00626ABD" w:rsidP="00126989">
      <w:pPr>
        <w:spacing w:line="360" w:lineRule="auto"/>
        <w:jc w:val="both"/>
        <w:rPr>
          <w:rFonts w:ascii="Arial" w:hAnsi="Arial" w:cs="Arial"/>
        </w:rPr>
      </w:pPr>
      <w:r w:rsidRPr="005E36B7">
        <w:rPr>
          <w:rFonts w:ascii="Arial" w:hAnsi="Arial" w:cs="Arial"/>
        </w:rPr>
        <w:t xml:space="preserve">Kyei-Frimpong, J., Agyemang, F.G. and Antwi, E., 2024. Fostering innovative work </w:t>
      </w:r>
      <w:r w:rsidR="004939DB" w:rsidRPr="005E36B7">
        <w:rPr>
          <w:rFonts w:ascii="Arial" w:hAnsi="Arial" w:cs="Arial"/>
        </w:rPr>
        <w:t>behaviour</w:t>
      </w:r>
      <w:r w:rsidRPr="005E36B7">
        <w:rPr>
          <w:rFonts w:ascii="Arial" w:hAnsi="Arial" w:cs="Arial"/>
        </w:rPr>
        <w:t xml:space="preserve">: Roles of leadership and organizational culture. </w:t>
      </w:r>
      <w:r w:rsidRPr="005E36B7">
        <w:rPr>
          <w:rFonts w:ascii="Arial" w:hAnsi="Arial" w:cs="Arial"/>
          <w:i/>
          <w:iCs/>
        </w:rPr>
        <w:t>Leadership &amp; Organization Development Journal</w:t>
      </w:r>
      <w:r w:rsidRPr="005E36B7">
        <w:rPr>
          <w:rFonts w:ascii="Arial" w:hAnsi="Arial" w:cs="Arial"/>
        </w:rPr>
        <w:t>, 45(3), pp.405–423.</w:t>
      </w:r>
    </w:p>
    <w:p w14:paraId="6D6D3632" w14:textId="77777777" w:rsidR="00626ABD" w:rsidRPr="005E36B7" w:rsidRDefault="00626ABD" w:rsidP="00126989">
      <w:pPr>
        <w:spacing w:line="360" w:lineRule="auto"/>
        <w:jc w:val="both"/>
        <w:rPr>
          <w:rFonts w:ascii="Arial" w:hAnsi="Arial" w:cs="Arial"/>
        </w:rPr>
      </w:pPr>
    </w:p>
    <w:p w14:paraId="11C51D45" w14:textId="77777777" w:rsidR="00626ABD" w:rsidRPr="005E36B7" w:rsidRDefault="00626ABD" w:rsidP="00126989">
      <w:pPr>
        <w:spacing w:line="360" w:lineRule="auto"/>
        <w:jc w:val="both"/>
        <w:rPr>
          <w:rFonts w:ascii="Arial" w:hAnsi="Arial" w:cs="Arial"/>
        </w:rPr>
      </w:pPr>
      <w:r w:rsidRPr="005E36B7">
        <w:rPr>
          <w:rFonts w:ascii="Arial" w:hAnsi="Arial" w:cs="Arial"/>
        </w:rPr>
        <w:t xml:space="preserve">Malik, S., 2024. Change-oriented OCB: Promoting sustainable organizational change. </w:t>
      </w:r>
      <w:r w:rsidRPr="005E36B7">
        <w:rPr>
          <w:rFonts w:ascii="Arial" w:hAnsi="Arial" w:cs="Arial"/>
          <w:i/>
          <w:iCs/>
        </w:rPr>
        <w:t>Journal of Management Studies</w:t>
      </w:r>
      <w:r w:rsidRPr="005E36B7">
        <w:rPr>
          <w:rFonts w:ascii="Arial" w:hAnsi="Arial" w:cs="Arial"/>
        </w:rPr>
        <w:t>, 61(1), pp.90–110.</w:t>
      </w:r>
    </w:p>
    <w:p w14:paraId="52009258" w14:textId="77777777" w:rsidR="00626ABD" w:rsidRPr="005E36B7" w:rsidRDefault="00626ABD" w:rsidP="00126989">
      <w:pPr>
        <w:spacing w:line="360" w:lineRule="auto"/>
        <w:jc w:val="both"/>
        <w:rPr>
          <w:rFonts w:ascii="Arial" w:hAnsi="Arial" w:cs="Arial"/>
        </w:rPr>
      </w:pPr>
    </w:p>
    <w:p w14:paraId="7AFB0F3C" w14:textId="77777777" w:rsidR="00626ABD" w:rsidRPr="005E36B7" w:rsidRDefault="00626ABD" w:rsidP="00126989">
      <w:pPr>
        <w:spacing w:line="360" w:lineRule="auto"/>
        <w:jc w:val="both"/>
        <w:rPr>
          <w:rFonts w:ascii="Arial" w:hAnsi="Arial" w:cs="Arial"/>
        </w:rPr>
      </w:pPr>
      <w:r w:rsidRPr="005E36B7">
        <w:rPr>
          <w:rFonts w:ascii="Arial" w:hAnsi="Arial" w:cs="Arial"/>
        </w:rPr>
        <w:t>Marriott, 2019. Take Care Certification: Employee wellness program. [Online] Available at: https://news.marriott.com/TakeCareCertification</w:t>
      </w:r>
    </w:p>
    <w:p w14:paraId="0C8465C3" w14:textId="77777777" w:rsidR="00626ABD" w:rsidRPr="005E36B7" w:rsidRDefault="00626ABD" w:rsidP="00126989">
      <w:pPr>
        <w:spacing w:line="360" w:lineRule="auto"/>
        <w:jc w:val="both"/>
        <w:rPr>
          <w:rFonts w:ascii="Arial" w:hAnsi="Arial" w:cs="Arial"/>
        </w:rPr>
      </w:pPr>
      <w:r w:rsidRPr="005E36B7">
        <w:rPr>
          <w:rFonts w:ascii="Arial" w:hAnsi="Arial" w:cs="Arial"/>
        </w:rPr>
        <w:t xml:space="preserve"> [Accessed 22 October 2025].</w:t>
      </w:r>
    </w:p>
    <w:p w14:paraId="4E40B225" w14:textId="77777777" w:rsidR="00626ABD" w:rsidRPr="005E36B7" w:rsidRDefault="00626ABD" w:rsidP="00126989">
      <w:pPr>
        <w:spacing w:line="360" w:lineRule="auto"/>
        <w:jc w:val="both"/>
        <w:rPr>
          <w:rFonts w:ascii="Arial" w:hAnsi="Arial" w:cs="Arial"/>
        </w:rPr>
      </w:pPr>
    </w:p>
    <w:p w14:paraId="22FF1A26" w14:textId="77777777" w:rsidR="00626ABD" w:rsidRPr="005E36B7" w:rsidRDefault="00626ABD" w:rsidP="00126989">
      <w:pPr>
        <w:spacing w:line="360" w:lineRule="auto"/>
        <w:jc w:val="both"/>
        <w:rPr>
          <w:rFonts w:ascii="Arial" w:hAnsi="Arial" w:cs="Arial"/>
        </w:rPr>
      </w:pPr>
      <w:r w:rsidRPr="005E36B7">
        <w:rPr>
          <w:rFonts w:ascii="Arial" w:hAnsi="Arial" w:cs="Arial"/>
        </w:rPr>
        <w:t xml:space="preserve">Montano, D., Hoven, H. and Siegrist, J., 2017. Effects of organizational policies on employee health: A review. International </w:t>
      </w:r>
      <w:r w:rsidRPr="005E36B7">
        <w:rPr>
          <w:rFonts w:ascii="Arial" w:hAnsi="Arial" w:cs="Arial"/>
          <w:i/>
          <w:iCs/>
        </w:rPr>
        <w:t>Journal of Workplace Health Management</w:t>
      </w:r>
      <w:r w:rsidRPr="005E36B7">
        <w:rPr>
          <w:rFonts w:ascii="Arial" w:hAnsi="Arial" w:cs="Arial"/>
        </w:rPr>
        <w:t>, 10(2), pp.100–120.</w:t>
      </w:r>
    </w:p>
    <w:p w14:paraId="2F9ADC14" w14:textId="77777777" w:rsidR="00626ABD" w:rsidRPr="005E36B7" w:rsidRDefault="00626ABD" w:rsidP="00126989">
      <w:pPr>
        <w:spacing w:line="360" w:lineRule="auto"/>
        <w:jc w:val="both"/>
        <w:rPr>
          <w:rFonts w:ascii="Arial" w:hAnsi="Arial" w:cs="Arial"/>
        </w:rPr>
      </w:pPr>
    </w:p>
    <w:p w14:paraId="62F9AE8D" w14:textId="77777777" w:rsidR="00626ABD" w:rsidRPr="005E36B7" w:rsidRDefault="00626ABD" w:rsidP="00126989">
      <w:pPr>
        <w:spacing w:line="360" w:lineRule="auto"/>
        <w:jc w:val="both"/>
        <w:rPr>
          <w:rFonts w:ascii="Arial" w:hAnsi="Arial" w:cs="Arial"/>
        </w:rPr>
      </w:pPr>
      <w:r w:rsidRPr="005E36B7">
        <w:rPr>
          <w:rFonts w:ascii="Arial" w:hAnsi="Arial" w:cs="Arial"/>
        </w:rPr>
        <w:t>Nowrouzi-Kia, B., Gohar, B. and Seto, E., 2024. Mental health and presenteeism in the hospitality sector</w:t>
      </w:r>
      <w:r w:rsidRPr="005E36B7">
        <w:rPr>
          <w:rFonts w:ascii="Arial" w:hAnsi="Arial" w:cs="Arial"/>
          <w:i/>
          <w:iCs/>
        </w:rPr>
        <w:t>. Occupational Health Journal</w:t>
      </w:r>
      <w:r w:rsidRPr="005E36B7">
        <w:rPr>
          <w:rFonts w:ascii="Arial" w:hAnsi="Arial" w:cs="Arial"/>
        </w:rPr>
        <w:t>, 18(1), pp.33–49.</w:t>
      </w:r>
    </w:p>
    <w:p w14:paraId="1FAA3569" w14:textId="77777777" w:rsidR="00626ABD" w:rsidRPr="005E36B7" w:rsidRDefault="00626ABD" w:rsidP="00126989">
      <w:pPr>
        <w:spacing w:line="360" w:lineRule="auto"/>
        <w:jc w:val="both"/>
        <w:rPr>
          <w:rFonts w:ascii="Arial" w:hAnsi="Arial" w:cs="Arial"/>
        </w:rPr>
      </w:pPr>
    </w:p>
    <w:p w14:paraId="5FCFBCFB" w14:textId="77777777" w:rsidR="00626ABD" w:rsidRPr="005E36B7" w:rsidRDefault="00626ABD" w:rsidP="00126989">
      <w:pPr>
        <w:spacing w:line="360" w:lineRule="auto"/>
        <w:jc w:val="both"/>
        <w:rPr>
          <w:rFonts w:ascii="Arial" w:hAnsi="Arial" w:cs="Arial"/>
        </w:rPr>
      </w:pPr>
      <w:r w:rsidRPr="005E36B7">
        <w:rPr>
          <w:rFonts w:ascii="Arial" w:hAnsi="Arial" w:cs="Arial"/>
        </w:rPr>
        <w:t>Organization, W.H., 2022. Workplace health and productivity report. Geneva: World Health Organization.</w:t>
      </w:r>
    </w:p>
    <w:p w14:paraId="3F91E018" w14:textId="77777777" w:rsidR="00626ABD" w:rsidRPr="005E36B7" w:rsidRDefault="00626ABD" w:rsidP="00126989">
      <w:pPr>
        <w:spacing w:line="360" w:lineRule="auto"/>
        <w:jc w:val="both"/>
        <w:rPr>
          <w:rFonts w:ascii="Arial" w:hAnsi="Arial" w:cs="Arial"/>
        </w:rPr>
      </w:pPr>
    </w:p>
    <w:p w14:paraId="5A4EDCAC" w14:textId="77777777" w:rsidR="00626ABD" w:rsidRPr="005E36B7" w:rsidRDefault="00626ABD" w:rsidP="00126989">
      <w:pPr>
        <w:spacing w:line="360" w:lineRule="auto"/>
        <w:jc w:val="both"/>
        <w:rPr>
          <w:rFonts w:ascii="Arial" w:hAnsi="Arial" w:cs="Arial"/>
        </w:rPr>
      </w:pPr>
      <w:r w:rsidRPr="005E36B7">
        <w:rPr>
          <w:rFonts w:ascii="Arial" w:hAnsi="Arial" w:cs="Arial"/>
        </w:rPr>
        <w:t xml:space="preserve">Rabiul, I., Ahmed, S. and Kumar, P., 2023. Supervisory leadership and employee health outcomes in service industries. </w:t>
      </w:r>
      <w:r w:rsidRPr="005E36B7">
        <w:rPr>
          <w:rFonts w:ascii="Arial" w:hAnsi="Arial" w:cs="Arial"/>
          <w:i/>
          <w:iCs/>
        </w:rPr>
        <w:t>Journal of Business Research</w:t>
      </w:r>
      <w:r w:rsidRPr="005E36B7">
        <w:rPr>
          <w:rFonts w:ascii="Arial" w:hAnsi="Arial" w:cs="Arial"/>
        </w:rPr>
        <w:t>, 150, pp.230–242.</w:t>
      </w:r>
    </w:p>
    <w:p w14:paraId="1E74982A" w14:textId="77777777" w:rsidR="00626ABD" w:rsidRPr="005E36B7" w:rsidRDefault="00626ABD" w:rsidP="00126989">
      <w:pPr>
        <w:spacing w:line="360" w:lineRule="auto"/>
        <w:jc w:val="both"/>
        <w:rPr>
          <w:rFonts w:ascii="Arial" w:hAnsi="Arial" w:cs="Arial"/>
        </w:rPr>
      </w:pPr>
    </w:p>
    <w:p w14:paraId="79FE4963" w14:textId="77777777" w:rsidR="00626ABD" w:rsidRPr="005E36B7" w:rsidRDefault="00626ABD" w:rsidP="00126989">
      <w:pPr>
        <w:spacing w:line="360" w:lineRule="auto"/>
        <w:jc w:val="both"/>
        <w:rPr>
          <w:rFonts w:ascii="Arial" w:hAnsi="Arial" w:cs="Arial"/>
        </w:rPr>
      </w:pPr>
      <w:r w:rsidRPr="005E36B7">
        <w:rPr>
          <w:rFonts w:ascii="Arial" w:hAnsi="Arial" w:cs="Arial"/>
        </w:rPr>
        <w:t xml:space="preserve">Rodriguez, M., 2024. Leadership and mental health in hospitality organizations. </w:t>
      </w:r>
      <w:r w:rsidRPr="005E36B7">
        <w:rPr>
          <w:rFonts w:ascii="Arial" w:hAnsi="Arial" w:cs="Arial"/>
          <w:i/>
          <w:iCs/>
        </w:rPr>
        <w:t>International Journal of Hospitality Management</w:t>
      </w:r>
      <w:r w:rsidRPr="005E36B7">
        <w:rPr>
          <w:rFonts w:ascii="Arial" w:hAnsi="Arial" w:cs="Arial"/>
        </w:rPr>
        <w:t>, 105, pp.102–114.</w:t>
      </w:r>
    </w:p>
    <w:p w14:paraId="2B525BC5" w14:textId="77777777" w:rsidR="00626ABD" w:rsidRPr="005E36B7" w:rsidRDefault="00626ABD" w:rsidP="00126989">
      <w:pPr>
        <w:spacing w:line="360" w:lineRule="auto"/>
        <w:jc w:val="both"/>
        <w:rPr>
          <w:rFonts w:ascii="Arial" w:hAnsi="Arial" w:cs="Arial"/>
        </w:rPr>
      </w:pPr>
    </w:p>
    <w:p w14:paraId="11975156" w14:textId="77777777" w:rsidR="00626ABD" w:rsidRPr="005E36B7" w:rsidRDefault="00626ABD" w:rsidP="00126989">
      <w:pPr>
        <w:spacing w:line="360" w:lineRule="auto"/>
        <w:jc w:val="both"/>
        <w:rPr>
          <w:rFonts w:ascii="Arial" w:hAnsi="Arial" w:cs="Arial"/>
        </w:rPr>
      </w:pPr>
      <w:r w:rsidRPr="005E36B7">
        <w:rPr>
          <w:rFonts w:ascii="Arial" w:hAnsi="Arial" w:cs="Arial"/>
        </w:rPr>
        <w:t xml:space="preserve">Salama, W., Abdou, A.H., Mohamed, S.A.K. and Shehata, H.S., 2022. Impact of work stress and job burnout on turnover intentions among hotel employees. </w:t>
      </w:r>
      <w:r w:rsidRPr="005E36B7">
        <w:rPr>
          <w:rFonts w:ascii="Arial" w:hAnsi="Arial" w:cs="Arial"/>
          <w:i/>
          <w:iCs/>
        </w:rPr>
        <w:t>International Journal of Environmental Research and Public Health</w:t>
      </w:r>
      <w:r w:rsidRPr="005E36B7">
        <w:rPr>
          <w:rFonts w:ascii="Arial" w:hAnsi="Arial" w:cs="Arial"/>
        </w:rPr>
        <w:t>, 19(15), p.9724.</w:t>
      </w:r>
    </w:p>
    <w:p w14:paraId="75180FA1" w14:textId="77777777" w:rsidR="00626ABD" w:rsidRPr="005E36B7" w:rsidRDefault="00626ABD" w:rsidP="00126989">
      <w:pPr>
        <w:spacing w:line="360" w:lineRule="auto"/>
        <w:jc w:val="both"/>
        <w:rPr>
          <w:rFonts w:ascii="Arial" w:hAnsi="Arial" w:cs="Arial"/>
        </w:rPr>
      </w:pPr>
    </w:p>
    <w:p w14:paraId="371C86F4" w14:textId="77777777" w:rsidR="00626ABD" w:rsidRPr="005E36B7" w:rsidRDefault="00626ABD" w:rsidP="00126989">
      <w:pPr>
        <w:spacing w:line="360" w:lineRule="auto"/>
        <w:jc w:val="both"/>
        <w:rPr>
          <w:rFonts w:ascii="Arial" w:hAnsi="Arial" w:cs="Arial"/>
        </w:rPr>
      </w:pPr>
      <w:r w:rsidRPr="005E36B7">
        <w:rPr>
          <w:rFonts w:ascii="Arial" w:hAnsi="Arial" w:cs="Arial"/>
        </w:rPr>
        <w:t>Schulte, P.A., Bhattacharya, A. and Guerin, R., 2024. Addressing psychosocial risks in workplaces: Strategies for improving employee well-being. Occupational Medicine, 74(2), pp.101–115.</w:t>
      </w:r>
    </w:p>
    <w:p w14:paraId="5C721508" w14:textId="77777777" w:rsidR="00626ABD" w:rsidRPr="005E36B7" w:rsidRDefault="00626ABD" w:rsidP="00126989">
      <w:pPr>
        <w:spacing w:line="360" w:lineRule="auto"/>
        <w:jc w:val="both"/>
        <w:rPr>
          <w:rFonts w:ascii="Arial" w:hAnsi="Arial" w:cs="Arial"/>
        </w:rPr>
      </w:pPr>
    </w:p>
    <w:p w14:paraId="1F9DBE4F" w14:textId="77777777" w:rsidR="00626ABD" w:rsidRPr="005E36B7" w:rsidRDefault="00626ABD" w:rsidP="00126989">
      <w:pPr>
        <w:spacing w:line="360" w:lineRule="auto"/>
        <w:jc w:val="both"/>
        <w:rPr>
          <w:rFonts w:ascii="Arial" w:hAnsi="Arial" w:cs="Arial"/>
        </w:rPr>
      </w:pPr>
      <w:r w:rsidRPr="005E36B7">
        <w:rPr>
          <w:rFonts w:ascii="Arial" w:hAnsi="Arial" w:cs="Arial"/>
        </w:rPr>
        <w:t xml:space="preserve">Schultz, A. and Edington, D., 2007. Employee health and presenteeism: A review. </w:t>
      </w:r>
      <w:r w:rsidRPr="005E36B7">
        <w:rPr>
          <w:rFonts w:ascii="Arial" w:hAnsi="Arial" w:cs="Arial"/>
          <w:i/>
          <w:iCs/>
        </w:rPr>
        <w:t>Journal of Occupational and Environmental Medicine,</w:t>
      </w:r>
      <w:r w:rsidRPr="005E36B7">
        <w:rPr>
          <w:rFonts w:ascii="Arial" w:hAnsi="Arial" w:cs="Arial"/>
        </w:rPr>
        <w:t xml:space="preserve"> 49(12), pp.131–143.</w:t>
      </w:r>
    </w:p>
    <w:p w14:paraId="019A8D7B" w14:textId="77777777" w:rsidR="00626ABD" w:rsidRPr="005E36B7" w:rsidRDefault="00626ABD" w:rsidP="00126989">
      <w:pPr>
        <w:spacing w:line="360" w:lineRule="auto"/>
        <w:jc w:val="both"/>
        <w:rPr>
          <w:rFonts w:ascii="Arial" w:hAnsi="Arial" w:cs="Arial"/>
        </w:rPr>
      </w:pPr>
    </w:p>
    <w:p w14:paraId="213264AD" w14:textId="77777777" w:rsidR="00626ABD" w:rsidRPr="005E36B7" w:rsidRDefault="00626ABD" w:rsidP="00126989">
      <w:pPr>
        <w:spacing w:line="360" w:lineRule="auto"/>
        <w:jc w:val="both"/>
        <w:rPr>
          <w:rFonts w:ascii="Arial" w:hAnsi="Arial" w:cs="Arial"/>
        </w:rPr>
      </w:pPr>
      <w:r w:rsidRPr="005E36B7">
        <w:rPr>
          <w:rFonts w:ascii="Arial" w:hAnsi="Arial" w:cs="Arial"/>
        </w:rPr>
        <w:t>Sharma, A. and Kumra, S., 2020. Employee health and organizational performance. Human Resource Management Review, 30(3), pp.100–115.</w:t>
      </w:r>
    </w:p>
    <w:p w14:paraId="254D1525" w14:textId="77777777" w:rsidR="00626ABD" w:rsidRPr="005E36B7" w:rsidRDefault="00626ABD" w:rsidP="00126989">
      <w:pPr>
        <w:spacing w:line="360" w:lineRule="auto"/>
        <w:jc w:val="both"/>
        <w:rPr>
          <w:rFonts w:ascii="Arial" w:hAnsi="Arial" w:cs="Arial"/>
        </w:rPr>
      </w:pPr>
    </w:p>
    <w:p w14:paraId="1930F8AF" w14:textId="77777777" w:rsidR="00626ABD" w:rsidRPr="005E36B7" w:rsidRDefault="00626ABD" w:rsidP="00126989">
      <w:pPr>
        <w:spacing w:line="360" w:lineRule="auto"/>
        <w:jc w:val="both"/>
        <w:rPr>
          <w:rFonts w:ascii="Arial" w:hAnsi="Arial" w:cs="Arial"/>
        </w:rPr>
      </w:pPr>
      <w:r w:rsidRPr="005E36B7">
        <w:rPr>
          <w:rFonts w:ascii="Arial" w:hAnsi="Arial" w:cs="Arial"/>
        </w:rPr>
        <w:t>Sonnentag, S., Fritz, C. and Kühnel, J., 2023. Well-being at work: Mental and physical health perspectives. Applied Psychology, 72(1), pp.1–22.</w:t>
      </w:r>
    </w:p>
    <w:p w14:paraId="06C1114E" w14:textId="77777777" w:rsidR="00626ABD" w:rsidRPr="005E36B7" w:rsidRDefault="00626ABD" w:rsidP="00126989">
      <w:pPr>
        <w:spacing w:line="360" w:lineRule="auto"/>
        <w:jc w:val="both"/>
        <w:rPr>
          <w:rFonts w:ascii="Arial" w:hAnsi="Arial" w:cs="Arial"/>
        </w:rPr>
      </w:pPr>
    </w:p>
    <w:p w14:paraId="37C19040" w14:textId="77777777" w:rsidR="00626ABD" w:rsidRPr="005E36B7" w:rsidRDefault="00626ABD" w:rsidP="00126989">
      <w:pPr>
        <w:spacing w:line="360" w:lineRule="auto"/>
        <w:jc w:val="both"/>
        <w:rPr>
          <w:rFonts w:ascii="Arial" w:hAnsi="Arial" w:cs="Arial"/>
        </w:rPr>
      </w:pPr>
      <w:r w:rsidRPr="005E36B7">
        <w:rPr>
          <w:rFonts w:ascii="Arial" w:hAnsi="Arial" w:cs="Arial"/>
        </w:rPr>
        <w:t xml:space="preserve">Teoh, B.E.W., Lim, C. and Tan, S., 2022. Transformational leadership and employee health outcomes. </w:t>
      </w:r>
      <w:r w:rsidRPr="005E36B7">
        <w:rPr>
          <w:rFonts w:ascii="Arial" w:hAnsi="Arial" w:cs="Arial"/>
          <w:i/>
          <w:iCs/>
        </w:rPr>
        <w:t>Journal of Management &amp; Organization</w:t>
      </w:r>
      <w:r w:rsidRPr="005E36B7">
        <w:rPr>
          <w:rFonts w:ascii="Arial" w:hAnsi="Arial" w:cs="Arial"/>
        </w:rPr>
        <w:t>, 28(6), pp.1011–1025.</w:t>
      </w:r>
    </w:p>
    <w:p w14:paraId="17C7BE35" w14:textId="77777777" w:rsidR="00626ABD" w:rsidRPr="005E36B7" w:rsidRDefault="00626ABD" w:rsidP="00126989">
      <w:pPr>
        <w:spacing w:line="360" w:lineRule="auto"/>
        <w:jc w:val="both"/>
        <w:rPr>
          <w:rFonts w:ascii="Arial" w:hAnsi="Arial" w:cs="Arial"/>
        </w:rPr>
      </w:pPr>
    </w:p>
    <w:p w14:paraId="64D8B60B" w14:textId="77777777" w:rsidR="00626ABD" w:rsidRPr="005E36B7" w:rsidRDefault="00626ABD" w:rsidP="00126989">
      <w:pPr>
        <w:spacing w:line="360" w:lineRule="auto"/>
        <w:jc w:val="both"/>
        <w:rPr>
          <w:rFonts w:ascii="Arial" w:hAnsi="Arial" w:cs="Arial"/>
        </w:rPr>
      </w:pPr>
      <w:r w:rsidRPr="005E36B7">
        <w:rPr>
          <w:rFonts w:ascii="Arial" w:hAnsi="Arial" w:cs="Arial"/>
        </w:rPr>
        <w:t xml:space="preserve">Varga, S., Smith, R. and Jones, T., 2021. Mental health programs in hospitality: Impact on productivity and costs. </w:t>
      </w:r>
      <w:r w:rsidRPr="005E36B7">
        <w:rPr>
          <w:rFonts w:ascii="Arial" w:hAnsi="Arial" w:cs="Arial"/>
          <w:i/>
          <w:iCs/>
        </w:rPr>
        <w:t>Journal of Hospitality and Tourism Management</w:t>
      </w:r>
      <w:r w:rsidRPr="005E36B7">
        <w:rPr>
          <w:rFonts w:ascii="Arial" w:hAnsi="Arial" w:cs="Arial"/>
        </w:rPr>
        <w:t>, 48, pp.80–91.</w:t>
      </w:r>
    </w:p>
    <w:p w14:paraId="68CCA613" w14:textId="77777777" w:rsidR="00626ABD" w:rsidRPr="005E36B7" w:rsidRDefault="00626ABD" w:rsidP="00126989">
      <w:pPr>
        <w:spacing w:line="360" w:lineRule="auto"/>
        <w:jc w:val="both"/>
        <w:rPr>
          <w:rFonts w:ascii="Arial" w:hAnsi="Arial" w:cs="Arial"/>
        </w:rPr>
      </w:pPr>
    </w:p>
    <w:p w14:paraId="0E0C1E31" w14:textId="77777777" w:rsidR="00626ABD" w:rsidRPr="005E36B7" w:rsidRDefault="00626ABD" w:rsidP="00126989">
      <w:pPr>
        <w:spacing w:line="360" w:lineRule="auto"/>
        <w:jc w:val="both"/>
        <w:rPr>
          <w:rFonts w:ascii="Arial" w:hAnsi="Arial" w:cs="Arial"/>
        </w:rPr>
      </w:pPr>
      <w:r w:rsidRPr="005E36B7">
        <w:rPr>
          <w:rFonts w:ascii="Arial" w:hAnsi="Arial" w:cs="Arial"/>
        </w:rPr>
        <w:t xml:space="preserve">Volpi, G., Pazzaglia, F. and Bianchi, R., 2023. Supervisor support and employee well-being in hotels. </w:t>
      </w:r>
      <w:r w:rsidRPr="005E36B7">
        <w:rPr>
          <w:rFonts w:ascii="Arial" w:hAnsi="Arial" w:cs="Arial"/>
          <w:i/>
          <w:iCs/>
        </w:rPr>
        <w:t>International Journal of Contemporary Hospitality Management</w:t>
      </w:r>
      <w:r w:rsidRPr="005E36B7">
        <w:rPr>
          <w:rFonts w:ascii="Arial" w:hAnsi="Arial" w:cs="Arial"/>
        </w:rPr>
        <w:t>, 35(4), pp.1210–1226.</w:t>
      </w:r>
    </w:p>
    <w:p w14:paraId="01EEF7E0" w14:textId="77777777" w:rsidR="00626ABD" w:rsidRPr="005E36B7" w:rsidRDefault="00626ABD" w:rsidP="00126989">
      <w:pPr>
        <w:spacing w:line="360" w:lineRule="auto"/>
        <w:jc w:val="both"/>
        <w:rPr>
          <w:rFonts w:ascii="Arial" w:hAnsi="Arial" w:cs="Arial"/>
        </w:rPr>
      </w:pPr>
    </w:p>
    <w:p w14:paraId="47A7F716" w14:textId="204376E9" w:rsidR="00626ABD" w:rsidRPr="005E36B7" w:rsidRDefault="00626ABD" w:rsidP="00126989">
      <w:pPr>
        <w:spacing w:line="360" w:lineRule="auto"/>
        <w:jc w:val="both"/>
        <w:rPr>
          <w:rFonts w:ascii="Arial" w:hAnsi="Arial" w:cs="Arial"/>
        </w:rPr>
      </w:pPr>
      <w:r w:rsidRPr="005E36B7">
        <w:rPr>
          <w:rFonts w:ascii="Arial" w:hAnsi="Arial" w:cs="Arial"/>
        </w:rPr>
        <w:t xml:space="preserve">Wood, D., Wang, L. and Johnson, P., 2021. Ethical leadership and organizational </w:t>
      </w:r>
      <w:r w:rsidR="0028309A" w:rsidRPr="005E36B7">
        <w:rPr>
          <w:rFonts w:ascii="Arial" w:hAnsi="Arial" w:cs="Arial"/>
        </w:rPr>
        <w:t>behaviour</w:t>
      </w:r>
      <w:r w:rsidRPr="005E36B7">
        <w:rPr>
          <w:rFonts w:ascii="Arial" w:hAnsi="Arial" w:cs="Arial"/>
        </w:rPr>
        <w:t xml:space="preserve"> in service industries</w:t>
      </w:r>
      <w:r w:rsidRPr="005E36B7">
        <w:rPr>
          <w:rFonts w:ascii="Arial" w:hAnsi="Arial" w:cs="Arial"/>
          <w:i/>
          <w:iCs/>
        </w:rPr>
        <w:t>. Leadership &amp; Organization Development Journal</w:t>
      </w:r>
      <w:r w:rsidRPr="005E36B7">
        <w:rPr>
          <w:rFonts w:ascii="Arial" w:hAnsi="Arial" w:cs="Arial"/>
        </w:rPr>
        <w:t>, 42(5), pp.652–667.</w:t>
      </w:r>
    </w:p>
    <w:p w14:paraId="11BECF01" w14:textId="77777777" w:rsidR="00626ABD" w:rsidRPr="005E36B7" w:rsidRDefault="00626ABD" w:rsidP="00126989">
      <w:pPr>
        <w:spacing w:line="360" w:lineRule="auto"/>
        <w:jc w:val="both"/>
        <w:rPr>
          <w:rFonts w:ascii="Arial" w:hAnsi="Arial" w:cs="Arial"/>
        </w:rPr>
      </w:pPr>
    </w:p>
    <w:p w14:paraId="601812D5" w14:textId="77777777" w:rsidR="00626ABD" w:rsidRPr="005E36B7" w:rsidRDefault="00626ABD" w:rsidP="00126989">
      <w:pPr>
        <w:spacing w:line="360" w:lineRule="auto"/>
        <w:jc w:val="both"/>
        <w:rPr>
          <w:rFonts w:ascii="Arial" w:hAnsi="Arial" w:cs="Arial"/>
        </w:rPr>
      </w:pPr>
      <w:r w:rsidRPr="005E36B7">
        <w:rPr>
          <w:rFonts w:ascii="Arial" w:hAnsi="Arial" w:cs="Arial"/>
        </w:rPr>
        <w:t>Yao, X., Li, F. and Chen, H., 2021. Hospitality leadership and employee mental health: Evidence from hotels. Tourism Management Perspectives, 37, 100795.</w:t>
      </w:r>
    </w:p>
    <w:p w14:paraId="16975B6F" w14:textId="77777777" w:rsidR="00626ABD" w:rsidRPr="005E36B7" w:rsidRDefault="00626ABD" w:rsidP="00126989">
      <w:pPr>
        <w:spacing w:line="360" w:lineRule="auto"/>
        <w:jc w:val="both"/>
        <w:rPr>
          <w:rFonts w:ascii="Arial" w:hAnsi="Arial" w:cs="Arial"/>
        </w:rPr>
      </w:pPr>
    </w:p>
    <w:p w14:paraId="479B73EF" w14:textId="77777777" w:rsidR="00626ABD" w:rsidRPr="005E36B7" w:rsidRDefault="00626ABD" w:rsidP="00126989">
      <w:pPr>
        <w:spacing w:line="360" w:lineRule="auto"/>
        <w:jc w:val="both"/>
        <w:rPr>
          <w:rFonts w:ascii="Arial" w:hAnsi="Arial" w:cs="Arial"/>
        </w:rPr>
      </w:pPr>
      <w:r w:rsidRPr="005E36B7">
        <w:rPr>
          <w:rFonts w:ascii="Arial" w:hAnsi="Arial" w:cs="Arial"/>
        </w:rPr>
        <w:t xml:space="preserve">Zada, M., Zada, S. and Khan, S., 2025. The role of health-oriented leadership in improving hospitality employees’ mental health and development outcomes. </w:t>
      </w:r>
      <w:r w:rsidRPr="005E36B7">
        <w:rPr>
          <w:rFonts w:ascii="Arial" w:hAnsi="Arial" w:cs="Arial"/>
          <w:i/>
          <w:iCs/>
        </w:rPr>
        <w:t>International Journal of Hospitality Management</w:t>
      </w:r>
      <w:r w:rsidRPr="005E36B7">
        <w:rPr>
          <w:rFonts w:ascii="Arial" w:hAnsi="Arial" w:cs="Arial"/>
        </w:rPr>
        <w:t>, 130, p.104243.</w:t>
      </w:r>
    </w:p>
    <w:p w14:paraId="31BB8406" w14:textId="77777777" w:rsidR="00626ABD" w:rsidRPr="005E36B7" w:rsidRDefault="00626ABD" w:rsidP="00126989">
      <w:pPr>
        <w:spacing w:line="360" w:lineRule="auto"/>
        <w:jc w:val="both"/>
        <w:rPr>
          <w:rFonts w:ascii="Arial" w:hAnsi="Arial" w:cs="Arial"/>
        </w:rPr>
      </w:pPr>
    </w:p>
    <w:p w14:paraId="01C498C0" w14:textId="77777777" w:rsidR="00626ABD" w:rsidRPr="005E36B7" w:rsidRDefault="00626ABD" w:rsidP="00126989">
      <w:pPr>
        <w:spacing w:line="360" w:lineRule="auto"/>
        <w:jc w:val="both"/>
        <w:rPr>
          <w:rFonts w:ascii="Arial" w:hAnsi="Arial" w:cs="Arial"/>
        </w:rPr>
      </w:pPr>
      <w:r w:rsidRPr="005E36B7">
        <w:rPr>
          <w:rFonts w:ascii="Arial" w:hAnsi="Arial" w:cs="Arial"/>
        </w:rPr>
        <w:t xml:space="preserve">Zheng, L., Zhao, Y. and Wang, H., 2023. Leadership style and employee well-being in hospitality organizations. </w:t>
      </w:r>
      <w:r w:rsidRPr="005E36B7">
        <w:rPr>
          <w:rFonts w:ascii="Arial" w:hAnsi="Arial" w:cs="Arial"/>
          <w:i/>
          <w:iCs/>
        </w:rPr>
        <w:t>International Journal of Hospitality Management</w:t>
      </w:r>
      <w:r w:rsidRPr="005E36B7">
        <w:rPr>
          <w:rFonts w:ascii="Arial" w:hAnsi="Arial" w:cs="Arial"/>
        </w:rPr>
        <w:t>, 112, 103318.</w:t>
      </w:r>
    </w:p>
    <w:p w14:paraId="6E24A48F" w14:textId="77777777" w:rsidR="00626ABD" w:rsidRPr="005E36B7" w:rsidRDefault="00626ABD" w:rsidP="00126989">
      <w:pPr>
        <w:spacing w:line="360" w:lineRule="auto"/>
        <w:jc w:val="both"/>
        <w:rPr>
          <w:rFonts w:ascii="Arial" w:hAnsi="Arial" w:cs="Arial"/>
        </w:rPr>
      </w:pPr>
    </w:p>
    <w:p w14:paraId="43E343F7" w14:textId="0ECA059B" w:rsidR="00626ABD" w:rsidRPr="005E36B7" w:rsidRDefault="00626ABD" w:rsidP="00126989">
      <w:pPr>
        <w:spacing w:line="360" w:lineRule="auto"/>
        <w:jc w:val="both"/>
        <w:rPr>
          <w:rFonts w:ascii="Arial" w:hAnsi="Arial" w:cs="Arial"/>
        </w:rPr>
      </w:pPr>
      <w:r w:rsidRPr="005E36B7">
        <w:rPr>
          <w:rFonts w:ascii="Arial" w:hAnsi="Arial" w:cs="Arial"/>
        </w:rPr>
        <w:t>Hauff, S., Richter, P. and Pundt, A., 2022. Health-oriented leadership and employee well-being: A review. Frontiers in Psychology, 13, 845632.</w:t>
      </w:r>
    </w:p>
    <w:sectPr w:rsidR="00626ABD" w:rsidRPr="005E36B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50A9"/>
    <w:rsid w:val="00015442"/>
    <w:rsid w:val="0006678F"/>
    <w:rsid w:val="00072747"/>
    <w:rsid w:val="000B3BC3"/>
    <w:rsid w:val="000C2344"/>
    <w:rsid w:val="00126989"/>
    <w:rsid w:val="00155433"/>
    <w:rsid w:val="001608A5"/>
    <w:rsid w:val="001A3B92"/>
    <w:rsid w:val="001A5526"/>
    <w:rsid w:val="0028309A"/>
    <w:rsid w:val="00290FC5"/>
    <w:rsid w:val="002C2A68"/>
    <w:rsid w:val="003674C0"/>
    <w:rsid w:val="00412F4B"/>
    <w:rsid w:val="004317B1"/>
    <w:rsid w:val="004939DB"/>
    <w:rsid w:val="00493CCC"/>
    <w:rsid w:val="004F44BC"/>
    <w:rsid w:val="004F634B"/>
    <w:rsid w:val="00521FD7"/>
    <w:rsid w:val="00547FCB"/>
    <w:rsid w:val="005636C1"/>
    <w:rsid w:val="00571233"/>
    <w:rsid w:val="005B63DA"/>
    <w:rsid w:val="005D0C1B"/>
    <w:rsid w:val="005D7CE5"/>
    <w:rsid w:val="005E36B7"/>
    <w:rsid w:val="006258BA"/>
    <w:rsid w:val="00626ABD"/>
    <w:rsid w:val="0068510C"/>
    <w:rsid w:val="006C0AF3"/>
    <w:rsid w:val="006F7790"/>
    <w:rsid w:val="0078133F"/>
    <w:rsid w:val="00883FDD"/>
    <w:rsid w:val="00892863"/>
    <w:rsid w:val="00932097"/>
    <w:rsid w:val="00947F31"/>
    <w:rsid w:val="009C0F1C"/>
    <w:rsid w:val="00A03FC5"/>
    <w:rsid w:val="00A14719"/>
    <w:rsid w:val="00AB5AA1"/>
    <w:rsid w:val="00B338D6"/>
    <w:rsid w:val="00B903E9"/>
    <w:rsid w:val="00BC4E61"/>
    <w:rsid w:val="00BF5A30"/>
    <w:rsid w:val="00C02AC0"/>
    <w:rsid w:val="00C850C7"/>
    <w:rsid w:val="00C9446D"/>
    <w:rsid w:val="00CD5694"/>
    <w:rsid w:val="00CD7281"/>
    <w:rsid w:val="00CF672B"/>
    <w:rsid w:val="00D844C5"/>
    <w:rsid w:val="00DA50A9"/>
    <w:rsid w:val="00DF0B22"/>
    <w:rsid w:val="00E30045"/>
    <w:rsid w:val="00EA0B1A"/>
    <w:rsid w:val="00EE592A"/>
    <w:rsid w:val="00F30F7A"/>
    <w:rsid w:val="00F54E65"/>
    <w:rsid w:val="00FD35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AA677C"/>
  <w15:chartTrackingRefBased/>
  <w15:docId w15:val="{E9058021-F498-4380-AD64-DA16010D3E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50A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A50A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A50A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A50A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A50A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A50A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50A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50A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50A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50A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A50A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A50A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A50A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A50A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A50A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50A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50A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50A9"/>
    <w:rPr>
      <w:rFonts w:eastAsiaTheme="majorEastAsia" w:cstheme="majorBidi"/>
      <w:color w:val="272727" w:themeColor="text1" w:themeTint="D8"/>
    </w:rPr>
  </w:style>
  <w:style w:type="paragraph" w:styleId="Title">
    <w:name w:val="Title"/>
    <w:basedOn w:val="Normal"/>
    <w:next w:val="Normal"/>
    <w:link w:val="TitleChar"/>
    <w:uiPriority w:val="10"/>
    <w:qFormat/>
    <w:rsid w:val="00DA50A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50A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50A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50A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50A9"/>
    <w:pPr>
      <w:spacing w:before="160"/>
      <w:jc w:val="center"/>
    </w:pPr>
    <w:rPr>
      <w:i/>
      <w:iCs/>
      <w:color w:val="404040" w:themeColor="text1" w:themeTint="BF"/>
    </w:rPr>
  </w:style>
  <w:style w:type="character" w:customStyle="1" w:styleId="QuoteChar">
    <w:name w:val="Quote Char"/>
    <w:basedOn w:val="DefaultParagraphFont"/>
    <w:link w:val="Quote"/>
    <w:uiPriority w:val="29"/>
    <w:rsid w:val="00DA50A9"/>
    <w:rPr>
      <w:i/>
      <w:iCs/>
      <w:color w:val="404040" w:themeColor="text1" w:themeTint="BF"/>
    </w:rPr>
  </w:style>
  <w:style w:type="paragraph" w:styleId="ListParagraph">
    <w:name w:val="List Paragraph"/>
    <w:basedOn w:val="Normal"/>
    <w:uiPriority w:val="34"/>
    <w:qFormat/>
    <w:rsid w:val="00DA50A9"/>
    <w:pPr>
      <w:ind w:left="720"/>
      <w:contextualSpacing/>
    </w:pPr>
  </w:style>
  <w:style w:type="character" w:styleId="IntenseEmphasis">
    <w:name w:val="Intense Emphasis"/>
    <w:basedOn w:val="DefaultParagraphFont"/>
    <w:uiPriority w:val="21"/>
    <w:qFormat/>
    <w:rsid w:val="00DA50A9"/>
    <w:rPr>
      <w:i/>
      <w:iCs/>
      <w:color w:val="0F4761" w:themeColor="accent1" w:themeShade="BF"/>
    </w:rPr>
  </w:style>
  <w:style w:type="paragraph" w:styleId="IntenseQuote">
    <w:name w:val="Intense Quote"/>
    <w:basedOn w:val="Normal"/>
    <w:next w:val="Normal"/>
    <w:link w:val="IntenseQuoteChar"/>
    <w:uiPriority w:val="30"/>
    <w:qFormat/>
    <w:rsid w:val="00DA50A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A50A9"/>
    <w:rPr>
      <w:i/>
      <w:iCs/>
      <w:color w:val="0F4761" w:themeColor="accent1" w:themeShade="BF"/>
    </w:rPr>
  </w:style>
  <w:style w:type="character" w:styleId="IntenseReference">
    <w:name w:val="Intense Reference"/>
    <w:basedOn w:val="DefaultParagraphFont"/>
    <w:uiPriority w:val="32"/>
    <w:qFormat/>
    <w:rsid w:val="00DA50A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3174</Words>
  <Characters>18095</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Rebeca Baccela</dc:creator>
  <cp:keywords/>
  <dc:description/>
  <cp:lastModifiedBy>Rebeca Baccela</cp:lastModifiedBy>
  <cp:revision>2</cp:revision>
  <dcterms:created xsi:type="dcterms:W3CDTF">2025-10-30T11:59:00Z</dcterms:created>
  <dcterms:modified xsi:type="dcterms:W3CDTF">2025-10-30T11:59:00Z</dcterms:modified>
</cp:coreProperties>
</file>