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ED52F4" w:rsidP="00601D68">
      <w:pPr>
        <w:rPr>
          <w:rFonts w:cs="Arial"/>
          <w:b/>
          <w:sz w:val="28"/>
          <w:szCs w:val="28"/>
          <w:lang w:val="en-US"/>
        </w:rPr>
      </w:pPr>
      <w:r w:rsidRPr="009B7E20">
        <w:rPr>
          <w:rFonts w:cs="Arial"/>
          <w:b/>
          <w:noProof/>
          <w:sz w:val="28"/>
          <w:szCs w:val="28"/>
          <w:lang w:eastAsia="en-GB"/>
        </w:rPr>
        <w:drawing>
          <wp:anchor distT="0" distB="0" distL="114300" distR="114300" simplePos="0" relativeHeight="251659264" behindDoc="0" locked="0" layoutInCell="1" allowOverlap="1">
            <wp:simplePos x="0" y="0"/>
            <wp:positionH relativeFrom="column">
              <wp:posOffset>1381125</wp:posOffset>
            </wp:positionH>
            <wp:positionV relativeFrom="paragraph">
              <wp:posOffset>41769</wp:posOffset>
            </wp:positionV>
            <wp:extent cx="3112770" cy="1249680"/>
            <wp:effectExtent l="0" t="0" r="0" b="0"/>
            <wp:wrapSquare wrapText="bothSides"/>
            <wp:docPr id="1" name="Picture 1" descr="Image result for 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logo"/>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12770" cy="1249680"/>
                    </a:xfrm>
                    <a:prstGeom prst="rect">
                      <a:avLst/>
                    </a:prstGeom>
                    <a:noFill/>
                    <a:ln>
                      <a:noFill/>
                    </a:ln>
                  </pic:spPr>
                </pic:pic>
              </a:graphicData>
            </a:graphic>
          </wp:anchor>
        </w:drawing>
      </w: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tbl>
      <w:tblPr>
        <w:tblW w:w="5000" w:type="pct"/>
        <w:jc w:val="center"/>
        <w:tblLook w:val="04A0"/>
      </w:tblPr>
      <w:tblGrid>
        <w:gridCol w:w="9236"/>
      </w:tblGrid>
      <w:tr w:rsidR="00601D68" w:rsidTr="00C90913">
        <w:trPr>
          <w:trHeight w:val="1440"/>
          <w:jc w:val="center"/>
        </w:trPr>
        <w:sdt>
          <w:sdtPr>
            <w:rPr>
              <w:rFonts w:asciiTheme="majorHAnsi" w:eastAsiaTheme="majorEastAsia" w:hAnsiTheme="majorHAnsi" w:cstheme="majorBidi"/>
              <w:sz w:val="80"/>
              <w:szCs w:val="80"/>
            </w:rPr>
            <w:alias w:val="Title"/>
            <w:id w:val="15524250"/>
            <w:placeholder>
              <w:docPart w:val="25A4D04B77123D4C9C219D149F19152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472C4" w:themeColor="accent1"/>
                </w:tcBorders>
                <w:vAlign w:val="center"/>
              </w:tcPr>
              <w:p w:rsidR="00601D68" w:rsidRDefault="00601D68" w:rsidP="00C90913">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Islamic Finance</w:t>
                </w:r>
              </w:p>
            </w:tc>
          </w:sdtContent>
        </w:sdt>
      </w:tr>
      <w:tr w:rsidR="00601D68" w:rsidTr="00C90913">
        <w:trPr>
          <w:trHeight w:val="720"/>
          <w:jc w:val="center"/>
        </w:trPr>
        <w:tc>
          <w:tcPr>
            <w:tcW w:w="5000" w:type="pct"/>
            <w:tcBorders>
              <w:top w:val="single" w:sz="4" w:space="0" w:color="4472C4" w:themeColor="accent1"/>
            </w:tcBorders>
            <w:vAlign w:val="center"/>
          </w:tcPr>
          <w:p w:rsidR="00601D68" w:rsidRDefault="00601D68" w:rsidP="00791D80">
            <w:pPr>
              <w:pStyle w:val="NoSpacing"/>
              <w:spacing w:before="240"/>
              <w:rPr>
                <w:rFonts w:asciiTheme="majorHAnsi" w:eastAsiaTheme="majorEastAsia" w:hAnsiTheme="majorHAnsi" w:cstheme="majorBidi"/>
                <w:sz w:val="44"/>
                <w:szCs w:val="44"/>
              </w:rPr>
            </w:pPr>
          </w:p>
        </w:tc>
      </w:tr>
    </w:tbl>
    <w:p w:rsidR="00601D68" w:rsidRDefault="00601D68" w:rsidP="00601D68">
      <w:pPr>
        <w:rPr>
          <w:rFonts w:cs="Arial"/>
          <w:b/>
          <w:sz w:val="28"/>
          <w:szCs w:val="28"/>
          <w:lang w:val="en-US"/>
        </w:rPr>
      </w:pPr>
    </w:p>
    <w:p w:rsidR="00601D68" w:rsidRDefault="00601D68" w:rsidP="00601D68">
      <w:pPr>
        <w:jc w:val="cente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p w:rsidR="00601D68" w:rsidRDefault="00601D68" w:rsidP="00601D68">
      <w:pPr>
        <w:rPr>
          <w:rFonts w:cs="Arial"/>
          <w:b/>
          <w:sz w:val="28"/>
          <w:szCs w:val="28"/>
          <w:lang w:val="en-US"/>
        </w:rPr>
      </w:pPr>
    </w:p>
    <w:tbl>
      <w:tblPr>
        <w:tblW w:w="5000" w:type="pct"/>
        <w:jc w:val="center"/>
        <w:tblLook w:val="04A0"/>
      </w:tblPr>
      <w:tblGrid>
        <w:gridCol w:w="9236"/>
      </w:tblGrid>
      <w:tr w:rsidR="00601D68" w:rsidRPr="00F4597E" w:rsidTr="00601D68">
        <w:trPr>
          <w:trHeight w:val="851"/>
          <w:jc w:val="center"/>
        </w:trPr>
        <w:tc>
          <w:tcPr>
            <w:tcW w:w="5000" w:type="pct"/>
            <w:vAlign w:val="center"/>
          </w:tcPr>
          <w:p w:rsidR="00601D68" w:rsidRDefault="00601D68" w:rsidP="00C90913">
            <w:pPr>
              <w:pStyle w:val="NoSpacing"/>
              <w:jc w:val="center"/>
              <w:outlineLvl w:val="0"/>
              <w:rPr>
                <w:b/>
                <w:bCs/>
              </w:rPr>
            </w:pPr>
          </w:p>
          <w:p w:rsidR="00601D68" w:rsidRDefault="00601D68" w:rsidP="00C90913">
            <w:pPr>
              <w:pStyle w:val="NoSpacing"/>
              <w:jc w:val="center"/>
              <w:outlineLvl w:val="0"/>
              <w:rPr>
                <w:b/>
                <w:bCs/>
              </w:rPr>
            </w:pPr>
          </w:p>
          <w:p w:rsidR="00601D68" w:rsidRDefault="00601D68" w:rsidP="00C90913">
            <w:pPr>
              <w:pStyle w:val="NoSpacing"/>
              <w:jc w:val="center"/>
              <w:outlineLvl w:val="0"/>
              <w:rPr>
                <w:b/>
                <w:bCs/>
              </w:rPr>
            </w:pPr>
          </w:p>
          <w:p w:rsidR="00601D68" w:rsidRDefault="00601D68" w:rsidP="00C90913">
            <w:pPr>
              <w:pStyle w:val="NoSpacing"/>
              <w:jc w:val="center"/>
              <w:outlineLvl w:val="0"/>
              <w:rPr>
                <w:b/>
                <w:bCs/>
              </w:rPr>
            </w:pPr>
          </w:p>
          <w:p w:rsidR="00601D68" w:rsidRDefault="00601D68" w:rsidP="00C90913">
            <w:pPr>
              <w:pStyle w:val="NoSpacing"/>
              <w:jc w:val="center"/>
              <w:outlineLvl w:val="0"/>
              <w:rPr>
                <w:bCs/>
                <w:sz w:val="32"/>
              </w:rPr>
            </w:pPr>
            <w:bookmarkStart w:id="0" w:name="_Toc530478483"/>
            <w:bookmarkStart w:id="1" w:name="_Toc530479169"/>
            <w:bookmarkStart w:id="2" w:name="_Toc530486196"/>
            <w:bookmarkStart w:id="3" w:name="_Toc530487708"/>
            <w:bookmarkStart w:id="4" w:name="_Toc530498196"/>
            <w:bookmarkStart w:id="5" w:name="_Toc530498426"/>
            <w:bookmarkStart w:id="6" w:name="_Toc531519852"/>
            <w:bookmarkStart w:id="7" w:name="_Toc531519927"/>
            <w:bookmarkStart w:id="8" w:name="_Toc531875399"/>
            <w:bookmarkStart w:id="9" w:name="_Toc532202601"/>
            <w:bookmarkStart w:id="10" w:name="_Toc532203390"/>
            <w:bookmarkStart w:id="11" w:name="_Toc532204586"/>
            <w:bookmarkStart w:id="12" w:name="_Toc532213699"/>
            <w:bookmarkStart w:id="13" w:name="_Toc532213743"/>
            <w:bookmarkStart w:id="14" w:name="_Toc532235106"/>
            <w:bookmarkStart w:id="15" w:name="_Toc532238525"/>
            <w:bookmarkStart w:id="16" w:name="_Toc532304947"/>
            <w:bookmarkStart w:id="17" w:name="_Toc532305277"/>
            <w:r w:rsidRPr="00F4597E">
              <w:rPr>
                <w:b/>
                <w:bCs/>
                <w:sz w:val="32"/>
              </w:rPr>
              <w:t>Student Name:</w:t>
            </w:r>
            <w:r>
              <w:rPr>
                <w:b/>
                <w:bCs/>
                <w:sz w:val="32"/>
              </w:rPr>
              <w:t xml:space="preserve"> Dean Chilcott</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rsidR="00601D68" w:rsidRPr="009B7E20" w:rsidRDefault="00601D68" w:rsidP="00C90913">
            <w:pPr>
              <w:pStyle w:val="NoSpacing"/>
              <w:jc w:val="center"/>
              <w:outlineLvl w:val="0"/>
              <w:rPr>
                <w:bCs/>
              </w:rPr>
            </w:pPr>
            <w:bookmarkStart w:id="18" w:name="_Toc530478484"/>
            <w:bookmarkStart w:id="19" w:name="_Toc530479170"/>
            <w:bookmarkStart w:id="20" w:name="_Toc530486197"/>
            <w:bookmarkStart w:id="21" w:name="_Toc530487709"/>
            <w:bookmarkStart w:id="22" w:name="_Toc530498197"/>
            <w:bookmarkStart w:id="23" w:name="_Toc530498427"/>
            <w:bookmarkStart w:id="24" w:name="_Toc531519853"/>
            <w:bookmarkStart w:id="25" w:name="_Toc531519928"/>
            <w:bookmarkStart w:id="26" w:name="_Toc531875400"/>
            <w:bookmarkStart w:id="27" w:name="_Toc532202602"/>
            <w:bookmarkStart w:id="28" w:name="_Toc532203391"/>
            <w:bookmarkStart w:id="29" w:name="_Toc532204587"/>
            <w:bookmarkStart w:id="30" w:name="_Toc532213700"/>
            <w:bookmarkStart w:id="31" w:name="_Toc532213744"/>
            <w:bookmarkStart w:id="32" w:name="_Toc532235107"/>
            <w:bookmarkStart w:id="33" w:name="_Toc532238526"/>
            <w:bookmarkStart w:id="34" w:name="_Toc532304948"/>
            <w:bookmarkStart w:id="35" w:name="_Toc532305278"/>
            <w:r>
              <w:rPr>
                <w:b/>
                <w:bCs/>
                <w:sz w:val="32"/>
              </w:rPr>
              <w:t xml:space="preserve">Student ID: </w:t>
            </w:r>
            <w:r w:rsidRPr="009B7E20">
              <w:rPr>
                <w:b/>
                <w:bCs/>
                <w:sz w:val="32"/>
              </w:rPr>
              <w:t>1403144</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rsidR="00601D68" w:rsidRDefault="00601D68" w:rsidP="00C90913">
            <w:pPr>
              <w:pStyle w:val="NoSpacing"/>
              <w:outlineLvl w:val="0"/>
              <w:rPr>
                <w:bCs/>
              </w:rPr>
            </w:pPr>
          </w:p>
          <w:p w:rsidR="00601D68" w:rsidRDefault="00601D68" w:rsidP="00C90913">
            <w:pPr>
              <w:pStyle w:val="NoSpacing"/>
              <w:outlineLvl w:val="0"/>
              <w:rPr>
                <w:bCs/>
              </w:rPr>
            </w:pPr>
          </w:p>
          <w:p w:rsidR="00601D68" w:rsidRDefault="00601D68" w:rsidP="00C90913">
            <w:pPr>
              <w:pStyle w:val="NoSpacing"/>
              <w:outlineLvl w:val="0"/>
              <w:rPr>
                <w:bCs/>
              </w:rPr>
            </w:pPr>
          </w:p>
          <w:p w:rsidR="00601D68" w:rsidRDefault="00601D68" w:rsidP="00C90913">
            <w:pPr>
              <w:pStyle w:val="NoSpacing"/>
              <w:outlineLvl w:val="0"/>
              <w:rPr>
                <w:bCs/>
              </w:rPr>
            </w:pPr>
          </w:p>
          <w:p w:rsidR="00601D68" w:rsidRDefault="00601D68" w:rsidP="00C90913">
            <w:pPr>
              <w:pStyle w:val="NoSpacing"/>
              <w:outlineLvl w:val="0"/>
              <w:rPr>
                <w:bCs/>
              </w:rPr>
            </w:pPr>
          </w:p>
          <w:p w:rsidR="00601D68" w:rsidRDefault="00601D68" w:rsidP="00C90913">
            <w:pPr>
              <w:pStyle w:val="NoSpacing"/>
              <w:outlineLvl w:val="0"/>
              <w:rPr>
                <w:bCs/>
              </w:rPr>
            </w:pPr>
          </w:p>
          <w:p w:rsidR="00601D68" w:rsidRDefault="00601D68" w:rsidP="00C90913">
            <w:pPr>
              <w:pStyle w:val="NoSpacing"/>
              <w:outlineLvl w:val="0"/>
              <w:rPr>
                <w:bCs/>
              </w:rPr>
            </w:pPr>
          </w:p>
          <w:p w:rsidR="00601D68" w:rsidRDefault="00601D68" w:rsidP="00C90913">
            <w:pPr>
              <w:pStyle w:val="NoSpacing"/>
              <w:outlineLvl w:val="0"/>
              <w:rPr>
                <w:bCs/>
              </w:rPr>
            </w:pPr>
          </w:p>
          <w:p w:rsidR="00601D68" w:rsidRPr="00F4597E" w:rsidRDefault="00601D68" w:rsidP="00C90913">
            <w:pPr>
              <w:pStyle w:val="NoSpacing"/>
              <w:outlineLvl w:val="0"/>
              <w:rPr>
                <w:bCs/>
              </w:rPr>
            </w:pPr>
          </w:p>
        </w:tc>
      </w:tr>
    </w:tbl>
    <w:p w:rsidR="006E391C" w:rsidRDefault="006E391C" w:rsidP="00601D68">
      <w:pPr>
        <w:jc w:val="both"/>
        <w:rPr>
          <w:rFonts w:ascii="Calibri" w:hAnsi="Calibri"/>
          <w:sz w:val="22"/>
          <w:szCs w:val="22"/>
        </w:rPr>
      </w:pPr>
    </w:p>
    <w:sdt>
      <w:sdtPr>
        <w:rPr>
          <w:rFonts w:ascii="Times New Roman" w:eastAsia="Times New Roman" w:hAnsi="Times New Roman" w:cs="Times New Roman"/>
          <w:color w:val="auto"/>
          <w:sz w:val="24"/>
          <w:szCs w:val="24"/>
          <w:lang w:val="en-GB"/>
        </w:rPr>
        <w:id w:val="-336379826"/>
        <w:docPartObj>
          <w:docPartGallery w:val="Table of Contents"/>
          <w:docPartUnique/>
        </w:docPartObj>
      </w:sdtPr>
      <w:sdtEndPr>
        <w:rPr>
          <w:b/>
          <w:bCs/>
          <w:noProof/>
        </w:rPr>
      </w:sdtEndPr>
      <w:sdtContent>
        <w:p w:rsidR="004B5606" w:rsidRDefault="00ED52F4" w:rsidP="004B5606">
          <w:pPr>
            <w:pStyle w:val="TOCHeading"/>
            <w:rPr>
              <w:rFonts w:asciiTheme="minorHAnsi" w:eastAsiaTheme="minorEastAsia" w:hAnsiTheme="minorHAnsi" w:cstheme="minorBidi"/>
              <w:noProof/>
              <w:sz w:val="22"/>
              <w:szCs w:val="22"/>
              <w:lang w:eastAsia="en-GB"/>
            </w:rPr>
          </w:pPr>
          <w:r>
            <w:t>Contents</w:t>
          </w:r>
          <w:r w:rsidR="00E00C3A" w:rsidRPr="00E00C3A">
            <w:rPr>
              <w:b/>
              <w:bCs/>
              <w:noProof/>
            </w:rPr>
            <w:fldChar w:fldCharType="begin"/>
          </w:r>
          <w:r>
            <w:rPr>
              <w:b/>
              <w:bCs/>
              <w:noProof/>
            </w:rPr>
            <w:instrText xml:space="preserve"> TOC \o "1-3" \h \z \u </w:instrText>
          </w:r>
          <w:r w:rsidR="00E00C3A" w:rsidRPr="00E00C3A">
            <w:rPr>
              <w:b/>
              <w:bCs/>
              <w:noProof/>
            </w:rPr>
            <w:fldChar w:fldCharType="separate"/>
          </w:r>
        </w:p>
        <w:p w:rsidR="004B5606" w:rsidRDefault="004B5606">
          <w:pPr>
            <w:pStyle w:val="TOC1"/>
            <w:tabs>
              <w:tab w:val="right" w:leader="dot" w:pos="9010"/>
            </w:tabs>
            <w:rPr>
              <w:rFonts w:asciiTheme="minorHAnsi" w:eastAsiaTheme="minorEastAsia" w:hAnsiTheme="minorHAnsi" w:cstheme="minorBidi"/>
              <w:noProof/>
              <w:sz w:val="22"/>
              <w:szCs w:val="22"/>
              <w:lang w:eastAsia="en-GB"/>
            </w:rPr>
          </w:pPr>
        </w:p>
        <w:p w:rsidR="004B5606" w:rsidRDefault="00E00C3A">
          <w:pPr>
            <w:pStyle w:val="TOC1"/>
            <w:tabs>
              <w:tab w:val="right" w:leader="dot" w:pos="9010"/>
            </w:tabs>
            <w:rPr>
              <w:rFonts w:asciiTheme="minorHAnsi" w:eastAsiaTheme="minorEastAsia" w:hAnsiTheme="minorHAnsi" w:cstheme="minorBidi"/>
              <w:noProof/>
              <w:sz w:val="22"/>
              <w:szCs w:val="22"/>
              <w:lang w:eastAsia="en-GB"/>
            </w:rPr>
          </w:pPr>
          <w:hyperlink w:anchor="_Toc532305279" w:history="1">
            <w:r w:rsidR="004B5606" w:rsidRPr="005A6AA6">
              <w:rPr>
                <w:rStyle w:val="Hyperlink"/>
                <w:rFonts w:asciiTheme="majorHAnsi" w:eastAsiaTheme="majorEastAsia" w:hAnsiTheme="majorHAnsi" w:cstheme="majorBidi"/>
                <w:noProof/>
              </w:rPr>
              <w:t>Executive Summary</w:t>
            </w:r>
            <w:r w:rsidR="004B5606">
              <w:rPr>
                <w:noProof/>
                <w:webHidden/>
              </w:rPr>
              <w:tab/>
            </w:r>
            <w:r>
              <w:rPr>
                <w:noProof/>
                <w:webHidden/>
              </w:rPr>
              <w:fldChar w:fldCharType="begin"/>
            </w:r>
            <w:r w:rsidR="004B5606">
              <w:rPr>
                <w:noProof/>
                <w:webHidden/>
              </w:rPr>
              <w:instrText xml:space="preserve"> PAGEREF _Toc532305279 \h </w:instrText>
            </w:r>
            <w:r>
              <w:rPr>
                <w:noProof/>
                <w:webHidden/>
              </w:rPr>
            </w:r>
            <w:r>
              <w:rPr>
                <w:noProof/>
                <w:webHidden/>
              </w:rPr>
              <w:fldChar w:fldCharType="separate"/>
            </w:r>
            <w:r w:rsidR="004B5606">
              <w:rPr>
                <w:noProof/>
                <w:webHidden/>
              </w:rPr>
              <w:t>3</w:t>
            </w:r>
            <w:r>
              <w:rPr>
                <w:noProof/>
                <w:webHidden/>
              </w:rPr>
              <w:fldChar w:fldCharType="end"/>
            </w:r>
          </w:hyperlink>
        </w:p>
        <w:p w:rsidR="004B5606" w:rsidRDefault="00E00C3A">
          <w:pPr>
            <w:pStyle w:val="TOC1"/>
            <w:tabs>
              <w:tab w:val="right" w:leader="dot" w:pos="9010"/>
            </w:tabs>
            <w:rPr>
              <w:rFonts w:asciiTheme="minorHAnsi" w:eastAsiaTheme="minorEastAsia" w:hAnsiTheme="minorHAnsi" w:cstheme="minorBidi"/>
              <w:noProof/>
              <w:sz w:val="22"/>
              <w:szCs w:val="22"/>
              <w:lang w:eastAsia="en-GB"/>
            </w:rPr>
          </w:pPr>
          <w:hyperlink w:anchor="_Toc532305280" w:history="1">
            <w:r w:rsidR="004B5606" w:rsidRPr="005A6AA6">
              <w:rPr>
                <w:rStyle w:val="Hyperlink"/>
                <w:rFonts w:asciiTheme="majorHAnsi" w:eastAsiaTheme="majorEastAsia" w:hAnsiTheme="majorHAnsi" w:cstheme="majorBidi"/>
                <w:noProof/>
              </w:rPr>
              <w:t>Background</w:t>
            </w:r>
            <w:r w:rsidR="004B5606">
              <w:rPr>
                <w:noProof/>
                <w:webHidden/>
              </w:rPr>
              <w:tab/>
            </w:r>
            <w:r>
              <w:rPr>
                <w:noProof/>
                <w:webHidden/>
              </w:rPr>
              <w:fldChar w:fldCharType="begin"/>
            </w:r>
            <w:r w:rsidR="004B5606">
              <w:rPr>
                <w:noProof/>
                <w:webHidden/>
              </w:rPr>
              <w:instrText xml:space="preserve"> PAGEREF _Toc532305280 \h </w:instrText>
            </w:r>
            <w:r>
              <w:rPr>
                <w:noProof/>
                <w:webHidden/>
              </w:rPr>
            </w:r>
            <w:r>
              <w:rPr>
                <w:noProof/>
                <w:webHidden/>
              </w:rPr>
              <w:fldChar w:fldCharType="separate"/>
            </w:r>
            <w:r w:rsidR="004B5606">
              <w:rPr>
                <w:noProof/>
                <w:webHidden/>
              </w:rPr>
              <w:t>4</w:t>
            </w:r>
            <w:r>
              <w:rPr>
                <w:noProof/>
                <w:webHidden/>
              </w:rPr>
              <w:fldChar w:fldCharType="end"/>
            </w:r>
          </w:hyperlink>
        </w:p>
        <w:p w:rsidR="004B5606" w:rsidRDefault="00E00C3A">
          <w:pPr>
            <w:pStyle w:val="TOC1"/>
            <w:tabs>
              <w:tab w:val="right" w:leader="dot" w:pos="9010"/>
            </w:tabs>
            <w:rPr>
              <w:rFonts w:asciiTheme="minorHAnsi" w:eastAsiaTheme="minorEastAsia" w:hAnsiTheme="minorHAnsi" w:cstheme="minorBidi"/>
              <w:noProof/>
              <w:sz w:val="22"/>
              <w:szCs w:val="22"/>
              <w:lang w:eastAsia="en-GB"/>
            </w:rPr>
          </w:pPr>
          <w:hyperlink w:anchor="_Toc532305281" w:history="1">
            <w:r w:rsidR="004B5606" w:rsidRPr="005A6AA6">
              <w:rPr>
                <w:rStyle w:val="Hyperlink"/>
                <w:rFonts w:asciiTheme="majorHAnsi" w:eastAsiaTheme="majorEastAsia" w:hAnsiTheme="majorHAnsi" w:cstheme="majorBidi"/>
                <w:noProof/>
              </w:rPr>
              <w:t>Islamic Finance in Practice</w:t>
            </w:r>
            <w:r w:rsidR="004B5606">
              <w:rPr>
                <w:noProof/>
                <w:webHidden/>
              </w:rPr>
              <w:tab/>
            </w:r>
            <w:r>
              <w:rPr>
                <w:noProof/>
                <w:webHidden/>
              </w:rPr>
              <w:fldChar w:fldCharType="begin"/>
            </w:r>
            <w:r w:rsidR="004B5606">
              <w:rPr>
                <w:noProof/>
                <w:webHidden/>
              </w:rPr>
              <w:instrText xml:space="preserve"> PAGEREF _Toc532305281 \h </w:instrText>
            </w:r>
            <w:r>
              <w:rPr>
                <w:noProof/>
                <w:webHidden/>
              </w:rPr>
            </w:r>
            <w:r>
              <w:rPr>
                <w:noProof/>
                <w:webHidden/>
              </w:rPr>
              <w:fldChar w:fldCharType="separate"/>
            </w:r>
            <w:r w:rsidR="004B5606">
              <w:rPr>
                <w:noProof/>
                <w:webHidden/>
              </w:rPr>
              <w:t>5</w:t>
            </w:r>
            <w:r>
              <w:rPr>
                <w:noProof/>
                <w:webHidden/>
              </w:rPr>
              <w:fldChar w:fldCharType="end"/>
            </w:r>
          </w:hyperlink>
        </w:p>
        <w:p w:rsidR="004B5606" w:rsidRDefault="00E00C3A">
          <w:pPr>
            <w:pStyle w:val="TOC1"/>
            <w:tabs>
              <w:tab w:val="right" w:leader="dot" w:pos="9010"/>
            </w:tabs>
            <w:rPr>
              <w:rFonts w:asciiTheme="minorHAnsi" w:eastAsiaTheme="minorEastAsia" w:hAnsiTheme="minorHAnsi" w:cstheme="minorBidi"/>
              <w:noProof/>
              <w:sz w:val="22"/>
              <w:szCs w:val="22"/>
              <w:lang w:eastAsia="en-GB"/>
            </w:rPr>
          </w:pPr>
          <w:hyperlink w:anchor="_Toc532305282" w:history="1">
            <w:r w:rsidR="004B5606" w:rsidRPr="005A6AA6">
              <w:rPr>
                <w:rStyle w:val="Hyperlink"/>
                <w:rFonts w:asciiTheme="majorHAnsi" w:eastAsiaTheme="majorEastAsia" w:hAnsiTheme="majorHAnsi" w:cstheme="majorBidi"/>
                <w:noProof/>
              </w:rPr>
              <w:t>Advantages and Disadvantages of Islamic Finance</w:t>
            </w:r>
            <w:r w:rsidR="004B5606">
              <w:rPr>
                <w:noProof/>
                <w:webHidden/>
              </w:rPr>
              <w:tab/>
            </w:r>
            <w:r>
              <w:rPr>
                <w:noProof/>
                <w:webHidden/>
              </w:rPr>
              <w:fldChar w:fldCharType="begin"/>
            </w:r>
            <w:r w:rsidR="004B5606">
              <w:rPr>
                <w:noProof/>
                <w:webHidden/>
              </w:rPr>
              <w:instrText xml:space="preserve"> PAGEREF _Toc532305282 \h </w:instrText>
            </w:r>
            <w:r>
              <w:rPr>
                <w:noProof/>
                <w:webHidden/>
              </w:rPr>
            </w:r>
            <w:r>
              <w:rPr>
                <w:noProof/>
                <w:webHidden/>
              </w:rPr>
              <w:fldChar w:fldCharType="separate"/>
            </w:r>
            <w:r w:rsidR="004B5606">
              <w:rPr>
                <w:noProof/>
                <w:webHidden/>
              </w:rPr>
              <w:t>5</w:t>
            </w:r>
            <w:r>
              <w:rPr>
                <w:noProof/>
                <w:webHidden/>
              </w:rPr>
              <w:fldChar w:fldCharType="end"/>
            </w:r>
          </w:hyperlink>
        </w:p>
        <w:p w:rsidR="004B5606" w:rsidRDefault="00E00C3A">
          <w:pPr>
            <w:pStyle w:val="TOC1"/>
            <w:tabs>
              <w:tab w:val="right" w:leader="dot" w:pos="9010"/>
            </w:tabs>
            <w:rPr>
              <w:rFonts w:asciiTheme="minorHAnsi" w:eastAsiaTheme="minorEastAsia" w:hAnsiTheme="minorHAnsi" w:cstheme="minorBidi"/>
              <w:noProof/>
              <w:sz w:val="22"/>
              <w:szCs w:val="22"/>
              <w:lang w:eastAsia="en-GB"/>
            </w:rPr>
          </w:pPr>
          <w:hyperlink w:anchor="_Toc532305283" w:history="1">
            <w:r w:rsidR="004B5606" w:rsidRPr="005A6AA6">
              <w:rPr>
                <w:rStyle w:val="Hyperlink"/>
                <w:rFonts w:asciiTheme="majorHAnsi" w:eastAsiaTheme="majorEastAsia" w:hAnsiTheme="majorHAnsi" w:cstheme="majorBidi"/>
                <w:noProof/>
              </w:rPr>
              <w:t>Analysis of Islamic Finance</w:t>
            </w:r>
            <w:r w:rsidR="004B5606">
              <w:rPr>
                <w:noProof/>
                <w:webHidden/>
              </w:rPr>
              <w:tab/>
            </w:r>
            <w:r>
              <w:rPr>
                <w:noProof/>
                <w:webHidden/>
              </w:rPr>
              <w:fldChar w:fldCharType="begin"/>
            </w:r>
            <w:r w:rsidR="004B5606">
              <w:rPr>
                <w:noProof/>
                <w:webHidden/>
              </w:rPr>
              <w:instrText xml:space="preserve"> PAGEREF _Toc532305283 \h </w:instrText>
            </w:r>
            <w:r>
              <w:rPr>
                <w:noProof/>
                <w:webHidden/>
              </w:rPr>
            </w:r>
            <w:r>
              <w:rPr>
                <w:noProof/>
                <w:webHidden/>
              </w:rPr>
              <w:fldChar w:fldCharType="separate"/>
            </w:r>
            <w:r w:rsidR="004B5606">
              <w:rPr>
                <w:noProof/>
                <w:webHidden/>
              </w:rPr>
              <w:t>6</w:t>
            </w:r>
            <w:r>
              <w:rPr>
                <w:noProof/>
                <w:webHidden/>
              </w:rPr>
              <w:fldChar w:fldCharType="end"/>
            </w:r>
          </w:hyperlink>
        </w:p>
        <w:p w:rsidR="004B5606" w:rsidRDefault="00E00C3A">
          <w:pPr>
            <w:pStyle w:val="TOC1"/>
            <w:tabs>
              <w:tab w:val="right" w:leader="dot" w:pos="9010"/>
            </w:tabs>
            <w:rPr>
              <w:rFonts w:asciiTheme="minorHAnsi" w:eastAsiaTheme="minorEastAsia" w:hAnsiTheme="minorHAnsi" w:cstheme="minorBidi"/>
              <w:noProof/>
              <w:sz w:val="22"/>
              <w:szCs w:val="22"/>
              <w:lang w:eastAsia="en-GB"/>
            </w:rPr>
          </w:pPr>
          <w:hyperlink w:anchor="_Toc532305284" w:history="1">
            <w:r w:rsidR="004B5606" w:rsidRPr="005A6AA6">
              <w:rPr>
                <w:rStyle w:val="Hyperlink"/>
                <w:noProof/>
              </w:rPr>
              <w:t>Bibliography</w:t>
            </w:r>
            <w:r w:rsidR="004B5606">
              <w:rPr>
                <w:noProof/>
                <w:webHidden/>
              </w:rPr>
              <w:tab/>
            </w:r>
            <w:r>
              <w:rPr>
                <w:noProof/>
                <w:webHidden/>
              </w:rPr>
              <w:fldChar w:fldCharType="begin"/>
            </w:r>
            <w:r w:rsidR="004B5606">
              <w:rPr>
                <w:noProof/>
                <w:webHidden/>
              </w:rPr>
              <w:instrText xml:space="preserve"> PAGEREF _Toc532305284 \h </w:instrText>
            </w:r>
            <w:r>
              <w:rPr>
                <w:noProof/>
                <w:webHidden/>
              </w:rPr>
            </w:r>
            <w:r>
              <w:rPr>
                <w:noProof/>
                <w:webHidden/>
              </w:rPr>
              <w:fldChar w:fldCharType="separate"/>
            </w:r>
            <w:r w:rsidR="004B5606">
              <w:rPr>
                <w:noProof/>
                <w:webHidden/>
              </w:rPr>
              <w:t>10</w:t>
            </w:r>
            <w:r>
              <w:rPr>
                <w:noProof/>
                <w:webHidden/>
              </w:rPr>
              <w:fldChar w:fldCharType="end"/>
            </w:r>
          </w:hyperlink>
        </w:p>
        <w:p w:rsidR="00ED52F4" w:rsidRDefault="00E00C3A" w:rsidP="00ED52F4">
          <w:pPr>
            <w:rPr>
              <w:b/>
              <w:bCs/>
              <w:noProof/>
            </w:rPr>
          </w:pPr>
          <w:r>
            <w:rPr>
              <w:b/>
              <w:bCs/>
              <w:noProof/>
            </w:rPr>
            <w:fldChar w:fldCharType="end"/>
          </w:r>
        </w:p>
      </w:sdtContent>
    </w:sdt>
    <w:p w:rsidR="006E391C" w:rsidRDefault="006E391C" w:rsidP="00601D68">
      <w:pPr>
        <w:jc w:val="both"/>
        <w:rPr>
          <w:rFonts w:ascii="Calibri" w:hAnsi="Calibri"/>
          <w:sz w:val="22"/>
          <w:szCs w:val="22"/>
        </w:rPr>
      </w:pPr>
    </w:p>
    <w:p w:rsidR="006E391C" w:rsidRDefault="006E391C" w:rsidP="00601D68">
      <w:pPr>
        <w:jc w:val="both"/>
        <w:rPr>
          <w:rFonts w:ascii="Calibri" w:hAnsi="Calibri"/>
          <w:sz w:val="22"/>
          <w:szCs w:val="22"/>
        </w:rPr>
      </w:pPr>
    </w:p>
    <w:p w:rsidR="006E391C" w:rsidRDefault="006E391C" w:rsidP="00601D68">
      <w:pPr>
        <w:jc w:val="both"/>
        <w:rPr>
          <w:rFonts w:ascii="Calibri" w:hAnsi="Calibri"/>
          <w:sz w:val="22"/>
          <w:szCs w:val="22"/>
        </w:rPr>
      </w:pPr>
    </w:p>
    <w:p w:rsidR="006E391C" w:rsidRDefault="006E391C"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ED52F4" w:rsidRDefault="00ED52F4" w:rsidP="00601D68">
      <w:pPr>
        <w:jc w:val="both"/>
        <w:rPr>
          <w:rFonts w:ascii="Calibri" w:hAnsi="Calibri"/>
          <w:sz w:val="22"/>
          <w:szCs w:val="22"/>
        </w:rPr>
      </w:pPr>
    </w:p>
    <w:p w:rsidR="00F465FC" w:rsidRDefault="00F465FC" w:rsidP="00ED52F4">
      <w:pPr>
        <w:pStyle w:val="NoSpacing"/>
        <w:outlineLvl w:val="0"/>
        <w:rPr>
          <w:rFonts w:asciiTheme="majorHAnsi" w:eastAsiaTheme="majorEastAsia" w:hAnsiTheme="majorHAnsi" w:cstheme="majorBidi"/>
          <w:color w:val="2F5496" w:themeColor="accent1" w:themeShade="BF"/>
          <w:sz w:val="32"/>
          <w:szCs w:val="32"/>
        </w:rPr>
      </w:pPr>
    </w:p>
    <w:p w:rsidR="00551E98" w:rsidRDefault="00551E98"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bookmarkStart w:id="36" w:name="_Toc532305279"/>
      <w:r w:rsidRPr="00DF335E">
        <w:rPr>
          <w:rFonts w:asciiTheme="majorHAnsi" w:eastAsiaTheme="majorEastAsia" w:hAnsiTheme="majorHAnsi" w:cstheme="majorBidi"/>
          <w:color w:val="2F5496" w:themeColor="accent1" w:themeShade="BF"/>
          <w:sz w:val="32"/>
          <w:szCs w:val="32"/>
        </w:rPr>
        <w:t>Executive Summary</w:t>
      </w:r>
      <w:bookmarkEnd w:id="36"/>
      <w:r w:rsidRPr="00DF335E">
        <w:rPr>
          <w:rFonts w:asciiTheme="majorHAnsi" w:eastAsiaTheme="majorEastAsia" w:hAnsiTheme="majorHAnsi" w:cstheme="majorBidi"/>
          <w:color w:val="2F5496" w:themeColor="accent1" w:themeShade="BF"/>
          <w:sz w:val="32"/>
          <w:szCs w:val="32"/>
        </w:rPr>
        <w:t xml:space="preserve"> </w:t>
      </w: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50415F" w:rsidRPr="0050415F" w:rsidRDefault="0050415F" w:rsidP="0050415F">
      <w:pPr>
        <w:jc w:val="both"/>
        <w:rPr>
          <w:rFonts w:ascii="Calibri" w:hAnsi="Calibri"/>
          <w:sz w:val="22"/>
          <w:szCs w:val="22"/>
        </w:rPr>
      </w:pPr>
      <w:r w:rsidRPr="0050415F">
        <w:rPr>
          <w:rFonts w:ascii="Calibri" w:hAnsi="Calibri"/>
          <w:sz w:val="22"/>
          <w:szCs w:val="22"/>
        </w:rPr>
        <w:t xml:space="preserve">This report was commissioned to </w:t>
      </w:r>
      <w:r>
        <w:rPr>
          <w:rFonts w:ascii="Calibri" w:hAnsi="Calibri"/>
          <w:sz w:val="22"/>
          <w:szCs w:val="22"/>
        </w:rPr>
        <w:t>analyse the success of Islamic finance whilst critically evaluating whether Islamic finance is a means to financial institutions avoiding the peaks and troughs that have occurred in the financial markets;</w:t>
      </w:r>
    </w:p>
    <w:p w:rsidR="0050415F" w:rsidRPr="0050415F" w:rsidRDefault="0050415F" w:rsidP="0050415F">
      <w:pPr>
        <w:jc w:val="both"/>
        <w:rPr>
          <w:rFonts w:ascii="Calibri" w:hAnsi="Calibri"/>
          <w:sz w:val="22"/>
          <w:szCs w:val="22"/>
        </w:rPr>
      </w:pPr>
    </w:p>
    <w:p w:rsidR="0050415F" w:rsidRPr="0050415F" w:rsidRDefault="0050415F" w:rsidP="0050415F">
      <w:pPr>
        <w:jc w:val="both"/>
        <w:rPr>
          <w:rFonts w:ascii="Calibri" w:hAnsi="Calibri"/>
          <w:sz w:val="22"/>
          <w:szCs w:val="22"/>
        </w:rPr>
      </w:pPr>
      <w:r w:rsidRPr="0050415F">
        <w:rPr>
          <w:rFonts w:ascii="Calibri" w:hAnsi="Calibri"/>
          <w:sz w:val="22"/>
          <w:szCs w:val="22"/>
        </w:rPr>
        <w:t xml:space="preserve">From the research the following recommendations can be made; </w:t>
      </w:r>
    </w:p>
    <w:p w:rsidR="0050415F" w:rsidRPr="0050415F" w:rsidRDefault="0050415F" w:rsidP="0050415F">
      <w:pPr>
        <w:jc w:val="both"/>
        <w:rPr>
          <w:rFonts w:ascii="Calibri" w:hAnsi="Calibri"/>
          <w:sz w:val="22"/>
          <w:szCs w:val="22"/>
        </w:rPr>
      </w:pPr>
    </w:p>
    <w:p w:rsidR="0050415F" w:rsidRPr="0050415F" w:rsidRDefault="0050415F" w:rsidP="0050415F">
      <w:pPr>
        <w:pStyle w:val="ListParagraph"/>
        <w:numPr>
          <w:ilvl w:val="0"/>
          <w:numId w:val="3"/>
        </w:numPr>
        <w:jc w:val="both"/>
        <w:rPr>
          <w:rFonts w:ascii="Calibri" w:hAnsi="Calibri"/>
        </w:rPr>
      </w:pPr>
      <w:r w:rsidRPr="0050415F">
        <w:rPr>
          <w:rFonts w:ascii="Calibri" w:hAnsi="Calibri"/>
        </w:rPr>
        <w:t>The Conventional banking industry could reduce economic disparity applying the philosophies of Islamic finance.</w:t>
      </w:r>
    </w:p>
    <w:p w:rsidR="0050415F" w:rsidRDefault="0050415F" w:rsidP="0050415F">
      <w:pPr>
        <w:jc w:val="both"/>
        <w:rPr>
          <w:rFonts w:ascii="Calibri" w:hAnsi="Calibri"/>
          <w:sz w:val="22"/>
          <w:szCs w:val="22"/>
        </w:rPr>
      </w:pPr>
    </w:p>
    <w:p w:rsidR="0050415F" w:rsidRPr="0050415F" w:rsidRDefault="0050415F" w:rsidP="0050415F">
      <w:pPr>
        <w:pStyle w:val="ListParagraph"/>
        <w:numPr>
          <w:ilvl w:val="0"/>
          <w:numId w:val="3"/>
        </w:numPr>
        <w:jc w:val="both"/>
        <w:rPr>
          <w:rFonts w:ascii="Calibri" w:hAnsi="Calibri"/>
        </w:rPr>
      </w:pPr>
      <w:r w:rsidRPr="0050415F">
        <w:rPr>
          <w:rFonts w:ascii="Calibri" w:hAnsi="Calibri"/>
        </w:rPr>
        <w:t>Islamic Finance principles could be used to avoid boom and bust patterns in conventional finance, Islamic finance promotes responsible financial practises and avoids over</w:t>
      </w:r>
      <w:r w:rsidR="00B857CF">
        <w:rPr>
          <w:rFonts w:ascii="Calibri" w:hAnsi="Calibri"/>
        </w:rPr>
        <w:t>-</w:t>
      </w:r>
      <w:r w:rsidRPr="0050415F">
        <w:rPr>
          <w:rFonts w:ascii="Calibri" w:hAnsi="Calibri"/>
        </w:rPr>
        <w:t>deb</w:t>
      </w:r>
      <w:r w:rsidR="00B857CF">
        <w:rPr>
          <w:rFonts w:ascii="Calibri" w:hAnsi="Calibri"/>
        </w:rPr>
        <w:t>i</w:t>
      </w:r>
      <w:r w:rsidRPr="0050415F">
        <w:rPr>
          <w:rFonts w:ascii="Calibri" w:hAnsi="Calibri"/>
        </w:rPr>
        <w:t xml:space="preserve">ting the financial institution.  </w:t>
      </w:r>
    </w:p>
    <w:p w:rsidR="0050415F" w:rsidRDefault="0050415F" w:rsidP="0050415F">
      <w:pPr>
        <w:jc w:val="both"/>
        <w:rPr>
          <w:rFonts w:ascii="Calibri" w:hAnsi="Calibri"/>
          <w:sz w:val="22"/>
          <w:szCs w:val="22"/>
        </w:rPr>
      </w:pPr>
    </w:p>
    <w:p w:rsidR="0050415F" w:rsidRPr="0050415F" w:rsidRDefault="0050415F" w:rsidP="0050415F">
      <w:pPr>
        <w:pStyle w:val="ListParagraph"/>
        <w:numPr>
          <w:ilvl w:val="0"/>
          <w:numId w:val="3"/>
        </w:numPr>
        <w:jc w:val="both"/>
        <w:rPr>
          <w:rFonts w:ascii="Calibri" w:hAnsi="Calibri"/>
        </w:rPr>
      </w:pPr>
      <w:r w:rsidRPr="0050415F">
        <w:rPr>
          <w:rFonts w:ascii="Calibri" w:hAnsi="Calibri"/>
        </w:rPr>
        <w:t>Islamic Finance could also</w:t>
      </w:r>
      <w:r w:rsidR="005D7235">
        <w:rPr>
          <w:rFonts w:ascii="Calibri" w:hAnsi="Calibri"/>
        </w:rPr>
        <w:t xml:space="preserve"> </w:t>
      </w:r>
      <w:r w:rsidRPr="0050415F">
        <w:rPr>
          <w:rFonts w:ascii="Calibri" w:hAnsi="Calibri"/>
        </w:rPr>
        <w:t xml:space="preserve">aid conventional institutions in encouraging longer term </w:t>
      </w:r>
      <w:proofErr w:type="gramStart"/>
      <w:r w:rsidRPr="0050415F">
        <w:rPr>
          <w:rFonts w:ascii="Calibri" w:hAnsi="Calibri"/>
        </w:rPr>
        <w:t>investments,</w:t>
      </w:r>
      <w:proofErr w:type="gramEnd"/>
      <w:r w:rsidRPr="0050415F">
        <w:rPr>
          <w:rFonts w:ascii="Calibri" w:hAnsi="Calibri"/>
        </w:rPr>
        <w:t xml:space="preserve"> the Islamic approach promotes a slower more throughout decision making process.</w:t>
      </w: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bookmarkStart w:id="37" w:name="_GoBack"/>
      <w:bookmarkEnd w:id="37"/>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DF335E" w:rsidRDefault="00DF335E" w:rsidP="00ED52F4">
      <w:pPr>
        <w:pStyle w:val="NoSpacing"/>
        <w:outlineLvl w:val="0"/>
        <w:rPr>
          <w:rFonts w:asciiTheme="majorHAnsi" w:eastAsiaTheme="majorEastAsia" w:hAnsiTheme="majorHAnsi" w:cstheme="majorBidi"/>
          <w:color w:val="2F5496" w:themeColor="accent1" w:themeShade="BF"/>
          <w:sz w:val="32"/>
          <w:szCs w:val="32"/>
        </w:rPr>
      </w:pPr>
    </w:p>
    <w:p w:rsidR="00F465FC" w:rsidRDefault="00F465FC" w:rsidP="00ED52F4">
      <w:pPr>
        <w:pStyle w:val="NoSpacing"/>
        <w:outlineLvl w:val="0"/>
        <w:rPr>
          <w:rFonts w:asciiTheme="majorHAnsi" w:eastAsiaTheme="majorEastAsia" w:hAnsiTheme="majorHAnsi" w:cstheme="majorBidi"/>
          <w:color w:val="2F5496" w:themeColor="accent1" w:themeShade="BF"/>
          <w:sz w:val="32"/>
          <w:szCs w:val="32"/>
        </w:rPr>
      </w:pPr>
    </w:p>
    <w:p w:rsidR="00ED52F4" w:rsidRDefault="00ED52F4" w:rsidP="00ED52F4">
      <w:pPr>
        <w:pStyle w:val="NoSpacing"/>
        <w:outlineLvl w:val="0"/>
        <w:rPr>
          <w:bCs/>
          <w:sz w:val="32"/>
        </w:rPr>
      </w:pPr>
      <w:bookmarkStart w:id="38" w:name="_Toc532305280"/>
      <w:r w:rsidRPr="00ED52F4">
        <w:rPr>
          <w:rFonts w:asciiTheme="majorHAnsi" w:eastAsiaTheme="majorEastAsia" w:hAnsiTheme="majorHAnsi" w:cstheme="majorBidi"/>
          <w:color w:val="2F5496" w:themeColor="accent1" w:themeShade="BF"/>
          <w:sz w:val="32"/>
          <w:szCs w:val="32"/>
        </w:rPr>
        <w:t>Background</w:t>
      </w:r>
      <w:bookmarkEnd w:id="38"/>
    </w:p>
    <w:p w:rsidR="00ED52F4" w:rsidRDefault="00ED52F4" w:rsidP="00601D68">
      <w:pPr>
        <w:jc w:val="both"/>
        <w:rPr>
          <w:rFonts w:ascii="Calibri" w:hAnsi="Calibri"/>
          <w:sz w:val="22"/>
          <w:szCs w:val="22"/>
        </w:rPr>
      </w:pPr>
    </w:p>
    <w:p w:rsidR="009E4629" w:rsidRDefault="00ED52F4" w:rsidP="00601D68">
      <w:pPr>
        <w:jc w:val="both"/>
        <w:rPr>
          <w:rFonts w:ascii="Calibri" w:hAnsi="Calibri"/>
          <w:sz w:val="22"/>
          <w:szCs w:val="22"/>
        </w:rPr>
      </w:pPr>
      <w:r>
        <w:rPr>
          <w:rFonts w:ascii="Calibri" w:hAnsi="Calibri"/>
          <w:sz w:val="22"/>
          <w:szCs w:val="22"/>
        </w:rPr>
        <w:t xml:space="preserve">Islamic Finance practises are guided by </w:t>
      </w:r>
      <w:proofErr w:type="spellStart"/>
      <w:r>
        <w:rPr>
          <w:rFonts w:ascii="Calibri" w:hAnsi="Calibri"/>
          <w:sz w:val="22"/>
          <w:szCs w:val="22"/>
        </w:rPr>
        <w:t>Shari’ah</w:t>
      </w:r>
      <w:proofErr w:type="spellEnd"/>
      <w:r>
        <w:rPr>
          <w:rFonts w:ascii="Calibri" w:hAnsi="Calibri"/>
          <w:sz w:val="22"/>
          <w:szCs w:val="22"/>
        </w:rPr>
        <w:t xml:space="preserve"> Law and based around the teachings of the Qur’an, the </w:t>
      </w:r>
      <w:proofErr w:type="spellStart"/>
      <w:r>
        <w:rPr>
          <w:rFonts w:ascii="Calibri" w:hAnsi="Calibri"/>
          <w:sz w:val="22"/>
          <w:szCs w:val="22"/>
        </w:rPr>
        <w:t>Sunnah</w:t>
      </w:r>
      <w:proofErr w:type="spellEnd"/>
      <w:r>
        <w:rPr>
          <w:rFonts w:ascii="Calibri" w:hAnsi="Calibri"/>
          <w:sz w:val="22"/>
          <w:szCs w:val="22"/>
        </w:rPr>
        <w:t xml:space="preserve">, </w:t>
      </w:r>
      <w:r w:rsidR="009E4629">
        <w:rPr>
          <w:rFonts w:ascii="Calibri" w:hAnsi="Calibri"/>
          <w:sz w:val="22"/>
          <w:szCs w:val="22"/>
        </w:rPr>
        <w:t>meaning</w:t>
      </w:r>
      <w:r>
        <w:rPr>
          <w:rFonts w:ascii="Calibri" w:hAnsi="Calibri"/>
          <w:sz w:val="22"/>
          <w:szCs w:val="22"/>
        </w:rPr>
        <w:t xml:space="preserve"> the practices and sayings of the prophet Muhammad. Islamic financial institutions therefore follow practises such as </w:t>
      </w:r>
      <w:r w:rsidR="005D7235">
        <w:rPr>
          <w:rFonts w:ascii="Calibri" w:hAnsi="Calibri"/>
          <w:sz w:val="22"/>
          <w:szCs w:val="22"/>
        </w:rPr>
        <w:t>i</w:t>
      </w:r>
      <w:r w:rsidR="007C5E29">
        <w:rPr>
          <w:rFonts w:ascii="Calibri" w:hAnsi="Calibri"/>
          <w:sz w:val="22"/>
          <w:szCs w:val="22"/>
        </w:rPr>
        <w:t>nterest free transactions.</w:t>
      </w:r>
      <w:r>
        <w:rPr>
          <w:rFonts w:ascii="Calibri" w:hAnsi="Calibri"/>
          <w:sz w:val="22"/>
          <w:szCs w:val="22"/>
        </w:rPr>
        <w:t xml:space="preserve"> </w:t>
      </w:r>
      <w:r w:rsidR="007C5E29">
        <w:rPr>
          <w:rFonts w:ascii="Calibri" w:hAnsi="Calibri"/>
          <w:sz w:val="22"/>
          <w:szCs w:val="22"/>
        </w:rPr>
        <w:t>G</w:t>
      </w:r>
      <w:r w:rsidR="009E4629">
        <w:rPr>
          <w:rFonts w:ascii="Calibri" w:hAnsi="Calibri"/>
          <w:sz w:val="22"/>
          <w:szCs w:val="22"/>
        </w:rPr>
        <w:t>ood</w:t>
      </w:r>
      <w:r w:rsidR="005D7235">
        <w:rPr>
          <w:rFonts w:ascii="Calibri" w:hAnsi="Calibri"/>
          <w:sz w:val="22"/>
          <w:szCs w:val="22"/>
        </w:rPr>
        <w:t>s</w:t>
      </w:r>
      <w:r w:rsidR="009E4629">
        <w:rPr>
          <w:rFonts w:ascii="Calibri" w:hAnsi="Calibri"/>
          <w:sz w:val="22"/>
          <w:szCs w:val="22"/>
        </w:rPr>
        <w:t xml:space="preserve"> and services that are illegal from the Islamic point of view cannot be produced or consumed, activities or transactions involving speculation must be avoided, known as </w:t>
      </w:r>
      <w:proofErr w:type="spellStart"/>
      <w:r w:rsidR="009E4629">
        <w:rPr>
          <w:rFonts w:ascii="Calibri" w:hAnsi="Calibri"/>
          <w:sz w:val="22"/>
          <w:szCs w:val="22"/>
        </w:rPr>
        <w:t>gharar</w:t>
      </w:r>
      <w:proofErr w:type="spellEnd"/>
      <w:r w:rsidR="009E4629">
        <w:rPr>
          <w:rFonts w:ascii="Calibri" w:hAnsi="Calibri"/>
          <w:sz w:val="22"/>
          <w:szCs w:val="22"/>
        </w:rPr>
        <w:t xml:space="preserve">, and </w:t>
      </w:r>
      <w:proofErr w:type="spellStart"/>
      <w:r w:rsidR="009E4629">
        <w:rPr>
          <w:rFonts w:ascii="Calibri" w:hAnsi="Calibri"/>
          <w:sz w:val="22"/>
          <w:szCs w:val="22"/>
        </w:rPr>
        <w:t>Zakat</w:t>
      </w:r>
      <w:proofErr w:type="spellEnd"/>
      <w:r w:rsidR="009E4629">
        <w:rPr>
          <w:rFonts w:ascii="Calibri" w:hAnsi="Calibri"/>
          <w:sz w:val="22"/>
          <w:szCs w:val="22"/>
        </w:rPr>
        <w:t>, the compulsory Islamic tax must be paid.</w:t>
      </w:r>
    </w:p>
    <w:p w:rsidR="009E4629" w:rsidRDefault="009E4629" w:rsidP="00601D68">
      <w:pPr>
        <w:jc w:val="both"/>
        <w:rPr>
          <w:rFonts w:ascii="Calibri" w:hAnsi="Calibri"/>
          <w:sz w:val="22"/>
          <w:szCs w:val="22"/>
        </w:rPr>
      </w:pPr>
    </w:p>
    <w:p w:rsidR="00ED52F4" w:rsidRDefault="009E4629" w:rsidP="00601D68">
      <w:pPr>
        <w:jc w:val="both"/>
        <w:rPr>
          <w:rFonts w:ascii="Calibri" w:hAnsi="Calibri"/>
          <w:sz w:val="22"/>
          <w:szCs w:val="22"/>
        </w:rPr>
      </w:pPr>
      <w:r>
        <w:rPr>
          <w:rFonts w:ascii="Calibri" w:hAnsi="Calibri"/>
          <w:sz w:val="22"/>
          <w:szCs w:val="22"/>
        </w:rPr>
        <w:t xml:space="preserve">The main principles of Islamic finance are that wealth must be generated from legitimate trade and </w:t>
      </w:r>
      <w:r w:rsidR="00FE78C3">
        <w:rPr>
          <w:rFonts w:ascii="Calibri" w:hAnsi="Calibri"/>
          <w:sz w:val="22"/>
          <w:szCs w:val="22"/>
        </w:rPr>
        <w:t>asset-based</w:t>
      </w:r>
      <w:r>
        <w:rPr>
          <w:rFonts w:ascii="Calibri" w:hAnsi="Calibri"/>
          <w:sz w:val="22"/>
          <w:szCs w:val="22"/>
        </w:rPr>
        <w:t xml:space="preserve"> investments, meaning the use of money for the purposes of making money is forbidden, the investment must also have an ethical benefit to the wider society and not </w:t>
      </w:r>
      <w:r w:rsidR="00FE78C3">
        <w:rPr>
          <w:rFonts w:ascii="Calibri" w:hAnsi="Calibri"/>
          <w:sz w:val="22"/>
          <w:szCs w:val="22"/>
        </w:rPr>
        <w:t>solely</w:t>
      </w:r>
      <w:r>
        <w:rPr>
          <w:rFonts w:ascii="Calibri" w:hAnsi="Calibri"/>
          <w:sz w:val="22"/>
          <w:szCs w:val="22"/>
        </w:rPr>
        <w:t xml:space="preserve"> a return, the risk must be shared by the individual and institution and all harmful </w:t>
      </w:r>
      <w:r w:rsidR="00FE78C3">
        <w:rPr>
          <w:rFonts w:ascii="Calibri" w:hAnsi="Calibri"/>
          <w:sz w:val="22"/>
          <w:szCs w:val="22"/>
        </w:rPr>
        <w:t>activities</w:t>
      </w:r>
      <w:r>
        <w:rPr>
          <w:rFonts w:ascii="Calibri" w:hAnsi="Calibri"/>
          <w:sz w:val="22"/>
          <w:szCs w:val="22"/>
        </w:rPr>
        <w:t xml:space="preserve"> </w:t>
      </w:r>
      <w:r w:rsidR="00FE78C3">
        <w:rPr>
          <w:rFonts w:ascii="Calibri" w:hAnsi="Calibri"/>
          <w:sz w:val="22"/>
          <w:szCs w:val="22"/>
        </w:rPr>
        <w:t>referred</w:t>
      </w:r>
      <w:r>
        <w:rPr>
          <w:rFonts w:ascii="Calibri" w:hAnsi="Calibri"/>
          <w:sz w:val="22"/>
          <w:szCs w:val="22"/>
        </w:rPr>
        <w:t xml:space="preserve"> to </w:t>
      </w:r>
      <w:r w:rsidR="00FE78C3">
        <w:rPr>
          <w:rFonts w:ascii="Calibri" w:hAnsi="Calibri"/>
          <w:sz w:val="22"/>
          <w:szCs w:val="22"/>
        </w:rPr>
        <w:t xml:space="preserve">as” </w:t>
      </w:r>
      <w:proofErr w:type="spellStart"/>
      <w:r w:rsidR="00FE78C3">
        <w:rPr>
          <w:rFonts w:ascii="Calibri" w:hAnsi="Calibri"/>
          <w:sz w:val="22"/>
          <w:szCs w:val="22"/>
        </w:rPr>
        <w:t>Haram</w:t>
      </w:r>
      <w:proofErr w:type="spellEnd"/>
      <w:r>
        <w:rPr>
          <w:rFonts w:ascii="Calibri" w:hAnsi="Calibri"/>
          <w:sz w:val="22"/>
          <w:szCs w:val="22"/>
        </w:rPr>
        <w:t xml:space="preserve">” </w:t>
      </w:r>
      <w:r w:rsidR="005D7235">
        <w:rPr>
          <w:rFonts w:ascii="Calibri" w:hAnsi="Calibri"/>
          <w:sz w:val="22"/>
          <w:szCs w:val="22"/>
        </w:rPr>
        <w:t>m</w:t>
      </w:r>
      <w:r>
        <w:rPr>
          <w:rFonts w:ascii="Calibri" w:hAnsi="Calibri"/>
          <w:sz w:val="22"/>
          <w:szCs w:val="22"/>
        </w:rPr>
        <w:t xml:space="preserve">ust be avoided.  </w:t>
      </w:r>
      <w:sdt>
        <w:sdtPr>
          <w:rPr>
            <w:rFonts w:ascii="Calibri" w:hAnsi="Calibri"/>
            <w:sz w:val="22"/>
            <w:szCs w:val="22"/>
          </w:rPr>
          <w:id w:val="772295118"/>
          <w:citation/>
        </w:sdtPr>
        <w:sdtContent>
          <w:r w:rsidR="00E00C3A">
            <w:rPr>
              <w:rFonts w:ascii="Calibri" w:hAnsi="Calibri"/>
              <w:sz w:val="22"/>
              <w:szCs w:val="22"/>
            </w:rPr>
            <w:fldChar w:fldCharType="begin"/>
          </w:r>
          <w:r>
            <w:rPr>
              <w:rFonts w:ascii="Calibri" w:hAnsi="Calibri"/>
              <w:sz w:val="22"/>
              <w:szCs w:val="22"/>
            </w:rPr>
            <w:instrText xml:space="preserve"> CITATION Bra05 \l 2057 </w:instrText>
          </w:r>
          <w:r w:rsidR="00E00C3A">
            <w:rPr>
              <w:rFonts w:ascii="Calibri" w:hAnsi="Calibri"/>
              <w:sz w:val="22"/>
              <w:szCs w:val="22"/>
            </w:rPr>
            <w:fldChar w:fldCharType="separate"/>
          </w:r>
          <w:r w:rsidR="00063320" w:rsidRPr="00063320">
            <w:rPr>
              <w:rFonts w:ascii="Calibri" w:hAnsi="Calibri"/>
              <w:noProof/>
              <w:sz w:val="22"/>
              <w:szCs w:val="22"/>
            </w:rPr>
            <w:t>(Cook, January 2005)</w:t>
          </w:r>
          <w:r w:rsidR="00E00C3A">
            <w:rPr>
              <w:rFonts w:ascii="Calibri" w:hAnsi="Calibri"/>
              <w:sz w:val="22"/>
              <w:szCs w:val="22"/>
            </w:rPr>
            <w:fldChar w:fldCharType="end"/>
          </w:r>
        </w:sdtContent>
      </w:sdt>
    </w:p>
    <w:p w:rsidR="00C10DB4" w:rsidRDefault="00C10DB4" w:rsidP="00601D68">
      <w:pPr>
        <w:jc w:val="both"/>
        <w:rPr>
          <w:rFonts w:ascii="Calibri" w:hAnsi="Calibri"/>
          <w:sz w:val="22"/>
          <w:szCs w:val="22"/>
        </w:rPr>
      </w:pPr>
    </w:p>
    <w:p w:rsidR="00324E9E" w:rsidRDefault="00324E9E" w:rsidP="00601D68">
      <w:pPr>
        <w:jc w:val="both"/>
        <w:rPr>
          <w:rFonts w:ascii="Calibri" w:hAnsi="Calibri"/>
          <w:sz w:val="22"/>
          <w:szCs w:val="22"/>
        </w:rPr>
      </w:pPr>
      <w:r>
        <w:rPr>
          <w:rFonts w:ascii="Calibri" w:hAnsi="Calibri"/>
          <w:sz w:val="22"/>
          <w:szCs w:val="22"/>
        </w:rPr>
        <w:t>The Bank of London and the Middle East suggests that Islamic finance main principles are focuse</w:t>
      </w:r>
      <w:r w:rsidR="005D7235">
        <w:rPr>
          <w:rFonts w:ascii="Calibri" w:hAnsi="Calibri"/>
          <w:sz w:val="22"/>
          <w:szCs w:val="22"/>
        </w:rPr>
        <w:t>d</w:t>
      </w:r>
      <w:r>
        <w:rPr>
          <w:rFonts w:ascii="Calibri" w:hAnsi="Calibri"/>
          <w:sz w:val="22"/>
          <w:szCs w:val="22"/>
        </w:rPr>
        <w:t xml:space="preserve"> on the avoidance of harmful activities such as charging interest, further to th</w:t>
      </w:r>
      <w:r w:rsidR="005D7235">
        <w:rPr>
          <w:rFonts w:ascii="Calibri" w:hAnsi="Calibri"/>
          <w:sz w:val="22"/>
          <w:szCs w:val="22"/>
        </w:rPr>
        <w:t>is</w:t>
      </w:r>
      <w:r w:rsidR="00B77005">
        <w:rPr>
          <w:rFonts w:ascii="Calibri" w:hAnsi="Calibri"/>
          <w:sz w:val="22"/>
          <w:szCs w:val="22"/>
        </w:rPr>
        <w:t xml:space="preserve">, </w:t>
      </w:r>
      <w:r>
        <w:rPr>
          <w:rFonts w:ascii="Calibri" w:hAnsi="Calibri"/>
          <w:sz w:val="22"/>
          <w:szCs w:val="22"/>
        </w:rPr>
        <w:t xml:space="preserve">institutions must ensure that ambiguity, referred to as </w:t>
      </w:r>
      <w:proofErr w:type="spellStart"/>
      <w:r>
        <w:rPr>
          <w:rFonts w:ascii="Calibri" w:hAnsi="Calibri"/>
          <w:sz w:val="22"/>
          <w:szCs w:val="22"/>
        </w:rPr>
        <w:t>Gharar</w:t>
      </w:r>
      <w:proofErr w:type="spellEnd"/>
      <w:r>
        <w:rPr>
          <w:rFonts w:ascii="Calibri" w:hAnsi="Calibri"/>
          <w:sz w:val="22"/>
          <w:szCs w:val="22"/>
        </w:rPr>
        <w:t xml:space="preserve">, or gambling and speculation known as </w:t>
      </w:r>
      <w:proofErr w:type="spellStart"/>
      <w:r>
        <w:rPr>
          <w:rFonts w:ascii="Calibri" w:hAnsi="Calibri"/>
          <w:sz w:val="22"/>
          <w:szCs w:val="22"/>
        </w:rPr>
        <w:t>Maysai</w:t>
      </w:r>
      <w:r w:rsidR="00063320">
        <w:rPr>
          <w:rFonts w:ascii="Calibri" w:hAnsi="Calibri"/>
          <w:sz w:val="22"/>
          <w:szCs w:val="22"/>
        </w:rPr>
        <w:t>r</w:t>
      </w:r>
      <w:proofErr w:type="spellEnd"/>
      <w:r w:rsidR="00063320">
        <w:rPr>
          <w:rFonts w:ascii="Calibri" w:hAnsi="Calibri"/>
          <w:sz w:val="22"/>
          <w:szCs w:val="22"/>
        </w:rPr>
        <w:t xml:space="preserve"> is minimised in transactions.</w:t>
      </w:r>
      <w:sdt>
        <w:sdtPr>
          <w:rPr>
            <w:rFonts w:ascii="Calibri" w:hAnsi="Calibri"/>
            <w:sz w:val="22"/>
            <w:szCs w:val="22"/>
          </w:rPr>
          <w:id w:val="-1975046830"/>
          <w:citation/>
        </w:sdtPr>
        <w:sdtContent>
          <w:r w:rsidR="00E00C3A">
            <w:rPr>
              <w:rFonts w:ascii="Calibri" w:hAnsi="Calibri"/>
              <w:sz w:val="22"/>
              <w:szCs w:val="22"/>
            </w:rPr>
            <w:fldChar w:fldCharType="begin"/>
          </w:r>
          <w:r>
            <w:rPr>
              <w:rFonts w:ascii="Calibri" w:hAnsi="Calibri"/>
              <w:sz w:val="22"/>
              <w:szCs w:val="22"/>
            </w:rPr>
            <w:instrText xml:space="preserve"> CITATION Luc10 \l 2057 </w:instrText>
          </w:r>
          <w:r w:rsidR="00E00C3A">
            <w:rPr>
              <w:rFonts w:ascii="Calibri" w:hAnsi="Calibri"/>
              <w:sz w:val="22"/>
              <w:szCs w:val="22"/>
            </w:rPr>
            <w:fldChar w:fldCharType="separate"/>
          </w:r>
          <w:r w:rsidR="00063320">
            <w:rPr>
              <w:rFonts w:ascii="Calibri" w:hAnsi="Calibri"/>
              <w:noProof/>
              <w:sz w:val="22"/>
              <w:szCs w:val="22"/>
            </w:rPr>
            <w:t xml:space="preserve"> </w:t>
          </w:r>
          <w:r w:rsidR="00063320" w:rsidRPr="00063320">
            <w:rPr>
              <w:rFonts w:ascii="Calibri" w:hAnsi="Calibri"/>
              <w:noProof/>
              <w:sz w:val="22"/>
              <w:szCs w:val="22"/>
            </w:rPr>
            <w:t>(Warwick-Ching, 2010)</w:t>
          </w:r>
          <w:r w:rsidR="00E00C3A">
            <w:rPr>
              <w:rFonts w:ascii="Calibri" w:hAnsi="Calibri"/>
              <w:sz w:val="22"/>
              <w:szCs w:val="22"/>
            </w:rPr>
            <w:fldChar w:fldCharType="end"/>
          </w:r>
        </w:sdtContent>
      </w:sdt>
    </w:p>
    <w:p w:rsidR="00C90913" w:rsidRDefault="00C90913" w:rsidP="00601D68">
      <w:pPr>
        <w:jc w:val="both"/>
        <w:rPr>
          <w:rFonts w:ascii="Calibri" w:hAnsi="Calibri"/>
          <w:sz w:val="22"/>
          <w:szCs w:val="22"/>
        </w:rPr>
      </w:pPr>
    </w:p>
    <w:p w:rsidR="00C90913" w:rsidRDefault="00C90913" w:rsidP="00601D68">
      <w:pPr>
        <w:jc w:val="both"/>
        <w:rPr>
          <w:rFonts w:ascii="Calibri" w:hAnsi="Calibri"/>
          <w:sz w:val="22"/>
          <w:szCs w:val="22"/>
        </w:rPr>
      </w:pPr>
      <w:r>
        <w:rPr>
          <w:rFonts w:ascii="Calibri" w:hAnsi="Calibri"/>
          <w:sz w:val="22"/>
          <w:szCs w:val="22"/>
        </w:rPr>
        <w:t xml:space="preserve">Islamic </w:t>
      </w:r>
      <w:r w:rsidR="005D7235">
        <w:rPr>
          <w:rFonts w:ascii="Calibri" w:hAnsi="Calibri"/>
          <w:sz w:val="22"/>
          <w:szCs w:val="22"/>
        </w:rPr>
        <w:t>fi</w:t>
      </w:r>
      <w:r>
        <w:rPr>
          <w:rFonts w:ascii="Calibri" w:hAnsi="Calibri"/>
          <w:sz w:val="22"/>
          <w:szCs w:val="22"/>
        </w:rPr>
        <w:t xml:space="preserve">nance </w:t>
      </w:r>
      <w:r w:rsidR="0050415F">
        <w:rPr>
          <w:rFonts w:ascii="Calibri" w:hAnsi="Calibri"/>
          <w:sz w:val="22"/>
          <w:szCs w:val="22"/>
        </w:rPr>
        <w:t>practises are</w:t>
      </w:r>
      <w:r>
        <w:rPr>
          <w:rFonts w:ascii="Calibri" w:hAnsi="Calibri"/>
          <w:sz w:val="22"/>
          <w:szCs w:val="22"/>
        </w:rPr>
        <w:t xml:space="preserve"> most prevalent in </w:t>
      </w:r>
      <w:r w:rsidR="00EB67BF">
        <w:rPr>
          <w:rFonts w:ascii="Calibri" w:hAnsi="Calibri"/>
          <w:sz w:val="22"/>
          <w:szCs w:val="22"/>
        </w:rPr>
        <w:t xml:space="preserve">the </w:t>
      </w:r>
      <w:r w:rsidR="00EB67BF" w:rsidRPr="00EB67BF">
        <w:rPr>
          <w:rFonts w:ascii="Calibri" w:hAnsi="Calibri"/>
          <w:sz w:val="22"/>
          <w:szCs w:val="22"/>
        </w:rPr>
        <w:t>Gulf Cooperation Council</w:t>
      </w:r>
      <w:r w:rsidR="00B857CF">
        <w:rPr>
          <w:rFonts w:ascii="Calibri" w:hAnsi="Calibri"/>
          <w:sz w:val="22"/>
          <w:szCs w:val="22"/>
        </w:rPr>
        <w:t xml:space="preserve"> countries. They</w:t>
      </w:r>
      <w:r w:rsidR="00EB67BF">
        <w:rPr>
          <w:rFonts w:ascii="Calibri" w:hAnsi="Calibri"/>
          <w:sz w:val="22"/>
          <w:szCs w:val="22"/>
        </w:rPr>
        <w:t xml:space="preserve"> </w:t>
      </w:r>
      <w:r w:rsidR="005D7235">
        <w:rPr>
          <w:rFonts w:ascii="Calibri" w:hAnsi="Calibri"/>
          <w:sz w:val="22"/>
          <w:szCs w:val="22"/>
        </w:rPr>
        <w:t xml:space="preserve">are </w:t>
      </w:r>
      <w:r w:rsidR="00EB67BF">
        <w:rPr>
          <w:rFonts w:ascii="Calibri" w:hAnsi="Calibri"/>
          <w:sz w:val="22"/>
          <w:szCs w:val="22"/>
        </w:rPr>
        <w:t xml:space="preserve">also </w:t>
      </w:r>
      <w:r w:rsidR="00063320">
        <w:rPr>
          <w:rFonts w:ascii="Calibri" w:hAnsi="Calibri"/>
          <w:sz w:val="22"/>
          <w:szCs w:val="22"/>
        </w:rPr>
        <w:t>growing</w:t>
      </w:r>
      <w:r w:rsidR="00EB67BF">
        <w:rPr>
          <w:rFonts w:ascii="Calibri" w:hAnsi="Calibri"/>
          <w:sz w:val="22"/>
          <w:szCs w:val="22"/>
        </w:rPr>
        <w:t xml:space="preserve"> in</w:t>
      </w:r>
      <w:r w:rsidR="00063320">
        <w:rPr>
          <w:rFonts w:ascii="Calibri" w:hAnsi="Calibri"/>
          <w:sz w:val="22"/>
          <w:szCs w:val="22"/>
        </w:rPr>
        <w:t xml:space="preserve"> popularity in</w:t>
      </w:r>
      <w:r w:rsidR="00EB67BF">
        <w:rPr>
          <w:rFonts w:ascii="Calibri" w:hAnsi="Calibri"/>
          <w:sz w:val="22"/>
          <w:szCs w:val="22"/>
        </w:rPr>
        <w:t xml:space="preserve"> </w:t>
      </w:r>
      <w:r w:rsidR="00063320">
        <w:rPr>
          <w:rFonts w:ascii="Calibri" w:hAnsi="Calibri"/>
          <w:sz w:val="22"/>
          <w:szCs w:val="22"/>
        </w:rPr>
        <w:t xml:space="preserve">other countries all </w:t>
      </w:r>
      <w:r w:rsidR="0050415F">
        <w:rPr>
          <w:rFonts w:ascii="Calibri" w:hAnsi="Calibri"/>
          <w:sz w:val="22"/>
          <w:szCs w:val="22"/>
        </w:rPr>
        <w:t>currently</w:t>
      </w:r>
      <w:r w:rsidR="00EB67BF">
        <w:rPr>
          <w:rFonts w:ascii="Calibri" w:hAnsi="Calibri"/>
          <w:sz w:val="22"/>
          <w:szCs w:val="22"/>
        </w:rPr>
        <w:t xml:space="preserve"> experiencing growth </w:t>
      </w:r>
      <w:r w:rsidR="00063320">
        <w:rPr>
          <w:rFonts w:ascii="Calibri" w:hAnsi="Calibri"/>
          <w:sz w:val="22"/>
          <w:szCs w:val="22"/>
        </w:rPr>
        <w:t>in its Islamic financial markets</w:t>
      </w:r>
      <w:r w:rsidR="00B857CF">
        <w:rPr>
          <w:rFonts w:ascii="Calibri" w:hAnsi="Calibri"/>
          <w:sz w:val="22"/>
          <w:szCs w:val="22"/>
        </w:rPr>
        <w:t>. T</w:t>
      </w:r>
      <w:r w:rsidR="00EB67BF">
        <w:rPr>
          <w:rFonts w:ascii="Calibri" w:hAnsi="Calibri"/>
          <w:sz w:val="22"/>
          <w:szCs w:val="22"/>
        </w:rPr>
        <w:t xml:space="preserve">he Islamic </w:t>
      </w:r>
      <w:r w:rsidR="00DA07B0">
        <w:rPr>
          <w:rFonts w:ascii="Calibri" w:hAnsi="Calibri"/>
          <w:sz w:val="22"/>
          <w:szCs w:val="22"/>
        </w:rPr>
        <w:t>m</w:t>
      </w:r>
      <w:r w:rsidR="00EB67BF">
        <w:rPr>
          <w:rFonts w:ascii="Calibri" w:hAnsi="Calibri"/>
          <w:sz w:val="22"/>
          <w:szCs w:val="22"/>
        </w:rPr>
        <w:t>arkets growth generally exceed</w:t>
      </w:r>
      <w:r w:rsidR="007C5E29">
        <w:rPr>
          <w:rFonts w:ascii="Calibri" w:hAnsi="Calibri"/>
          <w:sz w:val="22"/>
          <w:szCs w:val="22"/>
        </w:rPr>
        <w:t>s</w:t>
      </w:r>
      <w:r w:rsidR="00EB67BF">
        <w:rPr>
          <w:rFonts w:ascii="Calibri" w:hAnsi="Calibri"/>
          <w:sz w:val="22"/>
          <w:szCs w:val="22"/>
        </w:rPr>
        <w:t xml:space="preserve"> that of the conventional market as illustrated below.  </w:t>
      </w:r>
    </w:p>
    <w:p w:rsidR="00EB67BF" w:rsidRDefault="00EB67BF" w:rsidP="00601D68">
      <w:pPr>
        <w:jc w:val="both"/>
        <w:rPr>
          <w:rFonts w:ascii="Calibri" w:hAnsi="Calibri"/>
          <w:sz w:val="22"/>
          <w:szCs w:val="22"/>
        </w:rPr>
      </w:pPr>
    </w:p>
    <w:p w:rsidR="00EB67BF" w:rsidRDefault="00EB67BF" w:rsidP="00EB67BF">
      <w:pPr>
        <w:jc w:val="center"/>
        <w:rPr>
          <w:rFonts w:ascii="Calibri" w:hAnsi="Calibri"/>
          <w:sz w:val="22"/>
          <w:szCs w:val="22"/>
        </w:rPr>
      </w:pPr>
      <w:r>
        <w:rPr>
          <w:rFonts w:ascii="Neue Helvetica W01" w:hAnsi="Neue Helvetica W01" w:cs="Arial"/>
          <w:noProof/>
          <w:color w:val="005C9C"/>
          <w:lang w:eastAsia="en-GB"/>
        </w:rPr>
        <w:drawing>
          <wp:inline distT="0" distB="0" distL="0" distR="0">
            <wp:extent cx="3836211" cy="2624667"/>
            <wp:effectExtent l="19050" t="0" r="0" b="0"/>
            <wp:docPr id="5" name="Picture 4" descr="www_ey_com_Publication_vwLUAssets_EY-world-islamic-banking-competitiveness-report-2014-15__FILE_EY-world-islamic-banking-competitiveness-report-2014-15_pdf 2">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ww_ey_com_Publication_vwLUAssets_EY-world-islamic-banking-competitiveness-report-2014-15__FILE_EY-world-islamic-banking-competitiveness-report-2014-15_pdf 2">
                      <a:hlinkClick r:id="rId9"/>
                    </pic:cNvPr>
                    <pic:cNvPicPr>
                      <a:picLocks noChangeAspect="1" noChangeArrowheads="1"/>
                    </pic:cNvPicPr>
                  </pic:nvPicPr>
                  <pic:blipFill>
                    <a:blip r:embed="rId10" cstate="print"/>
                    <a:srcRect/>
                    <a:stretch>
                      <a:fillRect/>
                    </a:stretch>
                  </pic:blipFill>
                  <pic:spPr bwMode="auto">
                    <a:xfrm>
                      <a:off x="0" y="0"/>
                      <a:ext cx="3834961" cy="2623812"/>
                    </a:xfrm>
                    <a:prstGeom prst="rect">
                      <a:avLst/>
                    </a:prstGeom>
                    <a:noFill/>
                    <a:ln w="9525">
                      <a:noFill/>
                      <a:miter lim="800000"/>
                      <a:headEnd/>
                      <a:tailEnd/>
                    </a:ln>
                  </pic:spPr>
                </pic:pic>
              </a:graphicData>
            </a:graphic>
          </wp:inline>
        </w:drawing>
      </w:r>
    </w:p>
    <w:p w:rsidR="00DA42B0" w:rsidRDefault="00E00C3A" w:rsidP="00EB67BF">
      <w:pPr>
        <w:jc w:val="right"/>
        <w:rPr>
          <w:rFonts w:ascii="Calibri" w:hAnsi="Calibri"/>
          <w:sz w:val="22"/>
          <w:szCs w:val="22"/>
        </w:rPr>
      </w:pPr>
      <w:sdt>
        <w:sdtPr>
          <w:rPr>
            <w:rFonts w:ascii="Calibri" w:hAnsi="Calibri"/>
            <w:sz w:val="22"/>
            <w:szCs w:val="22"/>
          </w:rPr>
          <w:id w:val="419040078"/>
          <w:citation/>
        </w:sdtPr>
        <w:sdtContent>
          <w:r>
            <w:rPr>
              <w:rFonts w:ascii="Calibri" w:hAnsi="Calibri"/>
              <w:sz w:val="22"/>
              <w:szCs w:val="22"/>
            </w:rPr>
            <w:fldChar w:fldCharType="begin"/>
          </w:r>
          <w:r w:rsidR="00EB67BF">
            <w:rPr>
              <w:rFonts w:ascii="Calibri" w:hAnsi="Calibri"/>
              <w:sz w:val="22"/>
              <w:szCs w:val="22"/>
            </w:rPr>
            <w:instrText xml:space="preserve"> CITATION Tom15 \l 2057 </w:instrText>
          </w:r>
          <w:r>
            <w:rPr>
              <w:rFonts w:ascii="Calibri" w:hAnsi="Calibri"/>
              <w:sz w:val="22"/>
              <w:szCs w:val="22"/>
            </w:rPr>
            <w:fldChar w:fldCharType="separate"/>
          </w:r>
          <w:r w:rsidR="00063320" w:rsidRPr="00063320">
            <w:rPr>
              <w:rFonts w:ascii="Calibri" w:hAnsi="Calibri"/>
              <w:noProof/>
              <w:sz w:val="22"/>
              <w:szCs w:val="22"/>
            </w:rPr>
            <w:t>(Hirst, 2015)</w:t>
          </w:r>
          <w:r>
            <w:rPr>
              <w:rFonts w:ascii="Calibri" w:hAnsi="Calibri"/>
              <w:sz w:val="22"/>
              <w:szCs w:val="22"/>
            </w:rPr>
            <w:fldChar w:fldCharType="end"/>
          </w:r>
        </w:sdtContent>
      </w:sdt>
    </w:p>
    <w:p w:rsidR="00324E9E" w:rsidRDefault="00324E9E" w:rsidP="00601D68">
      <w:pPr>
        <w:jc w:val="both"/>
        <w:rPr>
          <w:rFonts w:ascii="Calibri" w:hAnsi="Calibri"/>
          <w:sz w:val="22"/>
          <w:szCs w:val="22"/>
        </w:rPr>
      </w:pPr>
    </w:p>
    <w:p w:rsidR="00DF335E" w:rsidRDefault="00DF335E" w:rsidP="00324E9E">
      <w:pPr>
        <w:pStyle w:val="NoSpacing"/>
        <w:outlineLvl w:val="0"/>
        <w:rPr>
          <w:rFonts w:asciiTheme="majorHAnsi" w:eastAsiaTheme="majorEastAsia" w:hAnsiTheme="majorHAnsi" w:cstheme="majorBidi"/>
          <w:color w:val="2F5496" w:themeColor="accent1" w:themeShade="BF"/>
          <w:sz w:val="32"/>
          <w:szCs w:val="32"/>
        </w:rPr>
      </w:pPr>
    </w:p>
    <w:p w:rsidR="00E9502B" w:rsidRDefault="00E9502B" w:rsidP="00324E9E">
      <w:pPr>
        <w:pStyle w:val="NoSpacing"/>
        <w:outlineLvl w:val="0"/>
        <w:rPr>
          <w:rFonts w:asciiTheme="majorHAnsi" w:eastAsiaTheme="majorEastAsia" w:hAnsiTheme="majorHAnsi" w:cstheme="majorBidi"/>
          <w:color w:val="2F5496" w:themeColor="accent1" w:themeShade="BF"/>
          <w:sz w:val="32"/>
          <w:szCs w:val="32"/>
        </w:rPr>
      </w:pPr>
    </w:p>
    <w:p w:rsidR="00063320" w:rsidRDefault="00063320" w:rsidP="00324E9E">
      <w:pPr>
        <w:pStyle w:val="NoSpacing"/>
        <w:outlineLvl w:val="0"/>
        <w:rPr>
          <w:rFonts w:asciiTheme="majorHAnsi" w:eastAsiaTheme="majorEastAsia" w:hAnsiTheme="majorHAnsi" w:cstheme="majorBidi"/>
          <w:color w:val="2F5496" w:themeColor="accent1" w:themeShade="BF"/>
          <w:sz w:val="32"/>
          <w:szCs w:val="32"/>
        </w:rPr>
      </w:pPr>
    </w:p>
    <w:p w:rsidR="00063320" w:rsidRDefault="00063320" w:rsidP="00324E9E">
      <w:pPr>
        <w:pStyle w:val="NoSpacing"/>
        <w:outlineLvl w:val="0"/>
        <w:rPr>
          <w:rFonts w:asciiTheme="majorHAnsi" w:eastAsiaTheme="majorEastAsia" w:hAnsiTheme="majorHAnsi" w:cstheme="majorBidi"/>
          <w:color w:val="2F5496" w:themeColor="accent1" w:themeShade="BF"/>
          <w:sz w:val="32"/>
          <w:szCs w:val="32"/>
        </w:rPr>
      </w:pPr>
    </w:p>
    <w:p w:rsidR="00063320" w:rsidRDefault="00063320" w:rsidP="00324E9E">
      <w:pPr>
        <w:pStyle w:val="NoSpacing"/>
        <w:outlineLvl w:val="0"/>
        <w:rPr>
          <w:rFonts w:asciiTheme="majorHAnsi" w:eastAsiaTheme="majorEastAsia" w:hAnsiTheme="majorHAnsi" w:cstheme="majorBidi"/>
          <w:color w:val="2F5496" w:themeColor="accent1" w:themeShade="BF"/>
          <w:sz w:val="32"/>
          <w:szCs w:val="32"/>
        </w:rPr>
      </w:pPr>
    </w:p>
    <w:p w:rsidR="00324E9E" w:rsidRPr="00324E9E" w:rsidRDefault="00324E9E" w:rsidP="00324E9E">
      <w:pPr>
        <w:pStyle w:val="NoSpacing"/>
        <w:outlineLvl w:val="0"/>
        <w:rPr>
          <w:rFonts w:asciiTheme="majorHAnsi" w:eastAsiaTheme="majorEastAsia" w:hAnsiTheme="majorHAnsi" w:cstheme="majorBidi"/>
          <w:color w:val="2F5496" w:themeColor="accent1" w:themeShade="BF"/>
          <w:sz w:val="32"/>
          <w:szCs w:val="32"/>
        </w:rPr>
      </w:pPr>
      <w:bookmarkStart w:id="39" w:name="_Toc532305281"/>
      <w:r w:rsidRPr="00324E9E">
        <w:rPr>
          <w:rFonts w:asciiTheme="majorHAnsi" w:eastAsiaTheme="majorEastAsia" w:hAnsiTheme="majorHAnsi" w:cstheme="majorBidi"/>
          <w:color w:val="2F5496" w:themeColor="accent1" w:themeShade="BF"/>
          <w:sz w:val="32"/>
          <w:szCs w:val="32"/>
        </w:rPr>
        <w:lastRenderedPageBreak/>
        <w:t>Islamic Finance</w:t>
      </w:r>
      <w:r>
        <w:rPr>
          <w:rFonts w:asciiTheme="majorHAnsi" w:eastAsiaTheme="majorEastAsia" w:hAnsiTheme="majorHAnsi" w:cstheme="majorBidi"/>
          <w:color w:val="2F5496" w:themeColor="accent1" w:themeShade="BF"/>
          <w:sz w:val="32"/>
          <w:szCs w:val="32"/>
        </w:rPr>
        <w:t xml:space="preserve"> in</w:t>
      </w:r>
      <w:r w:rsidRPr="00324E9E">
        <w:rPr>
          <w:rFonts w:asciiTheme="majorHAnsi" w:eastAsiaTheme="majorEastAsia" w:hAnsiTheme="majorHAnsi" w:cstheme="majorBidi"/>
          <w:color w:val="2F5496" w:themeColor="accent1" w:themeShade="BF"/>
          <w:sz w:val="32"/>
          <w:szCs w:val="32"/>
        </w:rPr>
        <w:t xml:space="preserve"> Practice</w:t>
      </w:r>
      <w:bookmarkEnd w:id="39"/>
      <w:r w:rsidRPr="00324E9E">
        <w:rPr>
          <w:rFonts w:asciiTheme="majorHAnsi" w:eastAsiaTheme="majorEastAsia" w:hAnsiTheme="majorHAnsi" w:cstheme="majorBidi"/>
          <w:color w:val="2F5496" w:themeColor="accent1" w:themeShade="BF"/>
          <w:sz w:val="32"/>
          <w:szCs w:val="32"/>
        </w:rPr>
        <w:t xml:space="preserve"> </w:t>
      </w:r>
    </w:p>
    <w:p w:rsidR="00063320" w:rsidRDefault="00063320" w:rsidP="00601D68">
      <w:pPr>
        <w:jc w:val="both"/>
        <w:rPr>
          <w:rFonts w:ascii="Calibri" w:hAnsi="Calibri"/>
          <w:sz w:val="22"/>
          <w:szCs w:val="22"/>
        </w:rPr>
      </w:pPr>
    </w:p>
    <w:p w:rsidR="00324E9E" w:rsidRDefault="00063320" w:rsidP="00601D68">
      <w:pPr>
        <w:jc w:val="both"/>
        <w:rPr>
          <w:rFonts w:ascii="Calibri" w:hAnsi="Calibri"/>
          <w:sz w:val="22"/>
          <w:szCs w:val="22"/>
        </w:rPr>
      </w:pPr>
      <w:r>
        <w:rPr>
          <w:rFonts w:ascii="Calibri" w:hAnsi="Calibri"/>
          <w:sz w:val="22"/>
          <w:szCs w:val="22"/>
        </w:rPr>
        <w:t xml:space="preserve">There are a number of instruments used in Islamic Finance, </w:t>
      </w:r>
      <w:r w:rsidR="007C5E29">
        <w:rPr>
          <w:rFonts w:ascii="Calibri" w:hAnsi="Calibri"/>
          <w:sz w:val="22"/>
          <w:szCs w:val="22"/>
        </w:rPr>
        <w:t>below are a few examples:</w:t>
      </w:r>
      <w:r>
        <w:rPr>
          <w:rFonts w:ascii="Calibri" w:hAnsi="Calibri"/>
          <w:sz w:val="22"/>
          <w:szCs w:val="22"/>
        </w:rPr>
        <w:t xml:space="preserve"> </w:t>
      </w:r>
    </w:p>
    <w:p w:rsidR="000F622B" w:rsidRDefault="000F622B" w:rsidP="00601D68">
      <w:pPr>
        <w:jc w:val="both"/>
        <w:rPr>
          <w:rFonts w:ascii="Calibri" w:hAnsi="Calibri"/>
          <w:sz w:val="22"/>
          <w:szCs w:val="22"/>
        </w:rPr>
      </w:pPr>
    </w:p>
    <w:p w:rsidR="000F622B" w:rsidRDefault="000F622B" w:rsidP="00601D68">
      <w:pPr>
        <w:jc w:val="both"/>
        <w:rPr>
          <w:rFonts w:ascii="Calibri" w:hAnsi="Calibri"/>
          <w:sz w:val="22"/>
          <w:szCs w:val="22"/>
        </w:rPr>
      </w:pPr>
      <w:proofErr w:type="spellStart"/>
      <w:r>
        <w:rPr>
          <w:rFonts w:ascii="Calibri" w:hAnsi="Calibri"/>
          <w:sz w:val="22"/>
          <w:szCs w:val="22"/>
        </w:rPr>
        <w:t>Ijara</w:t>
      </w:r>
      <w:proofErr w:type="spellEnd"/>
      <w:r>
        <w:rPr>
          <w:rFonts w:ascii="Calibri" w:hAnsi="Calibri"/>
          <w:sz w:val="22"/>
          <w:szCs w:val="22"/>
        </w:rPr>
        <w:t xml:space="preserve">- a leasing arrangement under which a financial institution buys an item for a customer and then leases this over a pre-determined period to them </w:t>
      </w:r>
    </w:p>
    <w:p w:rsidR="000F622B" w:rsidRDefault="000F622B" w:rsidP="00601D68">
      <w:pPr>
        <w:jc w:val="both"/>
        <w:rPr>
          <w:rFonts w:ascii="Calibri" w:hAnsi="Calibri"/>
          <w:sz w:val="22"/>
          <w:szCs w:val="22"/>
        </w:rPr>
      </w:pPr>
    </w:p>
    <w:p w:rsidR="000F622B" w:rsidRDefault="000F622B" w:rsidP="00601D68">
      <w:pPr>
        <w:jc w:val="both"/>
        <w:rPr>
          <w:rFonts w:ascii="Calibri" w:hAnsi="Calibri"/>
          <w:sz w:val="22"/>
          <w:szCs w:val="22"/>
        </w:rPr>
      </w:pPr>
      <w:proofErr w:type="spellStart"/>
      <w:r>
        <w:rPr>
          <w:rFonts w:ascii="Calibri" w:hAnsi="Calibri"/>
          <w:sz w:val="22"/>
          <w:szCs w:val="22"/>
        </w:rPr>
        <w:t>Mudaraba</w:t>
      </w:r>
      <w:proofErr w:type="spellEnd"/>
      <w:r>
        <w:rPr>
          <w:rFonts w:ascii="Calibri" w:hAnsi="Calibri"/>
          <w:sz w:val="22"/>
          <w:szCs w:val="22"/>
        </w:rPr>
        <w:t xml:space="preserve">- a specialised investment by an expert under which the customer and the bank share any profit, customers risk losing money if the investment is unsuccessful, although the bank will not charge handling fees unless a profit is achieved. </w:t>
      </w:r>
    </w:p>
    <w:p w:rsidR="000F622B" w:rsidRDefault="000F622B" w:rsidP="00601D68">
      <w:pPr>
        <w:jc w:val="both"/>
        <w:rPr>
          <w:rFonts w:ascii="Calibri" w:hAnsi="Calibri"/>
          <w:sz w:val="22"/>
          <w:szCs w:val="22"/>
        </w:rPr>
      </w:pPr>
    </w:p>
    <w:p w:rsidR="000F622B" w:rsidRDefault="000F622B" w:rsidP="00601D68">
      <w:pPr>
        <w:jc w:val="both"/>
        <w:rPr>
          <w:rFonts w:ascii="Calibri" w:hAnsi="Calibri"/>
          <w:sz w:val="22"/>
          <w:szCs w:val="22"/>
        </w:rPr>
      </w:pPr>
      <w:proofErr w:type="spellStart"/>
      <w:r>
        <w:rPr>
          <w:rFonts w:ascii="Calibri" w:hAnsi="Calibri"/>
          <w:sz w:val="22"/>
          <w:szCs w:val="22"/>
        </w:rPr>
        <w:t>Murabaha</w:t>
      </w:r>
      <w:proofErr w:type="spellEnd"/>
      <w:r>
        <w:rPr>
          <w:rFonts w:ascii="Calibri" w:hAnsi="Calibri"/>
          <w:sz w:val="22"/>
          <w:szCs w:val="22"/>
        </w:rPr>
        <w:t xml:space="preserve">- a form of credit enabling a customer to make a purchase without the need to take out an interest-bearing loan, the bank buys the item and sells it on to the customer on a deferred basis. </w:t>
      </w:r>
    </w:p>
    <w:p w:rsidR="000F622B" w:rsidRDefault="000F622B" w:rsidP="00601D68">
      <w:pPr>
        <w:jc w:val="both"/>
        <w:rPr>
          <w:rFonts w:ascii="Calibri" w:hAnsi="Calibri"/>
          <w:sz w:val="22"/>
          <w:szCs w:val="22"/>
        </w:rPr>
      </w:pPr>
    </w:p>
    <w:p w:rsidR="00D145C6" w:rsidRDefault="000F622B" w:rsidP="00601D68">
      <w:pPr>
        <w:jc w:val="both"/>
        <w:rPr>
          <w:rFonts w:ascii="Calibri" w:hAnsi="Calibri"/>
          <w:sz w:val="22"/>
          <w:szCs w:val="22"/>
        </w:rPr>
      </w:pPr>
      <w:proofErr w:type="spellStart"/>
      <w:r>
        <w:rPr>
          <w:rFonts w:ascii="Calibri" w:hAnsi="Calibri"/>
          <w:sz w:val="22"/>
          <w:szCs w:val="22"/>
        </w:rPr>
        <w:t>Musharake</w:t>
      </w:r>
      <w:proofErr w:type="spellEnd"/>
      <w:r>
        <w:rPr>
          <w:rFonts w:ascii="Calibri" w:hAnsi="Calibri"/>
          <w:sz w:val="22"/>
          <w:szCs w:val="22"/>
        </w:rPr>
        <w:t>- an investment partnership in which profit-sharing terms are established on advance and losses are fixed at the amount invested.</w:t>
      </w:r>
    </w:p>
    <w:p w:rsidR="00324E9E" w:rsidRDefault="00E00C3A" w:rsidP="00601D68">
      <w:pPr>
        <w:jc w:val="both"/>
        <w:rPr>
          <w:rFonts w:ascii="Calibri" w:hAnsi="Calibri"/>
          <w:sz w:val="22"/>
          <w:szCs w:val="22"/>
        </w:rPr>
      </w:pPr>
      <w:sdt>
        <w:sdtPr>
          <w:rPr>
            <w:rFonts w:ascii="Calibri" w:hAnsi="Calibri"/>
            <w:sz w:val="22"/>
            <w:szCs w:val="22"/>
          </w:rPr>
          <w:id w:val="350841924"/>
          <w:citation/>
        </w:sdtPr>
        <w:sdtContent>
          <w:r>
            <w:rPr>
              <w:rFonts w:ascii="Calibri" w:hAnsi="Calibri"/>
              <w:sz w:val="22"/>
              <w:szCs w:val="22"/>
            </w:rPr>
            <w:fldChar w:fldCharType="begin"/>
          </w:r>
          <w:r w:rsidR="00324E9E">
            <w:rPr>
              <w:rFonts w:ascii="Calibri" w:hAnsi="Calibri"/>
              <w:sz w:val="22"/>
              <w:szCs w:val="22"/>
            </w:rPr>
            <w:instrText xml:space="preserve"> CITATION Luc10 \l 2057 </w:instrText>
          </w:r>
          <w:r>
            <w:rPr>
              <w:rFonts w:ascii="Calibri" w:hAnsi="Calibri"/>
              <w:sz w:val="22"/>
              <w:szCs w:val="22"/>
            </w:rPr>
            <w:fldChar w:fldCharType="separate"/>
          </w:r>
          <w:r w:rsidR="00063320" w:rsidRPr="00063320">
            <w:rPr>
              <w:rFonts w:ascii="Calibri" w:hAnsi="Calibri"/>
              <w:noProof/>
              <w:sz w:val="22"/>
              <w:szCs w:val="22"/>
            </w:rPr>
            <w:t>(Warwick-Ching, 2010)</w:t>
          </w:r>
          <w:r>
            <w:rPr>
              <w:rFonts w:ascii="Calibri" w:hAnsi="Calibri"/>
              <w:sz w:val="22"/>
              <w:szCs w:val="22"/>
            </w:rPr>
            <w:fldChar w:fldCharType="end"/>
          </w:r>
        </w:sdtContent>
      </w:sdt>
    </w:p>
    <w:p w:rsidR="00E21B42" w:rsidRDefault="00E21B42" w:rsidP="00601D68">
      <w:pPr>
        <w:jc w:val="both"/>
        <w:rPr>
          <w:rFonts w:ascii="Calibri" w:hAnsi="Calibri"/>
          <w:sz w:val="22"/>
          <w:szCs w:val="22"/>
        </w:rPr>
      </w:pPr>
    </w:p>
    <w:p w:rsidR="00DA42B0" w:rsidRP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bookmarkStart w:id="40" w:name="_Toc532305282"/>
      <w:r w:rsidRPr="00DA42B0">
        <w:rPr>
          <w:rFonts w:asciiTheme="majorHAnsi" w:eastAsiaTheme="majorEastAsia" w:hAnsiTheme="majorHAnsi" w:cstheme="majorBidi"/>
          <w:color w:val="2F5496" w:themeColor="accent1" w:themeShade="BF"/>
          <w:sz w:val="32"/>
          <w:szCs w:val="32"/>
        </w:rPr>
        <w:t>Advantages and Disadvantages of Islamic Finance</w:t>
      </w:r>
      <w:bookmarkEnd w:id="40"/>
      <w:r>
        <w:rPr>
          <w:rFonts w:asciiTheme="majorHAnsi" w:eastAsiaTheme="majorEastAsia" w:hAnsiTheme="majorHAnsi" w:cstheme="majorBidi"/>
          <w:color w:val="2F5496" w:themeColor="accent1" w:themeShade="BF"/>
          <w:sz w:val="32"/>
          <w:szCs w:val="32"/>
        </w:rPr>
        <w:t xml:space="preserve"> </w:t>
      </w:r>
    </w:p>
    <w:p w:rsidR="00DA42B0" w:rsidRDefault="00DA42B0" w:rsidP="00601D68">
      <w:pPr>
        <w:jc w:val="both"/>
        <w:rPr>
          <w:rFonts w:ascii="Calibri" w:hAnsi="Calibri"/>
          <w:sz w:val="22"/>
          <w:szCs w:val="22"/>
        </w:rPr>
      </w:pPr>
    </w:p>
    <w:p w:rsidR="00DA42B0" w:rsidRDefault="008A3935" w:rsidP="00601D68">
      <w:pPr>
        <w:jc w:val="both"/>
        <w:rPr>
          <w:rFonts w:ascii="Calibri" w:hAnsi="Calibri"/>
          <w:sz w:val="22"/>
          <w:szCs w:val="22"/>
        </w:rPr>
      </w:pPr>
      <w:r>
        <w:rPr>
          <w:rFonts w:ascii="Calibri" w:hAnsi="Calibri"/>
          <w:sz w:val="22"/>
          <w:szCs w:val="22"/>
        </w:rPr>
        <w:t>A key advantage of Islamic finance is that the Islamic finance industry has experience</w:t>
      </w:r>
      <w:r w:rsidR="00DA07B0">
        <w:rPr>
          <w:rFonts w:ascii="Calibri" w:hAnsi="Calibri"/>
          <w:sz w:val="22"/>
          <w:szCs w:val="22"/>
        </w:rPr>
        <w:t>d</w:t>
      </w:r>
      <w:r>
        <w:rPr>
          <w:rFonts w:ascii="Calibri" w:hAnsi="Calibri"/>
          <w:sz w:val="22"/>
          <w:szCs w:val="22"/>
        </w:rPr>
        <w:t xml:space="preserve"> incredible growth over the past decade, growing at a rate of 10-12%</w:t>
      </w:r>
      <w:proofErr w:type="gramStart"/>
      <w:r>
        <w:rPr>
          <w:rFonts w:ascii="Calibri" w:hAnsi="Calibri"/>
          <w:sz w:val="22"/>
          <w:szCs w:val="22"/>
        </w:rPr>
        <w:t>,</w:t>
      </w:r>
      <w:proofErr w:type="gramEnd"/>
      <w:r>
        <w:rPr>
          <w:rFonts w:ascii="Calibri" w:hAnsi="Calibri"/>
          <w:sz w:val="22"/>
          <w:szCs w:val="22"/>
        </w:rPr>
        <w:t xml:space="preserve"> this is attributed to the following advan</w:t>
      </w:r>
      <w:r w:rsidR="007C5E29">
        <w:rPr>
          <w:rFonts w:ascii="Calibri" w:hAnsi="Calibri"/>
          <w:sz w:val="22"/>
          <w:szCs w:val="22"/>
        </w:rPr>
        <w:t>tages over conventional finance:</w:t>
      </w:r>
    </w:p>
    <w:p w:rsidR="008A3935" w:rsidRDefault="008A3935" w:rsidP="00601D68">
      <w:pPr>
        <w:jc w:val="both"/>
        <w:rPr>
          <w:rFonts w:ascii="Calibri" w:hAnsi="Calibri"/>
          <w:sz w:val="22"/>
          <w:szCs w:val="22"/>
        </w:rPr>
      </w:pPr>
    </w:p>
    <w:p w:rsidR="008A3935" w:rsidRDefault="008A3935" w:rsidP="00601D68">
      <w:pPr>
        <w:jc w:val="both"/>
        <w:rPr>
          <w:rFonts w:ascii="Calibri" w:hAnsi="Calibri"/>
          <w:sz w:val="22"/>
          <w:szCs w:val="22"/>
        </w:rPr>
      </w:pPr>
      <w:r>
        <w:rPr>
          <w:rFonts w:ascii="Calibri" w:hAnsi="Calibri"/>
          <w:sz w:val="22"/>
          <w:szCs w:val="22"/>
        </w:rPr>
        <w:t xml:space="preserve">The Islamic finance industry promotes financial justice, this is at the very core of the Islamic model, this kind of banking creates a balance for the profit or loss between and individual and a financial institute, the output of a business venture is shared equally between the entrepreneur and the financer. </w:t>
      </w:r>
    </w:p>
    <w:p w:rsidR="008A3935" w:rsidRDefault="008A3935" w:rsidP="00601D68">
      <w:pPr>
        <w:jc w:val="both"/>
        <w:rPr>
          <w:rFonts w:ascii="Calibri" w:hAnsi="Calibri"/>
          <w:sz w:val="22"/>
          <w:szCs w:val="22"/>
        </w:rPr>
      </w:pPr>
    </w:p>
    <w:p w:rsidR="008A3935" w:rsidRDefault="008A3935" w:rsidP="00601D68">
      <w:pPr>
        <w:jc w:val="both"/>
        <w:rPr>
          <w:rFonts w:ascii="Calibri" w:hAnsi="Calibri"/>
          <w:sz w:val="22"/>
          <w:szCs w:val="22"/>
        </w:rPr>
      </w:pPr>
      <w:r>
        <w:rPr>
          <w:rFonts w:ascii="Calibri" w:hAnsi="Calibri"/>
          <w:sz w:val="22"/>
          <w:szCs w:val="22"/>
        </w:rPr>
        <w:t xml:space="preserve">Financial Inclusion is another benefit of this kind of </w:t>
      </w:r>
      <w:r w:rsidR="00906628">
        <w:rPr>
          <w:rFonts w:ascii="Calibri" w:hAnsi="Calibri"/>
          <w:sz w:val="22"/>
          <w:szCs w:val="22"/>
        </w:rPr>
        <w:t>finance</w:t>
      </w:r>
      <w:r w:rsidR="007C5E29">
        <w:rPr>
          <w:rFonts w:ascii="Calibri" w:hAnsi="Calibri"/>
          <w:sz w:val="22"/>
          <w:szCs w:val="22"/>
        </w:rPr>
        <w:t>.</w:t>
      </w:r>
      <w:r>
        <w:rPr>
          <w:rFonts w:ascii="Calibri" w:hAnsi="Calibri"/>
          <w:sz w:val="22"/>
          <w:szCs w:val="22"/>
        </w:rPr>
        <w:t xml:space="preserve"> </w:t>
      </w:r>
      <w:r w:rsidR="00906628">
        <w:rPr>
          <w:rFonts w:ascii="Calibri" w:hAnsi="Calibri"/>
          <w:sz w:val="22"/>
          <w:szCs w:val="22"/>
        </w:rPr>
        <w:t>Muslims</w:t>
      </w:r>
      <w:r>
        <w:rPr>
          <w:rFonts w:ascii="Calibri" w:hAnsi="Calibri"/>
          <w:sz w:val="22"/>
          <w:szCs w:val="22"/>
        </w:rPr>
        <w:t xml:space="preserve"> refrain from banking in a conventional manner as this is based on paying and receivi</w:t>
      </w:r>
      <w:r w:rsidR="007C5E29">
        <w:rPr>
          <w:rFonts w:ascii="Calibri" w:hAnsi="Calibri"/>
          <w:sz w:val="22"/>
          <w:szCs w:val="22"/>
        </w:rPr>
        <w:t>ng interest which is prohibited.</w:t>
      </w:r>
      <w:r>
        <w:rPr>
          <w:rFonts w:ascii="Calibri" w:hAnsi="Calibri"/>
          <w:sz w:val="22"/>
          <w:szCs w:val="22"/>
        </w:rPr>
        <w:t xml:space="preserve"> </w:t>
      </w:r>
      <w:r w:rsidR="00906628">
        <w:rPr>
          <w:rFonts w:ascii="Calibri" w:hAnsi="Calibri"/>
          <w:sz w:val="22"/>
          <w:szCs w:val="22"/>
        </w:rPr>
        <w:t>Islamic</w:t>
      </w:r>
      <w:r>
        <w:rPr>
          <w:rFonts w:ascii="Calibri" w:hAnsi="Calibri"/>
          <w:sz w:val="22"/>
          <w:szCs w:val="22"/>
        </w:rPr>
        <w:t xml:space="preserve"> banking removes these </w:t>
      </w:r>
      <w:r w:rsidR="00906628">
        <w:rPr>
          <w:rFonts w:ascii="Calibri" w:hAnsi="Calibri"/>
          <w:sz w:val="22"/>
          <w:szCs w:val="22"/>
        </w:rPr>
        <w:t>barriers</w:t>
      </w:r>
      <w:r>
        <w:rPr>
          <w:rFonts w:ascii="Calibri" w:hAnsi="Calibri"/>
          <w:sz w:val="22"/>
          <w:szCs w:val="22"/>
        </w:rPr>
        <w:t xml:space="preserve"> and allows </w:t>
      </w:r>
      <w:r w:rsidR="00906628">
        <w:rPr>
          <w:rFonts w:ascii="Calibri" w:hAnsi="Calibri"/>
          <w:sz w:val="22"/>
          <w:szCs w:val="22"/>
        </w:rPr>
        <w:t>Muslims</w:t>
      </w:r>
      <w:r>
        <w:rPr>
          <w:rFonts w:ascii="Calibri" w:hAnsi="Calibri"/>
          <w:sz w:val="22"/>
          <w:szCs w:val="22"/>
        </w:rPr>
        <w:t xml:space="preserve"> to make use of a banking system.</w:t>
      </w:r>
    </w:p>
    <w:p w:rsidR="008A3935" w:rsidRDefault="008A3935" w:rsidP="00601D68">
      <w:pPr>
        <w:jc w:val="both"/>
        <w:rPr>
          <w:rFonts w:ascii="Calibri" w:hAnsi="Calibri"/>
          <w:sz w:val="22"/>
          <w:szCs w:val="22"/>
        </w:rPr>
      </w:pPr>
    </w:p>
    <w:p w:rsidR="00906628" w:rsidRDefault="00906628" w:rsidP="00906628">
      <w:pPr>
        <w:jc w:val="both"/>
        <w:rPr>
          <w:rFonts w:ascii="Calibri" w:hAnsi="Calibri"/>
          <w:sz w:val="22"/>
          <w:szCs w:val="22"/>
        </w:rPr>
      </w:pPr>
      <w:r>
        <w:rPr>
          <w:rFonts w:ascii="Calibri" w:hAnsi="Calibri"/>
          <w:sz w:val="22"/>
          <w:szCs w:val="22"/>
        </w:rPr>
        <w:t xml:space="preserve">Islamic </w:t>
      </w:r>
      <w:r w:rsidR="00DA07B0">
        <w:rPr>
          <w:rFonts w:ascii="Calibri" w:hAnsi="Calibri"/>
          <w:sz w:val="22"/>
          <w:szCs w:val="22"/>
        </w:rPr>
        <w:t>f</w:t>
      </w:r>
      <w:r>
        <w:rPr>
          <w:rFonts w:ascii="Calibri" w:hAnsi="Calibri"/>
          <w:sz w:val="22"/>
          <w:szCs w:val="22"/>
        </w:rPr>
        <w:t>inance reduces the impact of harmful products or practises, this means that investments are approached with caution and the decision making process differs fro</w:t>
      </w:r>
      <w:r w:rsidR="007C5E29">
        <w:rPr>
          <w:rFonts w:ascii="Calibri" w:hAnsi="Calibri"/>
          <w:sz w:val="22"/>
          <w:szCs w:val="22"/>
        </w:rPr>
        <w:t>m that of a conventional system. B</w:t>
      </w:r>
      <w:r>
        <w:rPr>
          <w:rFonts w:ascii="Calibri" w:hAnsi="Calibri"/>
          <w:sz w:val="22"/>
          <w:szCs w:val="22"/>
        </w:rPr>
        <w:t>usines</w:t>
      </w:r>
      <w:r w:rsidR="00DA07B0">
        <w:rPr>
          <w:rFonts w:ascii="Calibri" w:hAnsi="Calibri"/>
          <w:sz w:val="22"/>
          <w:szCs w:val="22"/>
        </w:rPr>
        <w:t>ses</w:t>
      </w:r>
      <w:r>
        <w:rPr>
          <w:rFonts w:ascii="Calibri" w:hAnsi="Calibri"/>
          <w:sz w:val="22"/>
          <w:szCs w:val="22"/>
        </w:rPr>
        <w:t xml:space="preserve"> that appear to pose a high risk are usual</w:t>
      </w:r>
      <w:r w:rsidR="00DA07B0">
        <w:rPr>
          <w:rFonts w:ascii="Calibri" w:hAnsi="Calibri"/>
          <w:sz w:val="22"/>
          <w:szCs w:val="22"/>
        </w:rPr>
        <w:t xml:space="preserve">ly </w:t>
      </w:r>
      <w:r>
        <w:rPr>
          <w:rFonts w:ascii="Calibri" w:hAnsi="Calibri"/>
          <w:sz w:val="22"/>
          <w:szCs w:val="22"/>
        </w:rPr>
        <w:t xml:space="preserve">not invested </w:t>
      </w:r>
      <w:r w:rsidR="007C5E29">
        <w:rPr>
          <w:rFonts w:ascii="Calibri" w:hAnsi="Calibri"/>
          <w:sz w:val="22"/>
          <w:szCs w:val="22"/>
        </w:rPr>
        <w:t>in</w:t>
      </w:r>
      <w:r>
        <w:rPr>
          <w:rFonts w:ascii="Calibri" w:hAnsi="Calibri"/>
          <w:sz w:val="22"/>
          <w:szCs w:val="22"/>
        </w:rPr>
        <w:t xml:space="preserve"> this </w:t>
      </w:r>
      <w:r w:rsidR="007C5E29">
        <w:rPr>
          <w:rFonts w:ascii="Calibri" w:hAnsi="Calibri"/>
          <w:sz w:val="22"/>
          <w:szCs w:val="22"/>
        </w:rPr>
        <w:t>could be why</w:t>
      </w:r>
      <w:r>
        <w:rPr>
          <w:rFonts w:ascii="Calibri" w:hAnsi="Calibri"/>
          <w:sz w:val="22"/>
          <w:szCs w:val="22"/>
        </w:rPr>
        <w:t xml:space="preserve"> the global 2008 financial crisis had minimal impact upon the Islamic finance industry, due to the </w:t>
      </w:r>
      <w:r w:rsidRPr="00906628">
        <w:rPr>
          <w:rFonts w:ascii="Calibri" w:hAnsi="Calibri"/>
          <w:sz w:val="22"/>
          <w:szCs w:val="22"/>
        </w:rPr>
        <w:t>audits and analysis</w:t>
      </w:r>
      <w:r w:rsidR="007C5E29">
        <w:rPr>
          <w:rFonts w:ascii="Calibri" w:hAnsi="Calibri"/>
          <w:sz w:val="22"/>
          <w:szCs w:val="22"/>
        </w:rPr>
        <w:t xml:space="preserve"> under</w:t>
      </w:r>
      <w:r>
        <w:rPr>
          <w:rFonts w:ascii="Calibri" w:hAnsi="Calibri"/>
          <w:sz w:val="22"/>
          <w:szCs w:val="22"/>
        </w:rPr>
        <w:t xml:space="preserve">taken by </w:t>
      </w:r>
      <w:r w:rsidRPr="00906628">
        <w:rPr>
          <w:rFonts w:ascii="Calibri" w:hAnsi="Calibri"/>
          <w:sz w:val="22"/>
          <w:szCs w:val="22"/>
        </w:rPr>
        <w:t>Islamic finance institute</w:t>
      </w:r>
      <w:r>
        <w:rPr>
          <w:rFonts w:ascii="Calibri" w:hAnsi="Calibri"/>
          <w:sz w:val="22"/>
          <w:szCs w:val="22"/>
        </w:rPr>
        <w:t>s</w:t>
      </w:r>
      <w:r w:rsidR="007C5E29">
        <w:rPr>
          <w:rFonts w:ascii="Calibri" w:hAnsi="Calibri"/>
          <w:sz w:val="22"/>
          <w:szCs w:val="22"/>
        </w:rPr>
        <w:t>. T</w:t>
      </w:r>
      <w:r>
        <w:rPr>
          <w:rFonts w:ascii="Calibri" w:hAnsi="Calibri"/>
          <w:sz w:val="22"/>
          <w:szCs w:val="22"/>
        </w:rPr>
        <w:t>his</w:t>
      </w:r>
      <w:r w:rsidRPr="00906628">
        <w:rPr>
          <w:rFonts w:ascii="Calibri" w:hAnsi="Calibri"/>
          <w:sz w:val="22"/>
          <w:szCs w:val="22"/>
        </w:rPr>
        <w:t xml:space="preserve"> lessens the occurrence of risk and </w:t>
      </w:r>
      <w:r>
        <w:rPr>
          <w:rFonts w:ascii="Calibri" w:hAnsi="Calibri"/>
          <w:sz w:val="22"/>
          <w:szCs w:val="22"/>
        </w:rPr>
        <w:t>promotes</w:t>
      </w:r>
      <w:r w:rsidRPr="00906628">
        <w:rPr>
          <w:rFonts w:ascii="Calibri" w:hAnsi="Calibri"/>
          <w:sz w:val="22"/>
          <w:szCs w:val="22"/>
        </w:rPr>
        <w:t xml:space="preserve"> financial stability</w:t>
      </w:r>
      <w:r>
        <w:rPr>
          <w:rFonts w:ascii="Calibri" w:hAnsi="Calibri"/>
          <w:sz w:val="22"/>
          <w:szCs w:val="22"/>
        </w:rPr>
        <w:t xml:space="preserve"> by avoiding over deb</w:t>
      </w:r>
      <w:r w:rsidR="007C5E29">
        <w:rPr>
          <w:rFonts w:ascii="Calibri" w:hAnsi="Calibri"/>
          <w:sz w:val="22"/>
          <w:szCs w:val="22"/>
        </w:rPr>
        <w:t>i</w:t>
      </w:r>
      <w:r>
        <w:rPr>
          <w:rFonts w:ascii="Calibri" w:hAnsi="Calibri"/>
          <w:sz w:val="22"/>
          <w:szCs w:val="22"/>
        </w:rPr>
        <w:t xml:space="preserve">ting the banks. </w:t>
      </w:r>
    </w:p>
    <w:p w:rsidR="00906628" w:rsidRDefault="00906628" w:rsidP="00906628">
      <w:pPr>
        <w:jc w:val="both"/>
        <w:rPr>
          <w:rFonts w:ascii="Calibri" w:hAnsi="Calibri"/>
          <w:sz w:val="22"/>
          <w:szCs w:val="22"/>
        </w:rPr>
      </w:pPr>
    </w:p>
    <w:p w:rsidR="00906628" w:rsidRPr="00906628" w:rsidRDefault="00906628" w:rsidP="00906628">
      <w:pPr>
        <w:jc w:val="both"/>
        <w:rPr>
          <w:rFonts w:ascii="Calibri" w:hAnsi="Calibri"/>
          <w:sz w:val="22"/>
          <w:szCs w:val="22"/>
        </w:rPr>
      </w:pPr>
      <w:r>
        <w:rPr>
          <w:rFonts w:ascii="Calibri" w:hAnsi="Calibri"/>
          <w:sz w:val="22"/>
          <w:szCs w:val="22"/>
        </w:rPr>
        <w:t xml:space="preserve">Islamic Finance also has a heightened focus on ethical and moral values, this promotes socially desirable investments rather than changing exclusively profit, this system better supports the individual, the institution and the community at large promoting responsible behaviour and a better corporate social responsibility from organisations. </w:t>
      </w:r>
      <w:sdt>
        <w:sdtPr>
          <w:rPr>
            <w:rFonts w:ascii="Calibri" w:hAnsi="Calibri"/>
            <w:sz w:val="22"/>
            <w:szCs w:val="22"/>
          </w:rPr>
          <w:id w:val="-530192570"/>
          <w:citation/>
        </w:sdtPr>
        <w:sdtContent>
          <w:r w:rsidR="00E00C3A">
            <w:rPr>
              <w:rFonts w:ascii="Calibri" w:hAnsi="Calibri"/>
              <w:sz w:val="22"/>
              <w:szCs w:val="22"/>
            </w:rPr>
            <w:fldChar w:fldCharType="begin"/>
          </w:r>
          <w:r>
            <w:rPr>
              <w:rFonts w:ascii="Calibri" w:hAnsi="Calibri"/>
              <w:sz w:val="22"/>
              <w:szCs w:val="22"/>
            </w:rPr>
            <w:instrText xml:space="preserve"> CITATION Aim18 \l 2057 </w:instrText>
          </w:r>
          <w:r w:rsidR="00E00C3A">
            <w:rPr>
              <w:rFonts w:ascii="Calibri" w:hAnsi="Calibri"/>
              <w:sz w:val="22"/>
              <w:szCs w:val="22"/>
            </w:rPr>
            <w:fldChar w:fldCharType="separate"/>
          </w:r>
          <w:r w:rsidR="00063320" w:rsidRPr="00063320">
            <w:rPr>
              <w:rFonts w:ascii="Calibri" w:hAnsi="Calibri"/>
              <w:noProof/>
              <w:sz w:val="22"/>
              <w:szCs w:val="22"/>
            </w:rPr>
            <w:t>(Aims Education, 2018)</w:t>
          </w:r>
          <w:r w:rsidR="00E00C3A">
            <w:rPr>
              <w:rFonts w:ascii="Calibri" w:hAnsi="Calibri"/>
              <w:sz w:val="22"/>
              <w:szCs w:val="22"/>
            </w:rPr>
            <w:fldChar w:fldCharType="end"/>
          </w:r>
        </w:sdtContent>
      </w:sdt>
    </w:p>
    <w:p w:rsidR="008A3935" w:rsidRDefault="008A3935" w:rsidP="00601D68">
      <w:pPr>
        <w:jc w:val="both"/>
        <w:rPr>
          <w:rFonts w:ascii="Calibri" w:hAnsi="Calibri"/>
          <w:sz w:val="22"/>
          <w:szCs w:val="22"/>
        </w:rPr>
      </w:pPr>
    </w:p>
    <w:p w:rsidR="00906628" w:rsidRDefault="00906628" w:rsidP="00601D68">
      <w:pPr>
        <w:jc w:val="both"/>
        <w:rPr>
          <w:rFonts w:ascii="Calibri" w:hAnsi="Calibri"/>
          <w:sz w:val="22"/>
          <w:szCs w:val="22"/>
        </w:rPr>
      </w:pPr>
      <w:r>
        <w:rPr>
          <w:rFonts w:ascii="Calibri" w:hAnsi="Calibri"/>
          <w:sz w:val="22"/>
          <w:szCs w:val="22"/>
        </w:rPr>
        <w:t>Islamic finance is not with</w:t>
      </w:r>
      <w:r w:rsidR="00041791">
        <w:rPr>
          <w:rFonts w:ascii="Calibri" w:hAnsi="Calibri"/>
          <w:sz w:val="22"/>
          <w:szCs w:val="22"/>
        </w:rPr>
        <w:t>o</w:t>
      </w:r>
      <w:r>
        <w:rPr>
          <w:rFonts w:ascii="Calibri" w:hAnsi="Calibri"/>
          <w:sz w:val="22"/>
          <w:szCs w:val="22"/>
        </w:rPr>
        <w:t xml:space="preserve">ut its potential </w:t>
      </w:r>
      <w:r w:rsidR="00041791">
        <w:rPr>
          <w:rFonts w:ascii="Calibri" w:hAnsi="Calibri"/>
          <w:sz w:val="22"/>
          <w:szCs w:val="22"/>
        </w:rPr>
        <w:t>drawbacks</w:t>
      </w:r>
      <w:r>
        <w:rPr>
          <w:rFonts w:ascii="Calibri" w:hAnsi="Calibri"/>
          <w:sz w:val="22"/>
          <w:szCs w:val="22"/>
        </w:rPr>
        <w:t xml:space="preserve">, the following </w:t>
      </w:r>
      <w:r w:rsidR="00041791">
        <w:rPr>
          <w:rFonts w:ascii="Calibri" w:hAnsi="Calibri"/>
          <w:sz w:val="22"/>
          <w:szCs w:val="22"/>
        </w:rPr>
        <w:t xml:space="preserve">can be regarded as disadvantages to the Islamic business model; </w:t>
      </w:r>
    </w:p>
    <w:p w:rsidR="00041791" w:rsidRDefault="00041791" w:rsidP="00601D68">
      <w:pPr>
        <w:jc w:val="both"/>
        <w:rPr>
          <w:rFonts w:ascii="Calibri" w:hAnsi="Calibri"/>
          <w:sz w:val="22"/>
          <w:szCs w:val="22"/>
        </w:rPr>
      </w:pPr>
    </w:p>
    <w:p w:rsidR="00041791" w:rsidRDefault="00041791" w:rsidP="00601D68">
      <w:pPr>
        <w:jc w:val="both"/>
        <w:rPr>
          <w:rFonts w:ascii="Calibri" w:hAnsi="Calibri"/>
          <w:sz w:val="22"/>
          <w:szCs w:val="22"/>
        </w:rPr>
      </w:pPr>
      <w:r>
        <w:rPr>
          <w:rFonts w:ascii="Calibri" w:hAnsi="Calibri"/>
          <w:sz w:val="22"/>
          <w:szCs w:val="22"/>
        </w:rPr>
        <w:t xml:space="preserve">As institutions that operate under Islamic finance are governed by </w:t>
      </w:r>
      <w:proofErr w:type="spellStart"/>
      <w:r>
        <w:rPr>
          <w:rFonts w:ascii="Calibri" w:hAnsi="Calibri"/>
          <w:sz w:val="22"/>
          <w:szCs w:val="22"/>
        </w:rPr>
        <w:t>Shari’a</w:t>
      </w:r>
      <w:r w:rsidR="00DA07B0">
        <w:rPr>
          <w:rFonts w:ascii="Calibri" w:hAnsi="Calibri"/>
          <w:sz w:val="22"/>
          <w:szCs w:val="22"/>
        </w:rPr>
        <w:t>h</w:t>
      </w:r>
      <w:proofErr w:type="spellEnd"/>
      <w:r>
        <w:rPr>
          <w:rFonts w:ascii="Calibri" w:hAnsi="Calibri"/>
          <w:sz w:val="22"/>
          <w:szCs w:val="22"/>
        </w:rPr>
        <w:t xml:space="preserve"> Law, there is no central authority in order to deem what is compliant as this is base</w:t>
      </w:r>
      <w:r w:rsidR="00DA07B0">
        <w:rPr>
          <w:rFonts w:ascii="Calibri" w:hAnsi="Calibri"/>
          <w:sz w:val="22"/>
          <w:szCs w:val="22"/>
        </w:rPr>
        <w:t>d</w:t>
      </w:r>
      <w:r>
        <w:rPr>
          <w:rFonts w:ascii="Calibri" w:hAnsi="Calibri"/>
          <w:sz w:val="22"/>
          <w:szCs w:val="22"/>
        </w:rPr>
        <w:t xml:space="preserve"> upon religious teachings and so understanding of what is permissible under this system varies among different jurisdictions. </w:t>
      </w:r>
    </w:p>
    <w:p w:rsidR="00041791" w:rsidRDefault="00041791" w:rsidP="00601D68">
      <w:pPr>
        <w:jc w:val="both"/>
        <w:rPr>
          <w:rFonts w:ascii="Calibri" w:hAnsi="Calibri"/>
          <w:sz w:val="22"/>
          <w:szCs w:val="22"/>
        </w:rPr>
      </w:pPr>
    </w:p>
    <w:p w:rsidR="00041791" w:rsidRDefault="00041791" w:rsidP="00601D68">
      <w:pPr>
        <w:jc w:val="both"/>
        <w:rPr>
          <w:rFonts w:ascii="Calibri" w:hAnsi="Calibri"/>
          <w:sz w:val="22"/>
          <w:szCs w:val="22"/>
        </w:rPr>
      </w:pPr>
      <w:r>
        <w:rPr>
          <w:rFonts w:ascii="Calibri" w:hAnsi="Calibri"/>
          <w:sz w:val="22"/>
          <w:szCs w:val="22"/>
        </w:rPr>
        <w:t>Due to the growth within the industry more complex banking products are now available</w:t>
      </w:r>
      <w:r w:rsidR="004B64D6">
        <w:rPr>
          <w:rFonts w:ascii="Calibri" w:hAnsi="Calibri"/>
          <w:sz w:val="22"/>
          <w:szCs w:val="22"/>
        </w:rPr>
        <w:t>. T</w:t>
      </w:r>
      <w:r>
        <w:rPr>
          <w:rFonts w:ascii="Calibri" w:hAnsi="Calibri"/>
          <w:sz w:val="22"/>
          <w:szCs w:val="22"/>
        </w:rPr>
        <w:t>he banks are not harmonised as regulatory standards differ when compared to the conventional system that is highly regulated by a measurable body</w:t>
      </w:r>
      <w:r w:rsidR="004B64D6">
        <w:rPr>
          <w:rFonts w:ascii="Calibri" w:hAnsi="Calibri"/>
          <w:sz w:val="22"/>
          <w:szCs w:val="22"/>
        </w:rPr>
        <w:t>. F</w:t>
      </w:r>
      <w:r>
        <w:rPr>
          <w:rFonts w:ascii="Calibri" w:hAnsi="Calibri"/>
          <w:sz w:val="22"/>
          <w:szCs w:val="22"/>
        </w:rPr>
        <w:t>or example</w:t>
      </w:r>
      <w:r w:rsidR="004B64D6">
        <w:rPr>
          <w:rFonts w:ascii="Calibri" w:hAnsi="Calibri"/>
          <w:sz w:val="22"/>
          <w:szCs w:val="22"/>
        </w:rPr>
        <w:t>:</w:t>
      </w:r>
      <w:r>
        <w:rPr>
          <w:rFonts w:ascii="Calibri" w:hAnsi="Calibri"/>
          <w:sz w:val="22"/>
          <w:szCs w:val="22"/>
        </w:rPr>
        <w:t xml:space="preserve"> the sale of debt is allowed in Malaysian Islamic financial institutes, however, prohibited by other Islamic banks. </w:t>
      </w:r>
      <w:sdt>
        <w:sdtPr>
          <w:rPr>
            <w:rFonts w:ascii="Calibri" w:hAnsi="Calibri"/>
            <w:sz w:val="22"/>
            <w:szCs w:val="22"/>
          </w:rPr>
          <w:id w:val="2127268401"/>
          <w:citation/>
        </w:sdtPr>
        <w:sdtContent>
          <w:r w:rsidR="00E00C3A">
            <w:rPr>
              <w:rFonts w:ascii="Calibri" w:hAnsi="Calibri"/>
              <w:sz w:val="22"/>
              <w:szCs w:val="22"/>
            </w:rPr>
            <w:fldChar w:fldCharType="begin"/>
          </w:r>
          <w:r>
            <w:rPr>
              <w:rFonts w:ascii="Calibri" w:hAnsi="Calibri"/>
              <w:sz w:val="22"/>
              <w:szCs w:val="22"/>
            </w:rPr>
            <w:instrText xml:space="preserve"> CITATION Cha17 \l 2057 </w:instrText>
          </w:r>
          <w:r w:rsidR="00E00C3A">
            <w:rPr>
              <w:rFonts w:ascii="Calibri" w:hAnsi="Calibri"/>
              <w:sz w:val="22"/>
              <w:szCs w:val="22"/>
            </w:rPr>
            <w:fldChar w:fldCharType="separate"/>
          </w:r>
          <w:r w:rsidR="00063320" w:rsidRPr="00063320">
            <w:rPr>
              <w:rFonts w:ascii="Calibri" w:hAnsi="Calibri"/>
              <w:noProof/>
              <w:sz w:val="22"/>
              <w:szCs w:val="22"/>
            </w:rPr>
            <w:t>(Changeboard Team, 2017)</w:t>
          </w:r>
          <w:r w:rsidR="00E00C3A">
            <w:rPr>
              <w:rFonts w:ascii="Calibri" w:hAnsi="Calibri"/>
              <w:sz w:val="22"/>
              <w:szCs w:val="22"/>
            </w:rPr>
            <w:fldChar w:fldCharType="end"/>
          </w:r>
        </w:sdtContent>
      </w:sdt>
    </w:p>
    <w:p w:rsidR="00041791" w:rsidRDefault="00041791" w:rsidP="00601D68">
      <w:pPr>
        <w:jc w:val="both"/>
        <w:rPr>
          <w:rFonts w:ascii="Calibri" w:hAnsi="Calibri"/>
          <w:sz w:val="22"/>
          <w:szCs w:val="22"/>
        </w:rPr>
      </w:pPr>
    </w:p>
    <w:p w:rsidR="00041791" w:rsidRDefault="00041791" w:rsidP="00601D68">
      <w:pPr>
        <w:jc w:val="both"/>
        <w:rPr>
          <w:rFonts w:ascii="Calibri" w:hAnsi="Calibri"/>
          <w:sz w:val="22"/>
          <w:szCs w:val="22"/>
        </w:rPr>
      </w:pPr>
      <w:r>
        <w:rPr>
          <w:rFonts w:ascii="Calibri" w:hAnsi="Calibri"/>
          <w:sz w:val="22"/>
          <w:szCs w:val="22"/>
        </w:rPr>
        <w:t>Further to this Islamic Laws also introduce an element of risk to business</w:t>
      </w:r>
      <w:r w:rsidR="00DA07B0">
        <w:rPr>
          <w:rFonts w:ascii="Calibri" w:hAnsi="Calibri"/>
          <w:sz w:val="22"/>
          <w:szCs w:val="22"/>
        </w:rPr>
        <w:t>es</w:t>
      </w:r>
      <w:r>
        <w:rPr>
          <w:rFonts w:ascii="Calibri" w:hAnsi="Calibri"/>
          <w:sz w:val="22"/>
          <w:szCs w:val="22"/>
        </w:rPr>
        <w:t xml:space="preserve"> as it places a limit on products such as conventional insurance, meaning that in a period of loss the business could be more harshly affected than under a conventional finance approach.  </w:t>
      </w:r>
      <w:sdt>
        <w:sdtPr>
          <w:rPr>
            <w:rFonts w:ascii="Calibri" w:hAnsi="Calibri"/>
            <w:sz w:val="22"/>
            <w:szCs w:val="22"/>
          </w:rPr>
          <w:id w:val="-1931725183"/>
          <w:citation/>
        </w:sdtPr>
        <w:sdtContent>
          <w:r w:rsidR="00E00C3A">
            <w:rPr>
              <w:rFonts w:ascii="Calibri" w:hAnsi="Calibri"/>
              <w:sz w:val="22"/>
              <w:szCs w:val="22"/>
            </w:rPr>
            <w:fldChar w:fldCharType="begin"/>
          </w:r>
          <w:r w:rsidR="00552FF9">
            <w:rPr>
              <w:rFonts w:ascii="Calibri" w:hAnsi="Calibri"/>
              <w:sz w:val="22"/>
              <w:szCs w:val="22"/>
            </w:rPr>
            <w:instrText xml:space="preserve"> CITATION Exp16 \l 2057 </w:instrText>
          </w:r>
          <w:r w:rsidR="00E00C3A">
            <w:rPr>
              <w:rFonts w:ascii="Calibri" w:hAnsi="Calibri"/>
              <w:sz w:val="22"/>
              <w:szCs w:val="22"/>
            </w:rPr>
            <w:fldChar w:fldCharType="separate"/>
          </w:r>
          <w:r w:rsidR="00063320" w:rsidRPr="00063320">
            <w:rPr>
              <w:rFonts w:ascii="Calibri" w:hAnsi="Calibri"/>
              <w:noProof/>
              <w:sz w:val="22"/>
              <w:szCs w:val="22"/>
            </w:rPr>
            <w:t>(Exportiamo, 2016)</w:t>
          </w:r>
          <w:r w:rsidR="00E00C3A">
            <w:rPr>
              <w:rFonts w:ascii="Calibri" w:hAnsi="Calibri"/>
              <w:sz w:val="22"/>
              <w:szCs w:val="22"/>
            </w:rPr>
            <w:fldChar w:fldCharType="end"/>
          </w:r>
        </w:sdtContent>
      </w:sdt>
    </w:p>
    <w:p w:rsidR="001360CE" w:rsidRPr="00EB67BF" w:rsidRDefault="00041791" w:rsidP="00EB67BF">
      <w:pPr>
        <w:tabs>
          <w:tab w:val="left" w:pos="3093"/>
        </w:tabs>
        <w:jc w:val="both"/>
        <w:rPr>
          <w:rFonts w:ascii="Calibri" w:hAnsi="Calibri"/>
          <w:sz w:val="22"/>
          <w:szCs w:val="22"/>
        </w:rPr>
      </w:pPr>
      <w:r>
        <w:rPr>
          <w:rFonts w:ascii="Calibri" w:hAnsi="Calibri"/>
          <w:sz w:val="22"/>
          <w:szCs w:val="22"/>
        </w:rPr>
        <w:tab/>
      </w:r>
    </w:p>
    <w:p w:rsid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bookmarkStart w:id="41" w:name="_Toc532305283"/>
      <w:r w:rsidRPr="00DA42B0">
        <w:rPr>
          <w:rFonts w:asciiTheme="majorHAnsi" w:eastAsiaTheme="majorEastAsia" w:hAnsiTheme="majorHAnsi" w:cstheme="majorBidi"/>
          <w:color w:val="2F5496" w:themeColor="accent1" w:themeShade="BF"/>
          <w:sz w:val="32"/>
          <w:szCs w:val="32"/>
        </w:rPr>
        <w:t>A</w:t>
      </w:r>
      <w:r>
        <w:rPr>
          <w:rFonts w:asciiTheme="majorHAnsi" w:eastAsiaTheme="majorEastAsia" w:hAnsiTheme="majorHAnsi" w:cstheme="majorBidi"/>
          <w:color w:val="2F5496" w:themeColor="accent1" w:themeShade="BF"/>
          <w:sz w:val="32"/>
          <w:szCs w:val="32"/>
        </w:rPr>
        <w:t>nalysis of Islamic Finance</w:t>
      </w:r>
      <w:bookmarkEnd w:id="41"/>
      <w:r>
        <w:rPr>
          <w:rFonts w:asciiTheme="majorHAnsi" w:eastAsiaTheme="majorEastAsia" w:hAnsiTheme="majorHAnsi" w:cstheme="majorBidi"/>
          <w:color w:val="2F5496" w:themeColor="accent1" w:themeShade="BF"/>
          <w:sz w:val="32"/>
          <w:szCs w:val="32"/>
        </w:rPr>
        <w:t xml:space="preserve"> </w:t>
      </w:r>
    </w:p>
    <w:p w:rsidR="00DA42B0" w:rsidRDefault="00DA42B0" w:rsidP="00DA42B0">
      <w:pPr>
        <w:pStyle w:val="NoSpacing"/>
        <w:outlineLvl w:val="0"/>
        <w:rPr>
          <w:rFonts w:asciiTheme="majorHAnsi" w:eastAsiaTheme="majorEastAsia" w:hAnsiTheme="majorHAnsi" w:cstheme="majorBidi"/>
          <w:color w:val="2F5496" w:themeColor="accent1" w:themeShade="BF"/>
          <w:sz w:val="32"/>
          <w:szCs w:val="32"/>
        </w:rPr>
      </w:pPr>
    </w:p>
    <w:p w:rsidR="00552FF9" w:rsidRDefault="00552FF9" w:rsidP="00552FF9">
      <w:pPr>
        <w:jc w:val="both"/>
        <w:rPr>
          <w:rFonts w:ascii="Calibri" w:hAnsi="Calibri"/>
          <w:sz w:val="22"/>
          <w:szCs w:val="22"/>
        </w:rPr>
      </w:pPr>
      <w:r>
        <w:rPr>
          <w:rFonts w:ascii="Calibri" w:hAnsi="Calibri"/>
          <w:sz w:val="22"/>
          <w:szCs w:val="22"/>
        </w:rPr>
        <w:t>Focusing o</w:t>
      </w:r>
      <w:r w:rsidR="00DA07B0">
        <w:rPr>
          <w:rFonts w:ascii="Calibri" w:hAnsi="Calibri"/>
          <w:sz w:val="22"/>
          <w:szCs w:val="22"/>
        </w:rPr>
        <w:t xml:space="preserve">n </w:t>
      </w:r>
      <w:r>
        <w:rPr>
          <w:rFonts w:ascii="Calibri" w:hAnsi="Calibri"/>
          <w:sz w:val="22"/>
          <w:szCs w:val="22"/>
        </w:rPr>
        <w:t>the global financial crisis of 2008 the western conventional banking system was devastated by this crash, the Islamic economy and fina</w:t>
      </w:r>
      <w:r w:rsidR="004B64D6">
        <w:rPr>
          <w:rFonts w:ascii="Calibri" w:hAnsi="Calibri"/>
          <w:sz w:val="22"/>
          <w:szCs w:val="22"/>
        </w:rPr>
        <w:t>ncial system remained unscathed.</w:t>
      </w:r>
      <w:r>
        <w:rPr>
          <w:rFonts w:ascii="Calibri" w:hAnsi="Calibri"/>
          <w:sz w:val="22"/>
          <w:szCs w:val="22"/>
        </w:rPr>
        <w:t xml:space="preserve"> Muslims attribute this to the fact that the Islamic banking model is anchored on honourable values such as credibility and transparency allowing the system to support </w:t>
      </w:r>
      <w:r w:rsidRPr="00552FF9">
        <w:rPr>
          <w:rFonts w:ascii="Calibri" w:hAnsi="Calibri"/>
          <w:sz w:val="22"/>
          <w:szCs w:val="22"/>
        </w:rPr>
        <w:t>security and safety in any financial transactions.</w:t>
      </w:r>
      <w:r>
        <w:rPr>
          <w:rFonts w:ascii="Calibri" w:hAnsi="Calibri"/>
          <w:sz w:val="22"/>
          <w:szCs w:val="22"/>
        </w:rPr>
        <w:t xml:space="preserve">     </w:t>
      </w:r>
    </w:p>
    <w:p w:rsidR="00DA07B0" w:rsidRDefault="00DA07B0" w:rsidP="00552FF9">
      <w:pPr>
        <w:jc w:val="both"/>
        <w:rPr>
          <w:rFonts w:ascii="Calibri" w:hAnsi="Calibri"/>
          <w:sz w:val="22"/>
          <w:szCs w:val="22"/>
        </w:rPr>
      </w:pPr>
    </w:p>
    <w:p w:rsidR="00552FF9" w:rsidRPr="00552FF9" w:rsidRDefault="007F34E1" w:rsidP="00552FF9">
      <w:pPr>
        <w:jc w:val="both"/>
        <w:rPr>
          <w:rFonts w:ascii="Calibri" w:hAnsi="Calibri"/>
          <w:sz w:val="22"/>
          <w:szCs w:val="22"/>
        </w:rPr>
      </w:pPr>
      <w:r>
        <w:rPr>
          <w:rFonts w:ascii="Calibri" w:hAnsi="Calibri"/>
          <w:sz w:val="22"/>
          <w:szCs w:val="22"/>
        </w:rPr>
        <w:t>Furthermore,</w:t>
      </w:r>
      <w:r w:rsidR="00552FF9">
        <w:rPr>
          <w:rFonts w:ascii="Calibri" w:hAnsi="Calibri"/>
          <w:sz w:val="22"/>
          <w:szCs w:val="22"/>
        </w:rPr>
        <w:t xml:space="preserve"> this is also attributed to the importance placed upon </w:t>
      </w:r>
      <w:r>
        <w:rPr>
          <w:rFonts w:ascii="Calibri" w:hAnsi="Calibri"/>
          <w:sz w:val="22"/>
          <w:szCs w:val="22"/>
        </w:rPr>
        <w:t>institutions</w:t>
      </w:r>
      <w:r w:rsidR="00552FF9">
        <w:rPr>
          <w:rFonts w:ascii="Calibri" w:hAnsi="Calibri"/>
          <w:sz w:val="22"/>
          <w:szCs w:val="22"/>
        </w:rPr>
        <w:t xml:space="preserve"> by </w:t>
      </w:r>
      <w:proofErr w:type="spellStart"/>
      <w:r w:rsidR="00552FF9">
        <w:rPr>
          <w:rFonts w:ascii="Calibri" w:hAnsi="Calibri"/>
          <w:sz w:val="22"/>
          <w:szCs w:val="22"/>
        </w:rPr>
        <w:t>Shari’ah</w:t>
      </w:r>
      <w:proofErr w:type="spellEnd"/>
      <w:r w:rsidR="00552FF9">
        <w:rPr>
          <w:rFonts w:ascii="Calibri" w:hAnsi="Calibri"/>
          <w:sz w:val="22"/>
          <w:szCs w:val="22"/>
        </w:rPr>
        <w:t xml:space="preserve"> </w:t>
      </w:r>
      <w:r w:rsidR="00DA07B0">
        <w:rPr>
          <w:rFonts w:ascii="Calibri" w:hAnsi="Calibri"/>
          <w:sz w:val="22"/>
          <w:szCs w:val="22"/>
        </w:rPr>
        <w:t>La</w:t>
      </w:r>
      <w:r w:rsidR="00552FF9">
        <w:rPr>
          <w:rFonts w:ascii="Calibri" w:hAnsi="Calibri"/>
          <w:sz w:val="22"/>
          <w:szCs w:val="22"/>
        </w:rPr>
        <w:t xml:space="preserve">w when avoiding </w:t>
      </w:r>
      <w:r w:rsidR="00552FF9" w:rsidRPr="00552FF9">
        <w:rPr>
          <w:rFonts w:ascii="Calibri" w:hAnsi="Calibri"/>
          <w:sz w:val="22"/>
          <w:szCs w:val="22"/>
        </w:rPr>
        <w:t>financial transactions that involve unsubstantiated risk or uncertainty (</w:t>
      </w:r>
      <w:proofErr w:type="spellStart"/>
      <w:r w:rsidR="00552FF9" w:rsidRPr="00552FF9">
        <w:rPr>
          <w:rFonts w:ascii="Calibri" w:hAnsi="Calibri"/>
          <w:sz w:val="22"/>
          <w:szCs w:val="22"/>
        </w:rPr>
        <w:t>gharar</w:t>
      </w:r>
      <w:proofErr w:type="spellEnd"/>
      <w:r w:rsidR="003F232B">
        <w:rPr>
          <w:rFonts w:ascii="Calibri" w:hAnsi="Calibri"/>
          <w:sz w:val="22"/>
          <w:szCs w:val="22"/>
        </w:rPr>
        <w:t xml:space="preserve">) or </w:t>
      </w:r>
      <w:r w:rsidR="00552FF9" w:rsidRPr="00552FF9">
        <w:rPr>
          <w:rFonts w:ascii="Calibri" w:hAnsi="Calibri"/>
          <w:sz w:val="22"/>
          <w:szCs w:val="22"/>
        </w:rPr>
        <w:t>unfairness and taking other people's money unjustly.</w:t>
      </w:r>
      <w:r w:rsidR="00552FF9">
        <w:rPr>
          <w:rFonts w:ascii="Calibri" w:hAnsi="Calibri"/>
          <w:sz w:val="22"/>
          <w:szCs w:val="22"/>
        </w:rPr>
        <w:t xml:space="preserve"> </w:t>
      </w:r>
      <w:sdt>
        <w:sdtPr>
          <w:rPr>
            <w:rFonts w:ascii="Calibri" w:hAnsi="Calibri"/>
            <w:sz w:val="22"/>
            <w:szCs w:val="22"/>
          </w:rPr>
          <w:id w:val="503171233"/>
          <w:citation/>
        </w:sdtPr>
        <w:sdtContent>
          <w:r w:rsidR="00E00C3A">
            <w:rPr>
              <w:rFonts w:ascii="Calibri" w:hAnsi="Calibri"/>
              <w:sz w:val="22"/>
              <w:szCs w:val="22"/>
            </w:rPr>
            <w:fldChar w:fldCharType="begin"/>
          </w:r>
          <w:r w:rsidR="00552FF9">
            <w:rPr>
              <w:rFonts w:ascii="Calibri" w:hAnsi="Calibri"/>
              <w:sz w:val="22"/>
              <w:szCs w:val="22"/>
            </w:rPr>
            <w:instrText xml:space="preserve"> CITATION Oth12 \l 2057 </w:instrText>
          </w:r>
          <w:r w:rsidR="00E00C3A">
            <w:rPr>
              <w:rFonts w:ascii="Calibri" w:hAnsi="Calibri"/>
              <w:sz w:val="22"/>
              <w:szCs w:val="22"/>
            </w:rPr>
            <w:fldChar w:fldCharType="separate"/>
          </w:r>
          <w:r w:rsidR="00063320" w:rsidRPr="00063320">
            <w:rPr>
              <w:rFonts w:ascii="Calibri" w:hAnsi="Calibri"/>
              <w:noProof/>
              <w:sz w:val="22"/>
              <w:szCs w:val="22"/>
            </w:rPr>
            <w:t>(Othman, 2012)</w:t>
          </w:r>
          <w:r w:rsidR="00E00C3A">
            <w:rPr>
              <w:rFonts w:ascii="Calibri" w:hAnsi="Calibri"/>
              <w:sz w:val="22"/>
              <w:szCs w:val="22"/>
            </w:rPr>
            <w:fldChar w:fldCharType="end"/>
          </w:r>
        </w:sdtContent>
      </w:sdt>
    </w:p>
    <w:p w:rsidR="00552FF9" w:rsidRDefault="00552FF9" w:rsidP="00DA42B0">
      <w:pPr>
        <w:jc w:val="both"/>
        <w:rPr>
          <w:rFonts w:ascii="Calibri" w:hAnsi="Calibri"/>
          <w:sz w:val="22"/>
          <w:szCs w:val="22"/>
        </w:rPr>
      </w:pPr>
    </w:p>
    <w:p w:rsidR="007F34E1" w:rsidRPr="007F34E1" w:rsidRDefault="007F34E1" w:rsidP="007F34E1">
      <w:pPr>
        <w:jc w:val="both"/>
        <w:rPr>
          <w:rFonts w:ascii="Calibri" w:hAnsi="Calibri"/>
          <w:sz w:val="22"/>
          <w:szCs w:val="22"/>
        </w:rPr>
      </w:pPr>
      <w:r>
        <w:rPr>
          <w:rFonts w:ascii="Calibri" w:hAnsi="Calibri"/>
          <w:sz w:val="22"/>
          <w:szCs w:val="22"/>
        </w:rPr>
        <w:t>A crisis of such a magnitude as the subprime mortgage scandal brin</w:t>
      </w:r>
      <w:r w:rsidR="00DA07B0">
        <w:rPr>
          <w:rFonts w:ascii="Calibri" w:hAnsi="Calibri"/>
          <w:sz w:val="22"/>
          <w:szCs w:val="22"/>
        </w:rPr>
        <w:t>gi</w:t>
      </w:r>
      <w:r>
        <w:rPr>
          <w:rFonts w:ascii="Calibri" w:hAnsi="Calibri"/>
          <w:sz w:val="22"/>
          <w:szCs w:val="22"/>
        </w:rPr>
        <w:t>ng about the financial crash would not be plausible under Islamic financial markets as it is against their principles to sell debt against debt and so as a result the global financial crisis would not have occurred under the principles of Islamic finance</w:t>
      </w:r>
      <w:r w:rsidRPr="007F34E1">
        <w:rPr>
          <w:rFonts w:ascii="Calibri" w:hAnsi="Calibri"/>
          <w:sz w:val="22"/>
          <w:szCs w:val="22"/>
        </w:rPr>
        <w:t xml:space="preserve"> </w:t>
      </w:r>
      <w:sdt>
        <w:sdtPr>
          <w:rPr>
            <w:rFonts w:ascii="Calibri" w:hAnsi="Calibri"/>
            <w:sz w:val="22"/>
            <w:szCs w:val="22"/>
          </w:rPr>
          <w:id w:val="177926030"/>
          <w:citation/>
        </w:sdtPr>
        <w:sdtContent>
          <w:r w:rsidR="00E00C3A">
            <w:rPr>
              <w:rFonts w:ascii="Calibri" w:hAnsi="Calibri"/>
              <w:sz w:val="22"/>
              <w:szCs w:val="22"/>
            </w:rPr>
            <w:fldChar w:fldCharType="begin"/>
          </w:r>
          <w:r w:rsidR="001B38C7">
            <w:rPr>
              <w:rFonts w:ascii="Calibri" w:hAnsi="Calibri"/>
              <w:sz w:val="22"/>
              <w:szCs w:val="22"/>
            </w:rPr>
            <w:instrText xml:space="preserve"> CITATION AlH08 \l 2057 </w:instrText>
          </w:r>
          <w:r w:rsidR="00E00C3A">
            <w:rPr>
              <w:rFonts w:ascii="Calibri" w:hAnsi="Calibri"/>
              <w:sz w:val="22"/>
              <w:szCs w:val="22"/>
            </w:rPr>
            <w:fldChar w:fldCharType="separate"/>
          </w:r>
          <w:r w:rsidR="00063320" w:rsidRPr="00063320">
            <w:rPr>
              <w:rFonts w:ascii="Calibri" w:hAnsi="Calibri"/>
              <w:noProof/>
              <w:sz w:val="22"/>
              <w:szCs w:val="22"/>
            </w:rPr>
            <w:t>(Al-Haddad, 2008)</w:t>
          </w:r>
          <w:r w:rsidR="00E00C3A">
            <w:rPr>
              <w:rFonts w:ascii="Calibri" w:hAnsi="Calibri"/>
              <w:sz w:val="22"/>
              <w:szCs w:val="22"/>
            </w:rPr>
            <w:fldChar w:fldCharType="end"/>
          </w:r>
        </w:sdtContent>
      </w:sdt>
      <w:r w:rsidRPr="007F34E1">
        <w:rPr>
          <w:rFonts w:ascii="Calibri" w:hAnsi="Calibri"/>
          <w:sz w:val="22"/>
          <w:szCs w:val="22"/>
        </w:rPr>
        <w:t>.</w:t>
      </w:r>
    </w:p>
    <w:p w:rsidR="007F34E1" w:rsidRDefault="007F34E1" w:rsidP="007F34E1"/>
    <w:p w:rsidR="003F232B" w:rsidRDefault="00DA42B0" w:rsidP="00DA42B0">
      <w:pPr>
        <w:jc w:val="both"/>
        <w:rPr>
          <w:rFonts w:ascii="Calibri" w:hAnsi="Calibri"/>
          <w:sz w:val="22"/>
          <w:szCs w:val="22"/>
        </w:rPr>
      </w:pPr>
      <w:r>
        <w:rPr>
          <w:rFonts w:ascii="Calibri" w:hAnsi="Calibri"/>
          <w:sz w:val="22"/>
          <w:szCs w:val="22"/>
        </w:rPr>
        <w:t xml:space="preserve">Islamic finance </w:t>
      </w:r>
      <w:r w:rsidR="0054549D">
        <w:rPr>
          <w:rFonts w:ascii="Calibri" w:hAnsi="Calibri"/>
          <w:sz w:val="22"/>
          <w:szCs w:val="22"/>
        </w:rPr>
        <w:t>could be regarded as</w:t>
      </w:r>
      <w:r>
        <w:rPr>
          <w:rFonts w:ascii="Calibri" w:hAnsi="Calibri"/>
          <w:sz w:val="22"/>
          <w:szCs w:val="22"/>
        </w:rPr>
        <w:t xml:space="preserve"> a means to financial institutions avoiding the peaks and troughs that have oc</w:t>
      </w:r>
      <w:r w:rsidR="008D6E14">
        <w:rPr>
          <w:rFonts w:ascii="Calibri" w:hAnsi="Calibri"/>
          <w:sz w:val="22"/>
          <w:szCs w:val="22"/>
        </w:rPr>
        <w:t>curred in the financial markets.</w:t>
      </w:r>
      <w:r w:rsidR="0054549D">
        <w:rPr>
          <w:rFonts w:ascii="Calibri" w:hAnsi="Calibri"/>
          <w:sz w:val="22"/>
          <w:szCs w:val="22"/>
        </w:rPr>
        <w:t xml:space="preserve"> </w:t>
      </w:r>
      <w:r w:rsidR="008D6E14">
        <w:rPr>
          <w:rFonts w:ascii="Calibri" w:hAnsi="Calibri"/>
          <w:sz w:val="22"/>
          <w:szCs w:val="22"/>
        </w:rPr>
        <w:t>T</w:t>
      </w:r>
      <w:r w:rsidR="0054549D">
        <w:rPr>
          <w:rFonts w:ascii="Calibri" w:hAnsi="Calibri"/>
          <w:sz w:val="22"/>
          <w:szCs w:val="22"/>
        </w:rPr>
        <w:t xml:space="preserve">he continued growth of the Islamic Model, </w:t>
      </w:r>
      <w:r w:rsidR="008D6E14">
        <w:rPr>
          <w:rFonts w:ascii="Calibri" w:hAnsi="Calibri"/>
          <w:sz w:val="22"/>
          <w:szCs w:val="22"/>
        </w:rPr>
        <w:t xml:space="preserve">could be </w:t>
      </w:r>
      <w:r w:rsidR="003F232B">
        <w:rPr>
          <w:rFonts w:ascii="Calibri" w:hAnsi="Calibri"/>
          <w:sz w:val="22"/>
          <w:szCs w:val="22"/>
        </w:rPr>
        <w:t>due to its responsible and carefully considered practises to avoid over</w:t>
      </w:r>
      <w:r w:rsidR="008D6E14">
        <w:rPr>
          <w:rFonts w:ascii="Calibri" w:hAnsi="Calibri"/>
          <w:sz w:val="22"/>
          <w:szCs w:val="22"/>
        </w:rPr>
        <w:t>-</w:t>
      </w:r>
      <w:r w:rsidR="003F232B">
        <w:rPr>
          <w:rFonts w:ascii="Calibri" w:hAnsi="Calibri"/>
          <w:sz w:val="22"/>
          <w:szCs w:val="22"/>
        </w:rPr>
        <w:t>deb</w:t>
      </w:r>
      <w:r w:rsidR="008D6E14">
        <w:rPr>
          <w:rFonts w:ascii="Calibri" w:hAnsi="Calibri"/>
          <w:sz w:val="22"/>
          <w:szCs w:val="22"/>
        </w:rPr>
        <w:t>i</w:t>
      </w:r>
      <w:r w:rsidR="003F232B">
        <w:rPr>
          <w:rFonts w:ascii="Calibri" w:hAnsi="Calibri"/>
          <w:sz w:val="22"/>
          <w:szCs w:val="22"/>
        </w:rPr>
        <w:t>ting</w:t>
      </w:r>
      <w:r w:rsidR="008D6E14">
        <w:rPr>
          <w:rFonts w:ascii="Calibri" w:hAnsi="Calibri"/>
          <w:sz w:val="22"/>
          <w:szCs w:val="22"/>
        </w:rPr>
        <w:t>. T</w:t>
      </w:r>
      <w:r w:rsidR="003F232B">
        <w:rPr>
          <w:rFonts w:ascii="Calibri" w:hAnsi="Calibri"/>
          <w:sz w:val="22"/>
          <w:szCs w:val="22"/>
        </w:rPr>
        <w:t xml:space="preserve">he Islamic </w:t>
      </w:r>
      <w:r w:rsidR="00B77005">
        <w:rPr>
          <w:rFonts w:ascii="Calibri" w:hAnsi="Calibri"/>
          <w:sz w:val="22"/>
          <w:szCs w:val="22"/>
        </w:rPr>
        <w:t>f</w:t>
      </w:r>
      <w:r w:rsidR="003F232B">
        <w:rPr>
          <w:rFonts w:ascii="Calibri" w:hAnsi="Calibri"/>
          <w:sz w:val="22"/>
          <w:szCs w:val="22"/>
        </w:rPr>
        <w:t xml:space="preserve">inance market has grown and is expected to experience further growth, its success as a model is detailed below. </w:t>
      </w:r>
    </w:p>
    <w:p w:rsidR="00E54F5E" w:rsidRDefault="00E54F5E" w:rsidP="00DA42B0">
      <w:pPr>
        <w:jc w:val="both"/>
        <w:rPr>
          <w:rFonts w:ascii="Calibri" w:hAnsi="Calibri"/>
          <w:sz w:val="22"/>
          <w:szCs w:val="22"/>
        </w:rPr>
      </w:pPr>
    </w:p>
    <w:p w:rsidR="005F5A7C" w:rsidRDefault="005F5A7C" w:rsidP="00DA42B0">
      <w:pPr>
        <w:jc w:val="both"/>
        <w:rPr>
          <w:rFonts w:ascii="Calibri" w:hAnsi="Calibri"/>
          <w:sz w:val="22"/>
          <w:szCs w:val="22"/>
        </w:rPr>
      </w:pPr>
    </w:p>
    <w:p w:rsidR="00AB51CE" w:rsidRDefault="00AB51CE" w:rsidP="005F5A7C">
      <w:pPr>
        <w:rPr>
          <w:rFonts w:ascii="Calibri" w:hAnsi="Calibri"/>
          <w:sz w:val="22"/>
          <w:szCs w:val="22"/>
        </w:rPr>
      </w:pPr>
    </w:p>
    <w:p w:rsidR="006E7FDD" w:rsidRDefault="006E7FDD" w:rsidP="00AB51CE">
      <w:pPr>
        <w:jc w:val="center"/>
        <w:rPr>
          <w:rFonts w:ascii="Calibri" w:hAnsi="Calibri"/>
          <w:sz w:val="22"/>
          <w:szCs w:val="22"/>
        </w:rPr>
      </w:pPr>
    </w:p>
    <w:p w:rsidR="005F5A7C" w:rsidRDefault="005F5A7C" w:rsidP="005F5A7C">
      <w:pPr>
        <w:rPr>
          <w:rFonts w:ascii="Calibri" w:hAnsi="Calibri"/>
          <w:sz w:val="22"/>
          <w:szCs w:val="22"/>
        </w:rPr>
      </w:pPr>
    </w:p>
    <w:p w:rsidR="005F5A7C" w:rsidRDefault="005F5A7C" w:rsidP="005F5A7C">
      <w:pPr>
        <w:rPr>
          <w:rFonts w:ascii="Calibri" w:hAnsi="Calibri"/>
          <w:sz w:val="22"/>
          <w:szCs w:val="22"/>
        </w:rPr>
      </w:pPr>
    </w:p>
    <w:p w:rsidR="005F5A7C" w:rsidRDefault="005F5A7C" w:rsidP="005F5A7C">
      <w:pPr>
        <w:rPr>
          <w:rFonts w:ascii="Calibri" w:hAnsi="Calibri"/>
          <w:sz w:val="22"/>
          <w:szCs w:val="22"/>
        </w:rPr>
      </w:pPr>
    </w:p>
    <w:p w:rsidR="00063320" w:rsidRDefault="00063320" w:rsidP="005F5A7C">
      <w:pPr>
        <w:rPr>
          <w:rFonts w:ascii="Calibri" w:hAnsi="Calibri"/>
          <w:sz w:val="22"/>
          <w:szCs w:val="22"/>
        </w:rPr>
      </w:pPr>
    </w:p>
    <w:p w:rsidR="00063320" w:rsidRDefault="00063320" w:rsidP="005F5A7C">
      <w:pPr>
        <w:rPr>
          <w:rFonts w:ascii="Calibri" w:hAnsi="Calibri"/>
          <w:sz w:val="22"/>
          <w:szCs w:val="22"/>
        </w:rPr>
      </w:pPr>
    </w:p>
    <w:p w:rsidR="00063320" w:rsidRDefault="00063320" w:rsidP="005F5A7C">
      <w:pPr>
        <w:rPr>
          <w:rFonts w:ascii="Calibri" w:hAnsi="Calibri"/>
          <w:sz w:val="22"/>
          <w:szCs w:val="22"/>
        </w:rPr>
      </w:pPr>
    </w:p>
    <w:p w:rsidR="00B261D6" w:rsidRDefault="00B261D6" w:rsidP="005F5A7C">
      <w:pPr>
        <w:rPr>
          <w:rFonts w:ascii="Calibri" w:hAnsi="Calibri"/>
          <w:sz w:val="22"/>
          <w:szCs w:val="22"/>
        </w:rPr>
      </w:pPr>
    </w:p>
    <w:p w:rsidR="00B261D6" w:rsidRDefault="00B261D6" w:rsidP="005F5A7C">
      <w:pPr>
        <w:rPr>
          <w:rFonts w:ascii="Calibri" w:hAnsi="Calibri"/>
          <w:sz w:val="22"/>
          <w:szCs w:val="22"/>
        </w:rPr>
      </w:pPr>
    </w:p>
    <w:p w:rsidR="00063320" w:rsidRDefault="00063320" w:rsidP="005F5A7C">
      <w:pPr>
        <w:rPr>
          <w:rFonts w:ascii="Calibri" w:hAnsi="Calibri"/>
          <w:sz w:val="22"/>
          <w:szCs w:val="22"/>
        </w:rPr>
      </w:pPr>
    </w:p>
    <w:p w:rsidR="00063320" w:rsidRDefault="00063320" w:rsidP="005F5A7C">
      <w:pPr>
        <w:rPr>
          <w:rFonts w:ascii="Calibri" w:hAnsi="Calibri"/>
          <w:sz w:val="22"/>
          <w:szCs w:val="22"/>
        </w:rPr>
      </w:pPr>
    </w:p>
    <w:p w:rsidR="00063320" w:rsidRDefault="00063320" w:rsidP="005F5A7C">
      <w:pPr>
        <w:rPr>
          <w:rFonts w:ascii="Calibri" w:hAnsi="Calibri"/>
          <w:sz w:val="22"/>
          <w:szCs w:val="22"/>
        </w:rPr>
      </w:pPr>
    </w:p>
    <w:p w:rsidR="00063320" w:rsidRDefault="00063320" w:rsidP="005F5A7C">
      <w:pPr>
        <w:rPr>
          <w:rFonts w:ascii="Calibri" w:hAnsi="Calibri"/>
          <w:sz w:val="22"/>
          <w:szCs w:val="22"/>
        </w:rPr>
      </w:pPr>
    </w:p>
    <w:p w:rsidR="005F5A7C" w:rsidRDefault="005F5A7C" w:rsidP="005F5A7C">
      <w:pPr>
        <w:rPr>
          <w:rFonts w:ascii="Calibri" w:hAnsi="Calibri"/>
          <w:sz w:val="22"/>
          <w:szCs w:val="22"/>
        </w:rPr>
      </w:pPr>
    </w:p>
    <w:p w:rsidR="005F5A7C" w:rsidRDefault="005F5A7C" w:rsidP="005F5A7C">
      <w:pPr>
        <w:rPr>
          <w:rFonts w:ascii="Calibri" w:hAnsi="Calibri"/>
          <w:sz w:val="22"/>
          <w:szCs w:val="22"/>
        </w:rPr>
      </w:pPr>
    </w:p>
    <w:p w:rsidR="005F5A7C" w:rsidRDefault="005F5A7C" w:rsidP="005F5A7C">
      <w:pPr>
        <w:rPr>
          <w:rFonts w:ascii="Calibri" w:hAnsi="Calibri"/>
          <w:sz w:val="22"/>
          <w:szCs w:val="22"/>
        </w:rPr>
      </w:pPr>
    </w:p>
    <w:p w:rsidR="00AB51CE" w:rsidRDefault="005F5A7C" w:rsidP="005F5A7C">
      <w:pPr>
        <w:rPr>
          <w:rFonts w:ascii="Calibri" w:hAnsi="Calibri"/>
          <w:sz w:val="22"/>
          <w:szCs w:val="22"/>
        </w:rPr>
      </w:pPr>
      <w:r>
        <w:rPr>
          <w:rFonts w:ascii="Calibri" w:hAnsi="Calibri"/>
          <w:noProof/>
          <w:sz w:val="22"/>
          <w:szCs w:val="22"/>
          <w:lang w:eastAsia="en-GB"/>
        </w:rPr>
        <w:drawing>
          <wp:anchor distT="0" distB="0" distL="114300" distR="114300" simplePos="0" relativeHeight="251660288" behindDoc="1" locked="0" layoutInCell="1" allowOverlap="1">
            <wp:simplePos x="0" y="0"/>
            <wp:positionH relativeFrom="column">
              <wp:posOffset>-64770</wp:posOffset>
            </wp:positionH>
            <wp:positionV relativeFrom="paragraph">
              <wp:posOffset>-7620</wp:posOffset>
            </wp:positionV>
            <wp:extent cx="2266950" cy="2148840"/>
            <wp:effectExtent l="19050" t="0" r="0" b="0"/>
            <wp:wrapTight wrapText="bothSides">
              <wp:wrapPolygon edited="0">
                <wp:start x="-182" y="0"/>
                <wp:lineTo x="-182" y="21447"/>
                <wp:lineTo x="21600" y="21447"/>
                <wp:lineTo x="21600" y="0"/>
                <wp:lineTo x="-182" y="0"/>
              </wp:wrapPolygon>
            </wp:wrapTight>
            <wp:docPr id="3" name="Picture 1" descr="https://www.imf.org/~/media/Websites/IMF/Imported/external/pubs/ft/survey/so/2010/_RES100410A1gif.ash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mf.org/~/media/Websites/IMF/Imported/external/pubs/ft/survey/so/2010/_RES100410A1gif.ashx"/>
                    <pic:cNvPicPr>
                      <a:picLocks noChangeAspect="1" noChangeArrowheads="1"/>
                    </pic:cNvPicPr>
                  </pic:nvPicPr>
                  <pic:blipFill>
                    <a:blip r:embed="rId11" cstate="print"/>
                    <a:srcRect/>
                    <a:stretch>
                      <a:fillRect/>
                    </a:stretch>
                  </pic:blipFill>
                  <pic:spPr bwMode="auto">
                    <a:xfrm>
                      <a:off x="0" y="0"/>
                      <a:ext cx="2266950" cy="2148840"/>
                    </a:xfrm>
                    <a:prstGeom prst="rect">
                      <a:avLst/>
                    </a:prstGeom>
                    <a:noFill/>
                    <a:ln w="9525">
                      <a:noFill/>
                      <a:miter lim="800000"/>
                      <a:headEnd/>
                      <a:tailEnd/>
                    </a:ln>
                  </pic:spPr>
                </pic:pic>
              </a:graphicData>
            </a:graphic>
          </wp:anchor>
        </w:drawing>
      </w:r>
      <w:r w:rsidR="00AB51CE">
        <w:rPr>
          <w:rFonts w:ascii="Calibri" w:hAnsi="Calibri"/>
          <w:sz w:val="22"/>
          <w:szCs w:val="22"/>
        </w:rPr>
        <w:t xml:space="preserve">In order to illustrate Islamic finance resilience to the economic crisis, chart 1 provides information prior to the </w:t>
      </w:r>
      <w:r w:rsidR="00AB51CE">
        <w:rPr>
          <w:rFonts w:ascii="Calibri" w:hAnsi="Calibri"/>
          <w:sz w:val="22"/>
          <w:szCs w:val="22"/>
        </w:rPr>
        <w:lastRenderedPageBreak/>
        <w:t xml:space="preserve">financial </w:t>
      </w:r>
      <w:r w:rsidR="006E7FDD">
        <w:rPr>
          <w:rFonts w:ascii="Calibri" w:hAnsi="Calibri"/>
          <w:sz w:val="22"/>
          <w:szCs w:val="22"/>
        </w:rPr>
        <w:t>crash;</w:t>
      </w:r>
      <w:r w:rsidR="00AB51CE">
        <w:rPr>
          <w:rFonts w:ascii="Calibri" w:hAnsi="Calibri"/>
          <w:sz w:val="22"/>
          <w:szCs w:val="22"/>
        </w:rPr>
        <w:t xml:space="preserve"> </w:t>
      </w:r>
      <w:r w:rsidR="006E7FDD">
        <w:rPr>
          <w:rFonts w:ascii="Calibri" w:hAnsi="Calibri"/>
          <w:sz w:val="22"/>
          <w:szCs w:val="22"/>
        </w:rPr>
        <w:t xml:space="preserve">this demonstrates that in this example, focusing on banking data covering 2007-2010 of Islamic and conventional banks in Bahrain, Jordan, Kuwait, Malaysia, Qatar, Saudi Arabia, Turkey and the United Arab Emirates, Islamic Banks were more profitable in the first instance. </w:t>
      </w:r>
    </w:p>
    <w:p w:rsidR="00AB51CE" w:rsidRDefault="00AB51CE" w:rsidP="00AB51CE">
      <w:pPr>
        <w:jc w:val="center"/>
        <w:rPr>
          <w:rFonts w:ascii="Calibri" w:hAnsi="Calibri"/>
          <w:sz w:val="22"/>
          <w:szCs w:val="22"/>
        </w:rPr>
      </w:pPr>
    </w:p>
    <w:p w:rsidR="00AB51CE" w:rsidRDefault="005F5A7C" w:rsidP="006E7FDD">
      <w:pPr>
        <w:rPr>
          <w:rFonts w:ascii="Calibri" w:hAnsi="Calibri"/>
          <w:sz w:val="22"/>
          <w:szCs w:val="22"/>
        </w:rPr>
      </w:pPr>
      <w:r>
        <w:rPr>
          <w:rFonts w:ascii="Calibri" w:hAnsi="Calibri"/>
          <w:noProof/>
          <w:sz w:val="22"/>
          <w:szCs w:val="22"/>
          <w:lang w:eastAsia="en-GB"/>
        </w:rPr>
        <w:drawing>
          <wp:anchor distT="0" distB="0" distL="114300" distR="114300" simplePos="0" relativeHeight="251662336" behindDoc="1" locked="0" layoutInCell="1" allowOverlap="1">
            <wp:simplePos x="0" y="0"/>
            <wp:positionH relativeFrom="column">
              <wp:posOffset>1070610</wp:posOffset>
            </wp:positionH>
            <wp:positionV relativeFrom="paragraph">
              <wp:posOffset>312420</wp:posOffset>
            </wp:positionV>
            <wp:extent cx="2442210" cy="2400300"/>
            <wp:effectExtent l="19050" t="0" r="0" b="0"/>
            <wp:wrapTight wrapText="bothSides">
              <wp:wrapPolygon edited="0">
                <wp:start x="-168" y="0"/>
                <wp:lineTo x="-168" y="21429"/>
                <wp:lineTo x="21566" y="21429"/>
                <wp:lineTo x="21566" y="0"/>
                <wp:lineTo x="-168" y="0"/>
              </wp:wrapPolygon>
            </wp:wrapTight>
            <wp:docPr id="8" name="Picture 4" descr="https://www.imf.org/~/media/Websites/IMF/Imported/external/pubs/ft/survey/so/2010/_RES100410A2gif.ash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imf.org/~/media/Websites/IMF/Imported/external/pubs/ft/survey/so/2010/_RES100410A2gif.ashx"/>
                    <pic:cNvPicPr>
                      <a:picLocks noChangeAspect="1" noChangeArrowheads="1"/>
                    </pic:cNvPicPr>
                  </pic:nvPicPr>
                  <pic:blipFill>
                    <a:blip r:embed="rId12" cstate="print"/>
                    <a:srcRect/>
                    <a:stretch>
                      <a:fillRect/>
                    </a:stretch>
                  </pic:blipFill>
                  <pic:spPr bwMode="auto">
                    <a:xfrm>
                      <a:off x="0" y="0"/>
                      <a:ext cx="2442210" cy="2400300"/>
                    </a:xfrm>
                    <a:prstGeom prst="rect">
                      <a:avLst/>
                    </a:prstGeom>
                    <a:noFill/>
                    <a:ln w="9525">
                      <a:noFill/>
                      <a:miter lim="800000"/>
                      <a:headEnd/>
                      <a:tailEnd/>
                    </a:ln>
                  </pic:spPr>
                </pic:pic>
              </a:graphicData>
            </a:graphic>
          </wp:anchor>
        </w:drawing>
      </w:r>
      <w:r w:rsidR="006E7FDD">
        <w:rPr>
          <w:rFonts w:ascii="Calibri" w:hAnsi="Calibri"/>
          <w:sz w:val="22"/>
          <w:szCs w:val="22"/>
        </w:rPr>
        <w:t>This IMF Study suggests that Islamic Banks fared differently when compared with conventional</w:t>
      </w:r>
      <w:r w:rsidR="00E54F5E">
        <w:rPr>
          <w:rFonts w:ascii="Calibri" w:hAnsi="Calibri"/>
          <w:sz w:val="22"/>
          <w:szCs w:val="22"/>
        </w:rPr>
        <w:t xml:space="preserve"> banks; this is attributed to smaller investments, lower leverage and the adherence to Islamic Banking principles that negated the impact of the financial crisis. </w:t>
      </w:r>
    </w:p>
    <w:p w:rsidR="00E54F5E" w:rsidRDefault="00E54F5E" w:rsidP="006E7FDD">
      <w:pPr>
        <w:rPr>
          <w:rFonts w:ascii="Calibri" w:hAnsi="Calibri"/>
          <w:sz w:val="22"/>
          <w:szCs w:val="22"/>
        </w:rPr>
      </w:pPr>
    </w:p>
    <w:p w:rsidR="00E54F5E" w:rsidRDefault="00E54F5E" w:rsidP="006E7FDD">
      <w:pPr>
        <w:rPr>
          <w:rFonts w:ascii="Calibri" w:hAnsi="Calibri"/>
          <w:sz w:val="22"/>
          <w:szCs w:val="22"/>
        </w:rPr>
      </w:pPr>
      <w:r>
        <w:rPr>
          <w:rFonts w:ascii="Calibri" w:hAnsi="Calibri"/>
          <w:sz w:val="22"/>
          <w:szCs w:val="22"/>
        </w:rPr>
        <w:t xml:space="preserve">According to the study the average profitability of Islamic Banks before the crisis was higher than that of conventional banking, however, </w:t>
      </w:r>
      <w:r w:rsidR="005F5A7C">
        <w:rPr>
          <w:rFonts w:ascii="Calibri" w:hAnsi="Calibri"/>
          <w:sz w:val="22"/>
          <w:szCs w:val="22"/>
        </w:rPr>
        <w:t xml:space="preserve">for 2008 and 2009 has similar performance to conventional banks, Indicating that Islamic finance boasts improved cumulative profitability but also implying that the higher profitability was not driving by a strategy of greater risk taking in Islamic finance. </w:t>
      </w:r>
    </w:p>
    <w:p w:rsidR="005F5A7C" w:rsidRDefault="00E00C3A" w:rsidP="005F5A7C">
      <w:pPr>
        <w:jc w:val="right"/>
        <w:rPr>
          <w:rFonts w:ascii="Calibri" w:hAnsi="Calibri"/>
          <w:sz w:val="22"/>
          <w:szCs w:val="22"/>
        </w:rPr>
      </w:pPr>
      <w:sdt>
        <w:sdtPr>
          <w:rPr>
            <w:rFonts w:ascii="Calibri" w:hAnsi="Calibri"/>
            <w:sz w:val="22"/>
            <w:szCs w:val="22"/>
          </w:rPr>
          <w:id w:val="3915923"/>
          <w:citation/>
        </w:sdtPr>
        <w:sdtContent>
          <w:r>
            <w:rPr>
              <w:rFonts w:ascii="Calibri" w:hAnsi="Calibri"/>
              <w:sz w:val="22"/>
              <w:szCs w:val="22"/>
            </w:rPr>
            <w:fldChar w:fldCharType="begin"/>
          </w:r>
          <w:r w:rsidR="005F5A7C">
            <w:rPr>
              <w:rFonts w:ascii="Calibri" w:hAnsi="Calibri"/>
              <w:sz w:val="22"/>
              <w:szCs w:val="22"/>
            </w:rPr>
            <w:instrText xml:space="preserve"> CITATION IMF10 \l 2057 </w:instrText>
          </w:r>
          <w:r>
            <w:rPr>
              <w:rFonts w:ascii="Calibri" w:hAnsi="Calibri"/>
              <w:sz w:val="22"/>
              <w:szCs w:val="22"/>
            </w:rPr>
            <w:fldChar w:fldCharType="separate"/>
          </w:r>
          <w:r w:rsidR="00063320" w:rsidRPr="00063320">
            <w:rPr>
              <w:rFonts w:ascii="Calibri" w:hAnsi="Calibri"/>
              <w:noProof/>
              <w:sz w:val="22"/>
              <w:szCs w:val="22"/>
            </w:rPr>
            <w:t>(IMF, 2010)</w:t>
          </w:r>
          <w:r>
            <w:rPr>
              <w:rFonts w:ascii="Calibri" w:hAnsi="Calibri"/>
              <w:sz w:val="22"/>
              <w:szCs w:val="22"/>
            </w:rPr>
            <w:fldChar w:fldCharType="end"/>
          </w:r>
        </w:sdtContent>
      </w:sdt>
    </w:p>
    <w:p w:rsidR="005F5A7C" w:rsidRDefault="005F5A7C" w:rsidP="006E7FDD">
      <w:pPr>
        <w:rPr>
          <w:rFonts w:ascii="Calibri" w:hAnsi="Calibri"/>
          <w:sz w:val="22"/>
          <w:szCs w:val="22"/>
        </w:rPr>
      </w:pPr>
    </w:p>
    <w:p w:rsidR="00E54F5E" w:rsidRDefault="005F5A7C" w:rsidP="005F5A7C">
      <w:pPr>
        <w:jc w:val="both"/>
        <w:rPr>
          <w:rFonts w:ascii="Calibri" w:hAnsi="Calibri"/>
          <w:sz w:val="22"/>
          <w:szCs w:val="22"/>
        </w:rPr>
      </w:pPr>
      <w:r>
        <w:rPr>
          <w:rFonts w:ascii="Calibri" w:hAnsi="Calibri"/>
          <w:sz w:val="22"/>
          <w:szCs w:val="22"/>
        </w:rPr>
        <w:t>Islamic Finance experienced its t</w:t>
      </w:r>
      <w:r w:rsidRPr="003F232B">
        <w:rPr>
          <w:rFonts w:ascii="Calibri" w:hAnsi="Calibri"/>
          <w:sz w:val="22"/>
          <w:szCs w:val="22"/>
        </w:rPr>
        <w:t>hird consecutive year of single digit growth – 7.0% growth in 2016, compared with 7.3% in 2015 and 9.3% in 2014</w:t>
      </w:r>
      <w:r>
        <w:rPr>
          <w:rFonts w:ascii="Calibri" w:hAnsi="Calibri"/>
          <w:sz w:val="22"/>
          <w:szCs w:val="22"/>
        </w:rPr>
        <w:t xml:space="preserve">. </w:t>
      </w:r>
      <w:sdt>
        <w:sdtPr>
          <w:rPr>
            <w:rFonts w:ascii="Calibri" w:hAnsi="Calibri"/>
            <w:sz w:val="22"/>
            <w:szCs w:val="22"/>
          </w:rPr>
          <w:id w:val="1182707521"/>
          <w:citation/>
        </w:sdtPr>
        <w:sdtContent>
          <w:r w:rsidR="00E00C3A">
            <w:rPr>
              <w:rFonts w:ascii="Calibri" w:hAnsi="Calibri"/>
              <w:sz w:val="22"/>
              <w:szCs w:val="22"/>
            </w:rPr>
            <w:fldChar w:fldCharType="begin"/>
          </w:r>
          <w:r>
            <w:rPr>
              <w:rFonts w:ascii="Calibri" w:hAnsi="Calibri"/>
              <w:sz w:val="22"/>
              <w:szCs w:val="22"/>
            </w:rPr>
            <w:instrText xml:space="preserve"> CITATION Dub17 \l 2057 </w:instrText>
          </w:r>
          <w:r w:rsidR="00E00C3A">
            <w:rPr>
              <w:rFonts w:ascii="Calibri" w:hAnsi="Calibri"/>
              <w:sz w:val="22"/>
              <w:szCs w:val="22"/>
            </w:rPr>
            <w:fldChar w:fldCharType="separate"/>
          </w:r>
          <w:r w:rsidR="00063320" w:rsidRPr="00063320">
            <w:rPr>
              <w:rFonts w:ascii="Calibri" w:hAnsi="Calibri"/>
              <w:noProof/>
              <w:sz w:val="22"/>
              <w:szCs w:val="22"/>
            </w:rPr>
            <w:t>(Dubai Islamic Bank, 2017)</w:t>
          </w:r>
          <w:r w:rsidR="00E00C3A">
            <w:rPr>
              <w:rFonts w:ascii="Calibri" w:hAnsi="Calibri"/>
              <w:sz w:val="22"/>
              <w:szCs w:val="22"/>
            </w:rPr>
            <w:fldChar w:fldCharType="end"/>
          </w:r>
        </w:sdtContent>
      </w:sdt>
      <w:r>
        <w:rPr>
          <w:rFonts w:ascii="Calibri" w:hAnsi="Calibri"/>
          <w:sz w:val="22"/>
          <w:szCs w:val="22"/>
        </w:rPr>
        <w:t xml:space="preserve"> </w:t>
      </w:r>
      <w:r w:rsidR="00063320">
        <w:rPr>
          <w:rFonts w:ascii="Calibri" w:hAnsi="Calibri"/>
          <w:sz w:val="22"/>
          <w:szCs w:val="22"/>
        </w:rPr>
        <w:t>This</w:t>
      </w:r>
      <w:r>
        <w:rPr>
          <w:rFonts w:ascii="Calibri" w:hAnsi="Calibri"/>
          <w:sz w:val="22"/>
          <w:szCs w:val="22"/>
        </w:rPr>
        <w:t xml:space="preserve"> is representative of the industries success in Dubai. </w:t>
      </w:r>
    </w:p>
    <w:p w:rsidR="003F232B" w:rsidRDefault="003F232B" w:rsidP="005F5A7C">
      <w:pPr>
        <w:rPr>
          <w:rFonts w:ascii="Calibri" w:hAnsi="Calibri"/>
          <w:sz w:val="22"/>
          <w:szCs w:val="22"/>
        </w:rPr>
      </w:pPr>
      <w:r>
        <w:rPr>
          <w:rFonts w:ascii="Calibri" w:hAnsi="Calibri"/>
          <w:noProof/>
          <w:sz w:val="22"/>
          <w:szCs w:val="22"/>
          <w:lang w:eastAsia="en-GB"/>
        </w:rPr>
        <w:drawing>
          <wp:inline distT="0" distB="0" distL="0" distR="0">
            <wp:extent cx="5727700" cy="3265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8-12-09 at 16.07.47.png"/>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27700" cy="3265805"/>
                    </a:xfrm>
                    <a:prstGeom prst="rect">
                      <a:avLst/>
                    </a:prstGeom>
                  </pic:spPr>
                </pic:pic>
              </a:graphicData>
            </a:graphic>
          </wp:inline>
        </w:drawing>
      </w:r>
    </w:p>
    <w:p w:rsidR="0054549D" w:rsidRDefault="0054549D" w:rsidP="00DA42B0">
      <w:pPr>
        <w:jc w:val="both"/>
        <w:rPr>
          <w:rFonts w:ascii="Calibri" w:hAnsi="Calibri"/>
        </w:rPr>
      </w:pPr>
    </w:p>
    <w:p w:rsidR="00F64863" w:rsidRDefault="00DA42B0" w:rsidP="003F232B">
      <w:pPr>
        <w:jc w:val="both"/>
        <w:rPr>
          <w:rFonts w:ascii="Calibri" w:hAnsi="Calibri"/>
          <w:sz w:val="22"/>
          <w:szCs w:val="22"/>
        </w:rPr>
      </w:pPr>
      <w:r w:rsidRPr="003F232B">
        <w:rPr>
          <w:rFonts w:ascii="Calibri" w:hAnsi="Calibri"/>
          <w:sz w:val="22"/>
          <w:szCs w:val="22"/>
        </w:rPr>
        <w:t xml:space="preserve"> </w:t>
      </w:r>
    </w:p>
    <w:p w:rsidR="00E9502B" w:rsidRDefault="00E9502B" w:rsidP="00E9502B">
      <w:pPr>
        <w:jc w:val="both"/>
        <w:rPr>
          <w:rFonts w:ascii="Calibri" w:hAnsi="Calibri"/>
          <w:sz w:val="22"/>
          <w:szCs w:val="22"/>
        </w:rPr>
      </w:pPr>
      <w:r>
        <w:rPr>
          <w:rFonts w:ascii="Calibri" w:hAnsi="Calibri"/>
          <w:sz w:val="22"/>
          <w:szCs w:val="22"/>
        </w:rPr>
        <w:t xml:space="preserve">Focusing on the Malaysian financial environment an initial sign of success within the Islamic </w:t>
      </w:r>
      <w:r w:rsidR="00B77005">
        <w:rPr>
          <w:rFonts w:ascii="Calibri" w:hAnsi="Calibri"/>
          <w:sz w:val="22"/>
          <w:szCs w:val="22"/>
        </w:rPr>
        <w:t>fi</w:t>
      </w:r>
      <w:r>
        <w:rPr>
          <w:rFonts w:ascii="Calibri" w:hAnsi="Calibri"/>
          <w:sz w:val="22"/>
          <w:szCs w:val="22"/>
        </w:rPr>
        <w:t xml:space="preserve">nancial market is that Islamic banks within Malaysia increased their liquidity holdings during the financial crisis when compared to conventional banks. </w:t>
      </w:r>
      <w:sdt>
        <w:sdtPr>
          <w:rPr>
            <w:rFonts w:ascii="Calibri" w:hAnsi="Calibri"/>
            <w:sz w:val="22"/>
            <w:szCs w:val="22"/>
          </w:rPr>
          <w:id w:val="900104595"/>
          <w:citation/>
        </w:sdtPr>
        <w:sdtContent>
          <w:r w:rsidR="00E00C3A">
            <w:rPr>
              <w:rFonts w:ascii="Calibri" w:hAnsi="Calibri"/>
              <w:sz w:val="22"/>
              <w:szCs w:val="22"/>
            </w:rPr>
            <w:fldChar w:fldCharType="begin"/>
          </w:r>
          <w:r>
            <w:rPr>
              <w:rFonts w:ascii="Calibri" w:hAnsi="Calibri"/>
              <w:sz w:val="22"/>
              <w:szCs w:val="22"/>
            </w:rPr>
            <w:instrText xml:space="preserve"> CITATION Dri10 \l 2057 </w:instrText>
          </w:r>
          <w:r w:rsidR="00E00C3A">
            <w:rPr>
              <w:rFonts w:ascii="Calibri" w:hAnsi="Calibri"/>
              <w:sz w:val="22"/>
              <w:szCs w:val="22"/>
            </w:rPr>
            <w:fldChar w:fldCharType="separate"/>
          </w:r>
          <w:r w:rsidR="00063320" w:rsidRPr="00063320">
            <w:rPr>
              <w:rFonts w:ascii="Calibri" w:hAnsi="Calibri"/>
              <w:noProof/>
              <w:sz w:val="22"/>
              <w:szCs w:val="22"/>
            </w:rPr>
            <w:t>(Dridi, 2010)</w:t>
          </w:r>
          <w:r w:rsidR="00E00C3A">
            <w:rPr>
              <w:rFonts w:ascii="Calibri" w:hAnsi="Calibri"/>
              <w:sz w:val="22"/>
              <w:szCs w:val="22"/>
            </w:rPr>
            <w:fldChar w:fldCharType="end"/>
          </w:r>
        </w:sdtContent>
      </w:sdt>
      <w:r w:rsidR="00063320">
        <w:rPr>
          <w:rFonts w:ascii="Calibri" w:hAnsi="Calibri"/>
          <w:sz w:val="22"/>
          <w:szCs w:val="22"/>
        </w:rPr>
        <w:t xml:space="preserve"> </w:t>
      </w:r>
      <w:proofErr w:type="gramStart"/>
      <w:r>
        <w:rPr>
          <w:rFonts w:ascii="Calibri" w:hAnsi="Calibri"/>
          <w:sz w:val="22"/>
          <w:szCs w:val="22"/>
        </w:rPr>
        <w:t>suggests</w:t>
      </w:r>
      <w:proofErr w:type="gramEnd"/>
      <w:r>
        <w:rPr>
          <w:rFonts w:ascii="Calibri" w:hAnsi="Calibri"/>
          <w:sz w:val="22"/>
          <w:szCs w:val="22"/>
        </w:rPr>
        <w:t xml:space="preserve"> in an IMF study that Islamic Banks have achieved a </w:t>
      </w:r>
      <w:r w:rsidR="008D6E14">
        <w:rPr>
          <w:rFonts w:ascii="Calibri" w:hAnsi="Calibri"/>
          <w:sz w:val="22"/>
          <w:szCs w:val="22"/>
        </w:rPr>
        <w:t>stronger credit growth</w:t>
      </w:r>
      <w:r>
        <w:rPr>
          <w:rFonts w:ascii="Calibri" w:hAnsi="Calibri"/>
          <w:sz w:val="22"/>
          <w:szCs w:val="22"/>
        </w:rPr>
        <w:t xml:space="preserve"> compar</w:t>
      </w:r>
      <w:r w:rsidR="008D6E14">
        <w:rPr>
          <w:rFonts w:ascii="Calibri" w:hAnsi="Calibri"/>
          <w:sz w:val="22"/>
          <w:szCs w:val="22"/>
        </w:rPr>
        <w:t>ed</w:t>
      </w:r>
      <w:r>
        <w:rPr>
          <w:rFonts w:ascii="Calibri" w:hAnsi="Calibri"/>
          <w:sz w:val="22"/>
          <w:szCs w:val="22"/>
        </w:rPr>
        <w:t xml:space="preserve"> to conventional banking in almost all countries. </w:t>
      </w:r>
    </w:p>
    <w:p w:rsidR="00E9502B" w:rsidRDefault="00E9502B" w:rsidP="00E9502B">
      <w:pPr>
        <w:jc w:val="both"/>
        <w:rPr>
          <w:rFonts w:ascii="Calibri" w:hAnsi="Calibri"/>
          <w:sz w:val="22"/>
          <w:szCs w:val="22"/>
        </w:rPr>
      </w:pPr>
    </w:p>
    <w:p w:rsidR="00E9502B" w:rsidRDefault="00E9502B" w:rsidP="00E9502B">
      <w:pPr>
        <w:jc w:val="both"/>
        <w:rPr>
          <w:rFonts w:ascii="Calibri" w:hAnsi="Calibri"/>
          <w:sz w:val="22"/>
          <w:szCs w:val="22"/>
        </w:rPr>
      </w:pPr>
      <w:r>
        <w:rPr>
          <w:rFonts w:ascii="Calibri" w:hAnsi="Calibri"/>
          <w:sz w:val="22"/>
          <w:szCs w:val="22"/>
        </w:rPr>
        <w:lastRenderedPageBreak/>
        <w:t>According to research by the IMF</w:t>
      </w:r>
      <w:r w:rsidR="008D6E14">
        <w:rPr>
          <w:rFonts w:ascii="Calibri" w:hAnsi="Calibri"/>
          <w:sz w:val="22"/>
          <w:szCs w:val="22"/>
        </w:rPr>
        <w:t>,</w:t>
      </w:r>
      <w:r>
        <w:rPr>
          <w:rFonts w:ascii="Calibri" w:hAnsi="Calibri"/>
          <w:sz w:val="22"/>
          <w:szCs w:val="22"/>
        </w:rPr>
        <w:t xml:space="preserve"> the Islamic financial markets achieved credit and asset growth twice as high when compared to conventional finance during 200</w:t>
      </w:r>
      <w:r w:rsidR="008D6E14">
        <w:rPr>
          <w:rFonts w:ascii="Calibri" w:hAnsi="Calibri"/>
          <w:sz w:val="22"/>
          <w:szCs w:val="22"/>
        </w:rPr>
        <w:t>7-2009.</w:t>
      </w:r>
      <w:r>
        <w:rPr>
          <w:rFonts w:ascii="Calibri" w:hAnsi="Calibri"/>
          <w:sz w:val="22"/>
          <w:szCs w:val="22"/>
        </w:rPr>
        <w:t xml:space="preserve"> </w:t>
      </w:r>
      <w:sdt>
        <w:sdtPr>
          <w:rPr>
            <w:rFonts w:ascii="Calibri" w:hAnsi="Calibri"/>
            <w:sz w:val="22"/>
            <w:szCs w:val="22"/>
          </w:rPr>
          <w:id w:val="1268736425"/>
          <w:citation/>
        </w:sdtPr>
        <w:sdtContent>
          <w:r w:rsidR="00E00C3A">
            <w:rPr>
              <w:rFonts w:ascii="Calibri" w:hAnsi="Calibri"/>
              <w:sz w:val="22"/>
              <w:szCs w:val="22"/>
            </w:rPr>
            <w:fldChar w:fldCharType="begin"/>
          </w:r>
          <w:r>
            <w:rPr>
              <w:rFonts w:ascii="Calibri" w:hAnsi="Calibri"/>
              <w:sz w:val="22"/>
              <w:szCs w:val="22"/>
            </w:rPr>
            <w:instrText xml:space="preserve"> CITATION ElH07 \l 2057 </w:instrText>
          </w:r>
          <w:r w:rsidR="00E00C3A">
            <w:rPr>
              <w:rFonts w:ascii="Calibri" w:hAnsi="Calibri"/>
              <w:sz w:val="22"/>
              <w:szCs w:val="22"/>
            </w:rPr>
            <w:fldChar w:fldCharType="separate"/>
          </w:r>
          <w:r w:rsidR="00063320" w:rsidRPr="00063320">
            <w:rPr>
              <w:rFonts w:ascii="Calibri" w:hAnsi="Calibri"/>
              <w:noProof/>
              <w:sz w:val="22"/>
              <w:szCs w:val="22"/>
            </w:rPr>
            <w:t>(El-Hawary, 2007)</w:t>
          </w:r>
          <w:r w:rsidR="00E00C3A">
            <w:rPr>
              <w:rFonts w:ascii="Calibri" w:hAnsi="Calibri"/>
              <w:sz w:val="22"/>
              <w:szCs w:val="22"/>
            </w:rPr>
            <w:fldChar w:fldCharType="end"/>
          </w:r>
        </w:sdtContent>
      </w:sdt>
      <w:r>
        <w:rPr>
          <w:rFonts w:ascii="Calibri" w:hAnsi="Calibri"/>
          <w:sz w:val="22"/>
          <w:szCs w:val="22"/>
        </w:rPr>
        <w:t xml:space="preserve"> </w:t>
      </w:r>
      <w:proofErr w:type="gramStart"/>
      <w:r>
        <w:rPr>
          <w:rFonts w:ascii="Calibri" w:hAnsi="Calibri"/>
          <w:sz w:val="22"/>
          <w:szCs w:val="22"/>
        </w:rPr>
        <w:t>shows</w:t>
      </w:r>
      <w:proofErr w:type="gramEnd"/>
      <w:r>
        <w:rPr>
          <w:rFonts w:ascii="Calibri" w:hAnsi="Calibri"/>
          <w:sz w:val="22"/>
          <w:szCs w:val="22"/>
        </w:rPr>
        <w:t xml:space="preserve"> that </w:t>
      </w:r>
      <w:r w:rsidRPr="00E21B42">
        <w:rPr>
          <w:rFonts w:ascii="Calibri" w:hAnsi="Calibri"/>
          <w:sz w:val="22"/>
          <w:szCs w:val="22"/>
        </w:rPr>
        <w:t xml:space="preserve">profits of Islamic financial institutions were </w:t>
      </w:r>
      <w:r w:rsidR="008D6E14">
        <w:rPr>
          <w:rFonts w:ascii="Calibri" w:hAnsi="Calibri"/>
          <w:sz w:val="22"/>
          <w:szCs w:val="22"/>
        </w:rPr>
        <w:t>around</w:t>
      </w:r>
      <w:r w:rsidRPr="00E21B42">
        <w:rPr>
          <w:rFonts w:ascii="Calibri" w:hAnsi="Calibri"/>
          <w:sz w:val="22"/>
          <w:szCs w:val="22"/>
        </w:rPr>
        <w:t xml:space="preserve"> 15 billion dollars in 2007 and by 2012 assets were projected to reach 1, 600 billion, with revenues </w:t>
      </w:r>
      <w:r w:rsidR="00063320" w:rsidRPr="00E21B42">
        <w:rPr>
          <w:rFonts w:ascii="Calibri" w:hAnsi="Calibri"/>
          <w:sz w:val="22"/>
          <w:szCs w:val="22"/>
        </w:rPr>
        <w:t xml:space="preserve">of </w:t>
      </w:r>
      <w:r w:rsidR="00063320">
        <w:rPr>
          <w:rFonts w:ascii="Calibri" w:hAnsi="Calibri"/>
          <w:sz w:val="22"/>
          <w:szCs w:val="22"/>
        </w:rPr>
        <w:t>up</w:t>
      </w:r>
      <w:r>
        <w:rPr>
          <w:rFonts w:ascii="Calibri" w:hAnsi="Calibri"/>
          <w:sz w:val="22"/>
          <w:szCs w:val="22"/>
        </w:rPr>
        <w:t xml:space="preserve"> to </w:t>
      </w:r>
      <w:r w:rsidRPr="00E21B42">
        <w:rPr>
          <w:rFonts w:ascii="Calibri" w:hAnsi="Calibri"/>
          <w:sz w:val="22"/>
          <w:szCs w:val="22"/>
        </w:rPr>
        <w:t>120 billion</w:t>
      </w:r>
      <w:r>
        <w:rPr>
          <w:rFonts w:ascii="Calibri" w:hAnsi="Calibri"/>
          <w:sz w:val="22"/>
          <w:szCs w:val="22"/>
        </w:rPr>
        <w:t xml:space="preserve"> dollars</w:t>
      </w:r>
      <w:r w:rsidRPr="00E21B42">
        <w:rPr>
          <w:rFonts w:ascii="Calibri" w:hAnsi="Calibri"/>
          <w:sz w:val="22"/>
          <w:szCs w:val="22"/>
        </w:rPr>
        <w:t>.</w:t>
      </w:r>
    </w:p>
    <w:p w:rsidR="00E9502B" w:rsidRDefault="00E9502B" w:rsidP="00E9502B">
      <w:pPr>
        <w:jc w:val="both"/>
        <w:rPr>
          <w:rFonts w:ascii="Calibri" w:hAnsi="Calibri"/>
          <w:sz w:val="22"/>
          <w:szCs w:val="22"/>
        </w:rPr>
      </w:pPr>
    </w:p>
    <w:p w:rsidR="00E9502B" w:rsidRDefault="009D5F2D" w:rsidP="00E9502B">
      <w:pPr>
        <w:jc w:val="both"/>
        <w:rPr>
          <w:rFonts w:ascii="Calibri" w:hAnsi="Calibri"/>
          <w:sz w:val="22"/>
          <w:szCs w:val="22"/>
        </w:rPr>
      </w:pPr>
      <w:r>
        <w:rPr>
          <w:rFonts w:ascii="Calibri" w:hAnsi="Calibri"/>
          <w:sz w:val="22"/>
          <w:szCs w:val="22"/>
        </w:rPr>
        <w:t>Interestingly</w:t>
      </w:r>
      <w:r w:rsidR="008D6E14">
        <w:rPr>
          <w:rFonts w:ascii="Calibri" w:hAnsi="Calibri"/>
          <w:sz w:val="22"/>
          <w:szCs w:val="22"/>
        </w:rPr>
        <w:t>,</w:t>
      </w:r>
      <w:r w:rsidR="00E9502B">
        <w:rPr>
          <w:rFonts w:ascii="Calibri" w:hAnsi="Calibri"/>
          <w:sz w:val="22"/>
          <w:szCs w:val="22"/>
        </w:rPr>
        <w:t xml:space="preserve"> data available from Pakistan’s </w:t>
      </w:r>
      <w:r w:rsidR="00B77005">
        <w:rPr>
          <w:rFonts w:ascii="Calibri" w:hAnsi="Calibri"/>
          <w:sz w:val="22"/>
          <w:szCs w:val="22"/>
        </w:rPr>
        <w:t>c</w:t>
      </w:r>
      <w:r w:rsidR="00E9502B">
        <w:rPr>
          <w:rFonts w:ascii="Calibri" w:hAnsi="Calibri"/>
          <w:sz w:val="22"/>
          <w:szCs w:val="22"/>
        </w:rPr>
        <w:t xml:space="preserve">onventional and Islamic </w:t>
      </w:r>
      <w:r w:rsidR="00B77005">
        <w:rPr>
          <w:rFonts w:ascii="Calibri" w:hAnsi="Calibri"/>
          <w:sz w:val="22"/>
          <w:szCs w:val="22"/>
        </w:rPr>
        <w:t>b</w:t>
      </w:r>
      <w:r w:rsidR="00E9502B">
        <w:rPr>
          <w:rFonts w:ascii="Calibri" w:hAnsi="Calibri"/>
          <w:sz w:val="22"/>
          <w:szCs w:val="22"/>
        </w:rPr>
        <w:t>anking sector in table 2</w:t>
      </w:r>
      <w:r>
        <w:rPr>
          <w:rFonts w:ascii="Calibri" w:hAnsi="Calibri"/>
          <w:sz w:val="22"/>
          <w:szCs w:val="22"/>
        </w:rPr>
        <w:t xml:space="preserve"> gives us a different understan</w:t>
      </w:r>
      <w:r w:rsidR="008D6E14">
        <w:rPr>
          <w:rFonts w:ascii="Calibri" w:hAnsi="Calibri"/>
          <w:sz w:val="22"/>
          <w:szCs w:val="22"/>
        </w:rPr>
        <w:t>ding of the dual banking system. I</w:t>
      </w:r>
      <w:r w:rsidR="00E9502B">
        <w:rPr>
          <w:rFonts w:ascii="Calibri" w:hAnsi="Calibri"/>
          <w:sz w:val="22"/>
          <w:szCs w:val="22"/>
        </w:rPr>
        <w:t>t is clear that profitability is higher in conventional banking</w:t>
      </w:r>
      <w:r>
        <w:rPr>
          <w:rFonts w:ascii="Calibri" w:hAnsi="Calibri"/>
          <w:sz w:val="22"/>
          <w:szCs w:val="22"/>
        </w:rPr>
        <w:t xml:space="preserve"> as opposed to Islamic Banking</w:t>
      </w:r>
      <w:r w:rsidR="008D6E14">
        <w:rPr>
          <w:rFonts w:ascii="Calibri" w:hAnsi="Calibri"/>
          <w:sz w:val="22"/>
          <w:szCs w:val="22"/>
        </w:rPr>
        <w:t>. T</w:t>
      </w:r>
      <w:r w:rsidR="00E9502B">
        <w:rPr>
          <w:rFonts w:ascii="Calibri" w:hAnsi="Calibri"/>
          <w:sz w:val="22"/>
          <w:szCs w:val="22"/>
        </w:rPr>
        <w:t>he data also suggest</w:t>
      </w:r>
      <w:r w:rsidR="006E4E63">
        <w:rPr>
          <w:rFonts w:ascii="Calibri" w:hAnsi="Calibri"/>
          <w:sz w:val="22"/>
          <w:szCs w:val="22"/>
        </w:rPr>
        <w:t>s</w:t>
      </w:r>
      <w:r w:rsidR="00E9502B">
        <w:rPr>
          <w:rFonts w:ascii="Calibri" w:hAnsi="Calibri"/>
          <w:sz w:val="22"/>
          <w:szCs w:val="22"/>
        </w:rPr>
        <w:t xml:space="preserve"> that conventional banking takes the edge of liquidity </w:t>
      </w:r>
      <w:proofErr w:type="gramStart"/>
      <w:r w:rsidR="00E9502B">
        <w:rPr>
          <w:rFonts w:ascii="Calibri" w:hAnsi="Calibri"/>
          <w:sz w:val="22"/>
          <w:szCs w:val="22"/>
        </w:rPr>
        <w:t>management</w:t>
      </w:r>
      <w:r>
        <w:rPr>
          <w:rFonts w:ascii="Calibri" w:hAnsi="Calibri"/>
          <w:sz w:val="22"/>
          <w:szCs w:val="22"/>
        </w:rPr>
        <w:t>,</w:t>
      </w:r>
      <w:proofErr w:type="gramEnd"/>
      <w:r w:rsidR="00E9502B">
        <w:rPr>
          <w:rFonts w:ascii="Calibri" w:hAnsi="Calibri"/>
          <w:sz w:val="22"/>
          <w:szCs w:val="22"/>
        </w:rPr>
        <w:t xml:space="preserve"> however, Islamic </w:t>
      </w:r>
      <w:r w:rsidR="00B77005">
        <w:rPr>
          <w:rFonts w:ascii="Calibri" w:hAnsi="Calibri"/>
          <w:sz w:val="22"/>
          <w:szCs w:val="22"/>
        </w:rPr>
        <w:t>b</w:t>
      </w:r>
      <w:r w:rsidR="00E9502B">
        <w:rPr>
          <w:rFonts w:ascii="Calibri" w:hAnsi="Calibri"/>
          <w:sz w:val="22"/>
          <w:szCs w:val="22"/>
        </w:rPr>
        <w:t xml:space="preserve">anking </w:t>
      </w:r>
      <w:r>
        <w:rPr>
          <w:rFonts w:ascii="Calibri" w:hAnsi="Calibri"/>
          <w:sz w:val="22"/>
          <w:szCs w:val="22"/>
        </w:rPr>
        <w:t>excels in credit risk</w:t>
      </w:r>
      <w:r w:rsidR="00E9502B">
        <w:rPr>
          <w:rFonts w:ascii="Calibri" w:hAnsi="Calibri"/>
          <w:sz w:val="22"/>
          <w:szCs w:val="22"/>
        </w:rPr>
        <w:t xml:space="preserve"> management and solvency management.  </w:t>
      </w:r>
    </w:p>
    <w:p w:rsidR="00063320" w:rsidRDefault="00063320" w:rsidP="00E9502B">
      <w:pPr>
        <w:jc w:val="both"/>
        <w:rPr>
          <w:rFonts w:ascii="Calibri" w:hAnsi="Calibri"/>
          <w:sz w:val="22"/>
          <w:szCs w:val="22"/>
        </w:rPr>
      </w:pPr>
    </w:p>
    <w:p w:rsidR="00E9502B" w:rsidRDefault="00E9502B" w:rsidP="0050415F">
      <w:pPr>
        <w:jc w:val="center"/>
        <w:rPr>
          <w:rFonts w:ascii="Calibri" w:hAnsi="Calibri"/>
          <w:sz w:val="22"/>
          <w:szCs w:val="22"/>
        </w:rPr>
      </w:pPr>
      <w:r>
        <w:rPr>
          <w:rFonts w:ascii="Calibri" w:hAnsi="Calibri"/>
          <w:noProof/>
          <w:sz w:val="22"/>
          <w:szCs w:val="22"/>
          <w:lang w:eastAsia="en-GB"/>
        </w:rPr>
        <w:drawing>
          <wp:inline distT="0" distB="0" distL="0" distR="0">
            <wp:extent cx="4730245" cy="19880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8-12-10 at 19.31.13.png"/>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745346" cy="1994413"/>
                    </a:xfrm>
                    <a:prstGeom prst="rect">
                      <a:avLst/>
                    </a:prstGeom>
                  </pic:spPr>
                </pic:pic>
              </a:graphicData>
            </a:graphic>
          </wp:inline>
        </w:drawing>
      </w:r>
    </w:p>
    <w:p w:rsidR="00E9502B" w:rsidRDefault="00E9502B" w:rsidP="00E9502B">
      <w:pPr>
        <w:jc w:val="both"/>
        <w:rPr>
          <w:rFonts w:ascii="Calibri" w:hAnsi="Calibri"/>
          <w:sz w:val="22"/>
          <w:szCs w:val="22"/>
        </w:rPr>
      </w:pPr>
    </w:p>
    <w:p w:rsidR="0050415F" w:rsidRDefault="00E00C3A" w:rsidP="0050415F">
      <w:pPr>
        <w:jc w:val="right"/>
        <w:rPr>
          <w:rFonts w:ascii="Calibri" w:hAnsi="Calibri"/>
          <w:sz w:val="22"/>
          <w:szCs w:val="22"/>
        </w:rPr>
      </w:pPr>
      <w:sdt>
        <w:sdtPr>
          <w:rPr>
            <w:rFonts w:ascii="Calibri" w:hAnsi="Calibri"/>
            <w:sz w:val="22"/>
            <w:szCs w:val="22"/>
          </w:rPr>
          <w:id w:val="-205871565"/>
          <w:citation/>
        </w:sdtPr>
        <w:sdtContent>
          <w:r>
            <w:rPr>
              <w:rFonts w:ascii="Calibri" w:hAnsi="Calibri"/>
              <w:sz w:val="22"/>
              <w:szCs w:val="22"/>
            </w:rPr>
            <w:fldChar w:fldCharType="begin"/>
          </w:r>
          <w:r w:rsidR="00E9502B">
            <w:rPr>
              <w:rFonts w:ascii="Calibri" w:hAnsi="Calibri"/>
              <w:sz w:val="22"/>
              <w:szCs w:val="22"/>
            </w:rPr>
            <w:instrText xml:space="preserve"> CITATION Muh12 \l 2057 </w:instrText>
          </w:r>
          <w:r>
            <w:rPr>
              <w:rFonts w:ascii="Calibri" w:hAnsi="Calibri"/>
              <w:sz w:val="22"/>
              <w:szCs w:val="22"/>
            </w:rPr>
            <w:fldChar w:fldCharType="separate"/>
          </w:r>
          <w:r w:rsidR="00063320" w:rsidRPr="00063320">
            <w:rPr>
              <w:rFonts w:ascii="Calibri" w:hAnsi="Calibri"/>
              <w:noProof/>
              <w:sz w:val="22"/>
              <w:szCs w:val="22"/>
            </w:rPr>
            <w:t>(Hanif, 2012)</w:t>
          </w:r>
          <w:r>
            <w:rPr>
              <w:rFonts w:ascii="Calibri" w:hAnsi="Calibri"/>
              <w:sz w:val="22"/>
              <w:szCs w:val="22"/>
            </w:rPr>
            <w:fldChar w:fldCharType="end"/>
          </w:r>
        </w:sdtContent>
      </w:sdt>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5F5A7C" w:rsidRDefault="005F5A7C" w:rsidP="0050415F">
      <w:pPr>
        <w:rPr>
          <w:rFonts w:asciiTheme="majorHAnsi" w:eastAsiaTheme="majorEastAsia" w:hAnsiTheme="majorHAnsi" w:cstheme="majorBidi"/>
          <w:color w:val="2F5496" w:themeColor="accent1" w:themeShade="BF"/>
          <w:sz w:val="32"/>
          <w:szCs w:val="32"/>
        </w:rPr>
      </w:pPr>
    </w:p>
    <w:p w:rsidR="00601D68" w:rsidRPr="0050415F" w:rsidRDefault="00DA42B0" w:rsidP="0050415F">
      <w:pPr>
        <w:rPr>
          <w:rFonts w:ascii="Calibri" w:hAnsi="Calibri"/>
          <w:sz w:val="22"/>
          <w:szCs w:val="22"/>
        </w:rPr>
      </w:pPr>
      <w:r w:rsidRPr="00DA42B0">
        <w:rPr>
          <w:rFonts w:asciiTheme="majorHAnsi" w:eastAsiaTheme="majorEastAsia" w:hAnsiTheme="majorHAnsi" w:cstheme="majorBidi"/>
          <w:color w:val="2F5496" w:themeColor="accent1" w:themeShade="BF"/>
          <w:sz w:val="32"/>
          <w:szCs w:val="32"/>
        </w:rPr>
        <w:t xml:space="preserve">Recommendations </w:t>
      </w:r>
    </w:p>
    <w:p w:rsidR="003F232B" w:rsidRDefault="003F232B" w:rsidP="003F232B">
      <w:pPr>
        <w:jc w:val="both"/>
        <w:rPr>
          <w:rFonts w:ascii="Calibri" w:hAnsi="Calibri"/>
          <w:sz w:val="22"/>
          <w:szCs w:val="22"/>
        </w:rPr>
      </w:pPr>
    </w:p>
    <w:p w:rsidR="003F232B" w:rsidRDefault="00ED7A0C" w:rsidP="003F232B">
      <w:pPr>
        <w:jc w:val="both"/>
        <w:rPr>
          <w:rFonts w:ascii="Calibri" w:hAnsi="Calibri"/>
          <w:sz w:val="22"/>
          <w:szCs w:val="22"/>
        </w:rPr>
      </w:pPr>
      <w:r>
        <w:rPr>
          <w:rFonts w:ascii="Calibri" w:hAnsi="Calibri"/>
          <w:sz w:val="22"/>
          <w:szCs w:val="22"/>
        </w:rPr>
        <w:t xml:space="preserve">A recommendation drawn from this research would be that the conventional banking industry could reduce economic disparity applying the philosophies of Islamic finance, understanding that Islam does not prohibit accumulating wealth, rather promotes doing so under shared responsibility. </w:t>
      </w:r>
    </w:p>
    <w:p w:rsidR="008F0811" w:rsidRDefault="00ED7A0C" w:rsidP="003F232B">
      <w:pPr>
        <w:jc w:val="both"/>
        <w:rPr>
          <w:rFonts w:ascii="Calibri" w:hAnsi="Calibri"/>
          <w:sz w:val="22"/>
          <w:szCs w:val="22"/>
        </w:rPr>
      </w:pPr>
      <w:r>
        <w:rPr>
          <w:rFonts w:ascii="Calibri" w:hAnsi="Calibri"/>
          <w:sz w:val="22"/>
          <w:szCs w:val="22"/>
        </w:rPr>
        <w:lastRenderedPageBreak/>
        <w:t>Utilising Islamic principles</w:t>
      </w:r>
      <w:r w:rsidR="006E4E63">
        <w:rPr>
          <w:rFonts w:ascii="Calibri" w:hAnsi="Calibri"/>
          <w:sz w:val="22"/>
          <w:szCs w:val="22"/>
        </w:rPr>
        <w:t>,</w:t>
      </w:r>
      <w:r>
        <w:rPr>
          <w:rFonts w:ascii="Calibri" w:hAnsi="Calibri"/>
          <w:sz w:val="22"/>
          <w:szCs w:val="22"/>
        </w:rPr>
        <w:t xml:space="preserve"> conventional financial </w:t>
      </w:r>
      <w:r w:rsidR="008F0811">
        <w:rPr>
          <w:rFonts w:ascii="Calibri" w:hAnsi="Calibri"/>
          <w:sz w:val="22"/>
          <w:szCs w:val="22"/>
        </w:rPr>
        <w:t>institutions would</w:t>
      </w:r>
      <w:r>
        <w:rPr>
          <w:rFonts w:ascii="Calibri" w:hAnsi="Calibri"/>
          <w:sz w:val="22"/>
          <w:szCs w:val="22"/>
        </w:rPr>
        <w:t xml:space="preserve"> result in investments benefiting</w:t>
      </w:r>
      <w:r w:rsidR="008F0811">
        <w:rPr>
          <w:rFonts w:ascii="Calibri" w:hAnsi="Calibri"/>
          <w:sz w:val="22"/>
          <w:szCs w:val="22"/>
        </w:rPr>
        <w:t xml:space="preserve"> people at multiple levels creating a greater social impact and would encourage more sustainable, reliable investments</w:t>
      </w:r>
      <w:r w:rsidR="00C90913">
        <w:rPr>
          <w:rFonts w:ascii="Calibri" w:hAnsi="Calibri"/>
          <w:sz w:val="22"/>
          <w:szCs w:val="22"/>
        </w:rPr>
        <w:t xml:space="preserve"> providing a more responsible investment policy ensuring that risk is properly managed</w:t>
      </w:r>
      <w:r w:rsidR="008F0811">
        <w:rPr>
          <w:rFonts w:ascii="Calibri" w:hAnsi="Calibri"/>
          <w:sz w:val="22"/>
          <w:szCs w:val="22"/>
        </w:rPr>
        <w:t>.</w:t>
      </w:r>
    </w:p>
    <w:p w:rsidR="008F0811" w:rsidRDefault="008F0811" w:rsidP="003F232B">
      <w:pPr>
        <w:jc w:val="both"/>
        <w:rPr>
          <w:rFonts w:ascii="Calibri" w:hAnsi="Calibri"/>
          <w:sz w:val="22"/>
          <w:szCs w:val="22"/>
        </w:rPr>
      </w:pPr>
    </w:p>
    <w:p w:rsidR="00ED7A0C" w:rsidRDefault="00ED7A0C" w:rsidP="003F232B">
      <w:pPr>
        <w:jc w:val="both"/>
        <w:rPr>
          <w:rFonts w:ascii="Calibri" w:hAnsi="Calibri"/>
          <w:sz w:val="22"/>
          <w:szCs w:val="22"/>
        </w:rPr>
      </w:pPr>
      <w:r>
        <w:rPr>
          <w:rFonts w:ascii="Calibri" w:hAnsi="Calibri"/>
          <w:sz w:val="22"/>
          <w:szCs w:val="22"/>
        </w:rPr>
        <w:t xml:space="preserve"> </w:t>
      </w:r>
      <w:r w:rsidR="008F0811">
        <w:rPr>
          <w:rFonts w:ascii="Calibri" w:hAnsi="Calibri"/>
          <w:sz w:val="22"/>
          <w:szCs w:val="22"/>
        </w:rPr>
        <w:t>Furthermore</w:t>
      </w:r>
      <w:r w:rsidR="00B77005">
        <w:rPr>
          <w:rFonts w:ascii="Calibri" w:hAnsi="Calibri"/>
          <w:sz w:val="22"/>
          <w:szCs w:val="22"/>
        </w:rPr>
        <w:t>,</w:t>
      </w:r>
      <w:r w:rsidR="008F0811">
        <w:rPr>
          <w:rFonts w:ascii="Calibri" w:hAnsi="Calibri"/>
          <w:sz w:val="22"/>
          <w:szCs w:val="22"/>
        </w:rPr>
        <w:t xml:space="preserve"> Islamic finance promotes responsible financial practises and avoids over</w:t>
      </w:r>
      <w:r w:rsidR="00063320">
        <w:rPr>
          <w:rFonts w:ascii="Calibri" w:hAnsi="Calibri"/>
          <w:sz w:val="22"/>
          <w:szCs w:val="22"/>
        </w:rPr>
        <w:t xml:space="preserve"> </w:t>
      </w:r>
      <w:r w:rsidR="008F0811">
        <w:rPr>
          <w:rFonts w:ascii="Calibri" w:hAnsi="Calibri"/>
          <w:sz w:val="22"/>
          <w:szCs w:val="22"/>
        </w:rPr>
        <w:t>deb</w:t>
      </w:r>
      <w:r w:rsidR="006E4E63">
        <w:rPr>
          <w:rFonts w:ascii="Calibri" w:hAnsi="Calibri"/>
          <w:sz w:val="22"/>
          <w:szCs w:val="22"/>
        </w:rPr>
        <w:t>i</w:t>
      </w:r>
      <w:r w:rsidR="008F0811">
        <w:rPr>
          <w:rFonts w:ascii="Calibri" w:hAnsi="Calibri"/>
          <w:sz w:val="22"/>
          <w:szCs w:val="22"/>
        </w:rPr>
        <w:t>ting itself, focusing on the financial crash triggers by sub-prime mortgages</w:t>
      </w:r>
      <w:r w:rsidR="00B77005">
        <w:rPr>
          <w:rFonts w:ascii="Calibri" w:hAnsi="Calibri"/>
          <w:sz w:val="22"/>
          <w:szCs w:val="22"/>
        </w:rPr>
        <w:t>,</w:t>
      </w:r>
      <w:r w:rsidR="008F0811">
        <w:rPr>
          <w:rFonts w:ascii="Calibri" w:hAnsi="Calibri"/>
          <w:sz w:val="22"/>
          <w:szCs w:val="22"/>
        </w:rPr>
        <w:t xml:space="preserve"> this would have been prohibited under Islamic finance and so would not have had such a drastic effect on the markets. Islamic finance allows for more gradual growth rather than peaks and troughs in conventional finance. </w:t>
      </w:r>
    </w:p>
    <w:p w:rsidR="003F232B" w:rsidRDefault="003F232B" w:rsidP="003F232B">
      <w:pPr>
        <w:jc w:val="both"/>
        <w:rPr>
          <w:rFonts w:ascii="Calibri" w:hAnsi="Calibri"/>
          <w:sz w:val="22"/>
          <w:szCs w:val="22"/>
        </w:rPr>
      </w:pPr>
    </w:p>
    <w:p w:rsidR="008F0811" w:rsidRDefault="008F0811" w:rsidP="003F232B">
      <w:pPr>
        <w:jc w:val="both"/>
        <w:rPr>
          <w:rFonts w:ascii="Calibri" w:hAnsi="Calibri"/>
          <w:sz w:val="22"/>
          <w:szCs w:val="22"/>
        </w:rPr>
      </w:pPr>
      <w:r>
        <w:rPr>
          <w:rFonts w:ascii="Calibri" w:hAnsi="Calibri"/>
          <w:sz w:val="22"/>
          <w:szCs w:val="22"/>
        </w:rPr>
        <w:t xml:space="preserve">Islamic Finance could also aid conventional institutions in encouraging longer term investments, the Islamic approach promotes a slower more throughout decision making </w:t>
      </w:r>
      <w:r w:rsidR="00DA5D45">
        <w:rPr>
          <w:rFonts w:ascii="Calibri" w:hAnsi="Calibri"/>
          <w:sz w:val="22"/>
          <w:szCs w:val="22"/>
        </w:rPr>
        <w:t xml:space="preserve">process,  investors actively seek to make a socially responsible choice as opposed to focusing entirely on profit,  this is to avoid investment in companies that are considered harmful, the initial phase eliminates projects that cause harm, a second stage eliminates investments that carry to high a risk and this goes a long way in promoting greater investment stability across the market. </w:t>
      </w:r>
      <w:sdt>
        <w:sdtPr>
          <w:rPr>
            <w:rFonts w:ascii="Calibri" w:hAnsi="Calibri"/>
            <w:sz w:val="22"/>
            <w:szCs w:val="22"/>
          </w:rPr>
          <w:id w:val="419040027"/>
          <w:citation/>
        </w:sdtPr>
        <w:sdtContent>
          <w:r w:rsidR="00E00C3A">
            <w:rPr>
              <w:rFonts w:ascii="Calibri" w:hAnsi="Calibri"/>
              <w:sz w:val="22"/>
              <w:szCs w:val="22"/>
            </w:rPr>
            <w:fldChar w:fldCharType="begin"/>
          </w:r>
          <w:r w:rsidR="00DA5D45">
            <w:rPr>
              <w:rFonts w:ascii="Calibri" w:hAnsi="Calibri"/>
              <w:sz w:val="22"/>
              <w:szCs w:val="22"/>
            </w:rPr>
            <w:instrText xml:space="preserve"> CITATION Fal12 \l 2057 </w:instrText>
          </w:r>
          <w:r w:rsidR="00E00C3A">
            <w:rPr>
              <w:rFonts w:ascii="Calibri" w:hAnsi="Calibri"/>
              <w:sz w:val="22"/>
              <w:szCs w:val="22"/>
            </w:rPr>
            <w:fldChar w:fldCharType="separate"/>
          </w:r>
          <w:r w:rsidR="00063320" w:rsidRPr="00063320">
            <w:rPr>
              <w:rFonts w:ascii="Calibri" w:hAnsi="Calibri"/>
              <w:noProof/>
              <w:sz w:val="22"/>
              <w:szCs w:val="22"/>
            </w:rPr>
            <w:t>(Jamaldeen, 2012)</w:t>
          </w:r>
          <w:r w:rsidR="00E00C3A">
            <w:rPr>
              <w:rFonts w:ascii="Calibri" w:hAnsi="Calibri"/>
              <w:sz w:val="22"/>
              <w:szCs w:val="22"/>
            </w:rPr>
            <w:fldChar w:fldCharType="end"/>
          </w:r>
        </w:sdtContent>
      </w:sdt>
    </w:p>
    <w:p w:rsidR="003F232B" w:rsidRDefault="003F232B" w:rsidP="003F232B">
      <w:pPr>
        <w:jc w:val="both"/>
        <w:rPr>
          <w:rFonts w:ascii="Calibri" w:hAnsi="Calibri"/>
          <w:sz w:val="22"/>
          <w:szCs w:val="22"/>
        </w:rPr>
      </w:pPr>
    </w:p>
    <w:p w:rsidR="003F232B" w:rsidRDefault="003F232B" w:rsidP="003F232B">
      <w:pPr>
        <w:jc w:val="both"/>
        <w:rPr>
          <w:rFonts w:ascii="Calibri" w:hAnsi="Calibri"/>
          <w:sz w:val="22"/>
          <w:szCs w:val="22"/>
        </w:rPr>
      </w:pPr>
    </w:p>
    <w:p w:rsidR="003F232B" w:rsidRDefault="003F232B"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DF335E" w:rsidRDefault="00DF335E" w:rsidP="003F232B">
      <w:pPr>
        <w:jc w:val="both"/>
        <w:rPr>
          <w:rFonts w:ascii="Calibri" w:hAnsi="Calibri"/>
          <w:sz w:val="22"/>
          <w:szCs w:val="22"/>
        </w:rPr>
      </w:pPr>
    </w:p>
    <w:p w:rsidR="00F96CE5" w:rsidRDefault="00F96CE5" w:rsidP="003F232B">
      <w:pPr>
        <w:jc w:val="both"/>
        <w:rPr>
          <w:rFonts w:ascii="Calibri" w:hAnsi="Calibri"/>
          <w:sz w:val="22"/>
          <w:szCs w:val="22"/>
        </w:rPr>
      </w:pPr>
    </w:p>
    <w:p w:rsidR="00F96CE5" w:rsidRDefault="00F96CE5" w:rsidP="003F232B">
      <w:pPr>
        <w:jc w:val="both"/>
        <w:rPr>
          <w:rFonts w:ascii="Calibri" w:hAnsi="Calibri"/>
          <w:sz w:val="22"/>
          <w:szCs w:val="22"/>
        </w:rPr>
      </w:pPr>
    </w:p>
    <w:p w:rsidR="003F232B" w:rsidRPr="003F232B" w:rsidRDefault="003F232B" w:rsidP="003F232B">
      <w:pPr>
        <w:jc w:val="both"/>
        <w:rPr>
          <w:rFonts w:ascii="Calibri" w:hAnsi="Calibri"/>
          <w:sz w:val="22"/>
          <w:szCs w:val="22"/>
        </w:rPr>
      </w:pPr>
    </w:p>
    <w:sdt>
      <w:sdtPr>
        <w:rPr>
          <w:rFonts w:ascii="Times New Roman" w:eastAsia="Times New Roman" w:hAnsi="Times New Roman" w:cs="Times New Roman"/>
          <w:color w:val="auto"/>
          <w:sz w:val="24"/>
          <w:szCs w:val="24"/>
        </w:rPr>
        <w:id w:val="-566795854"/>
        <w:docPartObj>
          <w:docPartGallery w:val="Bibliographies"/>
          <w:docPartUnique/>
        </w:docPartObj>
      </w:sdtPr>
      <w:sdtContent>
        <w:bookmarkStart w:id="42" w:name="_Toc532305284" w:displacedByCustomXml="prev"/>
        <w:p w:rsidR="00DA42B0" w:rsidRDefault="00DA42B0">
          <w:pPr>
            <w:pStyle w:val="Heading1"/>
          </w:pPr>
          <w:r>
            <w:t>Bibliography</w:t>
          </w:r>
          <w:bookmarkEnd w:id="42"/>
        </w:p>
        <w:sdt>
          <w:sdtPr>
            <w:id w:val="111145805"/>
            <w:bibliography/>
          </w:sdtPr>
          <w:sdtContent>
            <w:p w:rsidR="00063320" w:rsidRDefault="00E00C3A" w:rsidP="00063320">
              <w:pPr>
                <w:pStyle w:val="Bibliography"/>
                <w:rPr>
                  <w:noProof/>
                </w:rPr>
              </w:pPr>
              <w:r w:rsidRPr="00E00C3A">
                <w:fldChar w:fldCharType="begin"/>
              </w:r>
              <w:r w:rsidR="00DA42B0">
                <w:instrText xml:space="preserve"> BIBLIOGRAPHY </w:instrText>
              </w:r>
              <w:r w:rsidRPr="00E00C3A">
                <w:fldChar w:fldCharType="separate"/>
              </w:r>
              <w:r w:rsidR="00063320">
                <w:rPr>
                  <w:noProof/>
                </w:rPr>
                <w:t xml:space="preserve">Aims Education. (2018). </w:t>
              </w:r>
              <w:r w:rsidR="00063320">
                <w:rPr>
                  <w:i/>
                  <w:iCs/>
                  <w:noProof/>
                </w:rPr>
                <w:t>www.aims.education</w:t>
              </w:r>
              <w:r w:rsidR="00063320">
                <w:rPr>
                  <w:noProof/>
                </w:rPr>
                <w:t>. Retrieved December 9th, 2018, from http://www.aims.education/islamic-finance-blog/advantages-of-islamic-banking-and-finance/</w:t>
              </w:r>
            </w:p>
            <w:p w:rsidR="00063320" w:rsidRDefault="00063320" w:rsidP="00063320">
              <w:pPr>
                <w:pStyle w:val="Bibliography"/>
                <w:rPr>
                  <w:noProof/>
                </w:rPr>
              </w:pPr>
              <w:r>
                <w:rPr>
                  <w:noProof/>
                </w:rPr>
                <w:t xml:space="preserve">Al-Haddad, H. a.-D. (2008). </w:t>
              </w:r>
              <w:r>
                <w:rPr>
                  <w:i/>
                  <w:iCs/>
                  <w:noProof/>
                </w:rPr>
                <w:t>Boom, Bust, Crunch: Is There an Islamic Solution?</w:t>
              </w:r>
              <w:r>
                <w:rPr>
                  <w:noProof/>
                </w:rPr>
                <w:t xml:space="preserve"> Retrieved December 10th, 2018, from http://www.islamic-finance.com/item153_f.htm</w:t>
              </w:r>
            </w:p>
            <w:p w:rsidR="00063320" w:rsidRDefault="00063320" w:rsidP="00063320">
              <w:pPr>
                <w:pStyle w:val="Bibliography"/>
                <w:rPr>
                  <w:noProof/>
                </w:rPr>
              </w:pPr>
              <w:r>
                <w:rPr>
                  <w:noProof/>
                </w:rPr>
                <w:t xml:space="preserve">Changeboard Team. (2017, July 31). The challenges facing Islamic banking. </w:t>
              </w:r>
              <w:r>
                <w:rPr>
                  <w:i/>
                  <w:iCs/>
                  <w:noProof/>
                </w:rPr>
                <w:t>Changeboard</w:t>
              </w:r>
              <w:r>
                <w:rPr>
                  <w:noProof/>
                </w:rPr>
                <w:t xml:space="preserve"> , p. 1.</w:t>
              </w:r>
            </w:p>
            <w:p w:rsidR="00063320" w:rsidRDefault="00063320" w:rsidP="00063320">
              <w:pPr>
                <w:pStyle w:val="Bibliography"/>
                <w:rPr>
                  <w:noProof/>
                </w:rPr>
              </w:pPr>
              <w:r>
                <w:rPr>
                  <w:noProof/>
                </w:rPr>
                <w:lastRenderedPageBreak/>
                <w:t xml:space="preserve">Cook, B. J. (January 2005). Islamic Banking and Finance inTheory and Practice: The Experienceof Malaysia and Bahrain. </w:t>
              </w:r>
              <w:r>
                <w:rPr>
                  <w:i/>
                  <w:iCs/>
                  <w:noProof/>
                </w:rPr>
                <w:t>The American Journal of Islamic Social Sciences , 22</w:t>
              </w:r>
              <w:r>
                <w:rPr>
                  <w:noProof/>
                </w:rPr>
                <w:t xml:space="preserve"> (2), 70.</w:t>
              </w:r>
            </w:p>
            <w:p w:rsidR="00063320" w:rsidRDefault="00063320" w:rsidP="00063320">
              <w:pPr>
                <w:pStyle w:val="Bibliography"/>
                <w:rPr>
                  <w:noProof/>
                </w:rPr>
              </w:pPr>
              <w:r>
                <w:rPr>
                  <w:noProof/>
                </w:rPr>
                <w:t xml:space="preserve">Dridi, J. &amp;. (2010). </w:t>
              </w:r>
              <w:r>
                <w:rPr>
                  <w:i/>
                  <w:iCs/>
                  <w:noProof/>
                </w:rPr>
                <w:t>Have Islamic Banks Been Impacted Differently than Conventional Banks During the Recent Global Crisis?</w:t>
              </w:r>
              <w:r>
                <w:rPr>
                  <w:noProof/>
                </w:rPr>
                <w:t xml:space="preserve"> Washington: International Monetary Fun.</w:t>
              </w:r>
            </w:p>
            <w:p w:rsidR="00063320" w:rsidRDefault="00063320" w:rsidP="00063320">
              <w:pPr>
                <w:pStyle w:val="Bibliography"/>
                <w:rPr>
                  <w:noProof/>
                </w:rPr>
              </w:pPr>
              <w:r>
                <w:rPr>
                  <w:noProof/>
                </w:rPr>
                <w:t xml:space="preserve">Dubai Islamic Bank. (2017). </w:t>
              </w:r>
              <w:r>
                <w:rPr>
                  <w:i/>
                  <w:iCs/>
                  <w:noProof/>
                </w:rPr>
                <w:t>GLOBAL ISLAMIC FINANCE REPORT .</w:t>
              </w:r>
              <w:r>
                <w:rPr>
                  <w:noProof/>
                </w:rPr>
                <w:t xml:space="preserve"> Dubai: Dubai Islamic Bank.</w:t>
              </w:r>
            </w:p>
            <w:p w:rsidR="00063320" w:rsidRDefault="00063320" w:rsidP="00063320">
              <w:pPr>
                <w:pStyle w:val="Bibliography"/>
                <w:rPr>
                  <w:noProof/>
                </w:rPr>
              </w:pPr>
              <w:r>
                <w:rPr>
                  <w:noProof/>
                </w:rPr>
                <w:t xml:space="preserve">El-Hawary, D. G. (2007). </w:t>
              </w:r>
              <w:r>
                <w:rPr>
                  <w:i/>
                  <w:iCs/>
                  <w:noProof/>
                </w:rPr>
                <w:t>Diversity in the regulation of Islamic Financial Institutions.</w:t>
              </w:r>
              <w:r>
                <w:rPr>
                  <w:noProof/>
                </w:rPr>
                <w:t xml:space="preserve"> The Quarterly Review of Economics and Finance.</w:t>
              </w:r>
            </w:p>
            <w:p w:rsidR="00063320" w:rsidRDefault="00063320" w:rsidP="00063320">
              <w:pPr>
                <w:pStyle w:val="Bibliography"/>
                <w:rPr>
                  <w:noProof/>
                </w:rPr>
              </w:pPr>
              <w:r>
                <w:rPr>
                  <w:noProof/>
                </w:rPr>
                <w:t xml:space="preserve">Exportiamo. (2016). </w:t>
              </w:r>
              <w:r>
                <w:rPr>
                  <w:i/>
                  <w:iCs/>
                  <w:noProof/>
                </w:rPr>
                <w:t>Exportiamo.it</w:t>
              </w:r>
              <w:r>
                <w:rPr>
                  <w:noProof/>
                </w:rPr>
                <w:t>. Retrieved December 9th, 2018, from http://www.exportiamo.it/aree-tematiche/12877/islamic-commercial-law-limits-advantages-and-disadvantages/</w:t>
              </w:r>
            </w:p>
            <w:p w:rsidR="00063320" w:rsidRDefault="00063320" w:rsidP="00063320">
              <w:pPr>
                <w:pStyle w:val="Bibliography"/>
                <w:rPr>
                  <w:noProof/>
                </w:rPr>
              </w:pPr>
              <w:r>
                <w:rPr>
                  <w:noProof/>
                </w:rPr>
                <w:t xml:space="preserve">Hanif, M. (2012). Comparative Performance Study of Conventional and Islamic Banking in Pakistan. </w:t>
              </w:r>
              <w:r>
                <w:rPr>
                  <w:i/>
                  <w:iCs/>
                  <w:noProof/>
                </w:rPr>
                <w:t>International Research Journal of Finance and Economics</w:t>
              </w:r>
              <w:r>
                <w:rPr>
                  <w:noProof/>
                </w:rPr>
                <w:t xml:space="preserve"> </w:t>
              </w:r>
              <w:r>
                <w:rPr>
                  <w:i/>
                  <w:iCs/>
                  <w:noProof/>
                </w:rPr>
                <w:t>, 1450-2887</w:t>
              </w:r>
              <w:r>
                <w:rPr>
                  <w:noProof/>
                </w:rPr>
                <w:t xml:space="preserve"> (83), 68-70.</w:t>
              </w:r>
            </w:p>
            <w:p w:rsidR="00063320" w:rsidRDefault="00063320" w:rsidP="00063320">
              <w:pPr>
                <w:pStyle w:val="Bibliography"/>
                <w:rPr>
                  <w:noProof/>
                </w:rPr>
              </w:pPr>
              <w:r>
                <w:rPr>
                  <w:noProof/>
                </w:rPr>
                <w:t xml:space="preserve">Hirst, T. (2015, July 20th). These are the top 9 countries for Islamic finance. </w:t>
              </w:r>
              <w:r>
                <w:rPr>
                  <w:i/>
                  <w:iCs/>
                  <w:noProof/>
                </w:rPr>
                <w:t>World Economic Forum</w:t>
              </w:r>
              <w:r>
                <w:rPr>
                  <w:noProof/>
                </w:rPr>
                <w:t xml:space="preserve"> .</w:t>
              </w:r>
            </w:p>
            <w:p w:rsidR="00063320" w:rsidRDefault="00063320" w:rsidP="00063320">
              <w:pPr>
                <w:pStyle w:val="Bibliography"/>
                <w:rPr>
                  <w:noProof/>
                </w:rPr>
              </w:pPr>
              <w:r>
                <w:rPr>
                  <w:noProof/>
                </w:rPr>
                <w:t xml:space="preserve">Hussain, M. (2015). An Overview Of Islamic Finance. </w:t>
              </w:r>
              <w:r>
                <w:rPr>
                  <w:i/>
                  <w:iCs/>
                  <w:noProof/>
                </w:rPr>
                <w:t>IMF Working Paper</w:t>
              </w:r>
              <w:r>
                <w:rPr>
                  <w:noProof/>
                </w:rPr>
                <w:t xml:space="preserve"> </w:t>
              </w:r>
              <w:r>
                <w:rPr>
                  <w:i/>
                  <w:iCs/>
                  <w:noProof/>
                </w:rPr>
                <w:t>, WP/15/120</w:t>
              </w:r>
              <w:r>
                <w:rPr>
                  <w:noProof/>
                </w:rPr>
                <w:t>, 4.</w:t>
              </w:r>
            </w:p>
            <w:p w:rsidR="00063320" w:rsidRDefault="00063320" w:rsidP="00063320">
              <w:pPr>
                <w:pStyle w:val="Bibliography"/>
                <w:rPr>
                  <w:noProof/>
                </w:rPr>
              </w:pPr>
              <w:r>
                <w:rPr>
                  <w:noProof/>
                </w:rPr>
                <w:t xml:space="preserve">IMF. (2010, October 4th). </w:t>
              </w:r>
              <w:r>
                <w:rPr>
                  <w:i/>
                  <w:iCs/>
                  <w:noProof/>
                </w:rPr>
                <w:t>IMF Survey: Islamic Banks: More Resilient to Crisis?</w:t>
              </w:r>
              <w:r>
                <w:rPr>
                  <w:noProof/>
                </w:rPr>
                <w:t xml:space="preserve"> Retrieved December 11, 2018, from www.imf.org: https://www.imf.org/en/News/Articles/2015/09/28/04/53/sores100410a</w:t>
              </w:r>
            </w:p>
            <w:p w:rsidR="00063320" w:rsidRDefault="00063320" w:rsidP="00063320">
              <w:pPr>
                <w:pStyle w:val="Bibliography"/>
                <w:rPr>
                  <w:noProof/>
                </w:rPr>
              </w:pPr>
              <w:r>
                <w:rPr>
                  <w:noProof/>
                </w:rPr>
                <w:t xml:space="preserve">Jamaldeen, F. ( 2012). </w:t>
              </w:r>
              <w:r>
                <w:rPr>
                  <w:i/>
                  <w:iCs/>
                  <w:noProof/>
                </w:rPr>
                <w:t>Islamic Finance for dummies.</w:t>
              </w:r>
              <w:r>
                <w:rPr>
                  <w:noProof/>
                </w:rPr>
                <w:t xml:space="preserve"> Saudi Arabia: Wiley.</w:t>
              </w:r>
            </w:p>
            <w:p w:rsidR="00063320" w:rsidRDefault="00063320" w:rsidP="00063320">
              <w:pPr>
                <w:pStyle w:val="Bibliography"/>
                <w:rPr>
                  <w:noProof/>
                </w:rPr>
              </w:pPr>
              <w:r>
                <w:rPr>
                  <w:noProof/>
                </w:rPr>
                <w:t xml:space="preserve">Othman, R. (2012). Islamic Banking: The Firewall Against The Global Financial Crisis . </w:t>
              </w:r>
              <w:r>
                <w:rPr>
                  <w:i/>
                  <w:iCs/>
                  <w:noProof/>
                </w:rPr>
                <w:t>Journal of Applied Business Research</w:t>
              </w:r>
              <w:r>
                <w:rPr>
                  <w:noProof/>
                </w:rPr>
                <w:t xml:space="preserve"> </w:t>
              </w:r>
              <w:r>
                <w:rPr>
                  <w:i/>
                  <w:iCs/>
                  <w:noProof/>
                </w:rPr>
                <w:t>, (1)</w:t>
              </w:r>
              <w:r>
                <w:rPr>
                  <w:noProof/>
                </w:rPr>
                <w:t xml:space="preserve"> (28), 9-14.</w:t>
              </w:r>
            </w:p>
            <w:p w:rsidR="00063320" w:rsidRDefault="00063320" w:rsidP="00063320">
              <w:pPr>
                <w:pStyle w:val="Bibliography"/>
                <w:rPr>
                  <w:noProof/>
                </w:rPr>
              </w:pPr>
              <w:r>
                <w:rPr>
                  <w:noProof/>
                </w:rPr>
                <w:t xml:space="preserve">Warwick-Ching, L. (2010, July 14). Beginners’ Guide to Islamic Finance. </w:t>
              </w:r>
              <w:r>
                <w:rPr>
                  <w:i/>
                  <w:iCs/>
                  <w:noProof/>
                </w:rPr>
                <w:t>Financial Times</w:t>
              </w:r>
              <w:r>
                <w:rPr>
                  <w:noProof/>
                </w:rPr>
                <w:t xml:space="preserve"> .</w:t>
              </w:r>
            </w:p>
            <w:p w:rsidR="00DA42B0" w:rsidRDefault="00E00C3A" w:rsidP="00063320">
              <w:r>
                <w:rPr>
                  <w:b/>
                  <w:bCs/>
                  <w:noProof/>
                </w:rPr>
                <w:fldChar w:fldCharType="end"/>
              </w:r>
            </w:p>
          </w:sdtContent>
        </w:sdt>
      </w:sdtContent>
    </w:sdt>
    <w:p w:rsidR="00324E9E" w:rsidRDefault="00324E9E"/>
    <w:p w:rsidR="00324E9E" w:rsidRDefault="00324E9E"/>
    <w:p w:rsidR="00324E9E" w:rsidRDefault="00324E9E"/>
    <w:p w:rsidR="00324E9E" w:rsidRDefault="00324E9E"/>
    <w:p w:rsidR="00324E9E" w:rsidRDefault="00324E9E"/>
    <w:p w:rsidR="00E21B42" w:rsidRPr="00F96CE5" w:rsidRDefault="00E21B42" w:rsidP="00F96CE5">
      <w:pPr>
        <w:pStyle w:val="Default"/>
        <w:rPr>
          <w:color w:val="FF0000"/>
          <w:sz w:val="20"/>
          <w:szCs w:val="20"/>
        </w:rPr>
      </w:pPr>
    </w:p>
    <w:p w:rsidR="00324E9E" w:rsidRDefault="00324E9E"/>
    <w:p w:rsidR="00324E9E" w:rsidRDefault="00324E9E"/>
    <w:p w:rsidR="00324E9E" w:rsidRDefault="00324E9E"/>
    <w:p w:rsidR="00324E9E" w:rsidRDefault="00324E9E"/>
    <w:p w:rsidR="00324E9E" w:rsidRDefault="00324E9E"/>
    <w:p w:rsidR="00324E9E" w:rsidRDefault="00324E9E"/>
    <w:sectPr w:rsidR="00324E9E" w:rsidSect="005D0139">
      <w:headerReference w:type="default"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B3E" w:rsidRDefault="00F76B3E" w:rsidP="00601D68">
      <w:r>
        <w:separator/>
      </w:r>
    </w:p>
  </w:endnote>
  <w:endnote w:type="continuationSeparator" w:id="0">
    <w:p w:rsidR="00F76B3E" w:rsidRDefault="00F76B3E" w:rsidP="00601D6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ue Helvetica W01">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320" w:rsidRDefault="00E00C3A">
    <w:pPr>
      <w:pStyle w:val="Footer"/>
      <w:tabs>
        <w:tab w:val="clear" w:pos="4680"/>
        <w:tab w:val="clear" w:pos="9360"/>
      </w:tabs>
      <w:jc w:val="center"/>
      <w:rPr>
        <w:caps/>
        <w:noProof/>
        <w:color w:val="4472C4" w:themeColor="accent1"/>
      </w:rPr>
    </w:pPr>
    <w:r>
      <w:rPr>
        <w:caps/>
        <w:color w:val="4472C4" w:themeColor="accent1"/>
      </w:rPr>
      <w:fldChar w:fldCharType="begin"/>
    </w:r>
    <w:r w:rsidR="00063320">
      <w:rPr>
        <w:caps/>
        <w:color w:val="4472C4" w:themeColor="accent1"/>
      </w:rPr>
      <w:instrText xml:space="preserve"> PAGE   \* MERGEFORMAT </w:instrText>
    </w:r>
    <w:r>
      <w:rPr>
        <w:caps/>
        <w:color w:val="4472C4" w:themeColor="accent1"/>
      </w:rPr>
      <w:fldChar w:fldCharType="separate"/>
    </w:r>
    <w:r w:rsidR="00C70A2E">
      <w:rPr>
        <w:caps/>
        <w:noProof/>
        <w:color w:val="4472C4" w:themeColor="accent1"/>
      </w:rPr>
      <w:t>8</w:t>
    </w:r>
    <w:r>
      <w:rPr>
        <w:caps/>
        <w:noProof/>
        <w:color w:val="4472C4" w:themeColor="accent1"/>
      </w:rPr>
      <w:fldChar w:fldCharType="end"/>
    </w:r>
  </w:p>
  <w:p w:rsidR="00063320" w:rsidRDefault="000633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B3E" w:rsidRDefault="00F76B3E" w:rsidP="00601D68">
      <w:r>
        <w:separator/>
      </w:r>
    </w:p>
  </w:footnote>
  <w:footnote w:type="continuationSeparator" w:id="0">
    <w:p w:rsidR="00F76B3E" w:rsidRDefault="00F76B3E" w:rsidP="00601D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320" w:rsidRDefault="00E00C3A">
    <w:pPr>
      <w:pStyle w:val="Header"/>
    </w:pPr>
    <w:r>
      <w:rPr>
        <w:noProof/>
      </w:rPr>
      <w:pict>
        <v:rect id="Rectangle 47" o:spid="_x0000_s2049" alt="Title: Document Title" style="position:absolute;margin-left:0;margin-top:0;width:1in;height:22.3pt;z-index:251659264;visibility:visible;mso-width-percent:941;mso-top-percent:30;mso-position-horizontal:center;mso-position-horizontal-relative:page;mso-position-vertical-relative:page;mso-width-percent:941;mso-top-percent:3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cJQnQIAAD8FAAAOAAAAZHJzL2Uyb0RvYy54bWysVG1v0zAQ/o7Ef7D8vcvLwtpESydGKUIa&#10;MLHxA1zHaSz8Emy3yUD8d86XtevgC0L0Q+o723fPPfecL69GrcheOC+tqWl2llIiDLeNNNuafrlf&#10;zxaU+MBMw5Q1oqYPwtOr5csXl0Nfidx2VjXCEQhifDX0Ne1C6Ksk8bwTmvkz2wsDm611mgUw3TZp&#10;HBsgulZJnqYXyWBd0zvLhffgXU2bdInx21bw8KltvQhE1RSwBfw6/G7iN1lesmrrWN9J/giD/QMK&#10;zaSBpMdQKxYY2Tn5RygtubPetuGMW53YtpVcYA1QTZb+Vs1dx3qBtQA5vj/S5P9fWP5xf+uIbGp6&#10;TolhGlr0GUhjZqsEKeaUNMJz4OteBiUqsrJ8p4UJBO3I3tD7CoLc9bcu1u/7G8u/ethInu1Ew8MZ&#10;shk+2AaysF2wyNjYOh1vAhdkxMY8HBsjxkA4OMusKFJoH4etfHGeZ9i4hFWHy73z4Z2wmsRFTR2U&#10;gMHZ/saHCIZVhyOI0irZrKVSaEStiTfKkT0DlYQxx6tqpwHp5MvS+JvEAn6Q1OQ/wEC5xhCYyZ9G&#10;VybmMDZmm4BMHigNoMW9WCRK5UeZ5UV6nZez9cViPivWxatZOU8XszQrr8uLtCiL1fpnBJcVVSeb&#10;RpgbacRBtlnxd7J4HKBJcChcMsDo5nOoEPk4he/ddnOkBlk41nx6TMsAY6ykrunihKtOsOataaBu&#10;VgUm1bROnuNHzoCEwz/SguqJgpkUFsbNCFGiija2eQAdOQt9BknA2wOLzrrvlAwwxzX133bMCUrU&#10;ewODgtKBwUcDzrtT7+bgZYZDiJry4CiZjDdheiZ2vZPbDnJkyI6xr0G5rURVPeEB8NGAKcUyHl+U&#10;+Ayc2njq6d1b/gIAAP//AwBQSwMEFAAGAAgAAAAhAK2kBiDbAAAACQEAAA8AAABkcnMvZG93bnJl&#10;di54bWxMj8FuwjAQRO+V+g/WVuJWHKoIlRAHIVAPvdGUS29OvI0j4nUaOxD+nqWX9jLSaLSz8/LN&#10;5DpxxiG0nhQs5gkIpNqblhoFx8+351cQIWoyuvOECq4YYFM8PuQ6M/5CH3guYyO4hEKmFdgY+0zK&#10;UFt0Osx9j8TZtx+cjmyHRppBX7jcdfIlSZbS6Zb4g9U97izWp3J0ClYrsv1Ptd+NMnwdXBlO75U/&#10;KjV7mvZrlu0aRMQp/l3AnYH3Q8HDKj+SCaJTwDTxV+9ZmrKtFKTpEmSRy/8ExQ0AAP//AwBQSwEC&#10;LQAUAAYACAAAACEAtoM4kv4AAADhAQAAEwAAAAAAAAAAAAAAAAAAAAAAW0NvbnRlbnRfVHlwZXNd&#10;LnhtbFBLAQItABQABgAIAAAAIQA4/SH/1gAAAJQBAAALAAAAAAAAAAAAAAAAAC8BAABfcmVscy8u&#10;cmVsc1BLAQItABQABgAIAAAAIQCxJcJQnQIAAD8FAAAOAAAAAAAAAAAAAAAAAC4CAABkcnMvZTJv&#10;RG9jLnhtbFBLAQItABQABgAIAAAAIQCtpAYg2wAAAAkBAAAPAAAAAAAAAAAAAAAAAPcEAABkcnMv&#10;ZG93bnJldi54bWxQSwUGAAAAAAQABADzAAAA/wUAAAAAQUFBQUFBQUFBQUFBQUFBQVBjRUFBQmt=&#10;" fillcolor="#44546a [3215]" stroked="f" strokeweight="1pt">
          <v:path arrowok="t"/>
          <v:textbox inset=",0,,0">
            <w:txbxContent>
              <w:sdt>
                <w:sdtPr>
                  <w:rPr>
                    <w:b/>
                    <w:caps/>
                    <w:spacing w:val="20"/>
                    <w:sz w:val="28"/>
                    <w:szCs w:val="28"/>
                  </w:rPr>
                  <w:alias w:val="Title"/>
                  <w:tag w:val=""/>
                  <w:id w:val="-155760336"/>
                  <w:dataBinding w:prefixMappings="xmlns:ns0='http://purl.org/dc/elements/1.1/' xmlns:ns1='http://schemas.openxmlformats.org/package/2006/metadata/core-properties' " w:xpath="/ns1:coreProperties[1]/ns0:title[1]" w:storeItemID="{6C3C8BC8-F283-45AE-878A-BAB7291924A1}"/>
                  <w:text/>
                </w:sdtPr>
                <w:sdtContent>
                  <w:p w:rsidR="00063320" w:rsidRDefault="00063320">
                    <w:pPr>
                      <w:pStyle w:val="NoSpacing"/>
                      <w:jc w:val="center"/>
                      <w:rPr>
                        <w:b/>
                        <w:caps/>
                        <w:spacing w:val="20"/>
                        <w:sz w:val="28"/>
                        <w:szCs w:val="28"/>
                      </w:rPr>
                    </w:pPr>
                    <w:r>
                      <w:rPr>
                        <w:b/>
                        <w:caps/>
                        <w:spacing w:val="20"/>
                        <w:sz w:val="28"/>
                        <w:szCs w:val="28"/>
                      </w:rPr>
                      <w:t>Islamic Finance</w:t>
                    </w:r>
                  </w:p>
                </w:sdtContent>
              </w:sdt>
            </w:txbxContent>
          </v:textbox>
          <w10:wrap anchorx="page" anchory="page"/>
        </v:rect>
      </w:pict>
    </w:r>
  </w:p>
  <w:p w:rsidR="00063320" w:rsidRDefault="000633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D1C51"/>
    <w:multiLevelType w:val="hybridMultilevel"/>
    <w:tmpl w:val="0A46A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5226472"/>
    <w:multiLevelType w:val="hybridMultilevel"/>
    <w:tmpl w:val="8812B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245061"/>
    <w:multiLevelType w:val="hybridMultilevel"/>
    <w:tmpl w:val="AB2A1E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601D68"/>
    <w:rsid w:val="00040AE8"/>
    <w:rsid w:val="00041791"/>
    <w:rsid w:val="00063320"/>
    <w:rsid w:val="000F622B"/>
    <w:rsid w:val="001360CE"/>
    <w:rsid w:val="001B38C7"/>
    <w:rsid w:val="002C113D"/>
    <w:rsid w:val="002F64AC"/>
    <w:rsid w:val="00324E9E"/>
    <w:rsid w:val="00345B29"/>
    <w:rsid w:val="00356E8E"/>
    <w:rsid w:val="003C0D4B"/>
    <w:rsid w:val="003E541B"/>
    <w:rsid w:val="003F01C1"/>
    <w:rsid w:val="003F232B"/>
    <w:rsid w:val="00474E4F"/>
    <w:rsid w:val="004B5606"/>
    <w:rsid w:val="004B64D6"/>
    <w:rsid w:val="004E20CE"/>
    <w:rsid w:val="0050415F"/>
    <w:rsid w:val="0054549D"/>
    <w:rsid w:val="00551E98"/>
    <w:rsid w:val="00552FF9"/>
    <w:rsid w:val="005D0139"/>
    <w:rsid w:val="005D7235"/>
    <w:rsid w:val="005F5A7C"/>
    <w:rsid w:val="00601D68"/>
    <w:rsid w:val="0067799D"/>
    <w:rsid w:val="006E391C"/>
    <w:rsid w:val="006E4E63"/>
    <w:rsid w:val="006E7FDD"/>
    <w:rsid w:val="00744EC8"/>
    <w:rsid w:val="00791D80"/>
    <w:rsid w:val="007C5E29"/>
    <w:rsid w:val="007F34E1"/>
    <w:rsid w:val="00821727"/>
    <w:rsid w:val="00861D8B"/>
    <w:rsid w:val="008A0D90"/>
    <w:rsid w:val="008A3935"/>
    <w:rsid w:val="008D6E14"/>
    <w:rsid w:val="008F0811"/>
    <w:rsid w:val="00906628"/>
    <w:rsid w:val="00946DAA"/>
    <w:rsid w:val="009D5F2D"/>
    <w:rsid w:val="009E4629"/>
    <w:rsid w:val="00A035C1"/>
    <w:rsid w:val="00AB51CE"/>
    <w:rsid w:val="00AE3A74"/>
    <w:rsid w:val="00B261D6"/>
    <w:rsid w:val="00B43A00"/>
    <w:rsid w:val="00B46750"/>
    <w:rsid w:val="00B77005"/>
    <w:rsid w:val="00B857CF"/>
    <w:rsid w:val="00BA3BD5"/>
    <w:rsid w:val="00C10DB4"/>
    <w:rsid w:val="00C22B5F"/>
    <w:rsid w:val="00C64E21"/>
    <w:rsid w:val="00C70A2E"/>
    <w:rsid w:val="00C90913"/>
    <w:rsid w:val="00CA5F51"/>
    <w:rsid w:val="00CE1266"/>
    <w:rsid w:val="00D1074D"/>
    <w:rsid w:val="00D145C6"/>
    <w:rsid w:val="00DA07B0"/>
    <w:rsid w:val="00DA42B0"/>
    <w:rsid w:val="00DA5D45"/>
    <w:rsid w:val="00DD4C20"/>
    <w:rsid w:val="00DF335E"/>
    <w:rsid w:val="00E00C3A"/>
    <w:rsid w:val="00E21B42"/>
    <w:rsid w:val="00E54F5E"/>
    <w:rsid w:val="00E9502B"/>
    <w:rsid w:val="00EB67BF"/>
    <w:rsid w:val="00ED52F4"/>
    <w:rsid w:val="00ED7A0C"/>
    <w:rsid w:val="00F30D1A"/>
    <w:rsid w:val="00F44FCC"/>
    <w:rsid w:val="00F465FC"/>
    <w:rsid w:val="00F64863"/>
    <w:rsid w:val="00F76B3E"/>
    <w:rsid w:val="00F96CE5"/>
    <w:rsid w:val="00FE78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D68"/>
    <w:rPr>
      <w:rFonts w:ascii="Times New Roman" w:eastAsia="Times New Roman" w:hAnsi="Times New Roman" w:cs="Times New Roman"/>
    </w:rPr>
  </w:style>
  <w:style w:type="paragraph" w:styleId="Heading1">
    <w:name w:val="heading 1"/>
    <w:basedOn w:val="Normal"/>
    <w:next w:val="Normal"/>
    <w:link w:val="Heading1Char"/>
    <w:uiPriority w:val="9"/>
    <w:qFormat/>
    <w:rsid w:val="00601D6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01D68"/>
    <w:rPr>
      <w:rFonts w:eastAsiaTheme="minorEastAsia"/>
      <w:sz w:val="22"/>
      <w:szCs w:val="22"/>
      <w:lang w:val="en-US"/>
    </w:rPr>
  </w:style>
  <w:style w:type="character" w:customStyle="1" w:styleId="NoSpacingChar">
    <w:name w:val="No Spacing Char"/>
    <w:basedOn w:val="DefaultParagraphFont"/>
    <w:link w:val="NoSpacing"/>
    <w:uiPriority w:val="1"/>
    <w:rsid w:val="00601D68"/>
    <w:rPr>
      <w:rFonts w:eastAsiaTheme="minorEastAsia"/>
      <w:sz w:val="22"/>
      <w:szCs w:val="22"/>
      <w:lang w:val="en-US"/>
    </w:rPr>
  </w:style>
  <w:style w:type="paragraph" w:styleId="ListParagraph">
    <w:name w:val="List Paragraph"/>
    <w:basedOn w:val="Normal"/>
    <w:uiPriority w:val="34"/>
    <w:qFormat/>
    <w:rsid w:val="00601D68"/>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601D6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1D68"/>
    <w:pPr>
      <w:spacing w:line="259" w:lineRule="auto"/>
      <w:outlineLvl w:val="9"/>
    </w:pPr>
    <w:rPr>
      <w:lang w:val="en-US"/>
    </w:rPr>
  </w:style>
  <w:style w:type="paragraph" w:styleId="Header">
    <w:name w:val="header"/>
    <w:basedOn w:val="Normal"/>
    <w:link w:val="HeaderChar"/>
    <w:uiPriority w:val="99"/>
    <w:unhideWhenUsed/>
    <w:rsid w:val="00601D68"/>
    <w:pPr>
      <w:tabs>
        <w:tab w:val="center" w:pos="4680"/>
        <w:tab w:val="right" w:pos="9360"/>
      </w:tabs>
    </w:pPr>
  </w:style>
  <w:style w:type="character" w:customStyle="1" w:styleId="HeaderChar">
    <w:name w:val="Header Char"/>
    <w:basedOn w:val="DefaultParagraphFont"/>
    <w:link w:val="Header"/>
    <w:uiPriority w:val="99"/>
    <w:rsid w:val="00601D68"/>
    <w:rPr>
      <w:rFonts w:ascii="Times New Roman" w:eastAsia="Times New Roman" w:hAnsi="Times New Roman" w:cs="Times New Roman"/>
    </w:rPr>
  </w:style>
  <w:style w:type="paragraph" w:styleId="Footer">
    <w:name w:val="footer"/>
    <w:basedOn w:val="Normal"/>
    <w:link w:val="FooterChar"/>
    <w:uiPriority w:val="99"/>
    <w:unhideWhenUsed/>
    <w:rsid w:val="00601D68"/>
    <w:pPr>
      <w:tabs>
        <w:tab w:val="center" w:pos="4680"/>
        <w:tab w:val="right" w:pos="9360"/>
      </w:tabs>
    </w:pPr>
  </w:style>
  <w:style w:type="character" w:customStyle="1" w:styleId="FooterChar">
    <w:name w:val="Footer Char"/>
    <w:basedOn w:val="DefaultParagraphFont"/>
    <w:link w:val="Footer"/>
    <w:uiPriority w:val="99"/>
    <w:rsid w:val="00601D68"/>
    <w:rPr>
      <w:rFonts w:ascii="Times New Roman" w:eastAsia="Times New Roman" w:hAnsi="Times New Roman" w:cs="Times New Roman"/>
    </w:rPr>
  </w:style>
  <w:style w:type="character" w:styleId="Hyperlink">
    <w:name w:val="Hyperlink"/>
    <w:basedOn w:val="DefaultParagraphFont"/>
    <w:uiPriority w:val="99"/>
    <w:unhideWhenUsed/>
    <w:rsid w:val="00ED52F4"/>
    <w:rPr>
      <w:color w:val="0563C1" w:themeColor="hyperlink"/>
      <w:u w:val="single"/>
    </w:rPr>
  </w:style>
  <w:style w:type="paragraph" w:styleId="TOC2">
    <w:name w:val="toc 2"/>
    <w:basedOn w:val="Normal"/>
    <w:next w:val="Normal"/>
    <w:autoRedefine/>
    <w:uiPriority w:val="39"/>
    <w:unhideWhenUsed/>
    <w:rsid w:val="00ED52F4"/>
    <w:pPr>
      <w:spacing w:after="100"/>
      <w:ind w:left="240"/>
    </w:pPr>
  </w:style>
  <w:style w:type="paragraph" w:styleId="TOC1">
    <w:name w:val="toc 1"/>
    <w:basedOn w:val="Normal"/>
    <w:next w:val="Normal"/>
    <w:autoRedefine/>
    <w:uiPriority w:val="39"/>
    <w:unhideWhenUsed/>
    <w:rsid w:val="00ED52F4"/>
    <w:pPr>
      <w:spacing w:after="100"/>
    </w:pPr>
  </w:style>
  <w:style w:type="paragraph" w:styleId="TOC3">
    <w:name w:val="toc 3"/>
    <w:basedOn w:val="Normal"/>
    <w:next w:val="Normal"/>
    <w:autoRedefine/>
    <w:uiPriority w:val="39"/>
    <w:unhideWhenUsed/>
    <w:rsid w:val="00ED52F4"/>
    <w:pPr>
      <w:spacing w:after="100"/>
      <w:ind w:left="480"/>
    </w:pPr>
  </w:style>
  <w:style w:type="paragraph" w:styleId="Bibliography">
    <w:name w:val="Bibliography"/>
    <w:basedOn w:val="Normal"/>
    <w:next w:val="Normal"/>
    <w:uiPriority w:val="37"/>
    <w:unhideWhenUsed/>
    <w:rsid w:val="00DA42B0"/>
  </w:style>
  <w:style w:type="character" w:customStyle="1" w:styleId="UnresolvedMention1">
    <w:name w:val="Unresolved Mention1"/>
    <w:basedOn w:val="DefaultParagraphFont"/>
    <w:uiPriority w:val="99"/>
    <w:rsid w:val="00D145C6"/>
    <w:rPr>
      <w:color w:val="605E5C"/>
      <w:shd w:val="clear" w:color="auto" w:fill="E1DFDD"/>
    </w:rPr>
  </w:style>
  <w:style w:type="character" w:styleId="FollowedHyperlink">
    <w:name w:val="FollowedHyperlink"/>
    <w:basedOn w:val="DefaultParagraphFont"/>
    <w:uiPriority w:val="99"/>
    <w:semiHidden/>
    <w:unhideWhenUsed/>
    <w:rsid w:val="008A3935"/>
    <w:rPr>
      <w:color w:val="954F72" w:themeColor="followedHyperlink"/>
      <w:u w:val="single"/>
    </w:rPr>
  </w:style>
  <w:style w:type="character" w:customStyle="1" w:styleId="apple-converted-space">
    <w:name w:val="apple-converted-space"/>
    <w:basedOn w:val="DefaultParagraphFont"/>
    <w:rsid w:val="00552FF9"/>
  </w:style>
  <w:style w:type="character" w:customStyle="1" w:styleId="ls5">
    <w:name w:val="ls5"/>
    <w:basedOn w:val="DefaultParagraphFont"/>
    <w:rsid w:val="007F34E1"/>
  </w:style>
  <w:style w:type="character" w:customStyle="1" w:styleId="ff4">
    <w:name w:val="ff4"/>
    <w:basedOn w:val="DefaultParagraphFont"/>
    <w:rsid w:val="007F34E1"/>
  </w:style>
  <w:style w:type="paragraph" w:styleId="NormalWeb">
    <w:name w:val="Normal (Web)"/>
    <w:basedOn w:val="Normal"/>
    <w:uiPriority w:val="99"/>
    <w:semiHidden/>
    <w:unhideWhenUsed/>
    <w:rsid w:val="003F232B"/>
    <w:pPr>
      <w:spacing w:before="100" w:beforeAutospacing="1" w:after="100" w:afterAutospacing="1"/>
    </w:pPr>
  </w:style>
  <w:style w:type="paragraph" w:styleId="BalloonText">
    <w:name w:val="Balloon Text"/>
    <w:basedOn w:val="Normal"/>
    <w:link w:val="BalloonTextChar"/>
    <w:uiPriority w:val="99"/>
    <w:semiHidden/>
    <w:unhideWhenUsed/>
    <w:rsid w:val="00ED7A0C"/>
    <w:rPr>
      <w:rFonts w:ascii="Tahoma" w:hAnsi="Tahoma" w:cs="Tahoma"/>
      <w:sz w:val="16"/>
      <w:szCs w:val="16"/>
    </w:rPr>
  </w:style>
  <w:style w:type="character" w:customStyle="1" w:styleId="BalloonTextChar">
    <w:name w:val="Balloon Text Char"/>
    <w:basedOn w:val="DefaultParagraphFont"/>
    <w:link w:val="BalloonText"/>
    <w:uiPriority w:val="99"/>
    <w:semiHidden/>
    <w:rsid w:val="00ED7A0C"/>
    <w:rPr>
      <w:rFonts w:ascii="Tahoma" w:eastAsia="Times New Roman" w:hAnsi="Tahoma" w:cs="Tahoma"/>
      <w:sz w:val="16"/>
      <w:szCs w:val="16"/>
    </w:rPr>
  </w:style>
  <w:style w:type="character" w:customStyle="1" w:styleId="ilfuvd">
    <w:name w:val="ilfuvd"/>
    <w:basedOn w:val="DefaultParagraphFont"/>
    <w:rsid w:val="00EB67BF"/>
  </w:style>
  <w:style w:type="paragraph" w:customStyle="1" w:styleId="Default">
    <w:name w:val="Default"/>
    <w:rsid w:val="00F96CE5"/>
    <w:pPr>
      <w:autoSpaceDE w:val="0"/>
      <w:autoSpaceDN w:val="0"/>
      <w:adjustRightInd w:val="0"/>
    </w:pPr>
    <w:rPr>
      <w:rFonts w:ascii="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divs>
    <w:div w:id="12003251">
      <w:bodyDiv w:val="1"/>
      <w:marLeft w:val="0"/>
      <w:marRight w:val="0"/>
      <w:marTop w:val="0"/>
      <w:marBottom w:val="0"/>
      <w:divBdr>
        <w:top w:val="none" w:sz="0" w:space="0" w:color="auto"/>
        <w:left w:val="none" w:sz="0" w:space="0" w:color="auto"/>
        <w:bottom w:val="none" w:sz="0" w:space="0" w:color="auto"/>
        <w:right w:val="none" w:sz="0" w:space="0" w:color="auto"/>
      </w:divBdr>
    </w:div>
    <w:div w:id="23482527">
      <w:bodyDiv w:val="1"/>
      <w:marLeft w:val="0"/>
      <w:marRight w:val="0"/>
      <w:marTop w:val="0"/>
      <w:marBottom w:val="0"/>
      <w:divBdr>
        <w:top w:val="none" w:sz="0" w:space="0" w:color="auto"/>
        <w:left w:val="none" w:sz="0" w:space="0" w:color="auto"/>
        <w:bottom w:val="none" w:sz="0" w:space="0" w:color="auto"/>
        <w:right w:val="none" w:sz="0" w:space="0" w:color="auto"/>
      </w:divBdr>
    </w:div>
    <w:div w:id="29964964">
      <w:bodyDiv w:val="1"/>
      <w:marLeft w:val="0"/>
      <w:marRight w:val="0"/>
      <w:marTop w:val="0"/>
      <w:marBottom w:val="0"/>
      <w:divBdr>
        <w:top w:val="none" w:sz="0" w:space="0" w:color="auto"/>
        <w:left w:val="none" w:sz="0" w:space="0" w:color="auto"/>
        <w:bottom w:val="none" w:sz="0" w:space="0" w:color="auto"/>
        <w:right w:val="none" w:sz="0" w:space="0" w:color="auto"/>
      </w:divBdr>
    </w:div>
    <w:div w:id="30964857">
      <w:bodyDiv w:val="1"/>
      <w:marLeft w:val="0"/>
      <w:marRight w:val="0"/>
      <w:marTop w:val="0"/>
      <w:marBottom w:val="0"/>
      <w:divBdr>
        <w:top w:val="none" w:sz="0" w:space="0" w:color="auto"/>
        <w:left w:val="none" w:sz="0" w:space="0" w:color="auto"/>
        <w:bottom w:val="none" w:sz="0" w:space="0" w:color="auto"/>
        <w:right w:val="none" w:sz="0" w:space="0" w:color="auto"/>
      </w:divBdr>
    </w:div>
    <w:div w:id="37050415">
      <w:bodyDiv w:val="1"/>
      <w:marLeft w:val="0"/>
      <w:marRight w:val="0"/>
      <w:marTop w:val="0"/>
      <w:marBottom w:val="0"/>
      <w:divBdr>
        <w:top w:val="none" w:sz="0" w:space="0" w:color="auto"/>
        <w:left w:val="none" w:sz="0" w:space="0" w:color="auto"/>
        <w:bottom w:val="none" w:sz="0" w:space="0" w:color="auto"/>
        <w:right w:val="none" w:sz="0" w:space="0" w:color="auto"/>
      </w:divBdr>
    </w:div>
    <w:div w:id="53625011">
      <w:bodyDiv w:val="1"/>
      <w:marLeft w:val="0"/>
      <w:marRight w:val="0"/>
      <w:marTop w:val="0"/>
      <w:marBottom w:val="0"/>
      <w:divBdr>
        <w:top w:val="none" w:sz="0" w:space="0" w:color="auto"/>
        <w:left w:val="none" w:sz="0" w:space="0" w:color="auto"/>
        <w:bottom w:val="none" w:sz="0" w:space="0" w:color="auto"/>
        <w:right w:val="none" w:sz="0" w:space="0" w:color="auto"/>
      </w:divBdr>
    </w:div>
    <w:div w:id="62608577">
      <w:bodyDiv w:val="1"/>
      <w:marLeft w:val="0"/>
      <w:marRight w:val="0"/>
      <w:marTop w:val="0"/>
      <w:marBottom w:val="0"/>
      <w:divBdr>
        <w:top w:val="none" w:sz="0" w:space="0" w:color="auto"/>
        <w:left w:val="none" w:sz="0" w:space="0" w:color="auto"/>
        <w:bottom w:val="none" w:sz="0" w:space="0" w:color="auto"/>
        <w:right w:val="none" w:sz="0" w:space="0" w:color="auto"/>
      </w:divBdr>
    </w:div>
    <w:div w:id="86125359">
      <w:bodyDiv w:val="1"/>
      <w:marLeft w:val="0"/>
      <w:marRight w:val="0"/>
      <w:marTop w:val="0"/>
      <w:marBottom w:val="0"/>
      <w:divBdr>
        <w:top w:val="none" w:sz="0" w:space="0" w:color="auto"/>
        <w:left w:val="none" w:sz="0" w:space="0" w:color="auto"/>
        <w:bottom w:val="none" w:sz="0" w:space="0" w:color="auto"/>
        <w:right w:val="none" w:sz="0" w:space="0" w:color="auto"/>
      </w:divBdr>
    </w:div>
    <w:div w:id="110247601">
      <w:bodyDiv w:val="1"/>
      <w:marLeft w:val="0"/>
      <w:marRight w:val="0"/>
      <w:marTop w:val="0"/>
      <w:marBottom w:val="0"/>
      <w:divBdr>
        <w:top w:val="none" w:sz="0" w:space="0" w:color="auto"/>
        <w:left w:val="none" w:sz="0" w:space="0" w:color="auto"/>
        <w:bottom w:val="none" w:sz="0" w:space="0" w:color="auto"/>
        <w:right w:val="none" w:sz="0" w:space="0" w:color="auto"/>
      </w:divBdr>
    </w:div>
    <w:div w:id="115493882">
      <w:bodyDiv w:val="1"/>
      <w:marLeft w:val="0"/>
      <w:marRight w:val="0"/>
      <w:marTop w:val="0"/>
      <w:marBottom w:val="0"/>
      <w:divBdr>
        <w:top w:val="none" w:sz="0" w:space="0" w:color="auto"/>
        <w:left w:val="none" w:sz="0" w:space="0" w:color="auto"/>
        <w:bottom w:val="none" w:sz="0" w:space="0" w:color="auto"/>
        <w:right w:val="none" w:sz="0" w:space="0" w:color="auto"/>
      </w:divBdr>
    </w:div>
    <w:div w:id="116946877">
      <w:bodyDiv w:val="1"/>
      <w:marLeft w:val="0"/>
      <w:marRight w:val="0"/>
      <w:marTop w:val="0"/>
      <w:marBottom w:val="0"/>
      <w:divBdr>
        <w:top w:val="none" w:sz="0" w:space="0" w:color="auto"/>
        <w:left w:val="none" w:sz="0" w:space="0" w:color="auto"/>
        <w:bottom w:val="none" w:sz="0" w:space="0" w:color="auto"/>
        <w:right w:val="none" w:sz="0" w:space="0" w:color="auto"/>
      </w:divBdr>
    </w:div>
    <w:div w:id="119108826">
      <w:bodyDiv w:val="1"/>
      <w:marLeft w:val="0"/>
      <w:marRight w:val="0"/>
      <w:marTop w:val="0"/>
      <w:marBottom w:val="0"/>
      <w:divBdr>
        <w:top w:val="none" w:sz="0" w:space="0" w:color="auto"/>
        <w:left w:val="none" w:sz="0" w:space="0" w:color="auto"/>
        <w:bottom w:val="none" w:sz="0" w:space="0" w:color="auto"/>
        <w:right w:val="none" w:sz="0" w:space="0" w:color="auto"/>
      </w:divBdr>
    </w:div>
    <w:div w:id="122160672">
      <w:bodyDiv w:val="1"/>
      <w:marLeft w:val="0"/>
      <w:marRight w:val="0"/>
      <w:marTop w:val="0"/>
      <w:marBottom w:val="0"/>
      <w:divBdr>
        <w:top w:val="none" w:sz="0" w:space="0" w:color="auto"/>
        <w:left w:val="none" w:sz="0" w:space="0" w:color="auto"/>
        <w:bottom w:val="none" w:sz="0" w:space="0" w:color="auto"/>
        <w:right w:val="none" w:sz="0" w:space="0" w:color="auto"/>
      </w:divBdr>
    </w:div>
    <w:div w:id="158424847">
      <w:bodyDiv w:val="1"/>
      <w:marLeft w:val="0"/>
      <w:marRight w:val="0"/>
      <w:marTop w:val="0"/>
      <w:marBottom w:val="0"/>
      <w:divBdr>
        <w:top w:val="none" w:sz="0" w:space="0" w:color="auto"/>
        <w:left w:val="none" w:sz="0" w:space="0" w:color="auto"/>
        <w:bottom w:val="none" w:sz="0" w:space="0" w:color="auto"/>
        <w:right w:val="none" w:sz="0" w:space="0" w:color="auto"/>
      </w:divBdr>
    </w:div>
    <w:div w:id="161243787">
      <w:bodyDiv w:val="1"/>
      <w:marLeft w:val="0"/>
      <w:marRight w:val="0"/>
      <w:marTop w:val="0"/>
      <w:marBottom w:val="0"/>
      <w:divBdr>
        <w:top w:val="none" w:sz="0" w:space="0" w:color="auto"/>
        <w:left w:val="none" w:sz="0" w:space="0" w:color="auto"/>
        <w:bottom w:val="none" w:sz="0" w:space="0" w:color="auto"/>
        <w:right w:val="none" w:sz="0" w:space="0" w:color="auto"/>
      </w:divBdr>
    </w:div>
    <w:div w:id="184515757">
      <w:bodyDiv w:val="1"/>
      <w:marLeft w:val="0"/>
      <w:marRight w:val="0"/>
      <w:marTop w:val="0"/>
      <w:marBottom w:val="0"/>
      <w:divBdr>
        <w:top w:val="none" w:sz="0" w:space="0" w:color="auto"/>
        <w:left w:val="none" w:sz="0" w:space="0" w:color="auto"/>
        <w:bottom w:val="none" w:sz="0" w:space="0" w:color="auto"/>
        <w:right w:val="none" w:sz="0" w:space="0" w:color="auto"/>
      </w:divBdr>
    </w:div>
    <w:div w:id="189420947">
      <w:bodyDiv w:val="1"/>
      <w:marLeft w:val="0"/>
      <w:marRight w:val="0"/>
      <w:marTop w:val="0"/>
      <w:marBottom w:val="0"/>
      <w:divBdr>
        <w:top w:val="none" w:sz="0" w:space="0" w:color="auto"/>
        <w:left w:val="none" w:sz="0" w:space="0" w:color="auto"/>
        <w:bottom w:val="none" w:sz="0" w:space="0" w:color="auto"/>
        <w:right w:val="none" w:sz="0" w:space="0" w:color="auto"/>
      </w:divBdr>
    </w:div>
    <w:div w:id="208611951">
      <w:bodyDiv w:val="1"/>
      <w:marLeft w:val="0"/>
      <w:marRight w:val="0"/>
      <w:marTop w:val="0"/>
      <w:marBottom w:val="0"/>
      <w:divBdr>
        <w:top w:val="none" w:sz="0" w:space="0" w:color="auto"/>
        <w:left w:val="none" w:sz="0" w:space="0" w:color="auto"/>
        <w:bottom w:val="none" w:sz="0" w:space="0" w:color="auto"/>
        <w:right w:val="none" w:sz="0" w:space="0" w:color="auto"/>
      </w:divBdr>
    </w:div>
    <w:div w:id="210773355">
      <w:bodyDiv w:val="1"/>
      <w:marLeft w:val="0"/>
      <w:marRight w:val="0"/>
      <w:marTop w:val="0"/>
      <w:marBottom w:val="0"/>
      <w:divBdr>
        <w:top w:val="none" w:sz="0" w:space="0" w:color="auto"/>
        <w:left w:val="none" w:sz="0" w:space="0" w:color="auto"/>
        <w:bottom w:val="none" w:sz="0" w:space="0" w:color="auto"/>
        <w:right w:val="none" w:sz="0" w:space="0" w:color="auto"/>
      </w:divBdr>
    </w:div>
    <w:div w:id="217590035">
      <w:bodyDiv w:val="1"/>
      <w:marLeft w:val="0"/>
      <w:marRight w:val="0"/>
      <w:marTop w:val="0"/>
      <w:marBottom w:val="0"/>
      <w:divBdr>
        <w:top w:val="none" w:sz="0" w:space="0" w:color="auto"/>
        <w:left w:val="none" w:sz="0" w:space="0" w:color="auto"/>
        <w:bottom w:val="none" w:sz="0" w:space="0" w:color="auto"/>
        <w:right w:val="none" w:sz="0" w:space="0" w:color="auto"/>
      </w:divBdr>
    </w:div>
    <w:div w:id="227955708">
      <w:bodyDiv w:val="1"/>
      <w:marLeft w:val="0"/>
      <w:marRight w:val="0"/>
      <w:marTop w:val="0"/>
      <w:marBottom w:val="0"/>
      <w:divBdr>
        <w:top w:val="none" w:sz="0" w:space="0" w:color="auto"/>
        <w:left w:val="none" w:sz="0" w:space="0" w:color="auto"/>
        <w:bottom w:val="none" w:sz="0" w:space="0" w:color="auto"/>
        <w:right w:val="none" w:sz="0" w:space="0" w:color="auto"/>
      </w:divBdr>
    </w:div>
    <w:div w:id="232325489">
      <w:bodyDiv w:val="1"/>
      <w:marLeft w:val="0"/>
      <w:marRight w:val="0"/>
      <w:marTop w:val="0"/>
      <w:marBottom w:val="0"/>
      <w:divBdr>
        <w:top w:val="none" w:sz="0" w:space="0" w:color="auto"/>
        <w:left w:val="none" w:sz="0" w:space="0" w:color="auto"/>
        <w:bottom w:val="none" w:sz="0" w:space="0" w:color="auto"/>
        <w:right w:val="none" w:sz="0" w:space="0" w:color="auto"/>
      </w:divBdr>
    </w:div>
    <w:div w:id="256211993">
      <w:bodyDiv w:val="1"/>
      <w:marLeft w:val="0"/>
      <w:marRight w:val="0"/>
      <w:marTop w:val="0"/>
      <w:marBottom w:val="0"/>
      <w:divBdr>
        <w:top w:val="none" w:sz="0" w:space="0" w:color="auto"/>
        <w:left w:val="none" w:sz="0" w:space="0" w:color="auto"/>
        <w:bottom w:val="none" w:sz="0" w:space="0" w:color="auto"/>
        <w:right w:val="none" w:sz="0" w:space="0" w:color="auto"/>
      </w:divBdr>
    </w:div>
    <w:div w:id="278343706">
      <w:bodyDiv w:val="1"/>
      <w:marLeft w:val="0"/>
      <w:marRight w:val="0"/>
      <w:marTop w:val="0"/>
      <w:marBottom w:val="0"/>
      <w:divBdr>
        <w:top w:val="none" w:sz="0" w:space="0" w:color="auto"/>
        <w:left w:val="none" w:sz="0" w:space="0" w:color="auto"/>
        <w:bottom w:val="none" w:sz="0" w:space="0" w:color="auto"/>
        <w:right w:val="none" w:sz="0" w:space="0" w:color="auto"/>
      </w:divBdr>
    </w:div>
    <w:div w:id="278416498">
      <w:bodyDiv w:val="1"/>
      <w:marLeft w:val="0"/>
      <w:marRight w:val="0"/>
      <w:marTop w:val="0"/>
      <w:marBottom w:val="0"/>
      <w:divBdr>
        <w:top w:val="none" w:sz="0" w:space="0" w:color="auto"/>
        <w:left w:val="none" w:sz="0" w:space="0" w:color="auto"/>
        <w:bottom w:val="none" w:sz="0" w:space="0" w:color="auto"/>
        <w:right w:val="none" w:sz="0" w:space="0" w:color="auto"/>
      </w:divBdr>
    </w:div>
    <w:div w:id="293827081">
      <w:bodyDiv w:val="1"/>
      <w:marLeft w:val="0"/>
      <w:marRight w:val="0"/>
      <w:marTop w:val="0"/>
      <w:marBottom w:val="0"/>
      <w:divBdr>
        <w:top w:val="none" w:sz="0" w:space="0" w:color="auto"/>
        <w:left w:val="none" w:sz="0" w:space="0" w:color="auto"/>
        <w:bottom w:val="none" w:sz="0" w:space="0" w:color="auto"/>
        <w:right w:val="none" w:sz="0" w:space="0" w:color="auto"/>
      </w:divBdr>
    </w:div>
    <w:div w:id="298462580">
      <w:bodyDiv w:val="1"/>
      <w:marLeft w:val="0"/>
      <w:marRight w:val="0"/>
      <w:marTop w:val="0"/>
      <w:marBottom w:val="0"/>
      <w:divBdr>
        <w:top w:val="none" w:sz="0" w:space="0" w:color="auto"/>
        <w:left w:val="none" w:sz="0" w:space="0" w:color="auto"/>
        <w:bottom w:val="none" w:sz="0" w:space="0" w:color="auto"/>
        <w:right w:val="none" w:sz="0" w:space="0" w:color="auto"/>
      </w:divBdr>
    </w:div>
    <w:div w:id="309944413">
      <w:bodyDiv w:val="1"/>
      <w:marLeft w:val="0"/>
      <w:marRight w:val="0"/>
      <w:marTop w:val="0"/>
      <w:marBottom w:val="0"/>
      <w:divBdr>
        <w:top w:val="none" w:sz="0" w:space="0" w:color="auto"/>
        <w:left w:val="none" w:sz="0" w:space="0" w:color="auto"/>
        <w:bottom w:val="none" w:sz="0" w:space="0" w:color="auto"/>
        <w:right w:val="none" w:sz="0" w:space="0" w:color="auto"/>
      </w:divBdr>
    </w:div>
    <w:div w:id="320238772">
      <w:bodyDiv w:val="1"/>
      <w:marLeft w:val="0"/>
      <w:marRight w:val="0"/>
      <w:marTop w:val="0"/>
      <w:marBottom w:val="0"/>
      <w:divBdr>
        <w:top w:val="none" w:sz="0" w:space="0" w:color="auto"/>
        <w:left w:val="none" w:sz="0" w:space="0" w:color="auto"/>
        <w:bottom w:val="none" w:sz="0" w:space="0" w:color="auto"/>
        <w:right w:val="none" w:sz="0" w:space="0" w:color="auto"/>
      </w:divBdr>
    </w:div>
    <w:div w:id="325131244">
      <w:bodyDiv w:val="1"/>
      <w:marLeft w:val="0"/>
      <w:marRight w:val="0"/>
      <w:marTop w:val="0"/>
      <w:marBottom w:val="0"/>
      <w:divBdr>
        <w:top w:val="none" w:sz="0" w:space="0" w:color="auto"/>
        <w:left w:val="none" w:sz="0" w:space="0" w:color="auto"/>
        <w:bottom w:val="none" w:sz="0" w:space="0" w:color="auto"/>
        <w:right w:val="none" w:sz="0" w:space="0" w:color="auto"/>
      </w:divBdr>
    </w:div>
    <w:div w:id="326979005">
      <w:bodyDiv w:val="1"/>
      <w:marLeft w:val="0"/>
      <w:marRight w:val="0"/>
      <w:marTop w:val="0"/>
      <w:marBottom w:val="0"/>
      <w:divBdr>
        <w:top w:val="none" w:sz="0" w:space="0" w:color="auto"/>
        <w:left w:val="none" w:sz="0" w:space="0" w:color="auto"/>
        <w:bottom w:val="none" w:sz="0" w:space="0" w:color="auto"/>
        <w:right w:val="none" w:sz="0" w:space="0" w:color="auto"/>
      </w:divBdr>
    </w:div>
    <w:div w:id="349841425">
      <w:bodyDiv w:val="1"/>
      <w:marLeft w:val="0"/>
      <w:marRight w:val="0"/>
      <w:marTop w:val="0"/>
      <w:marBottom w:val="0"/>
      <w:divBdr>
        <w:top w:val="none" w:sz="0" w:space="0" w:color="auto"/>
        <w:left w:val="none" w:sz="0" w:space="0" w:color="auto"/>
        <w:bottom w:val="none" w:sz="0" w:space="0" w:color="auto"/>
        <w:right w:val="none" w:sz="0" w:space="0" w:color="auto"/>
      </w:divBdr>
    </w:div>
    <w:div w:id="353961329">
      <w:bodyDiv w:val="1"/>
      <w:marLeft w:val="0"/>
      <w:marRight w:val="0"/>
      <w:marTop w:val="0"/>
      <w:marBottom w:val="0"/>
      <w:divBdr>
        <w:top w:val="none" w:sz="0" w:space="0" w:color="auto"/>
        <w:left w:val="none" w:sz="0" w:space="0" w:color="auto"/>
        <w:bottom w:val="none" w:sz="0" w:space="0" w:color="auto"/>
        <w:right w:val="none" w:sz="0" w:space="0" w:color="auto"/>
      </w:divBdr>
    </w:div>
    <w:div w:id="362556141">
      <w:bodyDiv w:val="1"/>
      <w:marLeft w:val="0"/>
      <w:marRight w:val="0"/>
      <w:marTop w:val="0"/>
      <w:marBottom w:val="0"/>
      <w:divBdr>
        <w:top w:val="none" w:sz="0" w:space="0" w:color="auto"/>
        <w:left w:val="none" w:sz="0" w:space="0" w:color="auto"/>
        <w:bottom w:val="none" w:sz="0" w:space="0" w:color="auto"/>
        <w:right w:val="none" w:sz="0" w:space="0" w:color="auto"/>
      </w:divBdr>
    </w:div>
    <w:div w:id="391538724">
      <w:bodyDiv w:val="1"/>
      <w:marLeft w:val="0"/>
      <w:marRight w:val="0"/>
      <w:marTop w:val="0"/>
      <w:marBottom w:val="0"/>
      <w:divBdr>
        <w:top w:val="none" w:sz="0" w:space="0" w:color="auto"/>
        <w:left w:val="none" w:sz="0" w:space="0" w:color="auto"/>
        <w:bottom w:val="none" w:sz="0" w:space="0" w:color="auto"/>
        <w:right w:val="none" w:sz="0" w:space="0" w:color="auto"/>
      </w:divBdr>
    </w:div>
    <w:div w:id="473570381">
      <w:bodyDiv w:val="1"/>
      <w:marLeft w:val="0"/>
      <w:marRight w:val="0"/>
      <w:marTop w:val="0"/>
      <w:marBottom w:val="0"/>
      <w:divBdr>
        <w:top w:val="none" w:sz="0" w:space="0" w:color="auto"/>
        <w:left w:val="none" w:sz="0" w:space="0" w:color="auto"/>
        <w:bottom w:val="none" w:sz="0" w:space="0" w:color="auto"/>
        <w:right w:val="none" w:sz="0" w:space="0" w:color="auto"/>
      </w:divBdr>
    </w:div>
    <w:div w:id="490104315">
      <w:bodyDiv w:val="1"/>
      <w:marLeft w:val="0"/>
      <w:marRight w:val="0"/>
      <w:marTop w:val="0"/>
      <w:marBottom w:val="0"/>
      <w:divBdr>
        <w:top w:val="none" w:sz="0" w:space="0" w:color="auto"/>
        <w:left w:val="none" w:sz="0" w:space="0" w:color="auto"/>
        <w:bottom w:val="none" w:sz="0" w:space="0" w:color="auto"/>
        <w:right w:val="none" w:sz="0" w:space="0" w:color="auto"/>
      </w:divBdr>
    </w:div>
    <w:div w:id="491062509">
      <w:bodyDiv w:val="1"/>
      <w:marLeft w:val="0"/>
      <w:marRight w:val="0"/>
      <w:marTop w:val="0"/>
      <w:marBottom w:val="0"/>
      <w:divBdr>
        <w:top w:val="none" w:sz="0" w:space="0" w:color="auto"/>
        <w:left w:val="none" w:sz="0" w:space="0" w:color="auto"/>
        <w:bottom w:val="none" w:sz="0" w:space="0" w:color="auto"/>
        <w:right w:val="none" w:sz="0" w:space="0" w:color="auto"/>
      </w:divBdr>
    </w:div>
    <w:div w:id="494996431">
      <w:bodyDiv w:val="1"/>
      <w:marLeft w:val="0"/>
      <w:marRight w:val="0"/>
      <w:marTop w:val="0"/>
      <w:marBottom w:val="0"/>
      <w:divBdr>
        <w:top w:val="none" w:sz="0" w:space="0" w:color="auto"/>
        <w:left w:val="none" w:sz="0" w:space="0" w:color="auto"/>
        <w:bottom w:val="none" w:sz="0" w:space="0" w:color="auto"/>
        <w:right w:val="none" w:sz="0" w:space="0" w:color="auto"/>
      </w:divBdr>
    </w:div>
    <w:div w:id="498543626">
      <w:bodyDiv w:val="1"/>
      <w:marLeft w:val="0"/>
      <w:marRight w:val="0"/>
      <w:marTop w:val="0"/>
      <w:marBottom w:val="0"/>
      <w:divBdr>
        <w:top w:val="none" w:sz="0" w:space="0" w:color="auto"/>
        <w:left w:val="none" w:sz="0" w:space="0" w:color="auto"/>
        <w:bottom w:val="none" w:sz="0" w:space="0" w:color="auto"/>
        <w:right w:val="none" w:sz="0" w:space="0" w:color="auto"/>
      </w:divBdr>
    </w:div>
    <w:div w:id="500892946">
      <w:bodyDiv w:val="1"/>
      <w:marLeft w:val="0"/>
      <w:marRight w:val="0"/>
      <w:marTop w:val="0"/>
      <w:marBottom w:val="0"/>
      <w:divBdr>
        <w:top w:val="none" w:sz="0" w:space="0" w:color="auto"/>
        <w:left w:val="none" w:sz="0" w:space="0" w:color="auto"/>
        <w:bottom w:val="none" w:sz="0" w:space="0" w:color="auto"/>
        <w:right w:val="none" w:sz="0" w:space="0" w:color="auto"/>
      </w:divBdr>
    </w:div>
    <w:div w:id="511799081">
      <w:bodyDiv w:val="1"/>
      <w:marLeft w:val="0"/>
      <w:marRight w:val="0"/>
      <w:marTop w:val="0"/>
      <w:marBottom w:val="0"/>
      <w:divBdr>
        <w:top w:val="none" w:sz="0" w:space="0" w:color="auto"/>
        <w:left w:val="none" w:sz="0" w:space="0" w:color="auto"/>
        <w:bottom w:val="none" w:sz="0" w:space="0" w:color="auto"/>
        <w:right w:val="none" w:sz="0" w:space="0" w:color="auto"/>
      </w:divBdr>
    </w:div>
    <w:div w:id="512301728">
      <w:bodyDiv w:val="1"/>
      <w:marLeft w:val="0"/>
      <w:marRight w:val="0"/>
      <w:marTop w:val="0"/>
      <w:marBottom w:val="0"/>
      <w:divBdr>
        <w:top w:val="none" w:sz="0" w:space="0" w:color="auto"/>
        <w:left w:val="none" w:sz="0" w:space="0" w:color="auto"/>
        <w:bottom w:val="none" w:sz="0" w:space="0" w:color="auto"/>
        <w:right w:val="none" w:sz="0" w:space="0" w:color="auto"/>
      </w:divBdr>
    </w:div>
    <w:div w:id="519468811">
      <w:bodyDiv w:val="1"/>
      <w:marLeft w:val="0"/>
      <w:marRight w:val="0"/>
      <w:marTop w:val="0"/>
      <w:marBottom w:val="0"/>
      <w:divBdr>
        <w:top w:val="none" w:sz="0" w:space="0" w:color="auto"/>
        <w:left w:val="none" w:sz="0" w:space="0" w:color="auto"/>
        <w:bottom w:val="none" w:sz="0" w:space="0" w:color="auto"/>
        <w:right w:val="none" w:sz="0" w:space="0" w:color="auto"/>
      </w:divBdr>
    </w:div>
    <w:div w:id="522476136">
      <w:bodyDiv w:val="1"/>
      <w:marLeft w:val="0"/>
      <w:marRight w:val="0"/>
      <w:marTop w:val="0"/>
      <w:marBottom w:val="0"/>
      <w:divBdr>
        <w:top w:val="none" w:sz="0" w:space="0" w:color="auto"/>
        <w:left w:val="none" w:sz="0" w:space="0" w:color="auto"/>
        <w:bottom w:val="none" w:sz="0" w:space="0" w:color="auto"/>
        <w:right w:val="none" w:sz="0" w:space="0" w:color="auto"/>
      </w:divBdr>
    </w:div>
    <w:div w:id="544416665">
      <w:bodyDiv w:val="1"/>
      <w:marLeft w:val="0"/>
      <w:marRight w:val="0"/>
      <w:marTop w:val="0"/>
      <w:marBottom w:val="0"/>
      <w:divBdr>
        <w:top w:val="none" w:sz="0" w:space="0" w:color="auto"/>
        <w:left w:val="none" w:sz="0" w:space="0" w:color="auto"/>
        <w:bottom w:val="none" w:sz="0" w:space="0" w:color="auto"/>
        <w:right w:val="none" w:sz="0" w:space="0" w:color="auto"/>
      </w:divBdr>
    </w:div>
    <w:div w:id="545525645">
      <w:bodyDiv w:val="1"/>
      <w:marLeft w:val="0"/>
      <w:marRight w:val="0"/>
      <w:marTop w:val="0"/>
      <w:marBottom w:val="0"/>
      <w:divBdr>
        <w:top w:val="none" w:sz="0" w:space="0" w:color="auto"/>
        <w:left w:val="none" w:sz="0" w:space="0" w:color="auto"/>
        <w:bottom w:val="none" w:sz="0" w:space="0" w:color="auto"/>
        <w:right w:val="none" w:sz="0" w:space="0" w:color="auto"/>
      </w:divBdr>
    </w:div>
    <w:div w:id="547499170">
      <w:bodyDiv w:val="1"/>
      <w:marLeft w:val="0"/>
      <w:marRight w:val="0"/>
      <w:marTop w:val="0"/>
      <w:marBottom w:val="0"/>
      <w:divBdr>
        <w:top w:val="none" w:sz="0" w:space="0" w:color="auto"/>
        <w:left w:val="none" w:sz="0" w:space="0" w:color="auto"/>
        <w:bottom w:val="none" w:sz="0" w:space="0" w:color="auto"/>
        <w:right w:val="none" w:sz="0" w:space="0" w:color="auto"/>
      </w:divBdr>
    </w:div>
    <w:div w:id="555942151">
      <w:bodyDiv w:val="1"/>
      <w:marLeft w:val="0"/>
      <w:marRight w:val="0"/>
      <w:marTop w:val="0"/>
      <w:marBottom w:val="0"/>
      <w:divBdr>
        <w:top w:val="none" w:sz="0" w:space="0" w:color="auto"/>
        <w:left w:val="none" w:sz="0" w:space="0" w:color="auto"/>
        <w:bottom w:val="none" w:sz="0" w:space="0" w:color="auto"/>
        <w:right w:val="none" w:sz="0" w:space="0" w:color="auto"/>
      </w:divBdr>
    </w:div>
    <w:div w:id="602415671">
      <w:bodyDiv w:val="1"/>
      <w:marLeft w:val="0"/>
      <w:marRight w:val="0"/>
      <w:marTop w:val="0"/>
      <w:marBottom w:val="0"/>
      <w:divBdr>
        <w:top w:val="none" w:sz="0" w:space="0" w:color="auto"/>
        <w:left w:val="none" w:sz="0" w:space="0" w:color="auto"/>
        <w:bottom w:val="none" w:sz="0" w:space="0" w:color="auto"/>
        <w:right w:val="none" w:sz="0" w:space="0" w:color="auto"/>
      </w:divBdr>
    </w:div>
    <w:div w:id="665088740">
      <w:bodyDiv w:val="1"/>
      <w:marLeft w:val="0"/>
      <w:marRight w:val="0"/>
      <w:marTop w:val="0"/>
      <w:marBottom w:val="0"/>
      <w:divBdr>
        <w:top w:val="none" w:sz="0" w:space="0" w:color="auto"/>
        <w:left w:val="none" w:sz="0" w:space="0" w:color="auto"/>
        <w:bottom w:val="none" w:sz="0" w:space="0" w:color="auto"/>
        <w:right w:val="none" w:sz="0" w:space="0" w:color="auto"/>
      </w:divBdr>
    </w:div>
    <w:div w:id="675184327">
      <w:bodyDiv w:val="1"/>
      <w:marLeft w:val="0"/>
      <w:marRight w:val="0"/>
      <w:marTop w:val="0"/>
      <w:marBottom w:val="0"/>
      <w:divBdr>
        <w:top w:val="none" w:sz="0" w:space="0" w:color="auto"/>
        <w:left w:val="none" w:sz="0" w:space="0" w:color="auto"/>
        <w:bottom w:val="none" w:sz="0" w:space="0" w:color="auto"/>
        <w:right w:val="none" w:sz="0" w:space="0" w:color="auto"/>
      </w:divBdr>
    </w:div>
    <w:div w:id="684523685">
      <w:bodyDiv w:val="1"/>
      <w:marLeft w:val="0"/>
      <w:marRight w:val="0"/>
      <w:marTop w:val="0"/>
      <w:marBottom w:val="0"/>
      <w:divBdr>
        <w:top w:val="none" w:sz="0" w:space="0" w:color="auto"/>
        <w:left w:val="none" w:sz="0" w:space="0" w:color="auto"/>
        <w:bottom w:val="none" w:sz="0" w:space="0" w:color="auto"/>
        <w:right w:val="none" w:sz="0" w:space="0" w:color="auto"/>
      </w:divBdr>
    </w:div>
    <w:div w:id="693728889">
      <w:bodyDiv w:val="1"/>
      <w:marLeft w:val="0"/>
      <w:marRight w:val="0"/>
      <w:marTop w:val="0"/>
      <w:marBottom w:val="0"/>
      <w:divBdr>
        <w:top w:val="none" w:sz="0" w:space="0" w:color="auto"/>
        <w:left w:val="none" w:sz="0" w:space="0" w:color="auto"/>
        <w:bottom w:val="none" w:sz="0" w:space="0" w:color="auto"/>
        <w:right w:val="none" w:sz="0" w:space="0" w:color="auto"/>
      </w:divBdr>
    </w:div>
    <w:div w:id="707801522">
      <w:bodyDiv w:val="1"/>
      <w:marLeft w:val="0"/>
      <w:marRight w:val="0"/>
      <w:marTop w:val="0"/>
      <w:marBottom w:val="0"/>
      <w:divBdr>
        <w:top w:val="none" w:sz="0" w:space="0" w:color="auto"/>
        <w:left w:val="none" w:sz="0" w:space="0" w:color="auto"/>
        <w:bottom w:val="none" w:sz="0" w:space="0" w:color="auto"/>
        <w:right w:val="none" w:sz="0" w:space="0" w:color="auto"/>
      </w:divBdr>
    </w:div>
    <w:div w:id="713046889">
      <w:bodyDiv w:val="1"/>
      <w:marLeft w:val="0"/>
      <w:marRight w:val="0"/>
      <w:marTop w:val="0"/>
      <w:marBottom w:val="0"/>
      <w:divBdr>
        <w:top w:val="none" w:sz="0" w:space="0" w:color="auto"/>
        <w:left w:val="none" w:sz="0" w:space="0" w:color="auto"/>
        <w:bottom w:val="none" w:sz="0" w:space="0" w:color="auto"/>
        <w:right w:val="none" w:sz="0" w:space="0" w:color="auto"/>
      </w:divBdr>
    </w:div>
    <w:div w:id="716584361">
      <w:bodyDiv w:val="1"/>
      <w:marLeft w:val="0"/>
      <w:marRight w:val="0"/>
      <w:marTop w:val="0"/>
      <w:marBottom w:val="0"/>
      <w:divBdr>
        <w:top w:val="none" w:sz="0" w:space="0" w:color="auto"/>
        <w:left w:val="none" w:sz="0" w:space="0" w:color="auto"/>
        <w:bottom w:val="none" w:sz="0" w:space="0" w:color="auto"/>
        <w:right w:val="none" w:sz="0" w:space="0" w:color="auto"/>
      </w:divBdr>
    </w:div>
    <w:div w:id="721833083">
      <w:bodyDiv w:val="1"/>
      <w:marLeft w:val="0"/>
      <w:marRight w:val="0"/>
      <w:marTop w:val="0"/>
      <w:marBottom w:val="0"/>
      <w:divBdr>
        <w:top w:val="none" w:sz="0" w:space="0" w:color="auto"/>
        <w:left w:val="none" w:sz="0" w:space="0" w:color="auto"/>
        <w:bottom w:val="none" w:sz="0" w:space="0" w:color="auto"/>
        <w:right w:val="none" w:sz="0" w:space="0" w:color="auto"/>
      </w:divBdr>
    </w:div>
    <w:div w:id="722604737">
      <w:bodyDiv w:val="1"/>
      <w:marLeft w:val="0"/>
      <w:marRight w:val="0"/>
      <w:marTop w:val="0"/>
      <w:marBottom w:val="0"/>
      <w:divBdr>
        <w:top w:val="none" w:sz="0" w:space="0" w:color="auto"/>
        <w:left w:val="none" w:sz="0" w:space="0" w:color="auto"/>
        <w:bottom w:val="none" w:sz="0" w:space="0" w:color="auto"/>
        <w:right w:val="none" w:sz="0" w:space="0" w:color="auto"/>
      </w:divBdr>
    </w:div>
    <w:div w:id="752582260">
      <w:bodyDiv w:val="1"/>
      <w:marLeft w:val="0"/>
      <w:marRight w:val="0"/>
      <w:marTop w:val="0"/>
      <w:marBottom w:val="0"/>
      <w:divBdr>
        <w:top w:val="none" w:sz="0" w:space="0" w:color="auto"/>
        <w:left w:val="none" w:sz="0" w:space="0" w:color="auto"/>
        <w:bottom w:val="none" w:sz="0" w:space="0" w:color="auto"/>
        <w:right w:val="none" w:sz="0" w:space="0" w:color="auto"/>
      </w:divBdr>
    </w:div>
    <w:div w:id="821313080">
      <w:bodyDiv w:val="1"/>
      <w:marLeft w:val="0"/>
      <w:marRight w:val="0"/>
      <w:marTop w:val="0"/>
      <w:marBottom w:val="0"/>
      <w:divBdr>
        <w:top w:val="none" w:sz="0" w:space="0" w:color="auto"/>
        <w:left w:val="none" w:sz="0" w:space="0" w:color="auto"/>
        <w:bottom w:val="none" w:sz="0" w:space="0" w:color="auto"/>
        <w:right w:val="none" w:sz="0" w:space="0" w:color="auto"/>
      </w:divBdr>
    </w:div>
    <w:div w:id="833838087">
      <w:bodyDiv w:val="1"/>
      <w:marLeft w:val="0"/>
      <w:marRight w:val="0"/>
      <w:marTop w:val="0"/>
      <w:marBottom w:val="0"/>
      <w:divBdr>
        <w:top w:val="none" w:sz="0" w:space="0" w:color="auto"/>
        <w:left w:val="none" w:sz="0" w:space="0" w:color="auto"/>
        <w:bottom w:val="none" w:sz="0" w:space="0" w:color="auto"/>
        <w:right w:val="none" w:sz="0" w:space="0" w:color="auto"/>
      </w:divBdr>
    </w:div>
    <w:div w:id="843856054">
      <w:bodyDiv w:val="1"/>
      <w:marLeft w:val="0"/>
      <w:marRight w:val="0"/>
      <w:marTop w:val="0"/>
      <w:marBottom w:val="0"/>
      <w:divBdr>
        <w:top w:val="none" w:sz="0" w:space="0" w:color="auto"/>
        <w:left w:val="none" w:sz="0" w:space="0" w:color="auto"/>
        <w:bottom w:val="none" w:sz="0" w:space="0" w:color="auto"/>
        <w:right w:val="none" w:sz="0" w:space="0" w:color="auto"/>
      </w:divBdr>
    </w:div>
    <w:div w:id="847671139">
      <w:bodyDiv w:val="1"/>
      <w:marLeft w:val="0"/>
      <w:marRight w:val="0"/>
      <w:marTop w:val="0"/>
      <w:marBottom w:val="0"/>
      <w:divBdr>
        <w:top w:val="none" w:sz="0" w:space="0" w:color="auto"/>
        <w:left w:val="none" w:sz="0" w:space="0" w:color="auto"/>
        <w:bottom w:val="none" w:sz="0" w:space="0" w:color="auto"/>
        <w:right w:val="none" w:sz="0" w:space="0" w:color="auto"/>
      </w:divBdr>
    </w:div>
    <w:div w:id="853223684">
      <w:bodyDiv w:val="1"/>
      <w:marLeft w:val="0"/>
      <w:marRight w:val="0"/>
      <w:marTop w:val="0"/>
      <w:marBottom w:val="0"/>
      <w:divBdr>
        <w:top w:val="none" w:sz="0" w:space="0" w:color="auto"/>
        <w:left w:val="none" w:sz="0" w:space="0" w:color="auto"/>
        <w:bottom w:val="none" w:sz="0" w:space="0" w:color="auto"/>
        <w:right w:val="none" w:sz="0" w:space="0" w:color="auto"/>
      </w:divBdr>
    </w:div>
    <w:div w:id="898905093">
      <w:bodyDiv w:val="1"/>
      <w:marLeft w:val="0"/>
      <w:marRight w:val="0"/>
      <w:marTop w:val="0"/>
      <w:marBottom w:val="0"/>
      <w:divBdr>
        <w:top w:val="none" w:sz="0" w:space="0" w:color="auto"/>
        <w:left w:val="none" w:sz="0" w:space="0" w:color="auto"/>
        <w:bottom w:val="none" w:sz="0" w:space="0" w:color="auto"/>
        <w:right w:val="none" w:sz="0" w:space="0" w:color="auto"/>
      </w:divBdr>
    </w:div>
    <w:div w:id="907806861">
      <w:bodyDiv w:val="1"/>
      <w:marLeft w:val="0"/>
      <w:marRight w:val="0"/>
      <w:marTop w:val="0"/>
      <w:marBottom w:val="0"/>
      <w:divBdr>
        <w:top w:val="none" w:sz="0" w:space="0" w:color="auto"/>
        <w:left w:val="none" w:sz="0" w:space="0" w:color="auto"/>
        <w:bottom w:val="none" w:sz="0" w:space="0" w:color="auto"/>
        <w:right w:val="none" w:sz="0" w:space="0" w:color="auto"/>
      </w:divBdr>
    </w:div>
    <w:div w:id="910194253">
      <w:bodyDiv w:val="1"/>
      <w:marLeft w:val="0"/>
      <w:marRight w:val="0"/>
      <w:marTop w:val="0"/>
      <w:marBottom w:val="0"/>
      <w:divBdr>
        <w:top w:val="none" w:sz="0" w:space="0" w:color="auto"/>
        <w:left w:val="none" w:sz="0" w:space="0" w:color="auto"/>
        <w:bottom w:val="none" w:sz="0" w:space="0" w:color="auto"/>
        <w:right w:val="none" w:sz="0" w:space="0" w:color="auto"/>
      </w:divBdr>
    </w:div>
    <w:div w:id="913318002">
      <w:bodyDiv w:val="1"/>
      <w:marLeft w:val="0"/>
      <w:marRight w:val="0"/>
      <w:marTop w:val="0"/>
      <w:marBottom w:val="0"/>
      <w:divBdr>
        <w:top w:val="none" w:sz="0" w:space="0" w:color="auto"/>
        <w:left w:val="none" w:sz="0" w:space="0" w:color="auto"/>
        <w:bottom w:val="none" w:sz="0" w:space="0" w:color="auto"/>
        <w:right w:val="none" w:sz="0" w:space="0" w:color="auto"/>
      </w:divBdr>
    </w:div>
    <w:div w:id="914586700">
      <w:bodyDiv w:val="1"/>
      <w:marLeft w:val="0"/>
      <w:marRight w:val="0"/>
      <w:marTop w:val="0"/>
      <w:marBottom w:val="0"/>
      <w:divBdr>
        <w:top w:val="none" w:sz="0" w:space="0" w:color="auto"/>
        <w:left w:val="none" w:sz="0" w:space="0" w:color="auto"/>
        <w:bottom w:val="none" w:sz="0" w:space="0" w:color="auto"/>
        <w:right w:val="none" w:sz="0" w:space="0" w:color="auto"/>
      </w:divBdr>
    </w:div>
    <w:div w:id="918756307">
      <w:bodyDiv w:val="1"/>
      <w:marLeft w:val="0"/>
      <w:marRight w:val="0"/>
      <w:marTop w:val="0"/>
      <w:marBottom w:val="0"/>
      <w:divBdr>
        <w:top w:val="none" w:sz="0" w:space="0" w:color="auto"/>
        <w:left w:val="none" w:sz="0" w:space="0" w:color="auto"/>
        <w:bottom w:val="none" w:sz="0" w:space="0" w:color="auto"/>
        <w:right w:val="none" w:sz="0" w:space="0" w:color="auto"/>
      </w:divBdr>
    </w:div>
    <w:div w:id="934559598">
      <w:bodyDiv w:val="1"/>
      <w:marLeft w:val="0"/>
      <w:marRight w:val="0"/>
      <w:marTop w:val="0"/>
      <w:marBottom w:val="0"/>
      <w:divBdr>
        <w:top w:val="none" w:sz="0" w:space="0" w:color="auto"/>
        <w:left w:val="none" w:sz="0" w:space="0" w:color="auto"/>
        <w:bottom w:val="none" w:sz="0" w:space="0" w:color="auto"/>
        <w:right w:val="none" w:sz="0" w:space="0" w:color="auto"/>
      </w:divBdr>
    </w:div>
    <w:div w:id="938835422">
      <w:bodyDiv w:val="1"/>
      <w:marLeft w:val="0"/>
      <w:marRight w:val="0"/>
      <w:marTop w:val="0"/>
      <w:marBottom w:val="0"/>
      <w:divBdr>
        <w:top w:val="none" w:sz="0" w:space="0" w:color="auto"/>
        <w:left w:val="none" w:sz="0" w:space="0" w:color="auto"/>
        <w:bottom w:val="none" w:sz="0" w:space="0" w:color="auto"/>
        <w:right w:val="none" w:sz="0" w:space="0" w:color="auto"/>
      </w:divBdr>
    </w:div>
    <w:div w:id="952326019">
      <w:bodyDiv w:val="1"/>
      <w:marLeft w:val="0"/>
      <w:marRight w:val="0"/>
      <w:marTop w:val="0"/>
      <w:marBottom w:val="0"/>
      <w:divBdr>
        <w:top w:val="none" w:sz="0" w:space="0" w:color="auto"/>
        <w:left w:val="none" w:sz="0" w:space="0" w:color="auto"/>
        <w:bottom w:val="none" w:sz="0" w:space="0" w:color="auto"/>
        <w:right w:val="none" w:sz="0" w:space="0" w:color="auto"/>
      </w:divBdr>
    </w:div>
    <w:div w:id="955019403">
      <w:bodyDiv w:val="1"/>
      <w:marLeft w:val="0"/>
      <w:marRight w:val="0"/>
      <w:marTop w:val="0"/>
      <w:marBottom w:val="0"/>
      <w:divBdr>
        <w:top w:val="none" w:sz="0" w:space="0" w:color="auto"/>
        <w:left w:val="none" w:sz="0" w:space="0" w:color="auto"/>
        <w:bottom w:val="none" w:sz="0" w:space="0" w:color="auto"/>
        <w:right w:val="none" w:sz="0" w:space="0" w:color="auto"/>
      </w:divBdr>
    </w:div>
    <w:div w:id="963586025">
      <w:bodyDiv w:val="1"/>
      <w:marLeft w:val="0"/>
      <w:marRight w:val="0"/>
      <w:marTop w:val="0"/>
      <w:marBottom w:val="0"/>
      <w:divBdr>
        <w:top w:val="none" w:sz="0" w:space="0" w:color="auto"/>
        <w:left w:val="none" w:sz="0" w:space="0" w:color="auto"/>
        <w:bottom w:val="none" w:sz="0" w:space="0" w:color="auto"/>
        <w:right w:val="none" w:sz="0" w:space="0" w:color="auto"/>
      </w:divBdr>
      <w:divsChild>
        <w:div w:id="737480463">
          <w:marLeft w:val="0"/>
          <w:marRight w:val="0"/>
          <w:marTop w:val="0"/>
          <w:marBottom w:val="0"/>
          <w:divBdr>
            <w:top w:val="none" w:sz="0" w:space="0" w:color="auto"/>
            <w:left w:val="none" w:sz="0" w:space="0" w:color="auto"/>
            <w:bottom w:val="none" w:sz="0" w:space="0" w:color="auto"/>
            <w:right w:val="none" w:sz="0" w:space="0" w:color="auto"/>
          </w:divBdr>
          <w:divsChild>
            <w:div w:id="1867480681">
              <w:marLeft w:val="0"/>
              <w:marRight w:val="0"/>
              <w:marTop w:val="0"/>
              <w:marBottom w:val="0"/>
              <w:divBdr>
                <w:top w:val="none" w:sz="0" w:space="0" w:color="auto"/>
                <w:left w:val="none" w:sz="0" w:space="0" w:color="auto"/>
                <w:bottom w:val="none" w:sz="0" w:space="0" w:color="auto"/>
                <w:right w:val="none" w:sz="0" w:space="0" w:color="auto"/>
              </w:divBdr>
              <w:divsChild>
                <w:div w:id="36059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48241">
      <w:bodyDiv w:val="1"/>
      <w:marLeft w:val="0"/>
      <w:marRight w:val="0"/>
      <w:marTop w:val="0"/>
      <w:marBottom w:val="0"/>
      <w:divBdr>
        <w:top w:val="none" w:sz="0" w:space="0" w:color="auto"/>
        <w:left w:val="none" w:sz="0" w:space="0" w:color="auto"/>
        <w:bottom w:val="none" w:sz="0" w:space="0" w:color="auto"/>
        <w:right w:val="none" w:sz="0" w:space="0" w:color="auto"/>
      </w:divBdr>
    </w:div>
    <w:div w:id="991179016">
      <w:bodyDiv w:val="1"/>
      <w:marLeft w:val="0"/>
      <w:marRight w:val="0"/>
      <w:marTop w:val="0"/>
      <w:marBottom w:val="0"/>
      <w:divBdr>
        <w:top w:val="none" w:sz="0" w:space="0" w:color="auto"/>
        <w:left w:val="none" w:sz="0" w:space="0" w:color="auto"/>
        <w:bottom w:val="none" w:sz="0" w:space="0" w:color="auto"/>
        <w:right w:val="none" w:sz="0" w:space="0" w:color="auto"/>
      </w:divBdr>
    </w:div>
    <w:div w:id="993412945">
      <w:bodyDiv w:val="1"/>
      <w:marLeft w:val="0"/>
      <w:marRight w:val="0"/>
      <w:marTop w:val="0"/>
      <w:marBottom w:val="0"/>
      <w:divBdr>
        <w:top w:val="none" w:sz="0" w:space="0" w:color="auto"/>
        <w:left w:val="none" w:sz="0" w:space="0" w:color="auto"/>
        <w:bottom w:val="none" w:sz="0" w:space="0" w:color="auto"/>
        <w:right w:val="none" w:sz="0" w:space="0" w:color="auto"/>
      </w:divBdr>
    </w:div>
    <w:div w:id="994646107">
      <w:bodyDiv w:val="1"/>
      <w:marLeft w:val="0"/>
      <w:marRight w:val="0"/>
      <w:marTop w:val="0"/>
      <w:marBottom w:val="0"/>
      <w:divBdr>
        <w:top w:val="none" w:sz="0" w:space="0" w:color="auto"/>
        <w:left w:val="none" w:sz="0" w:space="0" w:color="auto"/>
        <w:bottom w:val="none" w:sz="0" w:space="0" w:color="auto"/>
        <w:right w:val="none" w:sz="0" w:space="0" w:color="auto"/>
      </w:divBdr>
    </w:div>
    <w:div w:id="1005399533">
      <w:bodyDiv w:val="1"/>
      <w:marLeft w:val="0"/>
      <w:marRight w:val="0"/>
      <w:marTop w:val="0"/>
      <w:marBottom w:val="0"/>
      <w:divBdr>
        <w:top w:val="none" w:sz="0" w:space="0" w:color="auto"/>
        <w:left w:val="none" w:sz="0" w:space="0" w:color="auto"/>
        <w:bottom w:val="none" w:sz="0" w:space="0" w:color="auto"/>
        <w:right w:val="none" w:sz="0" w:space="0" w:color="auto"/>
      </w:divBdr>
    </w:div>
    <w:div w:id="1007826558">
      <w:bodyDiv w:val="1"/>
      <w:marLeft w:val="0"/>
      <w:marRight w:val="0"/>
      <w:marTop w:val="0"/>
      <w:marBottom w:val="0"/>
      <w:divBdr>
        <w:top w:val="none" w:sz="0" w:space="0" w:color="auto"/>
        <w:left w:val="none" w:sz="0" w:space="0" w:color="auto"/>
        <w:bottom w:val="none" w:sz="0" w:space="0" w:color="auto"/>
        <w:right w:val="none" w:sz="0" w:space="0" w:color="auto"/>
      </w:divBdr>
    </w:div>
    <w:div w:id="1029450604">
      <w:bodyDiv w:val="1"/>
      <w:marLeft w:val="0"/>
      <w:marRight w:val="0"/>
      <w:marTop w:val="0"/>
      <w:marBottom w:val="0"/>
      <w:divBdr>
        <w:top w:val="none" w:sz="0" w:space="0" w:color="auto"/>
        <w:left w:val="none" w:sz="0" w:space="0" w:color="auto"/>
        <w:bottom w:val="none" w:sz="0" w:space="0" w:color="auto"/>
        <w:right w:val="none" w:sz="0" w:space="0" w:color="auto"/>
      </w:divBdr>
    </w:div>
    <w:div w:id="1043943109">
      <w:bodyDiv w:val="1"/>
      <w:marLeft w:val="0"/>
      <w:marRight w:val="0"/>
      <w:marTop w:val="0"/>
      <w:marBottom w:val="0"/>
      <w:divBdr>
        <w:top w:val="none" w:sz="0" w:space="0" w:color="auto"/>
        <w:left w:val="none" w:sz="0" w:space="0" w:color="auto"/>
        <w:bottom w:val="none" w:sz="0" w:space="0" w:color="auto"/>
        <w:right w:val="none" w:sz="0" w:space="0" w:color="auto"/>
      </w:divBdr>
    </w:div>
    <w:div w:id="1057363083">
      <w:bodyDiv w:val="1"/>
      <w:marLeft w:val="0"/>
      <w:marRight w:val="0"/>
      <w:marTop w:val="0"/>
      <w:marBottom w:val="0"/>
      <w:divBdr>
        <w:top w:val="none" w:sz="0" w:space="0" w:color="auto"/>
        <w:left w:val="none" w:sz="0" w:space="0" w:color="auto"/>
        <w:bottom w:val="none" w:sz="0" w:space="0" w:color="auto"/>
        <w:right w:val="none" w:sz="0" w:space="0" w:color="auto"/>
      </w:divBdr>
    </w:div>
    <w:div w:id="1068578013">
      <w:bodyDiv w:val="1"/>
      <w:marLeft w:val="0"/>
      <w:marRight w:val="0"/>
      <w:marTop w:val="0"/>
      <w:marBottom w:val="0"/>
      <w:divBdr>
        <w:top w:val="none" w:sz="0" w:space="0" w:color="auto"/>
        <w:left w:val="none" w:sz="0" w:space="0" w:color="auto"/>
        <w:bottom w:val="none" w:sz="0" w:space="0" w:color="auto"/>
        <w:right w:val="none" w:sz="0" w:space="0" w:color="auto"/>
      </w:divBdr>
    </w:div>
    <w:div w:id="1084840313">
      <w:bodyDiv w:val="1"/>
      <w:marLeft w:val="0"/>
      <w:marRight w:val="0"/>
      <w:marTop w:val="0"/>
      <w:marBottom w:val="0"/>
      <w:divBdr>
        <w:top w:val="none" w:sz="0" w:space="0" w:color="auto"/>
        <w:left w:val="none" w:sz="0" w:space="0" w:color="auto"/>
        <w:bottom w:val="none" w:sz="0" w:space="0" w:color="auto"/>
        <w:right w:val="none" w:sz="0" w:space="0" w:color="auto"/>
      </w:divBdr>
    </w:div>
    <w:div w:id="1103572305">
      <w:bodyDiv w:val="1"/>
      <w:marLeft w:val="0"/>
      <w:marRight w:val="0"/>
      <w:marTop w:val="0"/>
      <w:marBottom w:val="0"/>
      <w:divBdr>
        <w:top w:val="none" w:sz="0" w:space="0" w:color="auto"/>
        <w:left w:val="none" w:sz="0" w:space="0" w:color="auto"/>
        <w:bottom w:val="none" w:sz="0" w:space="0" w:color="auto"/>
        <w:right w:val="none" w:sz="0" w:space="0" w:color="auto"/>
      </w:divBdr>
    </w:div>
    <w:div w:id="1112670519">
      <w:bodyDiv w:val="1"/>
      <w:marLeft w:val="0"/>
      <w:marRight w:val="0"/>
      <w:marTop w:val="0"/>
      <w:marBottom w:val="0"/>
      <w:divBdr>
        <w:top w:val="none" w:sz="0" w:space="0" w:color="auto"/>
        <w:left w:val="none" w:sz="0" w:space="0" w:color="auto"/>
        <w:bottom w:val="none" w:sz="0" w:space="0" w:color="auto"/>
        <w:right w:val="none" w:sz="0" w:space="0" w:color="auto"/>
      </w:divBdr>
    </w:div>
    <w:div w:id="1159226129">
      <w:bodyDiv w:val="1"/>
      <w:marLeft w:val="0"/>
      <w:marRight w:val="0"/>
      <w:marTop w:val="0"/>
      <w:marBottom w:val="0"/>
      <w:divBdr>
        <w:top w:val="none" w:sz="0" w:space="0" w:color="auto"/>
        <w:left w:val="none" w:sz="0" w:space="0" w:color="auto"/>
        <w:bottom w:val="none" w:sz="0" w:space="0" w:color="auto"/>
        <w:right w:val="none" w:sz="0" w:space="0" w:color="auto"/>
      </w:divBdr>
    </w:div>
    <w:div w:id="1160658556">
      <w:bodyDiv w:val="1"/>
      <w:marLeft w:val="0"/>
      <w:marRight w:val="0"/>
      <w:marTop w:val="0"/>
      <w:marBottom w:val="0"/>
      <w:divBdr>
        <w:top w:val="none" w:sz="0" w:space="0" w:color="auto"/>
        <w:left w:val="none" w:sz="0" w:space="0" w:color="auto"/>
        <w:bottom w:val="none" w:sz="0" w:space="0" w:color="auto"/>
        <w:right w:val="none" w:sz="0" w:space="0" w:color="auto"/>
      </w:divBdr>
    </w:div>
    <w:div w:id="1173109335">
      <w:bodyDiv w:val="1"/>
      <w:marLeft w:val="0"/>
      <w:marRight w:val="0"/>
      <w:marTop w:val="0"/>
      <w:marBottom w:val="0"/>
      <w:divBdr>
        <w:top w:val="none" w:sz="0" w:space="0" w:color="auto"/>
        <w:left w:val="none" w:sz="0" w:space="0" w:color="auto"/>
        <w:bottom w:val="none" w:sz="0" w:space="0" w:color="auto"/>
        <w:right w:val="none" w:sz="0" w:space="0" w:color="auto"/>
      </w:divBdr>
    </w:div>
    <w:div w:id="1192575709">
      <w:bodyDiv w:val="1"/>
      <w:marLeft w:val="0"/>
      <w:marRight w:val="0"/>
      <w:marTop w:val="0"/>
      <w:marBottom w:val="0"/>
      <w:divBdr>
        <w:top w:val="none" w:sz="0" w:space="0" w:color="auto"/>
        <w:left w:val="none" w:sz="0" w:space="0" w:color="auto"/>
        <w:bottom w:val="none" w:sz="0" w:space="0" w:color="auto"/>
        <w:right w:val="none" w:sz="0" w:space="0" w:color="auto"/>
      </w:divBdr>
    </w:div>
    <w:div w:id="1205100706">
      <w:bodyDiv w:val="1"/>
      <w:marLeft w:val="0"/>
      <w:marRight w:val="0"/>
      <w:marTop w:val="0"/>
      <w:marBottom w:val="0"/>
      <w:divBdr>
        <w:top w:val="none" w:sz="0" w:space="0" w:color="auto"/>
        <w:left w:val="none" w:sz="0" w:space="0" w:color="auto"/>
        <w:bottom w:val="none" w:sz="0" w:space="0" w:color="auto"/>
        <w:right w:val="none" w:sz="0" w:space="0" w:color="auto"/>
      </w:divBdr>
    </w:div>
    <w:div w:id="1227645746">
      <w:bodyDiv w:val="1"/>
      <w:marLeft w:val="0"/>
      <w:marRight w:val="0"/>
      <w:marTop w:val="0"/>
      <w:marBottom w:val="0"/>
      <w:divBdr>
        <w:top w:val="none" w:sz="0" w:space="0" w:color="auto"/>
        <w:left w:val="none" w:sz="0" w:space="0" w:color="auto"/>
        <w:bottom w:val="none" w:sz="0" w:space="0" w:color="auto"/>
        <w:right w:val="none" w:sz="0" w:space="0" w:color="auto"/>
      </w:divBdr>
    </w:div>
    <w:div w:id="1230194441">
      <w:bodyDiv w:val="1"/>
      <w:marLeft w:val="0"/>
      <w:marRight w:val="0"/>
      <w:marTop w:val="0"/>
      <w:marBottom w:val="0"/>
      <w:divBdr>
        <w:top w:val="none" w:sz="0" w:space="0" w:color="auto"/>
        <w:left w:val="none" w:sz="0" w:space="0" w:color="auto"/>
        <w:bottom w:val="none" w:sz="0" w:space="0" w:color="auto"/>
        <w:right w:val="none" w:sz="0" w:space="0" w:color="auto"/>
      </w:divBdr>
    </w:div>
    <w:div w:id="1237670460">
      <w:bodyDiv w:val="1"/>
      <w:marLeft w:val="0"/>
      <w:marRight w:val="0"/>
      <w:marTop w:val="0"/>
      <w:marBottom w:val="0"/>
      <w:divBdr>
        <w:top w:val="none" w:sz="0" w:space="0" w:color="auto"/>
        <w:left w:val="none" w:sz="0" w:space="0" w:color="auto"/>
        <w:bottom w:val="none" w:sz="0" w:space="0" w:color="auto"/>
        <w:right w:val="none" w:sz="0" w:space="0" w:color="auto"/>
      </w:divBdr>
    </w:div>
    <w:div w:id="1260486082">
      <w:bodyDiv w:val="1"/>
      <w:marLeft w:val="0"/>
      <w:marRight w:val="0"/>
      <w:marTop w:val="0"/>
      <w:marBottom w:val="0"/>
      <w:divBdr>
        <w:top w:val="none" w:sz="0" w:space="0" w:color="auto"/>
        <w:left w:val="none" w:sz="0" w:space="0" w:color="auto"/>
        <w:bottom w:val="none" w:sz="0" w:space="0" w:color="auto"/>
        <w:right w:val="none" w:sz="0" w:space="0" w:color="auto"/>
      </w:divBdr>
    </w:div>
    <w:div w:id="1262101900">
      <w:bodyDiv w:val="1"/>
      <w:marLeft w:val="0"/>
      <w:marRight w:val="0"/>
      <w:marTop w:val="0"/>
      <w:marBottom w:val="0"/>
      <w:divBdr>
        <w:top w:val="none" w:sz="0" w:space="0" w:color="auto"/>
        <w:left w:val="none" w:sz="0" w:space="0" w:color="auto"/>
        <w:bottom w:val="none" w:sz="0" w:space="0" w:color="auto"/>
        <w:right w:val="none" w:sz="0" w:space="0" w:color="auto"/>
      </w:divBdr>
    </w:div>
    <w:div w:id="1272053893">
      <w:bodyDiv w:val="1"/>
      <w:marLeft w:val="0"/>
      <w:marRight w:val="0"/>
      <w:marTop w:val="0"/>
      <w:marBottom w:val="0"/>
      <w:divBdr>
        <w:top w:val="none" w:sz="0" w:space="0" w:color="auto"/>
        <w:left w:val="none" w:sz="0" w:space="0" w:color="auto"/>
        <w:bottom w:val="none" w:sz="0" w:space="0" w:color="auto"/>
        <w:right w:val="none" w:sz="0" w:space="0" w:color="auto"/>
      </w:divBdr>
    </w:div>
    <w:div w:id="1278952906">
      <w:bodyDiv w:val="1"/>
      <w:marLeft w:val="0"/>
      <w:marRight w:val="0"/>
      <w:marTop w:val="0"/>
      <w:marBottom w:val="0"/>
      <w:divBdr>
        <w:top w:val="none" w:sz="0" w:space="0" w:color="auto"/>
        <w:left w:val="none" w:sz="0" w:space="0" w:color="auto"/>
        <w:bottom w:val="none" w:sz="0" w:space="0" w:color="auto"/>
        <w:right w:val="none" w:sz="0" w:space="0" w:color="auto"/>
      </w:divBdr>
    </w:div>
    <w:div w:id="1284532957">
      <w:bodyDiv w:val="1"/>
      <w:marLeft w:val="0"/>
      <w:marRight w:val="0"/>
      <w:marTop w:val="0"/>
      <w:marBottom w:val="0"/>
      <w:divBdr>
        <w:top w:val="none" w:sz="0" w:space="0" w:color="auto"/>
        <w:left w:val="none" w:sz="0" w:space="0" w:color="auto"/>
        <w:bottom w:val="none" w:sz="0" w:space="0" w:color="auto"/>
        <w:right w:val="none" w:sz="0" w:space="0" w:color="auto"/>
      </w:divBdr>
    </w:div>
    <w:div w:id="1313676751">
      <w:bodyDiv w:val="1"/>
      <w:marLeft w:val="0"/>
      <w:marRight w:val="0"/>
      <w:marTop w:val="0"/>
      <w:marBottom w:val="0"/>
      <w:divBdr>
        <w:top w:val="none" w:sz="0" w:space="0" w:color="auto"/>
        <w:left w:val="none" w:sz="0" w:space="0" w:color="auto"/>
        <w:bottom w:val="none" w:sz="0" w:space="0" w:color="auto"/>
        <w:right w:val="none" w:sz="0" w:space="0" w:color="auto"/>
      </w:divBdr>
    </w:div>
    <w:div w:id="1326325449">
      <w:bodyDiv w:val="1"/>
      <w:marLeft w:val="0"/>
      <w:marRight w:val="0"/>
      <w:marTop w:val="0"/>
      <w:marBottom w:val="0"/>
      <w:divBdr>
        <w:top w:val="none" w:sz="0" w:space="0" w:color="auto"/>
        <w:left w:val="none" w:sz="0" w:space="0" w:color="auto"/>
        <w:bottom w:val="none" w:sz="0" w:space="0" w:color="auto"/>
        <w:right w:val="none" w:sz="0" w:space="0" w:color="auto"/>
      </w:divBdr>
    </w:div>
    <w:div w:id="1329019127">
      <w:bodyDiv w:val="1"/>
      <w:marLeft w:val="0"/>
      <w:marRight w:val="0"/>
      <w:marTop w:val="0"/>
      <w:marBottom w:val="0"/>
      <w:divBdr>
        <w:top w:val="none" w:sz="0" w:space="0" w:color="auto"/>
        <w:left w:val="none" w:sz="0" w:space="0" w:color="auto"/>
        <w:bottom w:val="none" w:sz="0" w:space="0" w:color="auto"/>
        <w:right w:val="none" w:sz="0" w:space="0" w:color="auto"/>
      </w:divBdr>
      <w:divsChild>
        <w:div w:id="1820227866">
          <w:marLeft w:val="0"/>
          <w:marRight w:val="0"/>
          <w:marTop w:val="0"/>
          <w:marBottom w:val="0"/>
          <w:divBdr>
            <w:top w:val="none" w:sz="0" w:space="0" w:color="auto"/>
            <w:left w:val="none" w:sz="0" w:space="0" w:color="auto"/>
            <w:bottom w:val="none" w:sz="0" w:space="0" w:color="auto"/>
            <w:right w:val="none" w:sz="0" w:space="0" w:color="auto"/>
          </w:divBdr>
        </w:div>
        <w:div w:id="1952929320">
          <w:marLeft w:val="0"/>
          <w:marRight w:val="0"/>
          <w:marTop w:val="0"/>
          <w:marBottom w:val="0"/>
          <w:divBdr>
            <w:top w:val="none" w:sz="0" w:space="0" w:color="auto"/>
            <w:left w:val="none" w:sz="0" w:space="0" w:color="auto"/>
            <w:bottom w:val="none" w:sz="0" w:space="0" w:color="auto"/>
            <w:right w:val="none" w:sz="0" w:space="0" w:color="auto"/>
          </w:divBdr>
        </w:div>
        <w:div w:id="1859466299">
          <w:marLeft w:val="0"/>
          <w:marRight w:val="0"/>
          <w:marTop w:val="0"/>
          <w:marBottom w:val="0"/>
          <w:divBdr>
            <w:top w:val="none" w:sz="0" w:space="0" w:color="auto"/>
            <w:left w:val="none" w:sz="0" w:space="0" w:color="auto"/>
            <w:bottom w:val="none" w:sz="0" w:space="0" w:color="auto"/>
            <w:right w:val="none" w:sz="0" w:space="0" w:color="auto"/>
          </w:divBdr>
        </w:div>
        <w:div w:id="1115172652">
          <w:marLeft w:val="0"/>
          <w:marRight w:val="0"/>
          <w:marTop w:val="0"/>
          <w:marBottom w:val="0"/>
          <w:divBdr>
            <w:top w:val="none" w:sz="0" w:space="0" w:color="auto"/>
            <w:left w:val="none" w:sz="0" w:space="0" w:color="auto"/>
            <w:bottom w:val="none" w:sz="0" w:space="0" w:color="auto"/>
            <w:right w:val="none" w:sz="0" w:space="0" w:color="auto"/>
          </w:divBdr>
        </w:div>
      </w:divsChild>
    </w:div>
    <w:div w:id="1329822804">
      <w:bodyDiv w:val="1"/>
      <w:marLeft w:val="0"/>
      <w:marRight w:val="0"/>
      <w:marTop w:val="0"/>
      <w:marBottom w:val="0"/>
      <w:divBdr>
        <w:top w:val="none" w:sz="0" w:space="0" w:color="auto"/>
        <w:left w:val="none" w:sz="0" w:space="0" w:color="auto"/>
        <w:bottom w:val="none" w:sz="0" w:space="0" w:color="auto"/>
        <w:right w:val="none" w:sz="0" w:space="0" w:color="auto"/>
      </w:divBdr>
    </w:div>
    <w:div w:id="1335106340">
      <w:bodyDiv w:val="1"/>
      <w:marLeft w:val="0"/>
      <w:marRight w:val="0"/>
      <w:marTop w:val="0"/>
      <w:marBottom w:val="0"/>
      <w:divBdr>
        <w:top w:val="none" w:sz="0" w:space="0" w:color="auto"/>
        <w:left w:val="none" w:sz="0" w:space="0" w:color="auto"/>
        <w:bottom w:val="none" w:sz="0" w:space="0" w:color="auto"/>
        <w:right w:val="none" w:sz="0" w:space="0" w:color="auto"/>
      </w:divBdr>
    </w:div>
    <w:div w:id="1353458260">
      <w:bodyDiv w:val="1"/>
      <w:marLeft w:val="0"/>
      <w:marRight w:val="0"/>
      <w:marTop w:val="0"/>
      <w:marBottom w:val="0"/>
      <w:divBdr>
        <w:top w:val="none" w:sz="0" w:space="0" w:color="auto"/>
        <w:left w:val="none" w:sz="0" w:space="0" w:color="auto"/>
        <w:bottom w:val="none" w:sz="0" w:space="0" w:color="auto"/>
        <w:right w:val="none" w:sz="0" w:space="0" w:color="auto"/>
      </w:divBdr>
    </w:div>
    <w:div w:id="1354259970">
      <w:bodyDiv w:val="1"/>
      <w:marLeft w:val="0"/>
      <w:marRight w:val="0"/>
      <w:marTop w:val="0"/>
      <w:marBottom w:val="0"/>
      <w:divBdr>
        <w:top w:val="none" w:sz="0" w:space="0" w:color="auto"/>
        <w:left w:val="none" w:sz="0" w:space="0" w:color="auto"/>
        <w:bottom w:val="none" w:sz="0" w:space="0" w:color="auto"/>
        <w:right w:val="none" w:sz="0" w:space="0" w:color="auto"/>
      </w:divBdr>
    </w:div>
    <w:div w:id="1356612837">
      <w:bodyDiv w:val="1"/>
      <w:marLeft w:val="0"/>
      <w:marRight w:val="0"/>
      <w:marTop w:val="0"/>
      <w:marBottom w:val="0"/>
      <w:divBdr>
        <w:top w:val="none" w:sz="0" w:space="0" w:color="auto"/>
        <w:left w:val="none" w:sz="0" w:space="0" w:color="auto"/>
        <w:bottom w:val="none" w:sz="0" w:space="0" w:color="auto"/>
        <w:right w:val="none" w:sz="0" w:space="0" w:color="auto"/>
      </w:divBdr>
    </w:div>
    <w:div w:id="1358235563">
      <w:bodyDiv w:val="1"/>
      <w:marLeft w:val="0"/>
      <w:marRight w:val="0"/>
      <w:marTop w:val="0"/>
      <w:marBottom w:val="0"/>
      <w:divBdr>
        <w:top w:val="none" w:sz="0" w:space="0" w:color="auto"/>
        <w:left w:val="none" w:sz="0" w:space="0" w:color="auto"/>
        <w:bottom w:val="none" w:sz="0" w:space="0" w:color="auto"/>
        <w:right w:val="none" w:sz="0" w:space="0" w:color="auto"/>
      </w:divBdr>
    </w:div>
    <w:div w:id="1401825317">
      <w:bodyDiv w:val="1"/>
      <w:marLeft w:val="0"/>
      <w:marRight w:val="0"/>
      <w:marTop w:val="0"/>
      <w:marBottom w:val="0"/>
      <w:divBdr>
        <w:top w:val="none" w:sz="0" w:space="0" w:color="auto"/>
        <w:left w:val="none" w:sz="0" w:space="0" w:color="auto"/>
        <w:bottom w:val="none" w:sz="0" w:space="0" w:color="auto"/>
        <w:right w:val="none" w:sz="0" w:space="0" w:color="auto"/>
      </w:divBdr>
    </w:div>
    <w:div w:id="1413892380">
      <w:bodyDiv w:val="1"/>
      <w:marLeft w:val="0"/>
      <w:marRight w:val="0"/>
      <w:marTop w:val="0"/>
      <w:marBottom w:val="0"/>
      <w:divBdr>
        <w:top w:val="none" w:sz="0" w:space="0" w:color="auto"/>
        <w:left w:val="none" w:sz="0" w:space="0" w:color="auto"/>
        <w:bottom w:val="none" w:sz="0" w:space="0" w:color="auto"/>
        <w:right w:val="none" w:sz="0" w:space="0" w:color="auto"/>
      </w:divBdr>
      <w:divsChild>
        <w:div w:id="2089186681">
          <w:marLeft w:val="0"/>
          <w:marRight w:val="0"/>
          <w:marTop w:val="0"/>
          <w:marBottom w:val="0"/>
          <w:divBdr>
            <w:top w:val="none" w:sz="0" w:space="0" w:color="auto"/>
            <w:left w:val="none" w:sz="0" w:space="0" w:color="auto"/>
            <w:bottom w:val="none" w:sz="0" w:space="0" w:color="auto"/>
            <w:right w:val="none" w:sz="0" w:space="0" w:color="auto"/>
          </w:divBdr>
          <w:divsChild>
            <w:div w:id="567345792">
              <w:marLeft w:val="0"/>
              <w:marRight w:val="0"/>
              <w:marTop w:val="0"/>
              <w:marBottom w:val="0"/>
              <w:divBdr>
                <w:top w:val="none" w:sz="0" w:space="0" w:color="auto"/>
                <w:left w:val="none" w:sz="0" w:space="0" w:color="auto"/>
                <w:bottom w:val="none" w:sz="0" w:space="0" w:color="auto"/>
                <w:right w:val="none" w:sz="0" w:space="0" w:color="auto"/>
              </w:divBdr>
              <w:divsChild>
                <w:div w:id="2004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989279">
      <w:bodyDiv w:val="1"/>
      <w:marLeft w:val="0"/>
      <w:marRight w:val="0"/>
      <w:marTop w:val="0"/>
      <w:marBottom w:val="0"/>
      <w:divBdr>
        <w:top w:val="none" w:sz="0" w:space="0" w:color="auto"/>
        <w:left w:val="none" w:sz="0" w:space="0" w:color="auto"/>
        <w:bottom w:val="none" w:sz="0" w:space="0" w:color="auto"/>
        <w:right w:val="none" w:sz="0" w:space="0" w:color="auto"/>
      </w:divBdr>
    </w:div>
    <w:div w:id="1454254730">
      <w:bodyDiv w:val="1"/>
      <w:marLeft w:val="0"/>
      <w:marRight w:val="0"/>
      <w:marTop w:val="0"/>
      <w:marBottom w:val="0"/>
      <w:divBdr>
        <w:top w:val="none" w:sz="0" w:space="0" w:color="auto"/>
        <w:left w:val="none" w:sz="0" w:space="0" w:color="auto"/>
        <w:bottom w:val="none" w:sz="0" w:space="0" w:color="auto"/>
        <w:right w:val="none" w:sz="0" w:space="0" w:color="auto"/>
      </w:divBdr>
    </w:div>
    <w:div w:id="1461655061">
      <w:bodyDiv w:val="1"/>
      <w:marLeft w:val="0"/>
      <w:marRight w:val="0"/>
      <w:marTop w:val="0"/>
      <w:marBottom w:val="0"/>
      <w:divBdr>
        <w:top w:val="none" w:sz="0" w:space="0" w:color="auto"/>
        <w:left w:val="none" w:sz="0" w:space="0" w:color="auto"/>
        <w:bottom w:val="none" w:sz="0" w:space="0" w:color="auto"/>
        <w:right w:val="none" w:sz="0" w:space="0" w:color="auto"/>
      </w:divBdr>
    </w:div>
    <w:div w:id="1468430791">
      <w:bodyDiv w:val="1"/>
      <w:marLeft w:val="0"/>
      <w:marRight w:val="0"/>
      <w:marTop w:val="0"/>
      <w:marBottom w:val="0"/>
      <w:divBdr>
        <w:top w:val="none" w:sz="0" w:space="0" w:color="auto"/>
        <w:left w:val="none" w:sz="0" w:space="0" w:color="auto"/>
        <w:bottom w:val="none" w:sz="0" w:space="0" w:color="auto"/>
        <w:right w:val="none" w:sz="0" w:space="0" w:color="auto"/>
      </w:divBdr>
    </w:div>
    <w:div w:id="1475215678">
      <w:bodyDiv w:val="1"/>
      <w:marLeft w:val="0"/>
      <w:marRight w:val="0"/>
      <w:marTop w:val="0"/>
      <w:marBottom w:val="0"/>
      <w:divBdr>
        <w:top w:val="none" w:sz="0" w:space="0" w:color="auto"/>
        <w:left w:val="none" w:sz="0" w:space="0" w:color="auto"/>
        <w:bottom w:val="none" w:sz="0" w:space="0" w:color="auto"/>
        <w:right w:val="none" w:sz="0" w:space="0" w:color="auto"/>
      </w:divBdr>
    </w:div>
    <w:div w:id="1515028036">
      <w:bodyDiv w:val="1"/>
      <w:marLeft w:val="0"/>
      <w:marRight w:val="0"/>
      <w:marTop w:val="0"/>
      <w:marBottom w:val="0"/>
      <w:divBdr>
        <w:top w:val="none" w:sz="0" w:space="0" w:color="auto"/>
        <w:left w:val="none" w:sz="0" w:space="0" w:color="auto"/>
        <w:bottom w:val="none" w:sz="0" w:space="0" w:color="auto"/>
        <w:right w:val="none" w:sz="0" w:space="0" w:color="auto"/>
      </w:divBdr>
    </w:div>
    <w:div w:id="1521506174">
      <w:bodyDiv w:val="1"/>
      <w:marLeft w:val="0"/>
      <w:marRight w:val="0"/>
      <w:marTop w:val="0"/>
      <w:marBottom w:val="0"/>
      <w:divBdr>
        <w:top w:val="none" w:sz="0" w:space="0" w:color="auto"/>
        <w:left w:val="none" w:sz="0" w:space="0" w:color="auto"/>
        <w:bottom w:val="none" w:sz="0" w:space="0" w:color="auto"/>
        <w:right w:val="none" w:sz="0" w:space="0" w:color="auto"/>
      </w:divBdr>
    </w:div>
    <w:div w:id="1533493600">
      <w:bodyDiv w:val="1"/>
      <w:marLeft w:val="0"/>
      <w:marRight w:val="0"/>
      <w:marTop w:val="0"/>
      <w:marBottom w:val="0"/>
      <w:divBdr>
        <w:top w:val="none" w:sz="0" w:space="0" w:color="auto"/>
        <w:left w:val="none" w:sz="0" w:space="0" w:color="auto"/>
        <w:bottom w:val="none" w:sz="0" w:space="0" w:color="auto"/>
        <w:right w:val="none" w:sz="0" w:space="0" w:color="auto"/>
      </w:divBdr>
    </w:div>
    <w:div w:id="1547641844">
      <w:bodyDiv w:val="1"/>
      <w:marLeft w:val="0"/>
      <w:marRight w:val="0"/>
      <w:marTop w:val="0"/>
      <w:marBottom w:val="0"/>
      <w:divBdr>
        <w:top w:val="none" w:sz="0" w:space="0" w:color="auto"/>
        <w:left w:val="none" w:sz="0" w:space="0" w:color="auto"/>
        <w:bottom w:val="none" w:sz="0" w:space="0" w:color="auto"/>
        <w:right w:val="none" w:sz="0" w:space="0" w:color="auto"/>
      </w:divBdr>
    </w:div>
    <w:div w:id="1549486354">
      <w:bodyDiv w:val="1"/>
      <w:marLeft w:val="0"/>
      <w:marRight w:val="0"/>
      <w:marTop w:val="0"/>
      <w:marBottom w:val="0"/>
      <w:divBdr>
        <w:top w:val="none" w:sz="0" w:space="0" w:color="auto"/>
        <w:left w:val="none" w:sz="0" w:space="0" w:color="auto"/>
        <w:bottom w:val="none" w:sz="0" w:space="0" w:color="auto"/>
        <w:right w:val="none" w:sz="0" w:space="0" w:color="auto"/>
      </w:divBdr>
    </w:div>
    <w:div w:id="1581913156">
      <w:bodyDiv w:val="1"/>
      <w:marLeft w:val="0"/>
      <w:marRight w:val="0"/>
      <w:marTop w:val="0"/>
      <w:marBottom w:val="0"/>
      <w:divBdr>
        <w:top w:val="none" w:sz="0" w:space="0" w:color="auto"/>
        <w:left w:val="none" w:sz="0" w:space="0" w:color="auto"/>
        <w:bottom w:val="none" w:sz="0" w:space="0" w:color="auto"/>
        <w:right w:val="none" w:sz="0" w:space="0" w:color="auto"/>
      </w:divBdr>
    </w:div>
    <w:div w:id="1590312432">
      <w:bodyDiv w:val="1"/>
      <w:marLeft w:val="0"/>
      <w:marRight w:val="0"/>
      <w:marTop w:val="0"/>
      <w:marBottom w:val="0"/>
      <w:divBdr>
        <w:top w:val="none" w:sz="0" w:space="0" w:color="auto"/>
        <w:left w:val="none" w:sz="0" w:space="0" w:color="auto"/>
        <w:bottom w:val="none" w:sz="0" w:space="0" w:color="auto"/>
        <w:right w:val="none" w:sz="0" w:space="0" w:color="auto"/>
      </w:divBdr>
    </w:div>
    <w:div w:id="1603032486">
      <w:bodyDiv w:val="1"/>
      <w:marLeft w:val="0"/>
      <w:marRight w:val="0"/>
      <w:marTop w:val="0"/>
      <w:marBottom w:val="0"/>
      <w:divBdr>
        <w:top w:val="none" w:sz="0" w:space="0" w:color="auto"/>
        <w:left w:val="none" w:sz="0" w:space="0" w:color="auto"/>
        <w:bottom w:val="none" w:sz="0" w:space="0" w:color="auto"/>
        <w:right w:val="none" w:sz="0" w:space="0" w:color="auto"/>
      </w:divBdr>
    </w:div>
    <w:div w:id="1606304124">
      <w:bodyDiv w:val="1"/>
      <w:marLeft w:val="0"/>
      <w:marRight w:val="0"/>
      <w:marTop w:val="0"/>
      <w:marBottom w:val="0"/>
      <w:divBdr>
        <w:top w:val="none" w:sz="0" w:space="0" w:color="auto"/>
        <w:left w:val="none" w:sz="0" w:space="0" w:color="auto"/>
        <w:bottom w:val="none" w:sz="0" w:space="0" w:color="auto"/>
        <w:right w:val="none" w:sz="0" w:space="0" w:color="auto"/>
      </w:divBdr>
    </w:div>
    <w:div w:id="1644120975">
      <w:bodyDiv w:val="1"/>
      <w:marLeft w:val="0"/>
      <w:marRight w:val="0"/>
      <w:marTop w:val="0"/>
      <w:marBottom w:val="0"/>
      <w:divBdr>
        <w:top w:val="none" w:sz="0" w:space="0" w:color="auto"/>
        <w:left w:val="none" w:sz="0" w:space="0" w:color="auto"/>
        <w:bottom w:val="none" w:sz="0" w:space="0" w:color="auto"/>
        <w:right w:val="none" w:sz="0" w:space="0" w:color="auto"/>
      </w:divBdr>
    </w:div>
    <w:div w:id="1671450190">
      <w:bodyDiv w:val="1"/>
      <w:marLeft w:val="0"/>
      <w:marRight w:val="0"/>
      <w:marTop w:val="0"/>
      <w:marBottom w:val="0"/>
      <w:divBdr>
        <w:top w:val="none" w:sz="0" w:space="0" w:color="auto"/>
        <w:left w:val="none" w:sz="0" w:space="0" w:color="auto"/>
        <w:bottom w:val="none" w:sz="0" w:space="0" w:color="auto"/>
        <w:right w:val="none" w:sz="0" w:space="0" w:color="auto"/>
      </w:divBdr>
    </w:div>
    <w:div w:id="1673408641">
      <w:bodyDiv w:val="1"/>
      <w:marLeft w:val="0"/>
      <w:marRight w:val="0"/>
      <w:marTop w:val="0"/>
      <w:marBottom w:val="0"/>
      <w:divBdr>
        <w:top w:val="none" w:sz="0" w:space="0" w:color="auto"/>
        <w:left w:val="none" w:sz="0" w:space="0" w:color="auto"/>
        <w:bottom w:val="none" w:sz="0" w:space="0" w:color="auto"/>
        <w:right w:val="none" w:sz="0" w:space="0" w:color="auto"/>
      </w:divBdr>
    </w:div>
    <w:div w:id="1674796570">
      <w:bodyDiv w:val="1"/>
      <w:marLeft w:val="0"/>
      <w:marRight w:val="0"/>
      <w:marTop w:val="0"/>
      <w:marBottom w:val="0"/>
      <w:divBdr>
        <w:top w:val="none" w:sz="0" w:space="0" w:color="auto"/>
        <w:left w:val="none" w:sz="0" w:space="0" w:color="auto"/>
        <w:bottom w:val="none" w:sz="0" w:space="0" w:color="auto"/>
        <w:right w:val="none" w:sz="0" w:space="0" w:color="auto"/>
      </w:divBdr>
    </w:div>
    <w:div w:id="1682659892">
      <w:bodyDiv w:val="1"/>
      <w:marLeft w:val="0"/>
      <w:marRight w:val="0"/>
      <w:marTop w:val="0"/>
      <w:marBottom w:val="0"/>
      <w:divBdr>
        <w:top w:val="none" w:sz="0" w:space="0" w:color="auto"/>
        <w:left w:val="none" w:sz="0" w:space="0" w:color="auto"/>
        <w:bottom w:val="none" w:sz="0" w:space="0" w:color="auto"/>
        <w:right w:val="none" w:sz="0" w:space="0" w:color="auto"/>
      </w:divBdr>
    </w:div>
    <w:div w:id="1684816444">
      <w:bodyDiv w:val="1"/>
      <w:marLeft w:val="0"/>
      <w:marRight w:val="0"/>
      <w:marTop w:val="0"/>
      <w:marBottom w:val="0"/>
      <w:divBdr>
        <w:top w:val="none" w:sz="0" w:space="0" w:color="auto"/>
        <w:left w:val="none" w:sz="0" w:space="0" w:color="auto"/>
        <w:bottom w:val="none" w:sz="0" w:space="0" w:color="auto"/>
        <w:right w:val="none" w:sz="0" w:space="0" w:color="auto"/>
      </w:divBdr>
    </w:div>
    <w:div w:id="1696540603">
      <w:bodyDiv w:val="1"/>
      <w:marLeft w:val="0"/>
      <w:marRight w:val="0"/>
      <w:marTop w:val="0"/>
      <w:marBottom w:val="0"/>
      <w:divBdr>
        <w:top w:val="none" w:sz="0" w:space="0" w:color="auto"/>
        <w:left w:val="none" w:sz="0" w:space="0" w:color="auto"/>
        <w:bottom w:val="none" w:sz="0" w:space="0" w:color="auto"/>
        <w:right w:val="none" w:sz="0" w:space="0" w:color="auto"/>
      </w:divBdr>
    </w:div>
    <w:div w:id="1715039437">
      <w:bodyDiv w:val="1"/>
      <w:marLeft w:val="0"/>
      <w:marRight w:val="0"/>
      <w:marTop w:val="0"/>
      <w:marBottom w:val="0"/>
      <w:divBdr>
        <w:top w:val="none" w:sz="0" w:space="0" w:color="auto"/>
        <w:left w:val="none" w:sz="0" w:space="0" w:color="auto"/>
        <w:bottom w:val="none" w:sz="0" w:space="0" w:color="auto"/>
        <w:right w:val="none" w:sz="0" w:space="0" w:color="auto"/>
      </w:divBdr>
    </w:div>
    <w:div w:id="1737630138">
      <w:bodyDiv w:val="1"/>
      <w:marLeft w:val="0"/>
      <w:marRight w:val="0"/>
      <w:marTop w:val="0"/>
      <w:marBottom w:val="0"/>
      <w:divBdr>
        <w:top w:val="none" w:sz="0" w:space="0" w:color="auto"/>
        <w:left w:val="none" w:sz="0" w:space="0" w:color="auto"/>
        <w:bottom w:val="none" w:sz="0" w:space="0" w:color="auto"/>
        <w:right w:val="none" w:sz="0" w:space="0" w:color="auto"/>
      </w:divBdr>
    </w:div>
    <w:div w:id="1773889862">
      <w:bodyDiv w:val="1"/>
      <w:marLeft w:val="0"/>
      <w:marRight w:val="0"/>
      <w:marTop w:val="0"/>
      <w:marBottom w:val="0"/>
      <w:divBdr>
        <w:top w:val="none" w:sz="0" w:space="0" w:color="auto"/>
        <w:left w:val="none" w:sz="0" w:space="0" w:color="auto"/>
        <w:bottom w:val="none" w:sz="0" w:space="0" w:color="auto"/>
        <w:right w:val="none" w:sz="0" w:space="0" w:color="auto"/>
      </w:divBdr>
    </w:div>
    <w:div w:id="1812137881">
      <w:bodyDiv w:val="1"/>
      <w:marLeft w:val="0"/>
      <w:marRight w:val="0"/>
      <w:marTop w:val="0"/>
      <w:marBottom w:val="0"/>
      <w:divBdr>
        <w:top w:val="none" w:sz="0" w:space="0" w:color="auto"/>
        <w:left w:val="none" w:sz="0" w:space="0" w:color="auto"/>
        <w:bottom w:val="none" w:sz="0" w:space="0" w:color="auto"/>
        <w:right w:val="none" w:sz="0" w:space="0" w:color="auto"/>
      </w:divBdr>
    </w:div>
    <w:div w:id="1845590487">
      <w:bodyDiv w:val="1"/>
      <w:marLeft w:val="0"/>
      <w:marRight w:val="0"/>
      <w:marTop w:val="0"/>
      <w:marBottom w:val="0"/>
      <w:divBdr>
        <w:top w:val="none" w:sz="0" w:space="0" w:color="auto"/>
        <w:left w:val="none" w:sz="0" w:space="0" w:color="auto"/>
        <w:bottom w:val="none" w:sz="0" w:space="0" w:color="auto"/>
        <w:right w:val="none" w:sz="0" w:space="0" w:color="auto"/>
      </w:divBdr>
    </w:div>
    <w:div w:id="1864828694">
      <w:bodyDiv w:val="1"/>
      <w:marLeft w:val="0"/>
      <w:marRight w:val="0"/>
      <w:marTop w:val="0"/>
      <w:marBottom w:val="0"/>
      <w:divBdr>
        <w:top w:val="none" w:sz="0" w:space="0" w:color="auto"/>
        <w:left w:val="none" w:sz="0" w:space="0" w:color="auto"/>
        <w:bottom w:val="none" w:sz="0" w:space="0" w:color="auto"/>
        <w:right w:val="none" w:sz="0" w:space="0" w:color="auto"/>
      </w:divBdr>
    </w:div>
    <w:div w:id="1887988023">
      <w:bodyDiv w:val="1"/>
      <w:marLeft w:val="0"/>
      <w:marRight w:val="0"/>
      <w:marTop w:val="0"/>
      <w:marBottom w:val="0"/>
      <w:divBdr>
        <w:top w:val="none" w:sz="0" w:space="0" w:color="auto"/>
        <w:left w:val="none" w:sz="0" w:space="0" w:color="auto"/>
        <w:bottom w:val="none" w:sz="0" w:space="0" w:color="auto"/>
        <w:right w:val="none" w:sz="0" w:space="0" w:color="auto"/>
      </w:divBdr>
    </w:div>
    <w:div w:id="1899168378">
      <w:bodyDiv w:val="1"/>
      <w:marLeft w:val="0"/>
      <w:marRight w:val="0"/>
      <w:marTop w:val="0"/>
      <w:marBottom w:val="0"/>
      <w:divBdr>
        <w:top w:val="none" w:sz="0" w:space="0" w:color="auto"/>
        <w:left w:val="none" w:sz="0" w:space="0" w:color="auto"/>
        <w:bottom w:val="none" w:sz="0" w:space="0" w:color="auto"/>
        <w:right w:val="none" w:sz="0" w:space="0" w:color="auto"/>
      </w:divBdr>
    </w:div>
    <w:div w:id="1903179422">
      <w:bodyDiv w:val="1"/>
      <w:marLeft w:val="0"/>
      <w:marRight w:val="0"/>
      <w:marTop w:val="0"/>
      <w:marBottom w:val="0"/>
      <w:divBdr>
        <w:top w:val="none" w:sz="0" w:space="0" w:color="auto"/>
        <w:left w:val="none" w:sz="0" w:space="0" w:color="auto"/>
        <w:bottom w:val="none" w:sz="0" w:space="0" w:color="auto"/>
        <w:right w:val="none" w:sz="0" w:space="0" w:color="auto"/>
      </w:divBdr>
    </w:div>
    <w:div w:id="1913932168">
      <w:bodyDiv w:val="1"/>
      <w:marLeft w:val="0"/>
      <w:marRight w:val="0"/>
      <w:marTop w:val="0"/>
      <w:marBottom w:val="0"/>
      <w:divBdr>
        <w:top w:val="none" w:sz="0" w:space="0" w:color="auto"/>
        <w:left w:val="none" w:sz="0" w:space="0" w:color="auto"/>
        <w:bottom w:val="none" w:sz="0" w:space="0" w:color="auto"/>
        <w:right w:val="none" w:sz="0" w:space="0" w:color="auto"/>
      </w:divBdr>
    </w:div>
    <w:div w:id="1915817810">
      <w:bodyDiv w:val="1"/>
      <w:marLeft w:val="0"/>
      <w:marRight w:val="0"/>
      <w:marTop w:val="0"/>
      <w:marBottom w:val="0"/>
      <w:divBdr>
        <w:top w:val="none" w:sz="0" w:space="0" w:color="auto"/>
        <w:left w:val="none" w:sz="0" w:space="0" w:color="auto"/>
        <w:bottom w:val="none" w:sz="0" w:space="0" w:color="auto"/>
        <w:right w:val="none" w:sz="0" w:space="0" w:color="auto"/>
      </w:divBdr>
    </w:div>
    <w:div w:id="1930771882">
      <w:bodyDiv w:val="1"/>
      <w:marLeft w:val="0"/>
      <w:marRight w:val="0"/>
      <w:marTop w:val="0"/>
      <w:marBottom w:val="0"/>
      <w:divBdr>
        <w:top w:val="none" w:sz="0" w:space="0" w:color="auto"/>
        <w:left w:val="none" w:sz="0" w:space="0" w:color="auto"/>
        <w:bottom w:val="none" w:sz="0" w:space="0" w:color="auto"/>
        <w:right w:val="none" w:sz="0" w:space="0" w:color="auto"/>
      </w:divBdr>
    </w:div>
    <w:div w:id="2006124963">
      <w:bodyDiv w:val="1"/>
      <w:marLeft w:val="0"/>
      <w:marRight w:val="0"/>
      <w:marTop w:val="0"/>
      <w:marBottom w:val="0"/>
      <w:divBdr>
        <w:top w:val="none" w:sz="0" w:space="0" w:color="auto"/>
        <w:left w:val="none" w:sz="0" w:space="0" w:color="auto"/>
        <w:bottom w:val="none" w:sz="0" w:space="0" w:color="auto"/>
        <w:right w:val="none" w:sz="0" w:space="0" w:color="auto"/>
      </w:divBdr>
    </w:div>
    <w:div w:id="2033651151">
      <w:bodyDiv w:val="1"/>
      <w:marLeft w:val="0"/>
      <w:marRight w:val="0"/>
      <w:marTop w:val="0"/>
      <w:marBottom w:val="0"/>
      <w:divBdr>
        <w:top w:val="none" w:sz="0" w:space="0" w:color="auto"/>
        <w:left w:val="none" w:sz="0" w:space="0" w:color="auto"/>
        <w:bottom w:val="none" w:sz="0" w:space="0" w:color="auto"/>
        <w:right w:val="none" w:sz="0" w:space="0" w:color="auto"/>
      </w:divBdr>
    </w:div>
    <w:div w:id="2052486709">
      <w:bodyDiv w:val="1"/>
      <w:marLeft w:val="0"/>
      <w:marRight w:val="0"/>
      <w:marTop w:val="0"/>
      <w:marBottom w:val="0"/>
      <w:divBdr>
        <w:top w:val="none" w:sz="0" w:space="0" w:color="auto"/>
        <w:left w:val="none" w:sz="0" w:space="0" w:color="auto"/>
        <w:bottom w:val="none" w:sz="0" w:space="0" w:color="auto"/>
        <w:right w:val="none" w:sz="0" w:space="0" w:color="auto"/>
      </w:divBdr>
    </w:div>
    <w:div w:id="2068605051">
      <w:bodyDiv w:val="1"/>
      <w:marLeft w:val="0"/>
      <w:marRight w:val="0"/>
      <w:marTop w:val="0"/>
      <w:marBottom w:val="0"/>
      <w:divBdr>
        <w:top w:val="none" w:sz="0" w:space="0" w:color="auto"/>
        <w:left w:val="none" w:sz="0" w:space="0" w:color="auto"/>
        <w:bottom w:val="none" w:sz="0" w:space="0" w:color="auto"/>
        <w:right w:val="none" w:sz="0" w:space="0" w:color="auto"/>
      </w:divBdr>
    </w:div>
    <w:div w:id="2082676261">
      <w:bodyDiv w:val="1"/>
      <w:marLeft w:val="0"/>
      <w:marRight w:val="0"/>
      <w:marTop w:val="0"/>
      <w:marBottom w:val="0"/>
      <w:divBdr>
        <w:top w:val="none" w:sz="0" w:space="0" w:color="auto"/>
        <w:left w:val="none" w:sz="0" w:space="0" w:color="auto"/>
        <w:bottom w:val="none" w:sz="0" w:space="0" w:color="auto"/>
        <w:right w:val="none" w:sz="0" w:space="0" w:color="auto"/>
      </w:divBdr>
    </w:div>
    <w:div w:id="2095781032">
      <w:bodyDiv w:val="1"/>
      <w:marLeft w:val="0"/>
      <w:marRight w:val="0"/>
      <w:marTop w:val="0"/>
      <w:marBottom w:val="0"/>
      <w:divBdr>
        <w:top w:val="none" w:sz="0" w:space="0" w:color="auto"/>
        <w:left w:val="none" w:sz="0" w:space="0" w:color="auto"/>
        <w:bottom w:val="none" w:sz="0" w:space="0" w:color="auto"/>
        <w:right w:val="none" w:sz="0" w:space="0" w:color="auto"/>
      </w:divBdr>
    </w:div>
    <w:div w:id="2126998755">
      <w:bodyDiv w:val="1"/>
      <w:marLeft w:val="0"/>
      <w:marRight w:val="0"/>
      <w:marTop w:val="0"/>
      <w:marBottom w:val="0"/>
      <w:divBdr>
        <w:top w:val="none" w:sz="0" w:space="0" w:color="auto"/>
        <w:left w:val="none" w:sz="0" w:space="0" w:color="auto"/>
        <w:bottom w:val="none" w:sz="0" w:space="0" w:color="auto"/>
        <w:right w:val="none" w:sz="0" w:space="0" w:color="auto"/>
      </w:divBdr>
    </w:div>
    <w:div w:id="2135173369">
      <w:bodyDiv w:val="1"/>
      <w:marLeft w:val="0"/>
      <w:marRight w:val="0"/>
      <w:marTop w:val="0"/>
      <w:marBottom w:val="0"/>
      <w:divBdr>
        <w:top w:val="none" w:sz="0" w:space="0" w:color="auto"/>
        <w:left w:val="none" w:sz="0" w:space="0" w:color="auto"/>
        <w:bottom w:val="none" w:sz="0" w:space="0" w:color="auto"/>
        <w:right w:val="none" w:sz="0" w:space="0" w:color="auto"/>
      </w:divBdr>
      <w:divsChild>
        <w:div w:id="2039770627">
          <w:marLeft w:val="0"/>
          <w:marRight w:val="0"/>
          <w:marTop w:val="0"/>
          <w:marBottom w:val="0"/>
          <w:divBdr>
            <w:top w:val="none" w:sz="0" w:space="0" w:color="auto"/>
            <w:left w:val="none" w:sz="0" w:space="0" w:color="auto"/>
            <w:bottom w:val="none" w:sz="0" w:space="0" w:color="auto"/>
            <w:right w:val="none" w:sz="0" w:space="0" w:color="auto"/>
          </w:divBdr>
        </w:div>
        <w:div w:id="516773046">
          <w:marLeft w:val="0"/>
          <w:marRight w:val="0"/>
          <w:marTop w:val="0"/>
          <w:marBottom w:val="0"/>
          <w:divBdr>
            <w:top w:val="none" w:sz="0" w:space="0" w:color="auto"/>
            <w:left w:val="none" w:sz="0" w:space="0" w:color="auto"/>
            <w:bottom w:val="none" w:sz="0" w:space="0" w:color="auto"/>
            <w:right w:val="none" w:sz="0" w:space="0" w:color="auto"/>
          </w:divBdr>
        </w:div>
        <w:div w:id="1679195535">
          <w:marLeft w:val="0"/>
          <w:marRight w:val="0"/>
          <w:marTop w:val="0"/>
          <w:marBottom w:val="0"/>
          <w:divBdr>
            <w:top w:val="none" w:sz="0" w:space="0" w:color="auto"/>
            <w:left w:val="none" w:sz="0" w:space="0" w:color="auto"/>
            <w:bottom w:val="none" w:sz="0" w:space="0" w:color="auto"/>
            <w:right w:val="none" w:sz="0" w:space="0" w:color="auto"/>
          </w:divBdr>
        </w:div>
      </w:divsChild>
    </w:div>
    <w:div w:id="214060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ssets.weforum.org/wp-content/uploads/2015/07/www_ey_com_Publication_vwLUAssets_EY-world-islamic-banking-competitiveness-report-2014-15__FILE_EY-world-islamic-banking-competitiveness-report-2014-15_pdf-2.png" TargetMode="External"/><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5A4D04B77123D4C9C219D149F191526"/>
        <w:category>
          <w:name w:val="General"/>
          <w:gallery w:val="placeholder"/>
        </w:category>
        <w:types>
          <w:type w:val="bbPlcHdr"/>
        </w:types>
        <w:behaviors>
          <w:behavior w:val="content"/>
        </w:behaviors>
        <w:guid w:val="{5C9946C6-8343-6640-8E00-89D088B71B76}"/>
      </w:docPartPr>
      <w:docPartBody>
        <w:p w:rsidR="00E0241E" w:rsidRDefault="00750544" w:rsidP="00750544">
          <w:pPr>
            <w:pStyle w:val="25A4D04B77123D4C9C219D149F191526"/>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ue Helvetica W01">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50544"/>
    <w:rsid w:val="003C28DC"/>
    <w:rsid w:val="00490863"/>
    <w:rsid w:val="005D1A56"/>
    <w:rsid w:val="0060065D"/>
    <w:rsid w:val="006115D1"/>
    <w:rsid w:val="00750544"/>
    <w:rsid w:val="007E0F0F"/>
    <w:rsid w:val="008D2860"/>
    <w:rsid w:val="00962328"/>
    <w:rsid w:val="00A6482A"/>
    <w:rsid w:val="00A803FC"/>
    <w:rsid w:val="00AB747E"/>
    <w:rsid w:val="00CA5F1A"/>
    <w:rsid w:val="00E0241E"/>
    <w:rsid w:val="00EE54EC"/>
    <w:rsid w:val="00F108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4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A4D04B77123D4C9C219D149F191526">
    <w:name w:val="25A4D04B77123D4C9C219D149F191526"/>
    <w:rsid w:val="0075054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Version="2008">
  <b:Source>
    <b:Tag>Bra05</b:Tag>
    <b:SourceType>JournalArticle</b:SourceType>
    <b:Guid>{00485542-825F-224A-B06F-A037AF8D8187}</b:Guid>
    <b:Title>Islamic Banking and Finance inTheory and Practice: The Experienceof Malaysia and Bahrain</b:Title>
    <b:Year>January 2005</b:Year>
    <b:Pages>70</b:Pages>
    <b:Author>
      <b:Author>
        <b:NameList>
          <b:Person>
            <b:Last>Cook</b:Last>
            <b:First>Bradley</b:First>
            <b:Middle>J.</b:Middle>
          </b:Person>
        </b:NameList>
      </b:Author>
    </b:Author>
    <b:JournalName>The American Journal of Islamic Social Sciences </b:JournalName>
    <b:Volume>22</b:Volume>
    <b:Issue>2</b:Issue>
    <b:RefOrder>1</b:RefOrder>
  </b:Source>
  <b:Source>
    <b:Tag>Luc10</b:Tag>
    <b:SourceType>ArticleInAPeriodical</b:SourceType>
    <b:Guid>{91F5FDE7-81BB-DB40-960A-89D558C02708}</b:Guid>
    <b:Title>Beginners’ Guide to Islamic Finance</b:Title>
    <b:Year>2010</b:Year>
    <b:Author>
      <b:Author>
        <b:NameList>
          <b:Person>
            <b:Last>Warwick-Ching</b:Last>
            <b:First>Lucy</b:First>
          </b:Person>
        </b:NameList>
      </b:Author>
    </b:Author>
    <b:PeriodicalTitle>Financial Times</b:PeriodicalTitle>
    <b:Month>July</b:Month>
    <b:Day>14</b:Day>
    <b:RefOrder>2</b:RefOrder>
  </b:Source>
  <b:Source>
    <b:Tag>Mum15</b:Tag>
    <b:SourceType>JournalArticle</b:SourceType>
    <b:Guid>{1F2D81FC-F092-174A-A483-EA71CE602226}</b:Guid>
    <b:Title>An Overview Of Islamic Finance</b:Title>
    <b:Year>2015</b:Year>
    <b:Pages>4</b:Pages>
    <b:Author>
      <b:Author>
        <b:NameList>
          <b:Person>
            <b:Last>Hussain</b:Last>
            <b:First>Mumtaz</b:First>
          </b:Person>
        </b:NameList>
      </b:Author>
    </b:Author>
    <b:JournalName>IMF Working Paper</b:JournalName>
    <b:Volume>WP/15/120</b:Volume>
    <b:RefOrder>15</b:RefOrder>
  </b:Source>
  <b:Source>
    <b:Tag>Aim18</b:Tag>
    <b:SourceType>InternetSite</b:SourceType>
    <b:Guid>{BEC08C27-1507-E646-8EE0-B123FD6AC6BF}</b:Guid>
    <b:Title>www.aims.education</b:Title>
    <b:Year>2018</b:Year>
    <b:Author>
      <b:Author>
        <b:Corporate>Aims Education</b:Corporate>
      </b:Author>
    </b:Author>
    <b:URL>http://www.aims.education/islamic-finance-blog/advantages-of-islamic-banking-and-finance/</b:URL>
    <b:YearAccessed>2018</b:YearAccessed>
    <b:MonthAccessed>December</b:MonthAccessed>
    <b:DayAccessed>9th</b:DayAccessed>
    <b:RefOrder>4</b:RefOrder>
  </b:Source>
  <b:Source>
    <b:Tag>Cha17</b:Tag>
    <b:SourceType>ArticleInAPeriodical</b:SourceType>
    <b:Guid>{15CDEA4B-7613-7242-9F3E-B4A0CC7CE23D}</b:Guid>
    <b:Title>The challenges facing Islamic banking</b:Title>
    <b:Year>2017</b:Year>
    <b:Author>
      <b:Author>
        <b:Corporate>Changeboard Team</b:Corporate>
      </b:Author>
    </b:Author>
    <b:PeriodicalTitle>Changeboard</b:PeriodicalTitle>
    <b:Month>July</b:Month>
    <b:Day>31</b:Day>
    <b:Pages>1</b:Pages>
    <b:RefOrder>5</b:RefOrder>
  </b:Source>
  <b:Source>
    <b:Tag>Exp16</b:Tag>
    <b:SourceType>InternetSite</b:SourceType>
    <b:Guid>{B1077FD6-C3E4-654B-8C39-868F01E33BC7}</b:Guid>
    <b:Title>Exportiamo.it</b:Title>
    <b:Year>2016</b:Year>
    <b:Author>
      <b:Author>
        <b:Corporate>Exportiamo</b:Corporate>
      </b:Author>
    </b:Author>
    <b:URL>http://www.exportiamo.it/aree-tematiche/12877/islamic-commercial-law-limits-advantages-and-disadvantages/</b:URL>
    <b:YearAccessed>2018</b:YearAccessed>
    <b:MonthAccessed>December</b:MonthAccessed>
    <b:DayAccessed>9th</b:DayAccessed>
    <b:RefOrder>6</b:RefOrder>
  </b:Source>
  <b:Source>
    <b:Tag>Oth12</b:Tag>
    <b:SourceType>JournalArticle</b:SourceType>
    <b:Guid>{8E297A6C-08F9-A144-BF22-2F10FF909C9D}</b:Guid>
    <b:Author>
      <b:Author>
        <b:NameList>
          <b:Person>
            <b:Last>Othman</b:Last>
            <b:First>Rohana</b:First>
          </b:Person>
        </b:NameList>
      </b:Author>
    </b:Author>
    <b:Title>Islamic Banking: The Firewall Against The Global Financial Crisis  </b:Title>
    <b:Year>2012</b:Year>
    <b:JournalName>Journal of Applied Business Research</b:JournalName>
    <b:Volume>(1)</b:Volume>
    <b:Issue>28</b:Issue>
    <b:Pages>9-14</b:Pages>
    <b:RefOrder>7</b:RefOrder>
  </b:Source>
  <b:Source>
    <b:Tag>Dub17</b:Tag>
    <b:SourceType>Report</b:SourceType>
    <b:Guid>{6FF03872-E701-684D-A7B2-C1E649BA3455}</b:Guid>
    <b:Title>GLOBAL ISLAMIC FINANCE REPORT </b:Title>
    <b:Year>2017</b:Year>
    <b:Author>
      <b:Author>
        <b:Corporate>Dubai Islamic Bank</b:Corporate>
      </b:Author>
    </b:Author>
    <b:Publisher>Dubai Islamic Bank</b:Publisher>
    <b:City>Dubai</b:City>
    <b:RefOrder>10</b:RefOrder>
  </b:Source>
  <b:Source>
    <b:Tag>Fal12</b:Tag>
    <b:SourceType>Book</b:SourceType>
    <b:Guid>{66886435-44E6-4D16-8EB9-0A5B835DC080}</b:Guid>
    <b:Author>
      <b:Author>
        <b:NameList>
          <b:Person>
            <b:Last>Jamaldeen</b:Last>
            <b:First>Faleel</b:First>
          </b:Person>
        </b:NameList>
      </b:Author>
    </b:Author>
    <b:Title>Islamic Finance for dummies</b:Title>
    <b:Year> 2012</b:Year>
    <b:City>Saudi Arabia</b:City>
    <b:Publisher>Wiley</b:Publisher>
    <b:RefOrder>14</b:RefOrder>
  </b:Source>
  <b:Source>
    <b:Tag>Tom15</b:Tag>
    <b:SourceType>ArticleInAPeriodical</b:SourceType>
    <b:Guid>{0BA3A7C3-A2D7-413C-AA3D-92D99A3FC198}</b:Guid>
    <b:Author>
      <b:Author>
        <b:NameList>
          <b:Person>
            <b:Last>Hirst</b:Last>
            <b:First>Tomas</b:First>
          </b:Person>
        </b:NameList>
      </b:Author>
    </b:Author>
    <b:Title>These are the top 9 countries for Islamic finance</b:Title>
    <b:Year>2015</b:Year>
    <b:PeriodicalTitle>World Economic Forum</b:PeriodicalTitle>
    <b:Month>July </b:Month>
    <b:Day>20th</b:Day>
    <b:RefOrder>3</b:RefOrder>
  </b:Source>
  <b:Source>
    <b:Tag>Dri10</b:Tag>
    <b:SourceType>Report</b:SourceType>
    <b:Guid>{BA5821A3-475E-C74F-8461-3ED034C5B9DB}</b:Guid>
    <b:Title>Have Islamic Banks Been Impacted Differently than Conventional Banks During the Recent Global Crisis?</b:Title>
    <b:Publisher>International Monetary Fun</b:Publisher>
    <b:City>Washington</b:City>
    <b:Year>2010</b:Year>
    <b:Author>
      <b:Author>
        <b:NameList>
          <b:Person>
            <b:Last>Dridi</b:Last>
            <b:First>J.,</b:First>
            <b:Middle>&amp; Hasan, M</b:Middle>
          </b:Person>
        </b:NameList>
      </b:Author>
    </b:Author>
    <b:RefOrder>11</b:RefOrder>
  </b:Source>
  <b:Source>
    <b:Tag>ElH07</b:Tag>
    <b:SourceType>Report</b:SourceType>
    <b:Guid>{A919E6F6-C5B5-0F4F-AB81-22DDFF15844D}</b:Guid>
    <b:Author>
      <b:Author>
        <b:NameList>
          <b:Person>
            <b:Last>El-Hawary</b:Last>
            <b:First>D.,</b:First>
            <b:Middle>Grais, W., &amp; Zamir Iqbal</b:Middle>
          </b:Person>
        </b:NameList>
      </b:Author>
    </b:Author>
    <b:Title>Diversity in the regulation of Islamic Financial Institutions</b:Title>
    <b:Publisher>The Quarterly Review of Economics and Finance</b:Publisher>
    <b:Year>2007</b:Year>
    <b:Pages>46: 778-800</b:Pages>
    <b:RefOrder>12</b:RefOrder>
  </b:Source>
  <b:Source>
    <b:Tag>AlH08</b:Tag>
    <b:SourceType>InternetSite</b:SourceType>
    <b:Guid>{63C25CAC-080C-1045-BF48-904153887737}</b:Guid>
    <b:Author>
      <b:Author>
        <b:NameList>
          <b:Person>
            <b:Last>Al-Haddad</b:Last>
            <b:First>H.</b:First>
            <b:Middle>and Tarek el-Diwany</b:Middle>
          </b:Person>
        </b:NameList>
      </b:Author>
    </b:Author>
    <b:Title>Boom, Bust, Crunch: Is There an Islamic Solution?</b:Title>
    <b:Year>2008</b:Year>
    <b:URL>http://www.islamic-finance.com/item153_f.htm</b:URL>
    <b:YearAccessed>2018</b:YearAccessed>
    <b:MonthAccessed>December</b:MonthAccessed>
    <b:DayAccessed>10th</b:DayAccessed>
    <b:RefOrder>8</b:RefOrder>
  </b:Source>
  <b:Source>
    <b:Tag>Muh12</b:Tag>
    <b:SourceType>JournalArticle</b:SourceType>
    <b:Guid>{B8E0077A-0680-474C-AE65-87A5E021FF4A}</b:Guid>
    <b:Title>Comparative Performance Study of Conventional and Islamic Banking in Pakistan</b:Title>
    <b:Year>2012</b:Year>
    <b:Author>
      <b:Author>
        <b:NameList>
          <b:Person>
            <b:Last>Hanif</b:Last>
            <b:First>Muhammad</b:First>
          </b:Person>
        </b:NameList>
      </b:Author>
    </b:Author>
    <b:JournalName>International Research Journal of Finance and Economics</b:JournalName>
    <b:Volume>1450-2887</b:Volume>
    <b:Issue>83</b:Issue>
    <b:Pages>68-70</b:Pages>
    <b:RefOrder>13</b:RefOrder>
  </b:Source>
  <b:Source>
    <b:Tag>IMF10</b:Tag>
    <b:SourceType>DocumentFromInternetSite</b:SourceType>
    <b:Guid>{A08B08F6-0A52-45A7-9C73-2056ECBB01FD}</b:Guid>
    <b:LCID>0</b:LCID>
    <b:Author>
      <b:Author>
        <b:Corporate>IMF</b:Corporate>
      </b:Author>
    </b:Author>
    <b:Title>IMF Survey: Islamic Banks: More Resilient to Crisis?</b:Title>
    <b:Year>2010</b:Year>
    <b:Month>October</b:Month>
    <b:Day>4th</b:Day>
    <b:InternetSiteTitle>www.imf.org</b:InternetSiteTitle>
    <b:YearAccessed>2018</b:YearAccessed>
    <b:MonthAccessed>December</b:MonthAccessed>
    <b:DayAccessed>11</b:DayAccessed>
    <b:URL>https://www.imf.org/en/News/Articles/2015/09/28/04/53/sores100410a</b:URL>
    <b:RefOrder>9</b:RefOrder>
  </b:Source>
</b:Sources>
</file>

<file path=customXml/itemProps1.xml><?xml version="1.0" encoding="utf-8"?>
<ds:datastoreItem xmlns:ds="http://schemas.openxmlformats.org/officeDocument/2006/customXml" ds:itemID="{9C9012FF-E1F3-4B6B-A87D-E64B94883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2254</Words>
  <Characters>12850</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Islamic Finance</vt:lpstr>
    </vt:vector>
  </TitlesOfParts>
  <Company>Bluestone Resorts Ltd</Company>
  <LinksUpToDate>false</LinksUpToDate>
  <CharactersWithSpaces>15074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Islamic Finance</dc:title>
  <dc:creator>Dean Chilcott</dc:creator>
  <cp:lastModifiedBy>dchilcott</cp:lastModifiedBy>
  <cp:revision>2</cp:revision>
  <dcterms:created xsi:type="dcterms:W3CDTF">2018-12-11T16:25:00Z</dcterms:created>
  <dcterms:modified xsi:type="dcterms:W3CDTF">2018-12-11T16:25:00Z</dcterms:modified>
</cp:coreProperties>
</file>