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46224940"/>
        <w:docPartObj>
          <w:docPartGallery w:val="Cover Pages"/>
          <w:docPartUnique/>
        </w:docPartObj>
      </w:sdtPr>
      <w:sdtContent>
        <w:p w14:paraId="00503112" w14:textId="6F79E47E" w:rsidR="004A44A9" w:rsidRDefault="004A44A9"/>
        <w:p w14:paraId="27B954B8" w14:textId="1FED916A" w:rsidR="004A44A9" w:rsidRDefault="008E6429">
          <w:r>
            <w:rPr>
              <w:noProof/>
            </w:rPr>
            <mc:AlternateContent>
              <mc:Choice Requires="wps">
                <w:drawing>
                  <wp:anchor distT="45720" distB="45720" distL="114300" distR="114300" simplePos="0" relativeHeight="251663360" behindDoc="0" locked="0" layoutInCell="1" allowOverlap="1" wp14:anchorId="048BF4E7" wp14:editId="35BD271D">
                    <wp:simplePos x="0" y="0"/>
                    <wp:positionH relativeFrom="margin">
                      <wp:align>center</wp:align>
                    </wp:positionH>
                    <wp:positionV relativeFrom="paragraph">
                      <wp:posOffset>5645040</wp:posOffset>
                    </wp:positionV>
                    <wp:extent cx="4419600" cy="2200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H="1" flipV="1">
                              <a:off x="0" y="0"/>
                              <a:ext cx="4419600" cy="2200275"/>
                            </a:xfrm>
                            <a:prstGeom prst="rect">
                              <a:avLst/>
                            </a:prstGeom>
                            <a:solidFill>
                              <a:srgbClr val="FFFFFF"/>
                            </a:solidFill>
                            <a:ln w="9525">
                              <a:noFill/>
                              <a:miter lim="800000"/>
                              <a:headEnd/>
                              <a:tailEnd/>
                            </a:ln>
                          </wps:spPr>
                          <wps:txbx>
                            <w:txbxContent>
                              <w:p w14:paraId="7DC5D251" w14:textId="794B180B" w:rsidR="003247A4" w:rsidRDefault="003247A4" w:rsidP="008E6429">
                                <w:pPr>
                                  <w:pStyle w:val="Heading2"/>
                                  <w:jc w:val="center"/>
                                </w:pPr>
                                <w:bookmarkStart w:id="0" w:name="_Toc39765170"/>
                                <w:bookmarkStart w:id="1" w:name="_Toc39846754"/>
                                <w:bookmarkStart w:id="2" w:name="_Toc40008529"/>
                                <w:r>
                                  <w:t>‘I certify that this dissertation is my own work, and that any use of other people’s work is fully acknowledged in the references’.</w:t>
                                </w:r>
                                <w:bookmarkEnd w:id="0"/>
                                <w:bookmarkEnd w:id="1"/>
                                <w:bookmarkEnd w:id="2"/>
                              </w:p>
                              <w:p w14:paraId="04FD9F3A" w14:textId="77777777" w:rsidR="003247A4" w:rsidRDefault="003247A4" w:rsidP="008E6429">
                                <w:pPr>
                                  <w:jc w:val="center"/>
                                </w:pPr>
                              </w:p>
                              <w:p w14:paraId="00042A5B" w14:textId="510ADDDC" w:rsidR="003247A4" w:rsidRDefault="003247A4" w:rsidP="008E6429">
                                <w:pPr>
                                  <w:pStyle w:val="Heading2"/>
                                  <w:jc w:val="center"/>
                                </w:pPr>
                                <w:bookmarkStart w:id="3" w:name="_Toc39765171"/>
                                <w:bookmarkStart w:id="4" w:name="_Toc39846755"/>
                                <w:bookmarkStart w:id="5" w:name="_Toc40008530"/>
                                <w:r>
                                  <w:t>Signed: Emily May Howell</w:t>
                                </w:r>
                                <w:bookmarkEnd w:id="3"/>
                                <w:bookmarkEnd w:id="4"/>
                                <w:bookmarkEnd w:id="5"/>
                              </w:p>
                              <w:p w14:paraId="28EE155E" w14:textId="6D0FDAA0" w:rsidR="00612069" w:rsidRPr="00612069" w:rsidRDefault="00612069" w:rsidP="00612069">
                                <w:pPr>
                                  <w:jc w:val="center"/>
                                  <w:rPr>
                                    <w:sz w:val="28"/>
                                    <w:szCs w:val="28"/>
                                  </w:rPr>
                                </w:pPr>
                                <w:r w:rsidRPr="00612069">
                                  <w:rPr>
                                    <w:sz w:val="28"/>
                                    <w:szCs w:val="28"/>
                                  </w:rPr>
                                  <w:t>10/05/2020</w:t>
                                </w:r>
                              </w:p>
                              <w:p w14:paraId="192D226C" w14:textId="738E421A" w:rsidR="003247A4" w:rsidRDefault="003247A4" w:rsidP="008E6429">
                                <w:pPr>
                                  <w:jc w:val="center"/>
                                </w:pPr>
                              </w:p>
                              <w:p w14:paraId="338ADA7B" w14:textId="6BB31A75" w:rsidR="003247A4" w:rsidRPr="008E6429" w:rsidRDefault="003247A4" w:rsidP="008E6429">
                                <w:pPr>
                                  <w:pStyle w:val="Heading2"/>
                                  <w:jc w:val="center"/>
                                </w:pPr>
                                <w:bookmarkStart w:id="6" w:name="_Toc39765172"/>
                                <w:bookmarkStart w:id="7" w:name="_Toc39846756"/>
                                <w:bookmarkStart w:id="8" w:name="_Toc40008531"/>
                                <w:r>
                                  <w:t>Word Count:</w:t>
                                </w:r>
                                <w:bookmarkEnd w:id="6"/>
                                <w:bookmarkEnd w:id="7"/>
                                <w:r>
                                  <w:t xml:space="preserve"> </w:t>
                                </w:r>
                                <w:bookmarkEnd w:id="8"/>
                                <w:r w:rsidR="00612069">
                                  <w:t>10097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8BF4E7" id="_x0000_t202" coordsize="21600,21600" o:spt="202" path="m,l,21600r21600,l21600,xe">
                    <v:stroke joinstyle="miter"/>
                    <v:path gradientshapeok="t" o:connecttype="rect"/>
                  </v:shapetype>
                  <v:shape id="Text Box 2" o:spid="_x0000_s1026" type="#_x0000_t202" style="position:absolute;margin-left:0;margin-top:444.5pt;width:348pt;height:173.25pt;rotation:180;flip:x y;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" stroked="f">
                    <v:textbox>
                      <w:txbxContent>
                        <w:p w14:paraId="7DC5D251" w14:textId="794B180B" w:rsidR="003247A4" w:rsidRDefault="003247A4" w:rsidP="008E6429">
                          <w:pPr>
                            <w:pStyle w:val="Heading2"/>
                            <w:jc w:val="center"/>
                          </w:pPr>
                          <w:bookmarkStart w:id="9" w:name="_Toc39765170"/>
                          <w:bookmarkStart w:id="10" w:name="_Toc39846754"/>
                          <w:bookmarkStart w:id="11" w:name="_Toc40008529"/>
                          <w:r>
                            <w:t>‘I certify that this dissertation is my own work, and that any use of other people’s work is fully acknowledged in the references’.</w:t>
                          </w:r>
                          <w:bookmarkEnd w:id="9"/>
                          <w:bookmarkEnd w:id="10"/>
                          <w:bookmarkEnd w:id="11"/>
                        </w:p>
                        <w:p w14:paraId="04FD9F3A" w14:textId="77777777" w:rsidR="003247A4" w:rsidRDefault="003247A4" w:rsidP="008E6429">
                          <w:pPr>
                            <w:jc w:val="center"/>
                          </w:pPr>
                        </w:p>
                        <w:p w14:paraId="00042A5B" w14:textId="510ADDDC" w:rsidR="003247A4" w:rsidRDefault="003247A4" w:rsidP="008E6429">
                          <w:pPr>
                            <w:pStyle w:val="Heading2"/>
                            <w:jc w:val="center"/>
                          </w:pPr>
                          <w:bookmarkStart w:id="12" w:name="_Toc39765171"/>
                          <w:bookmarkStart w:id="13" w:name="_Toc39846755"/>
                          <w:bookmarkStart w:id="14" w:name="_Toc40008530"/>
                          <w:r>
                            <w:t>Signed: Emily May Howell</w:t>
                          </w:r>
                          <w:bookmarkEnd w:id="12"/>
                          <w:bookmarkEnd w:id="13"/>
                          <w:bookmarkEnd w:id="14"/>
                        </w:p>
                        <w:p w14:paraId="28EE155E" w14:textId="6D0FDAA0" w:rsidR="00612069" w:rsidRPr="00612069" w:rsidRDefault="00612069" w:rsidP="00612069">
                          <w:pPr>
                            <w:jc w:val="center"/>
                            <w:rPr>
                              <w:sz w:val="28"/>
                              <w:szCs w:val="28"/>
                            </w:rPr>
                          </w:pPr>
                          <w:r w:rsidRPr="00612069">
                            <w:rPr>
                              <w:sz w:val="28"/>
                              <w:szCs w:val="28"/>
                            </w:rPr>
                            <w:t>10/05/2020</w:t>
                          </w:r>
                        </w:p>
                        <w:p w14:paraId="192D226C" w14:textId="738E421A" w:rsidR="003247A4" w:rsidRDefault="003247A4" w:rsidP="008E6429">
                          <w:pPr>
                            <w:jc w:val="center"/>
                          </w:pPr>
                        </w:p>
                        <w:p w14:paraId="338ADA7B" w14:textId="6BB31A75" w:rsidR="003247A4" w:rsidRPr="008E6429" w:rsidRDefault="003247A4" w:rsidP="008E6429">
                          <w:pPr>
                            <w:pStyle w:val="Heading2"/>
                            <w:jc w:val="center"/>
                          </w:pPr>
                          <w:bookmarkStart w:id="15" w:name="_Toc39765172"/>
                          <w:bookmarkStart w:id="16" w:name="_Toc39846756"/>
                          <w:bookmarkStart w:id="17" w:name="_Toc40008531"/>
                          <w:r>
                            <w:t>Word Count:</w:t>
                          </w:r>
                          <w:bookmarkEnd w:id="15"/>
                          <w:bookmarkEnd w:id="16"/>
                          <w:r>
                            <w:t xml:space="preserve"> </w:t>
                          </w:r>
                          <w:bookmarkEnd w:id="17"/>
                          <w:r w:rsidR="00612069">
                            <w:t>10097</w:t>
                          </w:r>
                        </w:p>
                      </w:txbxContent>
                    </v:textbox>
                    <w10:wrap type="square" anchorx="margin"/>
                  </v:shape>
                </w:pict>
              </mc:Fallback>
            </mc:AlternateContent>
          </w:r>
          <w:r>
            <w:rPr>
              <w:noProof/>
            </w:rPr>
            <mc:AlternateContent>
              <mc:Choice Requires="wps">
                <w:drawing>
                  <wp:anchor distT="0" distB="0" distL="182880" distR="182880" simplePos="0" relativeHeight="251660288" behindDoc="0" locked="0" layoutInCell="1" allowOverlap="1" wp14:anchorId="3A041C9A" wp14:editId="3AD690DF">
                    <wp:simplePos x="0" y="0"/>
                    <wp:positionH relativeFrom="margin">
                      <wp:posOffset>-212178</wp:posOffset>
                    </wp:positionH>
                    <wp:positionV relativeFrom="page">
                      <wp:posOffset>4103961</wp:posOffset>
                    </wp:positionV>
                    <wp:extent cx="6324600" cy="3400425"/>
                    <wp:effectExtent l="0" t="0" r="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6324600" cy="3400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096AE5" w14:textId="21353A83" w:rsidR="003247A4" w:rsidRDefault="003247A4" w:rsidP="0039345F">
                                <w:pPr>
                                  <w:pStyle w:val="Heading1"/>
                                  <w:jc w:val="center"/>
                                  <w:rPr>
                                    <w:rFonts w:eastAsiaTheme="minorEastAsia"/>
                                  </w:rPr>
                                </w:pPr>
                                <w:sdt>
                                  <w:sdt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bookmarkStart w:id="18" w:name="_Toc39677871"/>
                                    <w:bookmarkStart w:id="19" w:name="_Toc39765173"/>
                                    <w:bookmarkStart w:id="20" w:name="_Toc39846757"/>
                                    <w:bookmarkStart w:id="21" w:name="_Toc40008532"/>
                                    <w:r>
                                      <w:t xml:space="preserve"> </w:t>
                                    </w:r>
                                  </w:sdtContent>
                                </w:sdt>
                                <w:r w:rsidRPr="004A44A9">
                                  <w:rPr>
                                    <w:rFonts w:eastAsiaTheme="minorEastAsia"/>
                                  </w:rPr>
                                  <w:t>Re-</w:t>
                                </w:r>
                                <w:r>
                                  <w:rPr>
                                    <w:rFonts w:eastAsiaTheme="minorEastAsia"/>
                                  </w:rPr>
                                  <w:t>R</w:t>
                                </w:r>
                                <w:r w:rsidRPr="004A44A9">
                                  <w:rPr>
                                    <w:rFonts w:eastAsiaTheme="minorEastAsia"/>
                                  </w:rPr>
                                  <w:t xml:space="preserve">eading the Jewish </w:t>
                                </w:r>
                                <w:r>
                                  <w:rPr>
                                    <w:rFonts w:eastAsiaTheme="minorEastAsia"/>
                                  </w:rPr>
                                  <w:t>F</w:t>
                                </w:r>
                                <w:r w:rsidRPr="004A44A9">
                                  <w:rPr>
                                    <w:rFonts w:eastAsiaTheme="minorEastAsia"/>
                                  </w:rPr>
                                  <w:t xml:space="preserve">emale </w:t>
                                </w:r>
                                <w:r>
                                  <w:rPr>
                                    <w:rFonts w:eastAsiaTheme="minorEastAsia"/>
                                  </w:rPr>
                                  <w:t>P</w:t>
                                </w:r>
                                <w:r w:rsidRPr="004A44A9">
                                  <w:rPr>
                                    <w:rFonts w:eastAsiaTheme="minorEastAsia"/>
                                  </w:rPr>
                                  <w:t xml:space="preserve">urity </w:t>
                                </w:r>
                                <w:r>
                                  <w:rPr>
                                    <w:rFonts w:eastAsiaTheme="minorEastAsia"/>
                                  </w:rPr>
                                  <w:t>L</w:t>
                                </w:r>
                                <w:r w:rsidRPr="004A44A9">
                                  <w:rPr>
                                    <w:rFonts w:eastAsiaTheme="minorEastAsia"/>
                                  </w:rPr>
                                  <w:t xml:space="preserve">aws </w:t>
                                </w:r>
                                <w:r>
                                  <w:rPr>
                                    <w:rFonts w:eastAsiaTheme="minorEastAsia"/>
                                  </w:rPr>
                                  <w:t>from</w:t>
                                </w:r>
                                <w:r w:rsidRPr="004A44A9">
                                  <w:rPr>
                                    <w:rFonts w:eastAsiaTheme="minorEastAsia"/>
                                  </w:rPr>
                                  <w:t xml:space="preserve"> a </w:t>
                                </w:r>
                                <w:r>
                                  <w:rPr>
                                    <w:rFonts w:eastAsiaTheme="minorEastAsia"/>
                                  </w:rPr>
                                  <w:t>F</w:t>
                                </w:r>
                                <w:r w:rsidRPr="004A44A9">
                                  <w:rPr>
                                    <w:rFonts w:eastAsiaTheme="minorEastAsia"/>
                                  </w:rPr>
                                  <w:t xml:space="preserve">eminist </w:t>
                                </w:r>
                                <w:r>
                                  <w:rPr>
                                    <w:rFonts w:eastAsiaTheme="minorEastAsia"/>
                                  </w:rPr>
                                  <w:t>P</w:t>
                                </w:r>
                                <w:r w:rsidRPr="004A44A9">
                                  <w:rPr>
                                    <w:rFonts w:eastAsiaTheme="minorEastAsia"/>
                                  </w:rPr>
                                  <w:t>erspective: Empowering or Imposing</w:t>
                                </w:r>
                                <w:bookmarkEnd w:id="18"/>
                                <w:bookmarkEnd w:id="19"/>
                                <w:bookmarkEnd w:id="20"/>
                                <w:bookmarkEnd w:id="21"/>
                              </w:p>
                              <w:p w14:paraId="037E873B" w14:textId="4C8CE794" w:rsidR="003247A4" w:rsidRDefault="003247A4" w:rsidP="0039345F">
                                <w:pPr>
                                  <w:jc w:val="center"/>
                                </w:pPr>
                              </w:p>
                              <w:p w14:paraId="549CF2C1" w14:textId="77777777" w:rsidR="003247A4" w:rsidRPr="0039345F" w:rsidRDefault="003247A4" w:rsidP="0039345F">
                                <w:pPr>
                                  <w:jc w:val="center"/>
                                </w:pPr>
                              </w:p>
                              <w:bookmarkStart w:id="22" w:name="_Toc39677872"/>
                              <w:bookmarkStart w:id="23" w:name="_Toc39765174"/>
                              <w:bookmarkStart w:id="24" w:name="_Toc39846758"/>
                              <w:bookmarkStart w:id="25" w:name="_Toc40008533"/>
                              <w:p w14:paraId="2F56AC82" w14:textId="0F4A5314" w:rsidR="003247A4" w:rsidRDefault="003247A4" w:rsidP="0039345F">
                                <w:pPr>
                                  <w:pStyle w:val="Heading1"/>
                                  <w:jc w:val="center"/>
                                </w:pPr>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t>Religious Studies:</w:t>
                                    </w:r>
                                  </w:sdtContent>
                                </w:sdt>
                                <w:r w:rsidRPr="0039345F">
                                  <w:t xml:space="preserve"> </w:t>
                                </w:r>
                                <w:r>
                                  <w:t>HPRS6012</w:t>
                                </w:r>
                                <w:bookmarkEnd w:id="22"/>
                                <w:bookmarkEnd w:id="23"/>
                                <w:bookmarkEnd w:id="24"/>
                                <w:bookmarkEnd w:id="25"/>
                              </w:p>
                              <w:p w14:paraId="3161E1AF" w14:textId="77777777" w:rsidR="003247A4" w:rsidRPr="0039345F" w:rsidRDefault="003247A4" w:rsidP="0039345F"/>
                              <w:p w14:paraId="095D4B5C" w14:textId="77777777" w:rsidR="003247A4" w:rsidRPr="0039345F" w:rsidRDefault="003247A4" w:rsidP="004D6187"/>
                              <w:bookmarkStart w:id="26" w:name="_Toc40008534" w:displacedByCustomXml="next"/>
                              <w:bookmarkStart w:id="27" w:name="_Toc39846759" w:displacedByCustomXml="next"/>
                              <w:bookmarkStart w:id="28" w:name="_Toc39765175" w:displacedByCustomXml="next"/>
                              <w:bookmarkStart w:id="29" w:name="_Toc39677873" w:displacedByCustomXml="next"/>
                              <w:sdt>
                                <w:sdtPr>
                                  <w:rPr>
                                    <w:rStyle w:val="Heading2Cha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24BE7C" w14:textId="455A5961" w:rsidR="003247A4" w:rsidRDefault="003247A4" w:rsidP="0039345F">
                                    <w:pPr>
                                      <w:pStyle w:val="NoSpacing"/>
                                      <w:spacing w:before="80" w:after="40"/>
                                      <w:jc w:val="center"/>
                                      <w:rPr>
                                        <w:caps/>
                                        <w:color w:val="5B9BD5" w:themeColor="accent5"/>
                                        <w:sz w:val="24"/>
                                        <w:szCs w:val="24"/>
                                      </w:rPr>
                                    </w:pPr>
                                    <w:r w:rsidRPr="0039345F">
                                      <w:rPr>
                                        <w:rStyle w:val="Heading2Char"/>
                                      </w:rPr>
                                      <w:t>Emily Howell (1700912)</w:t>
                                    </w:r>
                                  </w:p>
                                </w:sdtContent>
                              </w:sdt>
                              <w:bookmarkEnd w:id="26" w:displacedByCustomXml="prev"/>
                              <w:bookmarkEnd w:id="27" w:displacedByCustomXml="prev"/>
                              <w:bookmarkEnd w:id="28" w:displacedByCustomXml="prev"/>
                              <w:bookmarkEnd w:id="29" w:displacedByCustomXml="prev"/>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3A041C9A" id="Text Box 131" o:spid="_x0000_s1027" type="#_x0000_t202" style="position:absolute;margin-left:-16.7pt;margin-top:323.15pt;width:498pt;height:267.7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" filled="f" stroked="f" strokeweight=".5pt">
                    <v:textbox inset="0,0,0,0">
                      <w:txbxContent>
                        <w:p w14:paraId="27096AE5" w14:textId="21353A83" w:rsidR="003247A4" w:rsidRDefault="003247A4" w:rsidP="0039345F">
                          <w:pPr>
                            <w:pStyle w:val="Heading1"/>
                            <w:jc w:val="center"/>
                            <w:rPr>
                              <w:rFonts w:eastAsiaTheme="minorEastAsia"/>
                            </w:rPr>
                          </w:pPr>
                          <w:sdt>
                            <w:sdt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t xml:space="preserve">    </w:t>
                              </w:r>
                              <w:bookmarkStart w:id="30" w:name="_Toc39677871"/>
                              <w:bookmarkStart w:id="31" w:name="_Toc39765173"/>
                              <w:bookmarkStart w:id="32" w:name="_Toc39846757"/>
                              <w:bookmarkStart w:id="33" w:name="_Toc40008532"/>
                              <w:r>
                                <w:t xml:space="preserve"> </w:t>
                              </w:r>
                            </w:sdtContent>
                          </w:sdt>
                          <w:r w:rsidRPr="004A44A9">
                            <w:rPr>
                              <w:rFonts w:eastAsiaTheme="minorEastAsia"/>
                            </w:rPr>
                            <w:t>Re-</w:t>
                          </w:r>
                          <w:r>
                            <w:rPr>
                              <w:rFonts w:eastAsiaTheme="minorEastAsia"/>
                            </w:rPr>
                            <w:t>R</w:t>
                          </w:r>
                          <w:r w:rsidRPr="004A44A9">
                            <w:rPr>
                              <w:rFonts w:eastAsiaTheme="minorEastAsia"/>
                            </w:rPr>
                            <w:t xml:space="preserve">eading the Jewish </w:t>
                          </w:r>
                          <w:r>
                            <w:rPr>
                              <w:rFonts w:eastAsiaTheme="minorEastAsia"/>
                            </w:rPr>
                            <w:t>F</w:t>
                          </w:r>
                          <w:r w:rsidRPr="004A44A9">
                            <w:rPr>
                              <w:rFonts w:eastAsiaTheme="minorEastAsia"/>
                            </w:rPr>
                            <w:t xml:space="preserve">emale </w:t>
                          </w:r>
                          <w:r>
                            <w:rPr>
                              <w:rFonts w:eastAsiaTheme="minorEastAsia"/>
                            </w:rPr>
                            <w:t>P</w:t>
                          </w:r>
                          <w:r w:rsidRPr="004A44A9">
                            <w:rPr>
                              <w:rFonts w:eastAsiaTheme="minorEastAsia"/>
                            </w:rPr>
                            <w:t xml:space="preserve">urity </w:t>
                          </w:r>
                          <w:r>
                            <w:rPr>
                              <w:rFonts w:eastAsiaTheme="minorEastAsia"/>
                            </w:rPr>
                            <w:t>L</w:t>
                          </w:r>
                          <w:r w:rsidRPr="004A44A9">
                            <w:rPr>
                              <w:rFonts w:eastAsiaTheme="minorEastAsia"/>
                            </w:rPr>
                            <w:t xml:space="preserve">aws </w:t>
                          </w:r>
                          <w:r>
                            <w:rPr>
                              <w:rFonts w:eastAsiaTheme="minorEastAsia"/>
                            </w:rPr>
                            <w:t>from</w:t>
                          </w:r>
                          <w:r w:rsidRPr="004A44A9">
                            <w:rPr>
                              <w:rFonts w:eastAsiaTheme="minorEastAsia"/>
                            </w:rPr>
                            <w:t xml:space="preserve"> a </w:t>
                          </w:r>
                          <w:r>
                            <w:rPr>
                              <w:rFonts w:eastAsiaTheme="minorEastAsia"/>
                            </w:rPr>
                            <w:t>F</w:t>
                          </w:r>
                          <w:r w:rsidRPr="004A44A9">
                            <w:rPr>
                              <w:rFonts w:eastAsiaTheme="minorEastAsia"/>
                            </w:rPr>
                            <w:t xml:space="preserve">eminist </w:t>
                          </w:r>
                          <w:r>
                            <w:rPr>
                              <w:rFonts w:eastAsiaTheme="minorEastAsia"/>
                            </w:rPr>
                            <w:t>P</w:t>
                          </w:r>
                          <w:r w:rsidRPr="004A44A9">
                            <w:rPr>
                              <w:rFonts w:eastAsiaTheme="minorEastAsia"/>
                            </w:rPr>
                            <w:t>erspective: Empowering or Imposing</w:t>
                          </w:r>
                          <w:bookmarkEnd w:id="30"/>
                          <w:bookmarkEnd w:id="31"/>
                          <w:bookmarkEnd w:id="32"/>
                          <w:bookmarkEnd w:id="33"/>
                        </w:p>
                        <w:p w14:paraId="037E873B" w14:textId="4C8CE794" w:rsidR="003247A4" w:rsidRDefault="003247A4" w:rsidP="0039345F">
                          <w:pPr>
                            <w:jc w:val="center"/>
                          </w:pPr>
                        </w:p>
                        <w:p w14:paraId="549CF2C1" w14:textId="77777777" w:rsidR="003247A4" w:rsidRPr="0039345F" w:rsidRDefault="003247A4" w:rsidP="0039345F">
                          <w:pPr>
                            <w:jc w:val="center"/>
                          </w:pPr>
                        </w:p>
                        <w:bookmarkStart w:id="34" w:name="_Toc39677872"/>
                        <w:bookmarkStart w:id="35" w:name="_Toc39765174"/>
                        <w:bookmarkStart w:id="36" w:name="_Toc39846758"/>
                        <w:bookmarkStart w:id="37" w:name="_Toc40008533"/>
                        <w:p w14:paraId="2F56AC82" w14:textId="0F4A5314" w:rsidR="003247A4" w:rsidRDefault="003247A4" w:rsidP="0039345F">
                          <w:pPr>
                            <w:pStyle w:val="Heading1"/>
                            <w:jc w:val="center"/>
                          </w:pPr>
                          <w:sdt>
                            <w:sdt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t>Religious Studies:</w:t>
                              </w:r>
                            </w:sdtContent>
                          </w:sdt>
                          <w:r w:rsidRPr="0039345F">
                            <w:t xml:space="preserve"> </w:t>
                          </w:r>
                          <w:r>
                            <w:t>HPRS6012</w:t>
                          </w:r>
                          <w:bookmarkEnd w:id="34"/>
                          <w:bookmarkEnd w:id="35"/>
                          <w:bookmarkEnd w:id="36"/>
                          <w:bookmarkEnd w:id="37"/>
                        </w:p>
                        <w:p w14:paraId="3161E1AF" w14:textId="77777777" w:rsidR="003247A4" w:rsidRPr="0039345F" w:rsidRDefault="003247A4" w:rsidP="0039345F"/>
                        <w:p w14:paraId="095D4B5C" w14:textId="77777777" w:rsidR="003247A4" w:rsidRPr="0039345F" w:rsidRDefault="003247A4" w:rsidP="004D6187"/>
                        <w:bookmarkStart w:id="38" w:name="_Toc40008534" w:displacedByCustomXml="next"/>
                        <w:bookmarkStart w:id="39" w:name="_Toc39846759" w:displacedByCustomXml="next"/>
                        <w:bookmarkStart w:id="40" w:name="_Toc39765175" w:displacedByCustomXml="next"/>
                        <w:bookmarkStart w:id="41" w:name="_Toc39677873" w:displacedByCustomXml="next"/>
                        <w:sdt>
                          <w:sdtPr>
                            <w:rPr>
                              <w:rStyle w:val="Heading2Char"/>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B24BE7C" w14:textId="455A5961" w:rsidR="003247A4" w:rsidRDefault="003247A4" w:rsidP="0039345F">
                              <w:pPr>
                                <w:pStyle w:val="NoSpacing"/>
                                <w:spacing w:before="80" w:after="40"/>
                                <w:jc w:val="center"/>
                                <w:rPr>
                                  <w:caps/>
                                  <w:color w:val="5B9BD5" w:themeColor="accent5"/>
                                  <w:sz w:val="24"/>
                                  <w:szCs w:val="24"/>
                                </w:rPr>
                              </w:pPr>
                              <w:r w:rsidRPr="0039345F">
                                <w:rPr>
                                  <w:rStyle w:val="Heading2Char"/>
                                </w:rPr>
                                <w:t>Emily Howell (1700912)</w:t>
                              </w:r>
                            </w:p>
                          </w:sdtContent>
                        </w:sdt>
                        <w:bookmarkEnd w:id="38" w:displacedByCustomXml="prev"/>
                        <w:bookmarkEnd w:id="39" w:displacedByCustomXml="prev"/>
                        <w:bookmarkEnd w:id="40" w:displacedByCustomXml="prev"/>
                        <w:bookmarkEnd w:id="41" w:displacedByCustomXml="prev"/>
                      </w:txbxContent>
                    </v:textbox>
                    <w10:wrap type="square" anchorx="margin" anchory="page"/>
                  </v:shape>
                </w:pict>
              </mc:Fallback>
            </mc:AlternateContent>
          </w:r>
          <w:r w:rsidR="004A44A9">
            <w:rPr>
              <w:noProof/>
            </w:rPr>
            <w:drawing>
              <wp:anchor distT="0" distB="0" distL="114300" distR="114300" simplePos="0" relativeHeight="251661312" behindDoc="0" locked="0" layoutInCell="1" allowOverlap="1" wp14:anchorId="4649E178" wp14:editId="5B721A7F">
                <wp:simplePos x="0" y="0"/>
                <wp:positionH relativeFrom="margin">
                  <wp:align>left</wp:align>
                </wp:positionH>
                <wp:positionV relativeFrom="paragraph">
                  <wp:posOffset>447675</wp:posOffset>
                </wp:positionV>
                <wp:extent cx="5715000" cy="1895475"/>
                <wp:effectExtent l="0" t="0" r="0" b="9525"/>
                <wp:wrapTopAndBottom/>
                <wp:docPr id="2" name="Picture 2" descr="Emergency Notice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44A9">
            <w:rPr>
              <w:noProof/>
            </w:rPr>
            <mc:AlternateContent>
              <mc:Choice Requires="wps">
                <w:drawing>
                  <wp:anchor distT="0" distB="0" distL="114300" distR="114300" simplePos="0" relativeHeight="251659264" behindDoc="0" locked="0" layoutInCell="1" allowOverlap="1" wp14:anchorId="46AAE16C" wp14:editId="2496D71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5-01T00:00:00Z">
                                    <w:dateFormat w:val="yyyy"/>
                                    <w:lid w:val="en-US"/>
                                    <w:storeMappedDataAs w:val="dateTime"/>
                                    <w:calendar w:val="gregorian"/>
                                  </w:date>
                                </w:sdtPr>
                                <w:sdtContent>
                                  <w:p w14:paraId="608EAB56" w14:textId="24F1CEAD" w:rsidR="003247A4" w:rsidRDefault="003247A4">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AAE16C"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5-01T00:00:00Z">
                              <w:dateFormat w:val="yyyy"/>
                              <w:lid w:val="en-US"/>
                              <w:storeMappedDataAs w:val="dateTime"/>
                              <w:calendar w:val="gregorian"/>
                            </w:date>
                          </w:sdtPr>
                          <w:sdtContent>
                            <w:p w14:paraId="608EAB56" w14:textId="24F1CEAD" w:rsidR="003247A4" w:rsidRDefault="003247A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4A44A9">
            <w:br w:type="page"/>
          </w:r>
        </w:p>
      </w:sdtContent>
    </w:sdt>
    <w:p w14:paraId="70CAAEE1" w14:textId="5314A046" w:rsidR="00CB56CB" w:rsidRDefault="008E6429" w:rsidP="008E6429">
      <w:pPr>
        <w:pStyle w:val="Heading1"/>
      </w:pPr>
      <w:bookmarkStart w:id="42" w:name="_Toc39765176"/>
      <w:bookmarkStart w:id="43" w:name="_Toc39846760"/>
      <w:bookmarkStart w:id="44" w:name="_Toc40008535"/>
      <w:r>
        <w:lastRenderedPageBreak/>
        <w:t>Abstract</w:t>
      </w:r>
      <w:bookmarkEnd w:id="42"/>
      <w:bookmarkEnd w:id="43"/>
      <w:bookmarkEnd w:id="44"/>
    </w:p>
    <w:p w14:paraId="0E34013B" w14:textId="7C1FE2BC" w:rsidR="008E6429" w:rsidRDefault="008E6429" w:rsidP="008E6429"/>
    <w:p w14:paraId="6E4A503D" w14:textId="069C8A76" w:rsidR="008E6429" w:rsidRPr="008E6429" w:rsidRDefault="008E6429" w:rsidP="008E6429">
      <w:pPr>
        <w:rPr>
          <w:szCs w:val="24"/>
        </w:rPr>
      </w:pPr>
      <w:r>
        <w:rPr>
          <w:szCs w:val="24"/>
        </w:rPr>
        <w:t>The Niddah laws are an aspect of Jewish life that h</w:t>
      </w:r>
      <w:r w:rsidR="00B859CE">
        <w:rPr>
          <w:szCs w:val="24"/>
        </w:rPr>
        <w:t>ave</w:t>
      </w:r>
      <w:r w:rsidR="00991343">
        <w:rPr>
          <w:szCs w:val="24"/>
        </w:rPr>
        <w:t xml:space="preserve"> frequently been misunderstood</w:t>
      </w:r>
      <w:r>
        <w:rPr>
          <w:szCs w:val="24"/>
        </w:rPr>
        <w:t>. The overall aim of this dissertation is to evaluate the Niddah laws</w:t>
      </w:r>
      <w:r w:rsidR="00003DA7">
        <w:rPr>
          <w:szCs w:val="24"/>
        </w:rPr>
        <w:t xml:space="preserve"> </w:t>
      </w:r>
      <w:r>
        <w:rPr>
          <w:szCs w:val="24"/>
        </w:rPr>
        <w:t xml:space="preserve">to conclude whether the laws are empowering to </w:t>
      </w:r>
      <w:r w:rsidR="00003DA7">
        <w:rPr>
          <w:szCs w:val="24"/>
        </w:rPr>
        <w:t xml:space="preserve">Jewish </w:t>
      </w:r>
      <w:r>
        <w:rPr>
          <w:szCs w:val="24"/>
        </w:rPr>
        <w:t>women or if they are imposing on them.</w:t>
      </w:r>
      <w:r w:rsidR="00003DA7">
        <w:rPr>
          <w:szCs w:val="24"/>
        </w:rPr>
        <w:t xml:space="preserve"> This will be </w:t>
      </w:r>
      <w:r w:rsidR="00B859CE">
        <w:rPr>
          <w:szCs w:val="24"/>
        </w:rPr>
        <w:t>demonstrated</w:t>
      </w:r>
      <w:r w:rsidR="00003DA7">
        <w:rPr>
          <w:szCs w:val="24"/>
        </w:rPr>
        <w:t xml:space="preserve"> by first re-reading the ancient texts, mainly focusing on Leviticus 15, to find the source in which the stigma around menstruation originated. </w:t>
      </w:r>
      <w:r w:rsidR="003247A4">
        <w:rPr>
          <w:szCs w:val="24"/>
        </w:rPr>
        <w:t>Orthodox</w:t>
      </w:r>
      <w:r w:rsidR="00003DA7">
        <w:rPr>
          <w:szCs w:val="24"/>
        </w:rPr>
        <w:t xml:space="preserve"> Jewish women’s practicing of the laws will then be researched, to find out how women who follow these laws feel about them and how they effect their lives. Finally, the evaluation of whether the laws are empowering or imposing on Jewish women will occur, with the views of </w:t>
      </w:r>
      <w:r w:rsidR="003247A4">
        <w:rPr>
          <w:szCs w:val="24"/>
        </w:rPr>
        <w:t>Reform</w:t>
      </w:r>
      <w:r w:rsidR="00003DA7">
        <w:rPr>
          <w:szCs w:val="24"/>
        </w:rPr>
        <w:t xml:space="preserve"> Jewish women and feminist Jews and scholars to be included also. The main argument of this dissertation is that the laws can be imposing onto women, however, the women who practice them enable the laws to empower them through their own method of practicing them. This is confirmed through the various accounts of Jewish women who state that the laws empowerment, however, ultimately alter them to make them more accommodating to Jewish women. </w:t>
      </w:r>
    </w:p>
    <w:p w14:paraId="1F3E8DD0" w14:textId="3DD32F6B" w:rsidR="008E6429" w:rsidRDefault="008E6429" w:rsidP="008E6429"/>
    <w:p w14:paraId="69CEE0F4" w14:textId="4098DC9D" w:rsidR="008E6429" w:rsidRDefault="008E6429" w:rsidP="008E6429"/>
    <w:p w14:paraId="4354430F" w14:textId="129D6FFE" w:rsidR="008E6429" w:rsidRDefault="008E6429" w:rsidP="008E6429"/>
    <w:p w14:paraId="3CDE1913" w14:textId="2F74B16A" w:rsidR="008E6429" w:rsidRDefault="008E6429" w:rsidP="008E6429"/>
    <w:p w14:paraId="2AC6FC3C" w14:textId="2EC763A3" w:rsidR="008E6429" w:rsidRDefault="008E6429" w:rsidP="008E6429"/>
    <w:p w14:paraId="324635E3" w14:textId="4A8E1EDB" w:rsidR="008E6429" w:rsidRDefault="008E6429" w:rsidP="008E6429"/>
    <w:p w14:paraId="494285C9" w14:textId="18133BC6" w:rsidR="008E6429" w:rsidRDefault="008E6429" w:rsidP="008E6429"/>
    <w:p w14:paraId="34E8E6E8" w14:textId="65EF3329" w:rsidR="008E6429" w:rsidRDefault="008E6429" w:rsidP="008E6429"/>
    <w:p w14:paraId="248AA6C7" w14:textId="762CF5EF" w:rsidR="008E6429" w:rsidRDefault="008E6429" w:rsidP="008E6429"/>
    <w:p w14:paraId="35E3C344" w14:textId="7DC6E1D7" w:rsidR="008E6429" w:rsidRDefault="008E6429" w:rsidP="008E6429"/>
    <w:p w14:paraId="51D2E2A6" w14:textId="224DE9BA" w:rsidR="008E6429" w:rsidRDefault="008E6429" w:rsidP="008E6429"/>
    <w:p w14:paraId="220C3BDF" w14:textId="4A618F6F" w:rsidR="008E6429" w:rsidRDefault="008E6429" w:rsidP="008E6429"/>
    <w:p w14:paraId="1BC882B9" w14:textId="764BAE2C" w:rsidR="008E6429" w:rsidRDefault="008E6429" w:rsidP="008E6429"/>
    <w:p w14:paraId="5065CC50" w14:textId="6C5BFC7D" w:rsidR="008E6429" w:rsidRDefault="008E6429" w:rsidP="008E6429"/>
    <w:p w14:paraId="1FF2490A" w14:textId="2CE8C167" w:rsidR="008E6429" w:rsidRDefault="008E6429" w:rsidP="008E6429"/>
    <w:p w14:paraId="764349EB" w14:textId="77777777" w:rsidR="008E6429" w:rsidRPr="008E6429" w:rsidRDefault="008E6429" w:rsidP="008E6429"/>
    <w:p w14:paraId="1354309E" w14:textId="77777777" w:rsidR="008E6429" w:rsidRPr="008E6429" w:rsidRDefault="008E6429" w:rsidP="008E6429"/>
    <w:p w14:paraId="51FB5ED2" w14:textId="7DB262FF" w:rsidR="00CB56CB" w:rsidRDefault="008E6429" w:rsidP="00CB56CB">
      <w:pPr>
        <w:pStyle w:val="Heading1"/>
      </w:pPr>
      <w:bookmarkStart w:id="45" w:name="_Toc39765177"/>
      <w:bookmarkStart w:id="46" w:name="_Toc39846761"/>
      <w:bookmarkStart w:id="47" w:name="_Toc40008536"/>
      <w:r>
        <w:t>Acknowledgements</w:t>
      </w:r>
      <w:bookmarkEnd w:id="45"/>
      <w:bookmarkEnd w:id="46"/>
      <w:bookmarkEnd w:id="47"/>
      <w:r>
        <w:t xml:space="preserve"> </w:t>
      </w:r>
    </w:p>
    <w:p w14:paraId="3F8CD58F" w14:textId="18E9B1C8" w:rsidR="00003DA7" w:rsidRDefault="00003DA7" w:rsidP="00003DA7"/>
    <w:p w14:paraId="58560F89" w14:textId="7850EF51" w:rsidR="00003DA7" w:rsidRDefault="00003DA7" w:rsidP="00E85EFD">
      <w:r>
        <w:t xml:space="preserve">Over the course of writing this dissertation I have received a </w:t>
      </w:r>
      <w:r w:rsidR="000C6EDC">
        <w:t>tremendous</w:t>
      </w:r>
      <w:r>
        <w:t xml:space="preserve"> amount of support and guidance. </w:t>
      </w:r>
    </w:p>
    <w:p w14:paraId="520F04ED" w14:textId="405AF4D5" w:rsidR="00003DA7" w:rsidRDefault="00003DA7" w:rsidP="00E85EFD">
      <w:r>
        <w:t xml:space="preserve">Firstly, I would like to thank Dr Jessica </w:t>
      </w:r>
      <w:r w:rsidR="000C6EDC">
        <w:t xml:space="preserve">Keady for her constant confidence in my abilities, her </w:t>
      </w:r>
      <w:r w:rsidR="000C6EDC" w:rsidRPr="000C6EDC">
        <w:t>indispensable</w:t>
      </w:r>
      <w:r w:rsidR="000C6EDC">
        <w:t xml:space="preserve"> knowledge of her field of study and for aiding me in my search to find a topic that excites me. </w:t>
      </w:r>
    </w:p>
    <w:p w14:paraId="5F98E41B" w14:textId="66C0EC14" w:rsidR="000C6EDC" w:rsidRDefault="000C6EDC" w:rsidP="00E85EFD">
      <w:r>
        <w:t xml:space="preserve">I would also like to thank all the Religious Studies lectures at UWTSD for supporting me over my three years at this university. Without </w:t>
      </w:r>
      <w:r w:rsidR="00330CA6">
        <w:t>all</w:t>
      </w:r>
      <w:r>
        <w:t xml:space="preserve"> its staff members I do not believe that I would have been able to achieve all that I have.</w:t>
      </w:r>
    </w:p>
    <w:p w14:paraId="762E5815" w14:textId="022E8E40" w:rsidR="000C6EDC" w:rsidRDefault="000C6EDC" w:rsidP="00E85EFD">
      <w:r>
        <w:t>Thirdly, I would like to greatly thank Ute Beaton for helping me</w:t>
      </w:r>
      <w:r w:rsidR="008A6447">
        <w:t xml:space="preserve"> </w:t>
      </w:r>
      <w:r w:rsidR="00A347A3">
        <w:t xml:space="preserve">immensely </w:t>
      </w:r>
      <w:r w:rsidR="008A6447">
        <w:t xml:space="preserve">during my time at university. Without your help I would not have been able to convey my thoughts onto </w:t>
      </w:r>
      <w:r w:rsidR="00AB6AB7">
        <w:t>paper or</w:t>
      </w:r>
      <w:r w:rsidR="008A6447">
        <w:t xml:space="preserve"> achieved a place on a PGCE course</w:t>
      </w:r>
      <w:r w:rsidR="00AB6AB7">
        <w:t>. You have had on</w:t>
      </w:r>
      <w:r w:rsidR="00330CA6">
        <w:t>e</w:t>
      </w:r>
      <w:r w:rsidR="00AB6AB7">
        <w:t xml:space="preserve"> of the biggest impacted on my academic journey and have taught me things that I will use i</w:t>
      </w:r>
      <w:r w:rsidR="00A347A3">
        <w:t>n all of my future endeavours</w:t>
      </w:r>
      <w:r w:rsidR="00AB6AB7">
        <w:t>.</w:t>
      </w:r>
    </w:p>
    <w:p w14:paraId="4EE08D2F" w14:textId="77777777" w:rsidR="004E00D0" w:rsidRDefault="00AB6AB7" w:rsidP="00E85EFD">
      <w:r>
        <w:t>Finally</w:t>
      </w:r>
      <w:r w:rsidR="00B66004">
        <w:t>,</w:t>
      </w:r>
      <w:r>
        <w:t xml:space="preserve"> I would like to thank my family and friends. </w:t>
      </w:r>
      <w:r w:rsidR="00A347A3">
        <w:t>Thank you to m</w:t>
      </w:r>
      <w:r>
        <w:t xml:space="preserve">y parents, Richard and Sarah, for both emotional </w:t>
      </w:r>
      <w:r w:rsidR="00B66004">
        <w:t>and financial support</w:t>
      </w:r>
      <w:r w:rsidR="00A347A3">
        <w:t>, and encouraging me to pursue further academia</w:t>
      </w:r>
      <w:r w:rsidR="00B66004">
        <w:t xml:space="preserve">. To the remainder of my family, I appreciate your kind words in times that you did not know that I needed them. Thank you for supporting me with everything that I have strived to do. </w:t>
      </w:r>
    </w:p>
    <w:p w14:paraId="1FD4B096" w14:textId="77777777" w:rsidR="004E00D0" w:rsidRDefault="00B66004" w:rsidP="00E85EFD">
      <w:r>
        <w:t xml:space="preserve">To </w:t>
      </w:r>
      <w:r w:rsidR="00A347A3">
        <w:t xml:space="preserve">all of </w:t>
      </w:r>
      <w:r>
        <w:t>my friends,</w:t>
      </w:r>
      <w:r w:rsidR="00A347A3">
        <w:t xml:space="preserve"> specifically</w:t>
      </w:r>
      <w:r>
        <w:t xml:space="preserve"> Lowri and Molly</w:t>
      </w:r>
      <w:r w:rsidR="009B613D">
        <w:t>, thank you</w:t>
      </w:r>
      <w:r>
        <w:t xml:space="preserve"> for the late-night calls and encouragement.</w:t>
      </w:r>
      <w:r w:rsidR="009B613D">
        <w:t xml:space="preserve"> </w:t>
      </w:r>
      <w:r w:rsidR="00A347A3">
        <w:t>Without your support I would not have</w:t>
      </w:r>
      <w:r w:rsidR="004E00D0">
        <w:t xml:space="preserve"> pushed myself to achieve what I have.</w:t>
      </w:r>
    </w:p>
    <w:p w14:paraId="5B15B075" w14:textId="0BB7424B" w:rsidR="00AB6AB7" w:rsidRDefault="009B613D" w:rsidP="00E85EFD">
      <w:r>
        <w:t>Finally, thank you to m</w:t>
      </w:r>
      <w:r w:rsidR="00B66004">
        <w:t>y partner, James,</w:t>
      </w:r>
      <w:r w:rsidR="00E85EFD">
        <w:t xml:space="preserve"> for your </w:t>
      </w:r>
      <w:r w:rsidR="00A874B9">
        <w:t>patience</w:t>
      </w:r>
      <w:r w:rsidR="00E85EFD">
        <w:t xml:space="preserve"> and help in everything I </w:t>
      </w:r>
      <w:r w:rsidR="00A874B9">
        <w:t>do.</w:t>
      </w:r>
      <w:r w:rsidR="00B66004">
        <w:t xml:space="preserve"> </w:t>
      </w:r>
    </w:p>
    <w:p w14:paraId="7C6F5655" w14:textId="475694D7" w:rsidR="000C6EDC" w:rsidRPr="00003DA7" w:rsidRDefault="000C6EDC" w:rsidP="00E85EFD">
      <w:r>
        <w:t xml:space="preserve">  </w:t>
      </w:r>
    </w:p>
    <w:p w14:paraId="54697E6A" w14:textId="77777777" w:rsidR="008E6429" w:rsidRPr="008E6429" w:rsidRDefault="008E6429" w:rsidP="00E85EFD"/>
    <w:p w14:paraId="593F3484" w14:textId="77777777" w:rsidR="004A44A9" w:rsidRDefault="004A44A9" w:rsidP="00E85EFD">
      <w:pPr>
        <w:pStyle w:val="Heading1"/>
      </w:pPr>
      <w:bookmarkStart w:id="48" w:name="_Toc39585282"/>
      <w:bookmarkStart w:id="49" w:name="_Toc39585669"/>
      <w:bookmarkStart w:id="50" w:name="_Toc39585870"/>
    </w:p>
    <w:p w14:paraId="18AC191F" w14:textId="1D4C783B" w:rsidR="004A44A9" w:rsidRDefault="004A44A9" w:rsidP="00E85EFD">
      <w:pPr>
        <w:pStyle w:val="Heading1"/>
      </w:pPr>
    </w:p>
    <w:p w14:paraId="19AD2B3B" w14:textId="0A1B9856" w:rsidR="004A44A9" w:rsidRDefault="004A44A9" w:rsidP="004A44A9"/>
    <w:p w14:paraId="5FAFC580" w14:textId="54B7E083" w:rsidR="0039345F" w:rsidRDefault="0039345F" w:rsidP="004A44A9"/>
    <w:p w14:paraId="2D2CDEA7" w14:textId="2000E25F" w:rsidR="008E6429" w:rsidRDefault="008E6429" w:rsidP="004A44A9"/>
    <w:p w14:paraId="5CF91ED1" w14:textId="633E2DE9" w:rsidR="008E6429" w:rsidRDefault="008E6429" w:rsidP="004A44A9"/>
    <w:p w14:paraId="637421D4" w14:textId="5AF8DADB" w:rsidR="008E6429" w:rsidRDefault="008E6429" w:rsidP="004A44A9"/>
    <w:p w14:paraId="59672663" w14:textId="311932DD" w:rsidR="008E6429" w:rsidRDefault="008E6429" w:rsidP="004A44A9"/>
    <w:bookmarkStart w:id="51" w:name="_Toc40008537" w:displacedByCustomXml="next"/>
    <w:bookmarkStart w:id="52" w:name="_Toc39846762" w:displacedByCustomXml="next"/>
    <w:bookmarkStart w:id="53" w:name="_Toc39765178" w:displacedByCustomXml="next"/>
    <w:sdt>
      <w:sdtPr>
        <w:id w:val="1859927896"/>
        <w:docPartObj>
          <w:docPartGallery w:val="Table of Contents"/>
          <w:docPartUnique/>
        </w:docPartObj>
      </w:sdtPr>
      <w:sdtEndPr>
        <w:rPr>
          <w:rFonts w:eastAsiaTheme="minorHAnsi" w:cstheme="minorBidi"/>
          <w:b/>
          <w:bCs/>
          <w:noProof/>
          <w:sz w:val="24"/>
          <w:szCs w:val="22"/>
          <w:shd w:val="clear" w:color="auto" w:fill="auto"/>
        </w:rPr>
      </w:sdtEndPr>
      <w:sdtContent>
        <w:p w14:paraId="6F04D1B4" w14:textId="77777777" w:rsidR="003247A4" w:rsidRDefault="008E6429" w:rsidP="002E53C6">
          <w:pPr>
            <w:pStyle w:val="Heading2"/>
            <w:rPr>
              <w:noProof/>
            </w:rPr>
          </w:pPr>
          <w:r w:rsidRPr="0039345F">
            <w:rPr>
              <w:sz w:val="36"/>
              <w:szCs w:val="36"/>
            </w:rPr>
            <w:t>Contents</w:t>
          </w:r>
          <w:bookmarkEnd w:id="53"/>
          <w:bookmarkEnd w:id="52"/>
          <w:bookmarkEnd w:id="51"/>
          <w:r w:rsidRPr="0039345F">
            <w:fldChar w:fldCharType="begin"/>
          </w:r>
          <w:r w:rsidRPr="0039345F">
            <w:instrText xml:space="preserve"> TOC \o "1-3" \h \z \u </w:instrText>
          </w:r>
          <w:r w:rsidRPr="0039345F">
            <w:fldChar w:fldCharType="separate"/>
          </w:r>
        </w:p>
        <w:p w14:paraId="26EDC7E0" w14:textId="2EC5A065"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r:id="rId9" w:anchor="_Toc40008529" w:history="1">
            <w:r w:rsidRPr="008640E7">
              <w:rPr>
                <w:rStyle w:val="Hyperlink"/>
                <w:noProof/>
              </w:rPr>
              <w:t>‘I certify that this dissertation is my own work, and that any use of other people’s work is fully acknowledged in the references’.</w:t>
            </w:r>
            <w:r>
              <w:rPr>
                <w:noProof/>
                <w:webHidden/>
              </w:rPr>
              <w:tab/>
            </w:r>
            <w:r>
              <w:rPr>
                <w:noProof/>
                <w:webHidden/>
              </w:rPr>
              <w:fldChar w:fldCharType="begin"/>
            </w:r>
            <w:r>
              <w:rPr>
                <w:noProof/>
                <w:webHidden/>
              </w:rPr>
              <w:instrText xml:space="preserve"> PAGEREF _Toc40008529 \h </w:instrText>
            </w:r>
            <w:r>
              <w:rPr>
                <w:noProof/>
                <w:webHidden/>
              </w:rPr>
            </w:r>
            <w:r>
              <w:rPr>
                <w:noProof/>
                <w:webHidden/>
              </w:rPr>
              <w:fldChar w:fldCharType="separate"/>
            </w:r>
            <w:r>
              <w:rPr>
                <w:noProof/>
                <w:webHidden/>
              </w:rPr>
              <w:t>0</w:t>
            </w:r>
            <w:r>
              <w:rPr>
                <w:noProof/>
                <w:webHidden/>
              </w:rPr>
              <w:fldChar w:fldCharType="end"/>
            </w:r>
          </w:hyperlink>
        </w:p>
        <w:p w14:paraId="0B199BFE" w14:textId="6B66818D"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r:id="rId10" w:anchor="_Toc40008530" w:history="1">
            <w:r w:rsidRPr="008640E7">
              <w:rPr>
                <w:rStyle w:val="Hyperlink"/>
                <w:noProof/>
              </w:rPr>
              <w:t>Signed: Emily May Howell</w:t>
            </w:r>
            <w:r>
              <w:rPr>
                <w:noProof/>
                <w:webHidden/>
              </w:rPr>
              <w:tab/>
            </w:r>
            <w:r>
              <w:rPr>
                <w:noProof/>
                <w:webHidden/>
              </w:rPr>
              <w:fldChar w:fldCharType="begin"/>
            </w:r>
            <w:r>
              <w:rPr>
                <w:noProof/>
                <w:webHidden/>
              </w:rPr>
              <w:instrText xml:space="preserve"> PAGEREF _Toc40008530 \h </w:instrText>
            </w:r>
            <w:r>
              <w:rPr>
                <w:noProof/>
                <w:webHidden/>
              </w:rPr>
            </w:r>
            <w:r>
              <w:rPr>
                <w:noProof/>
                <w:webHidden/>
              </w:rPr>
              <w:fldChar w:fldCharType="separate"/>
            </w:r>
            <w:r>
              <w:rPr>
                <w:noProof/>
                <w:webHidden/>
              </w:rPr>
              <w:t>0</w:t>
            </w:r>
            <w:r>
              <w:rPr>
                <w:noProof/>
                <w:webHidden/>
              </w:rPr>
              <w:fldChar w:fldCharType="end"/>
            </w:r>
          </w:hyperlink>
        </w:p>
        <w:p w14:paraId="70821AEA" w14:textId="7EB8E54F"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r:id="rId11" w:anchor="_Toc40008531" w:history="1">
            <w:r w:rsidRPr="008640E7">
              <w:rPr>
                <w:rStyle w:val="Hyperlink"/>
                <w:noProof/>
              </w:rPr>
              <w:t>Word Count: 9960</w:t>
            </w:r>
            <w:r>
              <w:rPr>
                <w:noProof/>
                <w:webHidden/>
              </w:rPr>
              <w:tab/>
            </w:r>
            <w:r>
              <w:rPr>
                <w:noProof/>
                <w:webHidden/>
              </w:rPr>
              <w:fldChar w:fldCharType="begin"/>
            </w:r>
            <w:r>
              <w:rPr>
                <w:noProof/>
                <w:webHidden/>
              </w:rPr>
              <w:instrText xml:space="preserve"> PAGEREF _Toc40008531 \h </w:instrText>
            </w:r>
            <w:r>
              <w:rPr>
                <w:noProof/>
                <w:webHidden/>
              </w:rPr>
            </w:r>
            <w:r>
              <w:rPr>
                <w:noProof/>
                <w:webHidden/>
              </w:rPr>
              <w:fldChar w:fldCharType="separate"/>
            </w:r>
            <w:r>
              <w:rPr>
                <w:noProof/>
                <w:webHidden/>
              </w:rPr>
              <w:t>0</w:t>
            </w:r>
            <w:r>
              <w:rPr>
                <w:noProof/>
                <w:webHidden/>
              </w:rPr>
              <w:fldChar w:fldCharType="end"/>
            </w:r>
          </w:hyperlink>
        </w:p>
        <w:p w14:paraId="4A4F7353" w14:textId="3AF46185"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r:id="rId12" w:anchor="_Toc40008532" w:history="1">
            <w:r w:rsidRPr="008640E7">
              <w:rPr>
                <w:rStyle w:val="Hyperlink"/>
                <w:noProof/>
              </w:rPr>
              <w:t xml:space="preserve"> Re-Reading the Jewish Female Purity Laws from a Feminist Perspective: Empowering or Imposing</w:t>
            </w:r>
            <w:r>
              <w:rPr>
                <w:noProof/>
                <w:webHidden/>
              </w:rPr>
              <w:tab/>
            </w:r>
            <w:r>
              <w:rPr>
                <w:noProof/>
                <w:webHidden/>
              </w:rPr>
              <w:fldChar w:fldCharType="begin"/>
            </w:r>
            <w:r>
              <w:rPr>
                <w:noProof/>
                <w:webHidden/>
              </w:rPr>
              <w:instrText xml:space="preserve"> PAGEREF _Toc40008532 \h </w:instrText>
            </w:r>
            <w:r>
              <w:rPr>
                <w:noProof/>
                <w:webHidden/>
              </w:rPr>
            </w:r>
            <w:r>
              <w:rPr>
                <w:noProof/>
                <w:webHidden/>
              </w:rPr>
              <w:fldChar w:fldCharType="separate"/>
            </w:r>
            <w:r>
              <w:rPr>
                <w:noProof/>
                <w:webHidden/>
              </w:rPr>
              <w:t>0</w:t>
            </w:r>
            <w:r>
              <w:rPr>
                <w:noProof/>
                <w:webHidden/>
              </w:rPr>
              <w:fldChar w:fldCharType="end"/>
            </w:r>
          </w:hyperlink>
        </w:p>
        <w:p w14:paraId="65081BC7" w14:textId="3E0E9615"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r:id="rId13" w:anchor="_Toc40008533" w:history="1">
            <w:r w:rsidRPr="008640E7">
              <w:rPr>
                <w:rStyle w:val="Hyperlink"/>
                <w:noProof/>
              </w:rPr>
              <w:t>Religious Studies: HPRS6012</w:t>
            </w:r>
            <w:r>
              <w:rPr>
                <w:noProof/>
                <w:webHidden/>
              </w:rPr>
              <w:tab/>
            </w:r>
            <w:r>
              <w:rPr>
                <w:noProof/>
                <w:webHidden/>
              </w:rPr>
              <w:fldChar w:fldCharType="begin"/>
            </w:r>
            <w:r>
              <w:rPr>
                <w:noProof/>
                <w:webHidden/>
              </w:rPr>
              <w:instrText xml:space="preserve"> PAGEREF _Toc40008533 \h </w:instrText>
            </w:r>
            <w:r>
              <w:rPr>
                <w:noProof/>
                <w:webHidden/>
              </w:rPr>
            </w:r>
            <w:r>
              <w:rPr>
                <w:noProof/>
                <w:webHidden/>
              </w:rPr>
              <w:fldChar w:fldCharType="separate"/>
            </w:r>
            <w:r>
              <w:rPr>
                <w:noProof/>
                <w:webHidden/>
              </w:rPr>
              <w:t>0</w:t>
            </w:r>
            <w:r>
              <w:rPr>
                <w:noProof/>
                <w:webHidden/>
              </w:rPr>
              <w:fldChar w:fldCharType="end"/>
            </w:r>
          </w:hyperlink>
        </w:p>
        <w:p w14:paraId="031E9F54" w14:textId="6198C39E"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r:id="rId14" w:anchor="_Toc40008534" w:history="1">
            <w:r w:rsidRPr="008640E7">
              <w:rPr>
                <w:rStyle w:val="Hyperlink"/>
                <w:noProof/>
                <w:lang w:val="en-US"/>
              </w:rPr>
              <w:t>Emily Howell (1700912)</w:t>
            </w:r>
            <w:r>
              <w:rPr>
                <w:noProof/>
                <w:webHidden/>
              </w:rPr>
              <w:tab/>
            </w:r>
            <w:r>
              <w:rPr>
                <w:noProof/>
                <w:webHidden/>
              </w:rPr>
              <w:fldChar w:fldCharType="begin"/>
            </w:r>
            <w:r>
              <w:rPr>
                <w:noProof/>
                <w:webHidden/>
              </w:rPr>
              <w:instrText xml:space="preserve"> PAGEREF _Toc40008534 \h </w:instrText>
            </w:r>
            <w:r>
              <w:rPr>
                <w:noProof/>
                <w:webHidden/>
              </w:rPr>
            </w:r>
            <w:r>
              <w:rPr>
                <w:noProof/>
                <w:webHidden/>
              </w:rPr>
              <w:fldChar w:fldCharType="separate"/>
            </w:r>
            <w:r>
              <w:rPr>
                <w:noProof/>
                <w:webHidden/>
              </w:rPr>
              <w:t>0</w:t>
            </w:r>
            <w:r>
              <w:rPr>
                <w:noProof/>
                <w:webHidden/>
              </w:rPr>
              <w:fldChar w:fldCharType="end"/>
            </w:r>
          </w:hyperlink>
        </w:p>
        <w:p w14:paraId="48D2FA8F" w14:textId="3653C73D"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35" w:history="1">
            <w:r w:rsidRPr="008640E7">
              <w:rPr>
                <w:rStyle w:val="Hyperlink"/>
                <w:noProof/>
              </w:rPr>
              <w:t>Abstract</w:t>
            </w:r>
            <w:r>
              <w:rPr>
                <w:noProof/>
                <w:webHidden/>
              </w:rPr>
              <w:tab/>
            </w:r>
            <w:r>
              <w:rPr>
                <w:noProof/>
                <w:webHidden/>
              </w:rPr>
              <w:fldChar w:fldCharType="begin"/>
            </w:r>
            <w:r>
              <w:rPr>
                <w:noProof/>
                <w:webHidden/>
              </w:rPr>
              <w:instrText xml:space="preserve"> PAGEREF _Toc40008535 \h </w:instrText>
            </w:r>
            <w:r>
              <w:rPr>
                <w:noProof/>
                <w:webHidden/>
              </w:rPr>
            </w:r>
            <w:r>
              <w:rPr>
                <w:noProof/>
                <w:webHidden/>
              </w:rPr>
              <w:fldChar w:fldCharType="separate"/>
            </w:r>
            <w:r>
              <w:rPr>
                <w:noProof/>
                <w:webHidden/>
              </w:rPr>
              <w:t>1</w:t>
            </w:r>
            <w:r>
              <w:rPr>
                <w:noProof/>
                <w:webHidden/>
              </w:rPr>
              <w:fldChar w:fldCharType="end"/>
            </w:r>
          </w:hyperlink>
        </w:p>
        <w:p w14:paraId="60E31DC3" w14:textId="3153FB27"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36" w:history="1">
            <w:r w:rsidRPr="008640E7">
              <w:rPr>
                <w:rStyle w:val="Hyperlink"/>
                <w:noProof/>
              </w:rPr>
              <w:t>Acknowledgements</w:t>
            </w:r>
            <w:r>
              <w:rPr>
                <w:noProof/>
                <w:webHidden/>
              </w:rPr>
              <w:tab/>
            </w:r>
            <w:r>
              <w:rPr>
                <w:noProof/>
                <w:webHidden/>
              </w:rPr>
              <w:fldChar w:fldCharType="begin"/>
            </w:r>
            <w:r>
              <w:rPr>
                <w:noProof/>
                <w:webHidden/>
              </w:rPr>
              <w:instrText xml:space="preserve"> PAGEREF _Toc40008536 \h </w:instrText>
            </w:r>
            <w:r>
              <w:rPr>
                <w:noProof/>
                <w:webHidden/>
              </w:rPr>
            </w:r>
            <w:r>
              <w:rPr>
                <w:noProof/>
                <w:webHidden/>
              </w:rPr>
              <w:fldChar w:fldCharType="separate"/>
            </w:r>
            <w:r>
              <w:rPr>
                <w:noProof/>
                <w:webHidden/>
              </w:rPr>
              <w:t>2</w:t>
            </w:r>
            <w:r>
              <w:rPr>
                <w:noProof/>
                <w:webHidden/>
              </w:rPr>
              <w:fldChar w:fldCharType="end"/>
            </w:r>
          </w:hyperlink>
        </w:p>
        <w:p w14:paraId="03F99C35" w14:textId="4BFBF747"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37" w:history="1">
            <w:r w:rsidRPr="008640E7">
              <w:rPr>
                <w:rStyle w:val="Hyperlink"/>
                <w:noProof/>
              </w:rPr>
              <w:t>Contents</w:t>
            </w:r>
            <w:r>
              <w:rPr>
                <w:noProof/>
                <w:webHidden/>
              </w:rPr>
              <w:tab/>
            </w:r>
            <w:r>
              <w:rPr>
                <w:noProof/>
                <w:webHidden/>
              </w:rPr>
              <w:fldChar w:fldCharType="begin"/>
            </w:r>
            <w:r>
              <w:rPr>
                <w:noProof/>
                <w:webHidden/>
              </w:rPr>
              <w:instrText xml:space="preserve"> PAGEREF _Toc40008537 \h </w:instrText>
            </w:r>
            <w:r>
              <w:rPr>
                <w:noProof/>
                <w:webHidden/>
              </w:rPr>
            </w:r>
            <w:r>
              <w:rPr>
                <w:noProof/>
                <w:webHidden/>
              </w:rPr>
              <w:fldChar w:fldCharType="separate"/>
            </w:r>
            <w:r>
              <w:rPr>
                <w:noProof/>
                <w:webHidden/>
              </w:rPr>
              <w:t>3</w:t>
            </w:r>
            <w:r>
              <w:rPr>
                <w:noProof/>
                <w:webHidden/>
              </w:rPr>
              <w:fldChar w:fldCharType="end"/>
            </w:r>
          </w:hyperlink>
        </w:p>
        <w:p w14:paraId="19EA52FB" w14:textId="2AA8E293"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38" w:history="1">
            <w:r w:rsidRPr="008640E7">
              <w:rPr>
                <w:rStyle w:val="Hyperlink"/>
                <w:noProof/>
              </w:rPr>
              <w:t>Introduction</w:t>
            </w:r>
            <w:r>
              <w:rPr>
                <w:noProof/>
                <w:webHidden/>
              </w:rPr>
              <w:tab/>
            </w:r>
            <w:r>
              <w:rPr>
                <w:noProof/>
                <w:webHidden/>
              </w:rPr>
              <w:fldChar w:fldCharType="begin"/>
            </w:r>
            <w:r>
              <w:rPr>
                <w:noProof/>
                <w:webHidden/>
              </w:rPr>
              <w:instrText xml:space="preserve"> PAGEREF _Toc40008538 \h </w:instrText>
            </w:r>
            <w:r>
              <w:rPr>
                <w:noProof/>
                <w:webHidden/>
              </w:rPr>
            </w:r>
            <w:r>
              <w:rPr>
                <w:noProof/>
                <w:webHidden/>
              </w:rPr>
              <w:fldChar w:fldCharType="separate"/>
            </w:r>
            <w:r>
              <w:rPr>
                <w:noProof/>
                <w:webHidden/>
              </w:rPr>
              <w:t>4</w:t>
            </w:r>
            <w:r>
              <w:rPr>
                <w:noProof/>
                <w:webHidden/>
              </w:rPr>
              <w:fldChar w:fldCharType="end"/>
            </w:r>
          </w:hyperlink>
        </w:p>
        <w:p w14:paraId="4D7E23BA" w14:textId="32F6870D"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39" w:history="1">
            <w:r w:rsidRPr="008640E7">
              <w:rPr>
                <w:rStyle w:val="Hyperlink"/>
                <w:noProof/>
              </w:rPr>
              <w:t>Ancient Texts</w:t>
            </w:r>
            <w:r>
              <w:rPr>
                <w:noProof/>
                <w:webHidden/>
              </w:rPr>
              <w:tab/>
            </w:r>
            <w:r>
              <w:rPr>
                <w:noProof/>
                <w:webHidden/>
              </w:rPr>
              <w:fldChar w:fldCharType="begin"/>
            </w:r>
            <w:r>
              <w:rPr>
                <w:noProof/>
                <w:webHidden/>
              </w:rPr>
              <w:instrText xml:space="preserve"> PAGEREF _Toc40008539 \h </w:instrText>
            </w:r>
            <w:r>
              <w:rPr>
                <w:noProof/>
                <w:webHidden/>
              </w:rPr>
            </w:r>
            <w:r>
              <w:rPr>
                <w:noProof/>
                <w:webHidden/>
              </w:rPr>
              <w:fldChar w:fldCharType="separate"/>
            </w:r>
            <w:r>
              <w:rPr>
                <w:noProof/>
                <w:webHidden/>
              </w:rPr>
              <w:t>6</w:t>
            </w:r>
            <w:r>
              <w:rPr>
                <w:noProof/>
                <w:webHidden/>
              </w:rPr>
              <w:fldChar w:fldCharType="end"/>
            </w:r>
          </w:hyperlink>
        </w:p>
        <w:p w14:paraId="7B2D676A" w14:textId="340CF24D"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0" w:history="1">
            <w:r w:rsidRPr="008640E7">
              <w:rPr>
                <w:rStyle w:val="Hyperlink"/>
                <w:rFonts w:eastAsiaTheme="majorEastAsia" w:cstheme="majorBidi"/>
                <w:noProof/>
              </w:rPr>
              <w:t>Purity in Leviticus</w:t>
            </w:r>
            <w:r>
              <w:rPr>
                <w:noProof/>
                <w:webHidden/>
              </w:rPr>
              <w:tab/>
            </w:r>
            <w:r>
              <w:rPr>
                <w:noProof/>
                <w:webHidden/>
              </w:rPr>
              <w:fldChar w:fldCharType="begin"/>
            </w:r>
            <w:r>
              <w:rPr>
                <w:noProof/>
                <w:webHidden/>
              </w:rPr>
              <w:instrText xml:space="preserve"> PAGEREF _Toc40008540 \h </w:instrText>
            </w:r>
            <w:r>
              <w:rPr>
                <w:noProof/>
                <w:webHidden/>
              </w:rPr>
            </w:r>
            <w:r>
              <w:rPr>
                <w:noProof/>
                <w:webHidden/>
              </w:rPr>
              <w:fldChar w:fldCharType="separate"/>
            </w:r>
            <w:r>
              <w:rPr>
                <w:noProof/>
                <w:webHidden/>
              </w:rPr>
              <w:t>6</w:t>
            </w:r>
            <w:r>
              <w:rPr>
                <w:noProof/>
                <w:webHidden/>
              </w:rPr>
              <w:fldChar w:fldCharType="end"/>
            </w:r>
          </w:hyperlink>
        </w:p>
        <w:p w14:paraId="17E54D57" w14:textId="041B53A0"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41" w:history="1">
            <w:r w:rsidRPr="008640E7">
              <w:rPr>
                <w:rStyle w:val="Hyperlink"/>
                <w:noProof/>
              </w:rPr>
              <w:t>Purity and Impurity</w:t>
            </w:r>
            <w:r>
              <w:rPr>
                <w:noProof/>
                <w:webHidden/>
              </w:rPr>
              <w:tab/>
            </w:r>
            <w:r>
              <w:rPr>
                <w:noProof/>
                <w:webHidden/>
              </w:rPr>
              <w:fldChar w:fldCharType="begin"/>
            </w:r>
            <w:r>
              <w:rPr>
                <w:noProof/>
                <w:webHidden/>
              </w:rPr>
              <w:instrText xml:space="preserve"> PAGEREF _Toc40008541 \h </w:instrText>
            </w:r>
            <w:r>
              <w:rPr>
                <w:noProof/>
                <w:webHidden/>
              </w:rPr>
            </w:r>
            <w:r>
              <w:rPr>
                <w:noProof/>
                <w:webHidden/>
              </w:rPr>
              <w:fldChar w:fldCharType="separate"/>
            </w:r>
            <w:r>
              <w:rPr>
                <w:noProof/>
                <w:webHidden/>
              </w:rPr>
              <w:t>6</w:t>
            </w:r>
            <w:r>
              <w:rPr>
                <w:noProof/>
                <w:webHidden/>
              </w:rPr>
              <w:fldChar w:fldCharType="end"/>
            </w:r>
          </w:hyperlink>
        </w:p>
        <w:p w14:paraId="52D4B196" w14:textId="15A9BE3F"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42" w:history="1">
            <w:r w:rsidRPr="008640E7">
              <w:rPr>
                <w:rStyle w:val="Hyperlink"/>
                <w:noProof/>
                <w:shd w:val="clear" w:color="auto" w:fill="FFFFFF"/>
              </w:rPr>
              <w:t>Impurity Through Intercourse</w:t>
            </w:r>
            <w:r>
              <w:rPr>
                <w:noProof/>
                <w:webHidden/>
              </w:rPr>
              <w:tab/>
            </w:r>
            <w:r>
              <w:rPr>
                <w:noProof/>
                <w:webHidden/>
              </w:rPr>
              <w:fldChar w:fldCharType="begin"/>
            </w:r>
            <w:r>
              <w:rPr>
                <w:noProof/>
                <w:webHidden/>
              </w:rPr>
              <w:instrText xml:space="preserve"> PAGEREF _Toc40008542 \h </w:instrText>
            </w:r>
            <w:r>
              <w:rPr>
                <w:noProof/>
                <w:webHidden/>
              </w:rPr>
            </w:r>
            <w:r>
              <w:rPr>
                <w:noProof/>
                <w:webHidden/>
              </w:rPr>
              <w:fldChar w:fldCharType="separate"/>
            </w:r>
            <w:r>
              <w:rPr>
                <w:noProof/>
                <w:webHidden/>
              </w:rPr>
              <w:t>9</w:t>
            </w:r>
            <w:r>
              <w:rPr>
                <w:noProof/>
                <w:webHidden/>
              </w:rPr>
              <w:fldChar w:fldCharType="end"/>
            </w:r>
          </w:hyperlink>
        </w:p>
        <w:p w14:paraId="44AD9D0F" w14:textId="3500501E"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43" w:history="1">
            <w:r w:rsidRPr="008640E7">
              <w:rPr>
                <w:rStyle w:val="Hyperlink"/>
                <w:noProof/>
                <w:shd w:val="clear" w:color="auto" w:fill="FFFFFF"/>
              </w:rPr>
              <w:t>Separation</w:t>
            </w:r>
            <w:r>
              <w:rPr>
                <w:noProof/>
                <w:webHidden/>
              </w:rPr>
              <w:tab/>
            </w:r>
            <w:r>
              <w:rPr>
                <w:noProof/>
                <w:webHidden/>
              </w:rPr>
              <w:fldChar w:fldCharType="begin"/>
            </w:r>
            <w:r>
              <w:rPr>
                <w:noProof/>
                <w:webHidden/>
              </w:rPr>
              <w:instrText xml:space="preserve"> PAGEREF _Toc40008543 \h </w:instrText>
            </w:r>
            <w:r>
              <w:rPr>
                <w:noProof/>
                <w:webHidden/>
              </w:rPr>
            </w:r>
            <w:r>
              <w:rPr>
                <w:noProof/>
                <w:webHidden/>
              </w:rPr>
              <w:fldChar w:fldCharType="separate"/>
            </w:r>
            <w:r>
              <w:rPr>
                <w:noProof/>
                <w:webHidden/>
              </w:rPr>
              <w:t>10</w:t>
            </w:r>
            <w:r>
              <w:rPr>
                <w:noProof/>
                <w:webHidden/>
              </w:rPr>
              <w:fldChar w:fldCharType="end"/>
            </w:r>
          </w:hyperlink>
        </w:p>
        <w:p w14:paraId="536F32EC" w14:textId="106BDFFE"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4" w:history="1">
            <w:r w:rsidRPr="008640E7">
              <w:rPr>
                <w:rStyle w:val="Hyperlink"/>
                <w:noProof/>
              </w:rPr>
              <w:t>Removing Impurity</w:t>
            </w:r>
            <w:r>
              <w:rPr>
                <w:noProof/>
                <w:webHidden/>
              </w:rPr>
              <w:tab/>
            </w:r>
            <w:r>
              <w:rPr>
                <w:noProof/>
                <w:webHidden/>
              </w:rPr>
              <w:fldChar w:fldCharType="begin"/>
            </w:r>
            <w:r>
              <w:rPr>
                <w:noProof/>
                <w:webHidden/>
              </w:rPr>
              <w:instrText xml:space="preserve"> PAGEREF _Toc40008544 \h </w:instrText>
            </w:r>
            <w:r>
              <w:rPr>
                <w:noProof/>
                <w:webHidden/>
              </w:rPr>
            </w:r>
            <w:r>
              <w:rPr>
                <w:noProof/>
                <w:webHidden/>
              </w:rPr>
              <w:fldChar w:fldCharType="separate"/>
            </w:r>
            <w:r>
              <w:rPr>
                <w:noProof/>
                <w:webHidden/>
              </w:rPr>
              <w:t>11</w:t>
            </w:r>
            <w:r>
              <w:rPr>
                <w:noProof/>
                <w:webHidden/>
              </w:rPr>
              <w:fldChar w:fldCharType="end"/>
            </w:r>
          </w:hyperlink>
        </w:p>
        <w:p w14:paraId="6C0165D8" w14:textId="04E963CE"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5" w:history="1">
            <w:r w:rsidRPr="008640E7">
              <w:rPr>
                <w:rStyle w:val="Hyperlink"/>
                <w:noProof/>
              </w:rPr>
              <w:t>The Effect on Women</w:t>
            </w:r>
            <w:r>
              <w:rPr>
                <w:noProof/>
                <w:webHidden/>
              </w:rPr>
              <w:tab/>
            </w:r>
            <w:r>
              <w:rPr>
                <w:noProof/>
                <w:webHidden/>
              </w:rPr>
              <w:fldChar w:fldCharType="begin"/>
            </w:r>
            <w:r>
              <w:rPr>
                <w:noProof/>
                <w:webHidden/>
              </w:rPr>
              <w:instrText xml:space="preserve"> PAGEREF _Toc40008545 \h </w:instrText>
            </w:r>
            <w:r>
              <w:rPr>
                <w:noProof/>
                <w:webHidden/>
              </w:rPr>
            </w:r>
            <w:r>
              <w:rPr>
                <w:noProof/>
                <w:webHidden/>
              </w:rPr>
              <w:fldChar w:fldCharType="separate"/>
            </w:r>
            <w:r>
              <w:rPr>
                <w:noProof/>
                <w:webHidden/>
              </w:rPr>
              <w:t>12</w:t>
            </w:r>
            <w:r>
              <w:rPr>
                <w:noProof/>
                <w:webHidden/>
              </w:rPr>
              <w:fldChar w:fldCharType="end"/>
            </w:r>
          </w:hyperlink>
        </w:p>
        <w:p w14:paraId="0CACEEB5" w14:textId="62B51A6B"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6" w:history="1">
            <w:r w:rsidRPr="008640E7">
              <w:rPr>
                <w:rStyle w:val="Hyperlink"/>
                <w:noProof/>
              </w:rPr>
              <w:t>Conclusion</w:t>
            </w:r>
            <w:r>
              <w:rPr>
                <w:noProof/>
                <w:webHidden/>
              </w:rPr>
              <w:tab/>
            </w:r>
            <w:r>
              <w:rPr>
                <w:noProof/>
                <w:webHidden/>
              </w:rPr>
              <w:fldChar w:fldCharType="begin"/>
            </w:r>
            <w:r>
              <w:rPr>
                <w:noProof/>
                <w:webHidden/>
              </w:rPr>
              <w:instrText xml:space="preserve"> PAGEREF _Toc40008546 \h </w:instrText>
            </w:r>
            <w:r>
              <w:rPr>
                <w:noProof/>
                <w:webHidden/>
              </w:rPr>
            </w:r>
            <w:r>
              <w:rPr>
                <w:noProof/>
                <w:webHidden/>
              </w:rPr>
              <w:fldChar w:fldCharType="separate"/>
            </w:r>
            <w:r>
              <w:rPr>
                <w:noProof/>
                <w:webHidden/>
              </w:rPr>
              <w:t>13</w:t>
            </w:r>
            <w:r>
              <w:rPr>
                <w:noProof/>
                <w:webHidden/>
              </w:rPr>
              <w:fldChar w:fldCharType="end"/>
            </w:r>
          </w:hyperlink>
        </w:p>
        <w:p w14:paraId="614E4422" w14:textId="1AAF2731"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47" w:history="1">
            <w:r w:rsidRPr="008640E7">
              <w:rPr>
                <w:rStyle w:val="Hyperlink"/>
                <w:rFonts w:eastAsiaTheme="majorEastAsia" w:cstheme="majorBidi"/>
                <w:noProof/>
              </w:rPr>
              <w:t>Orthodox</w:t>
            </w:r>
            <w:r>
              <w:rPr>
                <w:noProof/>
                <w:webHidden/>
              </w:rPr>
              <w:tab/>
            </w:r>
            <w:r>
              <w:rPr>
                <w:noProof/>
                <w:webHidden/>
              </w:rPr>
              <w:fldChar w:fldCharType="begin"/>
            </w:r>
            <w:r>
              <w:rPr>
                <w:noProof/>
                <w:webHidden/>
              </w:rPr>
              <w:instrText xml:space="preserve"> PAGEREF _Toc40008547 \h </w:instrText>
            </w:r>
            <w:r>
              <w:rPr>
                <w:noProof/>
                <w:webHidden/>
              </w:rPr>
            </w:r>
            <w:r>
              <w:rPr>
                <w:noProof/>
                <w:webHidden/>
              </w:rPr>
              <w:fldChar w:fldCharType="separate"/>
            </w:r>
            <w:r>
              <w:rPr>
                <w:noProof/>
                <w:webHidden/>
              </w:rPr>
              <w:t>15</w:t>
            </w:r>
            <w:r>
              <w:rPr>
                <w:noProof/>
                <w:webHidden/>
              </w:rPr>
              <w:fldChar w:fldCharType="end"/>
            </w:r>
          </w:hyperlink>
        </w:p>
        <w:p w14:paraId="1298B6E7" w14:textId="6FD98926"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8" w:history="1">
            <w:r w:rsidRPr="008640E7">
              <w:rPr>
                <w:rStyle w:val="Hyperlink"/>
                <w:noProof/>
              </w:rPr>
              <w:t>Contraception</w:t>
            </w:r>
            <w:r>
              <w:rPr>
                <w:noProof/>
                <w:webHidden/>
              </w:rPr>
              <w:tab/>
            </w:r>
            <w:r>
              <w:rPr>
                <w:noProof/>
                <w:webHidden/>
              </w:rPr>
              <w:fldChar w:fldCharType="begin"/>
            </w:r>
            <w:r>
              <w:rPr>
                <w:noProof/>
                <w:webHidden/>
              </w:rPr>
              <w:instrText xml:space="preserve"> PAGEREF _Toc40008548 \h </w:instrText>
            </w:r>
            <w:r>
              <w:rPr>
                <w:noProof/>
                <w:webHidden/>
              </w:rPr>
            </w:r>
            <w:r>
              <w:rPr>
                <w:noProof/>
                <w:webHidden/>
              </w:rPr>
              <w:fldChar w:fldCharType="separate"/>
            </w:r>
            <w:r>
              <w:rPr>
                <w:noProof/>
                <w:webHidden/>
              </w:rPr>
              <w:t>16</w:t>
            </w:r>
            <w:r>
              <w:rPr>
                <w:noProof/>
                <w:webHidden/>
              </w:rPr>
              <w:fldChar w:fldCharType="end"/>
            </w:r>
          </w:hyperlink>
        </w:p>
        <w:p w14:paraId="07AD7AA3" w14:textId="25CEAC7C"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49" w:history="1">
            <w:r w:rsidRPr="008640E7">
              <w:rPr>
                <w:rStyle w:val="Hyperlink"/>
                <w:noProof/>
              </w:rPr>
              <w:t>Abortion</w:t>
            </w:r>
            <w:r>
              <w:rPr>
                <w:noProof/>
                <w:webHidden/>
              </w:rPr>
              <w:tab/>
            </w:r>
            <w:r>
              <w:rPr>
                <w:noProof/>
                <w:webHidden/>
              </w:rPr>
              <w:fldChar w:fldCharType="begin"/>
            </w:r>
            <w:r>
              <w:rPr>
                <w:noProof/>
                <w:webHidden/>
              </w:rPr>
              <w:instrText xml:space="preserve"> PAGEREF _Toc40008549 \h </w:instrText>
            </w:r>
            <w:r>
              <w:rPr>
                <w:noProof/>
                <w:webHidden/>
              </w:rPr>
            </w:r>
            <w:r>
              <w:rPr>
                <w:noProof/>
                <w:webHidden/>
              </w:rPr>
              <w:fldChar w:fldCharType="separate"/>
            </w:r>
            <w:r>
              <w:rPr>
                <w:noProof/>
                <w:webHidden/>
              </w:rPr>
              <w:t>18</w:t>
            </w:r>
            <w:r>
              <w:rPr>
                <w:noProof/>
                <w:webHidden/>
              </w:rPr>
              <w:fldChar w:fldCharType="end"/>
            </w:r>
          </w:hyperlink>
        </w:p>
        <w:p w14:paraId="254673F7" w14:textId="302ADF30"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0" w:history="1">
            <w:r w:rsidRPr="008640E7">
              <w:rPr>
                <w:rStyle w:val="Hyperlink"/>
                <w:noProof/>
              </w:rPr>
              <w:t>Medical Persuasion</w:t>
            </w:r>
            <w:r>
              <w:rPr>
                <w:noProof/>
                <w:webHidden/>
              </w:rPr>
              <w:tab/>
            </w:r>
            <w:r>
              <w:rPr>
                <w:noProof/>
                <w:webHidden/>
              </w:rPr>
              <w:fldChar w:fldCharType="begin"/>
            </w:r>
            <w:r>
              <w:rPr>
                <w:noProof/>
                <w:webHidden/>
              </w:rPr>
              <w:instrText xml:space="preserve"> PAGEREF _Toc40008550 \h </w:instrText>
            </w:r>
            <w:r>
              <w:rPr>
                <w:noProof/>
                <w:webHidden/>
              </w:rPr>
            </w:r>
            <w:r>
              <w:rPr>
                <w:noProof/>
                <w:webHidden/>
              </w:rPr>
              <w:fldChar w:fldCharType="separate"/>
            </w:r>
            <w:r>
              <w:rPr>
                <w:noProof/>
                <w:webHidden/>
              </w:rPr>
              <w:t>19</w:t>
            </w:r>
            <w:r>
              <w:rPr>
                <w:noProof/>
                <w:webHidden/>
              </w:rPr>
              <w:fldChar w:fldCharType="end"/>
            </w:r>
          </w:hyperlink>
        </w:p>
        <w:p w14:paraId="1ADB9FC7" w14:textId="1B679454"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1" w:history="1">
            <w:r w:rsidRPr="008640E7">
              <w:rPr>
                <w:rStyle w:val="Hyperlink"/>
                <w:noProof/>
              </w:rPr>
              <w:t>Real Life Examples of Women Following the Laws</w:t>
            </w:r>
            <w:r>
              <w:rPr>
                <w:noProof/>
                <w:webHidden/>
              </w:rPr>
              <w:tab/>
            </w:r>
            <w:r>
              <w:rPr>
                <w:noProof/>
                <w:webHidden/>
              </w:rPr>
              <w:fldChar w:fldCharType="begin"/>
            </w:r>
            <w:r>
              <w:rPr>
                <w:noProof/>
                <w:webHidden/>
              </w:rPr>
              <w:instrText xml:space="preserve"> PAGEREF _Toc40008551 \h </w:instrText>
            </w:r>
            <w:r>
              <w:rPr>
                <w:noProof/>
                <w:webHidden/>
              </w:rPr>
            </w:r>
            <w:r>
              <w:rPr>
                <w:noProof/>
                <w:webHidden/>
              </w:rPr>
              <w:fldChar w:fldCharType="separate"/>
            </w:r>
            <w:r>
              <w:rPr>
                <w:noProof/>
                <w:webHidden/>
              </w:rPr>
              <w:t>20</w:t>
            </w:r>
            <w:r>
              <w:rPr>
                <w:noProof/>
                <w:webHidden/>
              </w:rPr>
              <w:fldChar w:fldCharType="end"/>
            </w:r>
          </w:hyperlink>
        </w:p>
        <w:p w14:paraId="768D4EFC" w14:textId="6627AC34"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2" w:history="1">
            <w:r w:rsidRPr="008640E7">
              <w:rPr>
                <w:rStyle w:val="Hyperlink"/>
                <w:noProof/>
              </w:rPr>
              <w:t>Mikvah</w:t>
            </w:r>
            <w:r>
              <w:rPr>
                <w:noProof/>
                <w:webHidden/>
              </w:rPr>
              <w:tab/>
            </w:r>
            <w:r>
              <w:rPr>
                <w:noProof/>
                <w:webHidden/>
              </w:rPr>
              <w:fldChar w:fldCharType="begin"/>
            </w:r>
            <w:r>
              <w:rPr>
                <w:noProof/>
                <w:webHidden/>
              </w:rPr>
              <w:instrText xml:space="preserve"> PAGEREF _Toc40008552 \h </w:instrText>
            </w:r>
            <w:r>
              <w:rPr>
                <w:noProof/>
                <w:webHidden/>
              </w:rPr>
            </w:r>
            <w:r>
              <w:rPr>
                <w:noProof/>
                <w:webHidden/>
              </w:rPr>
              <w:fldChar w:fldCharType="separate"/>
            </w:r>
            <w:r>
              <w:rPr>
                <w:noProof/>
                <w:webHidden/>
              </w:rPr>
              <w:t>21</w:t>
            </w:r>
            <w:r>
              <w:rPr>
                <w:noProof/>
                <w:webHidden/>
              </w:rPr>
              <w:fldChar w:fldCharType="end"/>
            </w:r>
          </w:hyperlink>
        </w:p>
        <w:p w14:paraId="261C1482" w14:textId="70CFE0A3"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53" w:history="1">
            <w:r w:rsidRPr="008640E7">
              <w:rPr>
                <w:rStyle w:val="Hyperlink"/>
                <w:noProof/>
              </w:rPr>
              <w:t>Control</w:t>
            </w:r>
            <w:r>
              <w:rPr>
                <w:noProof/>
                <w:webHidden/>
              </w:rPr>
              <w:tab/>
            </w:r>
            <w:r>
              <w:rPr>
                <w:noProof/>
                <w:webHidden/>
              </w:rPr>
              <w:fldChar w:fldCharType="begin"/>
            </w:r>
            <w:r>
              <w:rPr>
                <w:noProof/>
                <w:webHidden/>
              </w:rPr>
              <w:instrText xml:space="preserve"> PAGEREF _Toc40008553 \h </w:instrText>
            </w:r>
            <w:r>
              <w:rPr>
                <w:noProof/>
                <w:webHidden/>
              </w:rPr>
            </w:r>
            <w:r>
              <w:rPr>
                <w:noProof/>
                <w:webHidden/>
              </w:rPr>
              <w:fldChar w:fldCharType="separate"/>
            </w:r>
            <w:r>
              <w:rPr>
                <w:noProof/>
                <w:webHidden/>
              </w:rPr>
              <w:t>21</w:t>
            </w:r>
            <w:r>
              <w:rPr>
                <w:noProof/>
                <w:webHidden/>
              </w:rPr>
              <w:fldChar w:fldCharType="end"/>
            </w:r>
          </w:hyperlink>
        </w:p>
        <w:p w14:paraId="1E4B758D" w14:textId="153B77E7"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54" w:history="1">
            <w:r w:rsidRPr="008640E7">
              <w:rPr>
                <w:rStyle w:val="Hyperlink"/>
                <w:noProof/>
              </w:rPr>
              <w:t>Practicing</w:t>
            </w:r>
            <w:r>
              <w:rPr>
                <w:noProof/>
                <w:webHidden/>
              </w:rPr>
              <w:tab/>
            </w:r>
            <w:r>
              <w:rPr>
                <w:noProof/>
                <w:webHidden/>
              </w:rPr>
              <w:fldChar w:fldCharType="begin"/>
            </w:r>
            <w:r>
              <w:rPr>
                <w:noProof/>
                <w:webHidden/>
              </w:rPr>
              <w:instrText xml:space="preserve"> PAGEREF _Toc40008554 \h </w:instrText>
            </w:r>
            <w:r>
              <w:rPr>
                <w:noProof/>
                <w:webHidden/>
              </w:rPr>
            </w:r>
            <w:r>
              <w:rPr>
                <w:noProof/>
                <w:webHidden/>
              </w:rPr>
              <w:fldChar w:fldCharType="separate"/>
            </w:r>
            <w:r>
              <w:rPr>
                <w:noProof/>
                <w:webHidden/>
              </w:rPr>
              <w:t>22</w:t>
            </w:r>
            <w:r>
              <w:rPr>
                <w:noProof/>
                <w:webHidden/>
              </w:rPr>
              <w:fldChar w:fldCharType="end"/>
            </w:r>
          </w:hyperlink>
        </w:p>
        <w:p w14:paraId="4FE97026" w14:textId="34DF0DCB"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5" w:history="1">
            <w:r w:rsidRPr="008640E7">
              <w:rPr>
                <w:rStyle w:val="Hyperlink"/>
                <w:noProof/>
              </w:rPr>
              <w:t>Sexual Objectification</w:t>
            </w:r>
            <w:r>
              <w:rPr>
                <w:noProof/>
                <w:webHidden/>
              </w:rPr>
              <w:tab/>
            </w:r>
            <w:r>
              <w:rPr>
                <w:noProof/>
                <w:webHidden/>
              </w:rPr>
              <w:fldChar w:fldCharType="begin"/>
            </w:r>
            <w:r>
              <w:rPr>
                <w:noProof/>
                <w:webHidden/>
              </w:rPr>
              <w:instrText xml:space="preserve"> PAGEREF _Toc40008555 \h </w:instrText>
            </w:r>
            <w:r>
              <w:rPr>
                <w:noProof/>
                <w:webHidden/>
              </w:rPr>
            </w:r>
            <w:r>
              <w:rPr>
                <w:noProof/>
                <w:webHidden/>
              </w:rPr>
              <w:fldChar w:fldCharType="separate"/>
            </w:r>
            <w:r>
              <w:rPr>
                <w:noProof/>
                <w:webHidden/>
              </w:rPr>
              <w:t>23</w:t>
            </w:r>
            <w:r>
              <w:rPr>
                <w:noProof/>
                <w:webHidden/>
              </w:rPr>
              <w:fldChar w:fldCharType="end"/>
            </w:r>
          </w:hyperlink>
        </w:p>
        <w:p w14:paraId="4980380C" w14:textId="7C01F594"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6" w:history="1">
            <w:r w:rsidRPr="008640E7">
              <w:rPr>
                <w:rStyle w:val="Hyperlink"/>
                <w:noProof/>
              </w:rPr>
              <w:t>Conclusion</w:t>
            </w:r>
            <w:r>
              <w:rPr>
                <w:noProof/>
                <w:webHidden/>
              </w:rPr>
              <w:tab/>
            </w:r>
            <w:r>
              <w:rPr>
                <w:noProof/>
                <w:webHidden/>
              </w:rPr>
              <w:fldChar w:fldCharType="begin"/>
            </w:r>
            <w:r>
              <w:rPr>
                <w:noProof/>
                <w:webHidden/>
              </w:rPr>
              <w:instrText xml:space="preserve"> PAGEREF _Toc40008556 \h </w:instrText>
            </w:r>
            <w:r>
              <w:rPr>
                <w:noProof/>
                <w:webHidden/>
              </w:rPr>
            </w:r>
            <w:r>
              <w:rPr>
                <w:noProof/>
                <w:webHidden/>
              </w:rPr>
              <w:fldChar w:fldCharType="separate"/>
            </w:r>
            <w:r>
              <w:rPr>
                <w:noProof/>
                <w:webHidden/>
              </w:rPr>
              <w:t>24</w:t>
            </w:r>
            <w:r>
              <w:rPr>
                <w:noProof/>
                <w:webHidden/>
              </w:rPr>
              <w:fldChar w:fldCharType="end"/>
            </w:r>
          </w:hyperlink>
        </w:p>
        <w:p w14:paraId="56F300D2" w14:textId="1BBA2149"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57" w:history="1">
            <w:r w:rsidRPr="008640E7">
              <w:rPr>
                <w:rStyle w:val="Hyperlink"/>
                <w:noProof/>
              </w:rPr>
              <w:t>Empowering or Imposing?</w:t>
            </w:r>
            <w:r>
              <w:rPr>
                <w:noProof/>
                <w:webHidden/>
              </w:rPr>
              <w:tab/>
            </w:r>
            <w:r>
              <w:rPr>
                <w:noProof/>
                <w:webHidden/>
              </w:rPr>
              <w:fldChar w:fldCharType="begin"/>
            </w:r>
            <w:r>
              <w:rPr>
                <w:noProof/>
                <w:webHidden/>
              </w:rPr>
              <w:instrText xml:space="preserve"> PAGEREF _Toc40008557 \h </w:instrText>
            </w:r>
            <w:r>
              <w:rPr>
                <w:noProof/>
                <w:webHidden/>
              </w:rPr>
            </w:r>
            <w:r>
              <w:rPr>
                <w:noProof/>
                <w:webHidden/>
              </w:rPr>
              <w:fldChar w:fldCharType="separate"/>
            </w:r>
            <w:r>
              <w:rPr>
                <w:noProof/>
                <w:webHidden/>
              </w:rPr>
              <w:t>26</w:t>
            </w:r>
            <w:r>
              <w:rPr>
                <w:noProof/>
                <w:webHidden/>
              </w:rPr>
              <w:fldChar w:fldCharType="end"/>
            </w:r>
          </w:hyperlink>
        </w:p>
        <w:p w14:paraId="437357AC" w14:textId="568AB6D6"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58" w:history="1">
            <w:r w:rsidRPr="008640E7">
              <w:rPr>
                <w:rStyle w:val="Hyperlink"/>
                <w:noProof/>
              </w:rPr>
              <w:t>Separation</w:t>
            </w:r>
            <w:r>
              <w:rPr>
                <w:noProof/>
                <w:webHidden/>
              </w:rPr>
              <w:tab/>
            </w:r>
            <w:r>
              <w:rPr>
                <w:noProof/>
                <w:webHidden/>
              </w:rPr>
              <w:fldChar w:fldCharType="begin"/>
            </w:r>
            <w:r>
              <w:rPr>
                <w:noProof/>
                <w:webHidden/>
              </w:rPr>
              <w:instrText xml:space="preserve"> PAGEREF _Toc40008558 \h </w:instrText>
            </w:r>
            <w:r>
              <w:rPr>
                <w:noProof/>
                <w:webHidden/>
              </w:rPr>
            </w:r>
            <w:r>
              <w:rPr>
                <w:noProof/>
                <w:webHidden/>
              </w:rPr>
              <w:fldChar w:fldCharType="separate"/>
            </w:r>
            <w:r>
              <w:rPr>
                <w:noProof/>
                <w:webHidden/>
              </w:rPr>
              <w:t>27</w:t>
            </w:r>
            <w:r>
              <w:rPr>
                <w:noProof/>
                <w:webHidden/>
              </w:rPr>
              <w:fldChar w:fldCharType="end"/>
            </w:r>
          </w:hyperlink>
        </w:p>
        <w:p w14:paraId="3AF74417" w14:textId="6AE376CB"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59" w:history="1">
            <w:r w:rsidRPr="008640E7">
              <w:rPr>
                <w:rStyle w:val="Hyperlink"/>
                <w:noProof/>
              </w:rPr>
              <w:t>Separation: The Negative</w:t>
            </w:r>
            <w:r>
              <w:rPr>
                <w:noProof/>
                <w:webHidden/>
              </w:rPr>
              <w:tab/>
            </w:r>
            <w:r>
              <w:rPr>
                <w:noProof/>
                <w:webHidden/>
              </w:rPr>
              <w:fldChar w:fldCharType="begin"/>
            </w:r>
            <w:r>
              <w:rPr>
                <w:noProof/>
                <w:webHidden/>
              </w:rPr>
              <w:instrText xml:space="preserve"> PAGEREF _Toc40008559 \h </w:instrText>
            </w:r>
            <w:r>
              <w:rPr>
                <w:noProof/>
                <w:webHidden/>
              </w:rPr>
            </w:r>
            <w:r>
              <w:rPr>
                <w:noProof/>
                <w:webHidden/>
              </w:rPr>
              <w:fldChar w:fldCharType="separate"/>
            </w:r>
            <w:r>
              <w:rPr>
                <w:noProof/>
                <w:webHidden/>
              </w:rPr>
              <w:t>27</w:t>
            </w:r>
            <w:r>
              <w:rPr>
                <w:noProof/>
                <w:webHidden/>
              </w:rPr>
              <w:fldChar w:fldCharType="end"/>
            </w:r>
          </w:hyperlink>
        </w:p>
        <w:p w14:paraId="3AFC01B2" w14:textId="0A84174F"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60" w:history="1">
            <w:r w:rsidRPr="008640E7">
              <w:rPr>
                <w:rStyle w:val="Hyperlink"/>
                <w:noProof/>
              </w:rPr>
              <w:t>Separation: The Positive</w:t>
            </w:r>
            <w:r>
              <w:rPr>
                <w:noProof/>
                <w:webHidden/>
              </w:rPr>
              <w:tab/>
            </w:r>
            <w:r>
              <w:rPr>
                <w:noProof/>
                <w:webHidden/>
              </w:rPr>
              <w:fldChar w:fldCharType="begin"/>
            </w:r>
            <w:r>
              <w:rPr>
                <w:noProof/>
                <w:webHidden/>
              </w:rPr>
              <w:instrText xml:space="preserve"> PAGEREF _Toc40008560 \h </w:instrText>
            </w:r>
            <w:r>
              <w:rPr>
                <w:noProof/>
                <w:webHidden/>
              </w:rPr>
            </w:r>
            <w:r>
              <w:rPr>
                <w:noProof/>
                <w:webHidden/>
              </w:rPr>
              <w:fldChar w:fldCharType="separate"/>
            </w:r>
            <w:r>
              <w:rPr>
                <w:noProof/>
                <w:webHidden/>
              </w:rPr>
              <w:t>27</w:t>
            </w:r>
            <w:r>
              <w:rPr>
                <w:noProof/>
                <w:webHidden/>
              </w:rPr>
              <w:fldChar w:fldCharType="end"/>
            </w:r>
          </w:hyperlink>
        </w:p>
        <w:p w14:paraId="70D9CD3F" w14:textId="47493E64" w:rsidR="003247A4" w:rsidRDefault="003247A4">
          <w:pPr>
            <w:pStyle w:val="TOC3"/>
            <w:tabs>
              <w:tab w:val="right" w:leader="dot" w:pos="9016"/>
            </w:tabs>
            <w:rPr>
              <w:rFonts w:asciiTheme="minorHAnsi" w:eastAsiaTheme="minorEastAsia" w:hAnsiTheme="minorHAnsi" w:cstheme="minorBidi"/>
              <w:i w:val="0"/>
              <w:iCs w:val="0"/>
              <w:noProof/>
              <w:sz w:val="22"/>
              <w:szCs w:val="22"/>
              <w:lang w:eastAsia="en-GB"/>
            </w:rPr>
          </w:pPr>
          <w:hyperlink w:anchor="_Toc40008561" w:history="1">
            <w:r w:rsidRPr="008640E7">
              <w:rPr>
                <w:rStyle w:val="Hyperlink"/>
                <w:noProof/>
              </w:rPr>
              <w:t>A Feminist Perspective</w:t>
            </w:r>
            <w:r>
              <w:rPr>
                <w:noProof/>
                <w:webHidden/>
              </w:rPr>
              <w:tab/>
            </w:r>
            <w:r>
              <w:rPr>
                <w:noProof/>
                <w:webHidden/>
              </w:rPr>
              <w:fldChar w:fldCharType="begin"/>
            </w:r>
            <w:r>
              <w:rPr>
                <w:noProof/>
                <w:webHidden/>
              </w:rPr>
              <w:instrText xml:space="preserve"> PAGEREF _Toc40008561 \h </w:instrText>
            </w:r>
            <w:r>
              <w:rPr>
                <w:noProof/>
                <w:webHidden/>
              </w:rPr>
            </w:r>
            <w:r>
              <w:rPr>
                <w:noProof/>
                <w:webHidden/>
              </w:rPr>
              <w:fldChar w:fldCharType="separate"/>
            </w:r>
            <w:r>
              <w:rPr>
                <w:noProof/>
                <w:webHidden/>
              </w:rPr>
              <w:t>28</w:t>
            </w:r>
            <w:r>
              <w:rPr>
                <w:noProof/>
                <w:webHidden/>
              </w:rPr>
              <w:fldChar w:fldCharType="end"/>
            </w:r>
          </w:hyperlink>
        </w:p>
        <w:p w14:paraId="6EA3E3F1" w14:textId="00D50EEA"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62" w:history="1">
            <w:r w:rsidRPr="008640E7">
              <w:rPr>
                <w:rStyle w:val="Hyperlink"/>
                <w:noProof/>
              </w:rPr>
              <w:t>Spiritual Limitations</w:t>
            </w:r>
            <w:r>
              <w:rPr>
                <w:noProof/>
                <w:webHidden/>
              </w:rPr>
              <w:tab/>
            </w:r>
            <w:r>
              <w:rPr>
                <w:noProof/>
                <w:webHidden/>
              </w:rPr>
              <w:fldChar w:fldCharType="begin"/>
            </w:r>
            <w:r>
              <w:rPr>
                <w:noProof/>
                <w:webHidden/>
              </w:rPr>
              <w:instrText xml:space="preserve"> PAGEREF _Toc40008562 \h </w:instrText>
            </w:r>
            <w:r>
              <w:rPr>
                <w:noProof/>
                <w:webHidden/>
              </w:rPr>
            </w:r>
            <w:r>
              <w:rPr>
                <w:noProof/>
                <w:webHidden/>
              </w:rPr>
              <w:fldChar w:fldCharType="separate"/>
            </w:r>
            <w:r>
              <w:rPr>
                <w:noProof/>
                <w:webHidden/>
              </w:rPr>
              <w:t>28</w:t>
            </w:r>
            <w:r>
              <w:rPr>
                <w:noProof/>
                <w:webHidden/>
              </w:rPr>
              <w:fldChar w:fldCharType="end"/>
            </w:r>
          </w:hyperlink>
        </w:p>
        <w:p w14:paraId="206C90B6" w14:textId="451BD459"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63" w:history="1">
            <w:r w:rsidRPr="008640E7">
              <w:rPr>
                <w:rStyle w:val="Hyperlink"/>
                <w:noProof/>
              </w:rPr>
              <w:t>Mikvah</w:t>
            </w:r>
            <w:r>
              <w:rPr>
                <w:noProof/>
                <w:webHidden/>
              </w:rPr>
              <w:tab/>
            </w:r>
            <w:r>
              <w:rPr>
                <w:noProof/>
                <w:webHidden/>
              </w:rPr>
              <w:fldChar w:fldCharType="begin"/>
            </w:r>
            <w:r>
              <w:rPr>
                <w:noProof/>
                <w:webHidden/>
              </w:rPr>
              <w:instrText xml:space="preserve"> PAGEREF _Toc40008563 \h </w:instrText>
            </w:r>
            <w:r>
              <w:rPr>
                <w:noProof/>
                <w:webHidden/>
              </w:rPr>
            </w:r>
            <w:r>
              <w:rPr>
                <w:noProof/>
                <w:webHidden/>
              </w:rPr>
              <w:fldChar w:fldCharType="separate"/>
            </w:r>
            <w:r>
              <w:rPr>
                <w:noProof/>
                <w:webHidden/>
              </w:rPr>
              <w:t>30</w:t>
            </w:r>
            <w:r>
              <w:rPr>
                <w:noProof/>
                <w:webHidden/>
              </w:rPr>
              <w:fldChar w:fldCharType="end"/>
            </w:r>
          </w:hyperlink>
        </w:p>
        <w:p w14:paraId="7FF848D7" w14:textId="6127255B"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64" w:history="1">
            <w:r w:rsidRPr="008640E7">
              <w:rPr>
                <w:rStyle w:val="Hyperlink"/>
                <w:noProof/>
              </w:rPr>
              <w:t>Feminism</w:t>
            </w:r>
            <w:r>
              <w:rPr>
                <w:noProof/>
                <w:webHidden/>
              </w:rPr>
              <w:tab/>
            </w:r>
            <w:r>
              <w:rPr>
                <w:noProof/>
                <w:webHidden/>
              </w:rPr>
              <w:fldChar w:fldCharType="begin"/>
            </w:r>
            <w:r>
              <w:rPr>
                <w:noProof/>
                <w:webHidden/>
              </w:rPr>
              <w:instrText xml:space="preserve"> PAGEREF _Toc40008564 \h </w:instrText>
            </w:r>
            <w:r>
              <w:rPr>
                <w:noProof/>
                <w:webHidden/>
              </w:rPr>
            </w:r>
            <w:r>
              <w:rPr>
                <w:noProof/>
                <w:webHidden/>
              </w:rPr>
              <w:fldChar w:fldCharType="separate"/>
            </w:r>
            <w:r>
              <w:rPr>
                <w:noProof/>
                <w:webHidden/>
              </w:rPr>
              <w:t>31</w:t>
            </w:r>
            <w:r>
              <w:rPr>
                <w:noProof/>
                <w:webHidden/>
              </w:rPr>
              <w:fldChar w:fldCharType="end"/>
            </w:r>
          </w:hyperlink>
        </w:p>
        <w:p w14:paraId="730F5F2E" w14:textId="114A5045" w:rsidR="003247A4" w:rsidRDefault="003247A4">
          <w:pPr>
            <w:pStyle w:val="TOC2"/>
            <w:tabs>
              <w:tab w:val="right" w:leader="dot" w:pos="9016"/>
            </w:tabs>
            <w:rPr>
              <w:rFonts w:asciiTheme="minorHAnsi" w:eastAsiaTheme="minorEastAsia" w:hAnsiTheme="minorHAnsi" w:cstheme="minorBidi"/>
              <w:smallCaps w:val="0"/>
              <w:noProof/>
              <w:sz w:val="22"/>
              <w:szCs w:val="22"/>
              <w:lang w:eastAsia="en-GB"/>
            </w:rPr>
          </w:pPr>
          <w:hyperlink w:anchor="_Toc40008565" w:history="1">
            <w:r w:rsidRPr="008640E7">
              <w:rPr>
                <w:rStyle w:val="Hyperlink"/>
                <w:noProof/>
              </w:rPr>
              <w:t>Conclusion</w:t>
            </w:r>
            <w:r>
              <w:rPr>
                <w:noProof/>
                <w:webHidden/>
              </w:rPr>
              <w:tab/>
            </w:r>
            <w:r>
              <w:rPr>
                <w:noProof/>
                <w:webHidden/>
              </w:rPr>
              <w:fldChar w:fldCharType="begin"/>
            </w:r>
            <w:r>
              <w:rPr>
                <w:noProof/>
                <w:webHidden/>
              </w:rPr>
              <w:instrText xml:space="preserve"> PAGEREF _Toc40008565 \h </w:instrText>
            </w:r>
            <w:r>
              <w:rPr>
                <w:noProof/>
                <w:webHidden/>
              </w:rPr>
            </w:r>
            <w:r>
              <w:rPr>
                <w:noProof/>
                <w:webHidden/>
              </w:rPr>
              <w:fldChar w:fldCharType="separate"/>
            </w:r>
            <w:r>
              <w:rPr>
                <w:noProof/>
                <w:webHidden/>
              </w:rPr>
              <w:t>32</w:t>
            </w:r>
            <w:r>
              <w:rPr>
                <w:noProof/>
                <w:webHidden/>
              </w:rPr>
              <w:fldChar w:fldCharType="end"/>
            </w:r>
          </w:hyperlink>
        </w:p>
        <w:p w14:paraId="2FC36A50" w14:textId="572A58E7"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66" w:history="1">
            <w:r w:rsidRPr="008640E7">
              <w:rPr>
                <w:rStyle w:val="Hyperlink"/>
                <w:noProof/>
              </w:rPr>
              <w:t>Conclusion</w:t>
            </w:r>
            <w:r>
              <w:rPr>
                <w:noProof/>
                <w:webHidden/>
              </w:rPr>
              <w:tab/>
            </w:r>
            <w:r>
              <w:rPr>
                <w:noProof/>
                <w:webHidden/>
              </w:rPr>
              <w:fldChar w:fldCharType="begin"/>
            </w:r>
            <w:r>
              <w:rPr>
                <w:noProof/>
                <w:webHidden/>
              </w:rPr>
              <w:instrText xml:space="preserve"> PAGEREF _Toc40008566 \h </w:instrText>
            </w:r>
            <w:r>
              <w:rPr>
                <w:noProof/>
                <w:webHidden/>
              </w:rPr>
            </w:r>
            <w:r>
              <w:rPr>
                <w:noProof/>
                <w:webHidden/>
              </w:rPr>
              <w:fldChar w:fldCharType="separate"/>
            </w:r>
            <w:r>
              <w:rPr>
                <w:noProof/>
                <w:webHidden/>
              </w:rPr>
              <w:t>34</w:t>
            </w:r>
            <w:r>
              <w:rPr>
                <w:noProof/>
                <w:webHidden/>
              </w:rPr>
              <w:fldChar w:fldCharType="end"/>
            </w:r>
          </w:hyperlink>
        </w:p>
        <w:p w14:paraId="76D2499D" w14:textId="321B0784" w:rsidR="003247A4" w:rsidRDefault="003247A4">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40008567" w:history="1">
            <w:r w:rsidRPr="008640E7">
              <w:rPr>
                <w:rStyle w:val="Hyperlink"/>
                <w:noProof/>
              </w:rPr>
              <w:t>Bibliography</w:t>
            </w:r>
            <w:r>
              <w:rPr>
                <w:noProof/>
                <w:webHidden/>
              </w:rPr>
              <w:tab/>
            </w:r>
            <w:r>
              <w:rPr>
                <w:noProof/>
                <w:webHidden/>
              </w:rPr>
              <w:fldChar w:fldCharType="begin"/>
            </w:r>
            <w:r>
              <w:rPr>
                <w:noProof/>
                <w:webHidden/>
              </w:rPr>
              <w:instrText xml:space="preserve"> PAGEREF _Toc40008567 \h </w:instrText>
            </w:r>
            <w:r>
              <w:rPr>
                <w:noProof/>
                <w:webHidden/>
              </w:rPr>
            </w:r>
            <w:r>
              <w:rPr>
                <w:noProof/>
                <w:webHidden/>
              </w:rPr>
              <w:fldChar w:fldCharType="separate"/>
            </w:r>
            <w:r>
              <w:rPr>
                <w:noProof/>
                <w:webHidden/>
              </w:rPr>
              <w:t>36</w:t>
            </w:r>
            <w:r>
              <w:rPr>
                <w:noProof/>
                <w:webHidden/>
              </w:rPr>
              <w:fldChar w:fldCharType="end"/>
            </w:r>
          </w:hyperlink>
        </w:p>
        <w:p w14:paraId="020BFCC2" w14:textId="77777777" w:rsidR="008E6429" w:rsidRDefault="008E6429" w:rsidP="008E6429">
          <w:r w:rsidRPr="0039345F">
            <w:rPr>
              <w:noProof/>
              <w:szCs w:val="24"/>
            </w:rPr>
            <w:fldChar w:fldCharType="end"/>
          </w:r>
        </w:p>
      </w:sdtContent>
    </w:sdt>
    <w:p w14:paraId="103AEF91" w14:textId="77777777" w:rsidR="00955769" w:rsidRPr="004A44A9" w:rsidRDefault="00955769" w:rsidP="004A44A9"/>
    <w:p w14:paraId="3D6F26EB" w14:textId="4DA8FA63" w:rsidR="009F5D7C" w:rsidRDefault="009F5D7C" w:rsidP="008E6429">
      <w:pPr>
        <w:pStyle w:val="Heading1"/>
        <w:spacing w:line="360" w:lineRule="auto"/>
      </w:pPr>
      <w:bookmarkStart w:id="54" w:name="_Toc40008538"/>
      <w:r>
        <w:t>Intro</w:t>
      </w:r>
      <w:r w:rsidR="002A0324">
        <w:t>duction</w:t>
      </w:r>
      <w:bookmarkEnd w:id="48"/>
      <w:bookmarkEnd w:id="49"/>
      <w:bookmarkEnd w:id="50"/>
      <w:bookmarkEnd w:id="54"/>
      <w:r w:rsidR="002A0324">
        <w:t xml:space="preserve"> </w:t>
      </w:r>
    </w:p>
    <w:p w14:paraId="669A8B9E" w14:textId="77777777" w:rsidR="001A0E75" w:rsidRPr="001A0E75" w:rsidRDefault="001A0E75" w:rsidP="001A0E75"/>
    <w:p w14:paraId="5B39E210" w14:textId="2DE1E207" w:rsidR="009F5D7C" w:rsidRPr="009F5D7C" w:rsidRDefault="009F5D7C" w:rsidP="001A0E75">
      <w:pPr>
        <w:spacing w:line="360" w:lineRule="auto"/>
        <w:ind w:firstLine="720"/>
        <w:rPr>
          <w:szCs w:val="24"/>
        </w:rPr>
      </w:pPr>
      <w:r w:rsidRPr="009F5D7C">
        <w:rPr>
          <w:szCs w:val="24"/>
        </w:rPr>
        <w:t xml:space="preserve">The laws in Judaism are at the centre of the Jewish faith. They cover aspects of Jewish life such as Kashrut (the food laws), Shabbat (day of rest), Tefilah (daily prayer) and Taharat </w:t>
      </w:r>
      <w:r w:rsidR="00A874B9" w:rsidRPr="009F5D7C">
        <w:rPr>
          <w:szCs w:val="24"/>
        </w:rPr>
        <w:t>HaMishpacha (</w:t>
      </w:r>
      <w:r w:rsidRPr="009F5D7C">
        <w:rPr>
          <w:szCs w:val="24"/>
        </w:rPr>
        <w:t>family purity). The focus of this dissertation will be to look at the Niddah laws, which refer to the purity laws that concern women. This topic is important to look at, as these laws can be perceived as outdated in the current feminist climate. The restrictions and specific laws that are targeted at women are not what the typical modern women is used to. Therefore, by looking at the laws in more depth</w:t>
      </w:r>
      <w:r w:rsidR="001A0E75">
        <w:rPr>
          <w:szCs w:val="24"/>
        </w:rPr>
        <w:t>, an</w:t>
      </w:r>
      <w:r w:rsidRPr="009F5D7C">
        <w:rPr>
          <w:szCs w:val="24"/>
        </w:rPr>
        <w:t xml:space="preserve"> e</w:t>
      </w:r>
      <w:r w:rsidR="001A0E75">
        <w:rPr>
          <w:szCs w:val="24"/>
        </w:rPr>
        <w:t>valuation can be made to</w:t>
      </w:r>
      <w:r w:rsidRPr="009F5D7C">
        <w:rPr>
          <w:szCs w:val="24"/>
        </w:rPr>
        <w:t xml:space="preserve"> if the Niddah laws are imposing on women’s lives, or in fact empowering them.  At first glance, empowerment might not be the first </w:t>
      </w:r>
      <w:r w:rsidR="001A0E75">
        <w:rPr>
          <w:szCs w:val="24"/>
        </w:rPr>
        <w:t>feature</w:t>
      </w:r>
      <w:r w:rsidRPr="009F5D7C">
        <w:rPr>
          <w:szCs w:val="24"/>
        </w:rPr>
        <w:t xml:space="preserve"> that one connects with these laws. However, due to the community-based nature of the laws, they may well provide a sense of comfort and strength for an induvial.  </w:t>
      </w:r>
    </w:p>
    <w:p w14:paraId="56A25514" w14:textId="2FAC7AE9" w:rsidR="009F5D7C" w:rsidRPr="009F5D7C" w:rsidRDefault="009F5D7C" w:rsidP="001A0E75">
      <w:pPr>
        <w:spacing w:line="360" w:lineRule="auto"/>
        <w:ind w:firstLine="720"/>
        <w:rPr>
          <w:szCs w:val="24"/>
        </w:rPr>
      </w:pPr>
      <w:r w:rsidRPr="009F5D7C">
        <w:rPr>
          <w:szCs w:val="24"/>
        </w:rPr>
        <w:t xml:space="preserve">The first section of this dissertation is going to concentrate on the history of the Niddah laws. This will mainly concern the biblical texts of Leviticus, as this section of texts provides both the law and direction of how to follow the laws. The history of the laws is important to look at, as it provides a wider knowledge and context as to why the laws are still precited today and why they still hold importance. This section will also explore where the stigma concerning menstruation originated, and how this is reflected in the texts and its implications today. </w:t>
      </w:r>
    </w:p>
    <w:p w14:paraId="2CA6D53B" w14:textId="3A3884DC" w:rsidR="009F5D7C" w:rsidRPr="009F5D7C" w:rsidRDefault="009F5D7C" w:rsidP="001A0E75">
      <w:pPr>
        <w:spacing w:line="360" w:lineRule="auto"/>
        <w:ind w:firstLine="720"/>
        <w:rPr>
          <w:szCs w:val="24"/>
        </w:rPr>
      </w:pPr>
      <w:r w:rsidRPr="009F5D7C">
        <w:rPr>
          <w:szCs w:val="24"/>
        </w:rPr>
        <w:t>Furthermore, these laws may not seem like something that women or families would choose to follow; however, this dissertation will focus both on</w:t>
      </w:r>
      <w:r w:rsidR="001A0E75">
        <w:rPr>
          <w:szCs w:val="24"/>
        </w:rPr>
        <w:t xml:space="preserve"> the women do not follow the laws, and those who do</w:t>
      </w:r>
      <w:r w:rsidRPr="009F5D7C">
        <w:rPr>
          <w:szCs w:val="24"/>
        </w:rPr>
        <w:t xml:space="preserve">. </w:t>
      </w:r>
      <w:r w:rsidR="001A0E75">
        <w:rPr>
          <w:szCs w:val="24"/>
        </w:rPr>
        <w:t>Orthodox Judaism is the most common denomination to follow the laws and</w:t>
      </w:r>
      <w:r w:rsidRPr="009F5D7C">
        <w:rPr>
          <w:szCs w:val="24"/>
        </w:rPr>
        <w:t xml:space="preserve"> will therefore be a large focu</w:t>
      </w:r>
      <w:r w:rsidR="001A0E75">
        <w:rPr>
          <w:szCs w:val="24"/>
        </w:rPr>
        <w:t>s</w:t>
      </w:r>
      <w:r w:rsidRPr="009F5D7C">
        <w:rPr>
          <w:szCs w:val="24"/>
        </w:rPr>
        <w:t>.</w:t>
      </w:r>
    </w:p>
    <w:p w14:paraId="65C6F8C4" w14:textId="77777777" w:rsidR="000D76EF" w:rsidRDefault="009F5D7C" w:rsidP="001A0E75">
      <w:pPr>
        <w:spacing w:line="360" w:lineRule="auto"/>
        <w:ind w:firstLine="720"/>
        <w:rPr>
          <w:szCs w:val="24"/>
        </w:rPr>
      </w:pPr>
      <w:r w:rsidRPr="009F5D7C">
        <w:rPr>
          <w:szCs w:val="24"/>
        </w:rPr>
        <w:t xml:space="preserve">It is not as common for </w:t>
      </w:r>
      <w:r w:rsidR="003247A4">
        <w:rPr>
          <w:szCs w:val="24"/>
        </w:rPr>
        <w:t>Reform</w:t>
      </w:r>
      <w:r w:rsidRPr="009F5D7C">
        <w:rPr>
          <w:szCs w:val="24"/>
        </w:rPr>
        <w:t xml:space="preserve"> Jews to follow these Niddah laws. For example, when discussing the Mikvah (ritual bath), “some </w:t>
      </w:r>
      <w:r w:rsidR="003247A4">
        <w:rPr>
          <w:szCs w:val="24"/>
        </w:rPr>
        <w:t>Reform</w:t>
      </w:r>
      <w:r w:rsidRPr="009F5D7C">
        <w:rPr>
          <w:szCs w:val="24"/>
        </w:rPr>
        <w:t>ers called for the abolition of such practices as backward and superstitious</w:t>
      </w:r>
      <w:r w:rsidR="00B14A43">
        <w:rPr>
          <w:szCs w:val="24"/>
        </w:rPr>
        <w:t>”.</w:t>
      </w:r>
      <w:r w:rsidRPr="009F5D7C">
        <w:rPr>
          <w:szCs w:val="24"/>
          <w:vertAlign w:val="superscript"/>
        </w:rPr>
        <w:footnoteReference w:id="1"/>
      </w:r>
      <w:r w:rsidRPr="009F5D7C">
        <w:rPr>
          <w:szCs w:val="24"/>
        </w:rPr>
        <w:t xml:space="preserve">There is a limited amount written about the Niddah laws from the perspective of </w:t>
      </w:r>
      <w:r w:rsidR="003247A4">
        <w:rPr>
          <w:szCs w:val="24"/>
        </w:rPr>
        <w:t>Reform</w:t>
      </w:r>
      <w:r w:rsidRPr="009F5D7C">
        <w:rPr>
          <w:szCs w:val="24"/>
        </w:rPr>
        <w:t xml:space="preserve"> women and therefore looking at how Jewish feminist</w:t>
      </w:r>
      <w:r w:rsidR="001A0E75">
        <w:rPr>
          <w:szCs w:val="24"/>
        </w:rPr>
        <w:t>s view the laws</w:t>
      </w:r>
      <w:r w:rsidRPr="009F5D7C">
        <w:rPr>
          <w:szCs w:val="24"/>
        </w:rPr>
        <w:t xml:space="preserve"> will be important. T</w:t>
      </w:r>
      <w:r w:rsidR="001A0E75">
        <w:rPr>
          <w:szCs w:val="24"/>
        </w:rPr>
        <w:t>he feminist perspective</w:t>
      </w:r>
      <w:r w:rsidRPr="009F5D7C">
        <w:rPr>
          <w:szCs w:val="24"/>
        </w:rPr>
        <w:t xml:space="preserve"> will </w:t>
      </w:r>
      <w:r w:rsidR="001A0E75">
        <w:rPr>
          <w:szCs w:val="24"/>
        </w:rPr>
        <w:t xml:space="preserve">also </w:t>
      </w:r>
      <w:r w:rsidRPr="009F5D7C">
        <w:rPr>
          <w:szCs w:val="24"/>
        </w:rPr>
        <w:t xml:space="preserve">provide a </w:t>
      </w:r>
      <w:r w:rsidR="003247A4">
        <w:rPr>
          <w:szCs w:val="24"/>
        </w:rPr>
        <w:t>Reform</w:t>
      </w:r>
      <w:r w:rsidRPr="009F5D7C">
        <w:rPr>
          <w:szCs w:val="24"/>
        </w:rPr>
        <w:t xml:space="preserve"> point of view as many feminists hold a similar view to that of an induvial form the </w:t>
      </w:r>
      <w:r w:rsidR="003247A4">
        <w:rPr>
          <w:szCs w:val="24"/>
        </w:rPr>
        <w:t>Reform</w:t>
      </w:r>
      <w:r w:rsidRPr="009F5D7C">
        <w:rPr>
          <w:szCs w:val="24"/>
        </w:rPr>
        <w:t xml:space="preserve"> denomination.  This is seen through the statement,</w:t>
      </w:r>
      <w:r w:rsidRPr="009F5D7C">
        <w:t xml:space="preserve"> “</w:t>
      </w:r>
      <w:r w:rsidRPr="009F5D7C">
        <w:rPr>
          <w:szCs w:val="24"/>
        </w:rPr>
        <w:t xml:space="preserve">the </w:t>
      </w:r>
      <w:r w:rsidR="003247A4">
        <w:rPr>
          <w:szCs w:val="24"/>
        </w:rPr>
        <w:t>Reform</w:t>
      </w:r>
      <w:r w:rsidRPr="009F5D7C">
        <w:rPr>
          <w:szCs w:val="24"/>
        </w:rPr>
        <w:t xml:space="preserve"> movement, in tune with the feminist movement, used menstrual laws as an example of negative, sexist </w:t>
      </w:r>
      <w:r w:rsidR="003247A4">
        <w:rPr>
          <w:szCs w:val="24"/>
        </w:rPr>
        <w:t>Orthodox</w:t>
      </w:r>
      <w:r w:rsidRPr="009F5D7C">
        <w:rPr>
          <w:szCs w:val="24"/>
        </w:rPr>
        <w:t xml:space="preserve"> attitudes towards female physiology</w:t>
      </w:r>
      <w:r w:rsidR="00B14A43">
        <w:rPr>
          <w:szCs w:val="24"/>
        </w:rPr>
        <w:t>”</w:t>
      </w:r>
      <w:r w:rsidR="00466941">
        <w:rPr>
          <w:szCs w:val="24"/>
        </w:rPr>
        <w:t>,</w:t>
      </w:r>
      <w:r w:rsidRPr="009F5D7C">
        <w:rPr>
          <w:szCs w:val="24"/>
          <w:vertAlign w:val="superscript"/>
        </w:rPr>
        <w:footnoteReference w:id="2"/>
      </w:r>
      <w:r w:rsidRPr="009F5D7C">
        <w:rPr>
          <w:szCs w:val="24"/>
        </w:rPr>
        <w:t xml:space="preserve"> although this is not always the case. </w:t>
      </w:r>
    </w:p>
    <w:p w14:paraId="174F00AB" w14:textId="128079A2" w:rsidR="009F5D7C" w:rsidRPr="009F5D7C" w:rsidRDefault="009F5D7C" w:rsidP="001A0E75">
      <w:pPr>
        <w:spacing w:line="360" w:lineRule="auto"/>
        <w:ind w:firstLine="720"/>
        <w:rPr>
          <w:szCs w:val="24"/>
        </w:rPr>
      </w:pPr>
      <w:r w:rsidRPr="009F5D7C">
        <w:rPr>
          <w:szCs w:val="24"/>
        </w:rPr>
        <w:t>Furthermore, the feminist perspective is an interesting</w:t>
      </w:r>
      <w:r w:rsidR="000D76EF">
        <w:rPr>
          <w:szCs w:val="24"/>
        </w:rPr>
        <w:t xml:space="preserve"> to look at</w:t>
      </w:r>
      <w:r w:rsidRPr="009F5D7C">
        <w:rPr>
          <w:szCs w:val="24"/>
        </w:rPr>
        <w:t xml:space="preserve">, as many believe </w:t>
      </w:r>
      <w:r w:rsidR="000D76EF">
        <w:rPr>
          <w:szCs w:val="24"/>
        </w:rPr>
        <w:t>that</w:t>
      </w:r>
      <w:r w:rsidRPr="009F5D7C">
        <w:rPr>
          <w:szCs w:val="24"/>
        </w:rPr>
        <w:t xml:space="preserve"> the Niddah laws and Judaism as </w:t>
      </w:r>
      <w:r w:rsidR="000D76EF">
        <w:rPr>
          <w:szCs w:val="24"/>
        </w:rPr>
        <w:t>a collective is imposing on women</w:t>
      </w:r>
      <w:r w:rsidRPr="009F5D7C">
        <w:rPr>
          <w:szCs w:val="24"/>
        </w:rPr>
        <w:t>. For example, “Feminist and other scholars have been critical of a priestly system that advantages men by imposing severe social and religious controls on women</w:t>
      </w:r>
      <w:r w:rsidR="00B14A43">
        <w:rPr>
          <w:szCs w:val="24"/>
        </w:rPr>
        <w:t>”</w:t>
      </w:r>
      <w:r w:rsidR="00466941">
        <w:rPr>
          <w:szCs w:val="24"/>
        </w:rPr>
        <w:t>,</w:t>
      </w:r>
      <w:r w:rsidRPr="009F5D7C">
        <w:rPr>
          <w:szCs w:val="24"/>
          <w:vertAlign w:val="superscript"/>
        </w:rPr>
        <w:footnoteReference w:id="3"/>
      </w:r>
      <w:r w:rsidRPr="009F5D7C">
        <w:rPr>
          <w:szCs w:val="24"/>
        </w:rPr>
        <w:t xml:space="preserve"> however, comments like these can sometimes be made without any knowledge of the women who choose to practice these laws. Through this dissertation, it will be interesting to compare the views of the women who apart of these practices and the comments made by those who are not. </w:t>
      </w:r>
    </w:p>
    <w:p w14:paraId="26161A0D" w14:textId="472537B8" w:rsidR="000D76EF" w:rsidRDefault="009F5D7C" w:rsidP="000D76EF">
      <w:pPr>
        <w:spacing w:line="360" w:lineRule="auto"/>
        <w:ind w:firstLine="720"/>
        <w:rPr>
          <w:szCs w:val="24"/>
        </w:rPr>
      </w:pPr>
      <w:r w:rsidRPr="009F5D7C">
        <w:rPr>
          <w:szCs w:val="24"/>
        </w:rPr>
        <w:t xml:space="preserve">The overall aim of this dissertation is to shed light on a topic that although has been covered before, </w:t>
      </w:r>
      <w:r w:rsidR="000D76EF">
        <w:rPr>
          <w:szCs w:val="24"/>
        </w:rPr>
        <w:t xml:space="preserve">but </w:t>
      </w:r>
      <w:r w:rsidRPr="009F5D7C">
        <w:rPr>
          <w:szCs w:val="24"/>
        </w:rPr>
        <w:t>rarely considers the women who</w:t>
      </w:r>
      <w:r w:rsidR="000D76EF">
        <w:rPr>
          <w:szCs w:val="24"/>
        </w:rPr>
        <w:t xml:space="preserve"> observe the laws</w:t>
      </w:r>
      <w:r w:rsidRPr="009F5D7C">
        <w:rPr>
          <w:szCs w:val="24"/>
        </w:rPr>
        <w:t>. How the women find empowerment in the laws will be key to look at, as if empowerment</w:t>
      </w:r>
      <w:r w:rsidR="000D76EF">
        <w:rPr>
          <w:szCs w:val="24"/>
        </w:rPr>
        <w:t xml:space="preserve"> is not found, what else do these women gain from this practise?</w:t>
      </w:r>
    </w:p>
    <w:p w14:paraId="33FFB463" w14:textId="738CC92B" w:rsidR="00B3456A" w:rsidRDefault="009F5D7C" w:rsidP="00B3456A">
      <w:pPr>
        <w:spacing w:line="360" w:lineRule="auto"/>
        <w:rPr>
          <w:szCs w:val="24"/>
        </w:rPr>
      </w:pPr>
      <w:r w:rsidRPr="009F5D7C">
        <w:rPr>
          <w:szCs w:val="24"/>
        </w:rPr>
        <w:t xml:space="preserve"> </w:t>
      </w:r>
      <w:r w:rsidR="000D76EF">
        <w:rPr>
          <w:szCs w:val="24"/>
        </w:rPr>
        <w:tab/>
      </w:r>
      <w:r w:rsidRPr="009F5D7C">
        <w:rPr>
          <w:szCs w:val="24"/>
        </w:rPr>
        <w:t xml:space="preserve">The feminist perspective will add another point of view to the </w:t>
      </w:r>
      <w:r w:rsidR="00DF7664" w:rsidRPr="009F5D7C">
        <w:rPr>
          <w:szCs w:val="24"/>
        </w:rPr>
        <w:t>conversation but</w:t>
      </w:r>
      <w:r w:rsidRPr="009F5D7C">
        <w:rPr>
          <w:szCs w:val="24"/>
        </w:rPr>
        <w:t xml:space="preserve"> will also include the points of view of women from all aspects of life</w:t>
      </w:r>
      <w:r w:rsidR="000D76EF">
        <w:rPr>
          <w:szCs w:val="24"/>
        </w:rPr>
        <w:t>. This will</w:t>
      </w:r>
      <w:r w:rsidR="00DF7664">
        <w:rPr>
          <w:szCs w:val="24"/>
        </w:rPr>
        <w:t xml:space="preserve"> </w:t>
      </w:r>
      <w:r w:rsidRPr="009F5D7C">
        <w:rPr>
          <w:szCs w:val="24"/>
        </w:rPr>
        <w:t xml:space="preserve">allow as many views and experiences with the Niddah laws to </w:t>
      </w:r>
      <w:r w:rsidR="00DF7664">
        <w:rPr>
          <w:szCs w:val="24"/>
        </w:rPr>
        <w:t xml:space="preserve">be collected, </w:t>
      </w:r>
      <w:r w:rsidRPr="009F5D7C">
        <w:rPr>
          <w:szCs w:val="24"/>
        </w:rPr>
        <w:t>to provide as best an answer to the question: are the Niddah laws empowering or imposing women?</w:t>
      </w:r>
      <w:bookmarkStart w:id="55" w:name="_Toc39585283"/>
      <w:bookmarkStart w:id="56" w:name="_Toc39585670"/>
      <w:bookmarkStart w:id="57" w:name="_Toc39585871"/>
      <w:bookmarkStart w:id="58" w:name="_Toc40008539"/>
    </w:p>
    <w:p w14:paraId="7B0E59BF" w14:textId="17474167" w:rsidR="00B3456A" w:rsidRDefault="00B3456A" w:rsidP="00B3456A">
      <w:pPr>
        <w:spacing w:line="360" w:lineRule="auto"/>
        <w:rPr>
          <w:szCs w:val="24"/>
        </w:rPr>
      </w:pPr>
    </w:p>
    <w:p w14:paraId="23A4CDFB" w14:textId="77777777" w:rsidR="00B3456A" w:rsidRPr="00B3456A" w:rsidRDefault="00B3456A" w:rsidP="00B3456A">
      <w:pPr>
        <w:spacing w:line="360" w:lineRule="auto"/>
        <w:rPr>
          <w:szCs w:val="24"/>
        </w:rPr>
      </w:pPr>
    </w:p>
    <w:p w14:paraId="3A4127C1" w14:textId="5AA164C1" w:rsidR="00E86A24" w:rsidRDefault="002A0324" w:rsidP="008E6429">
      <w:pPr>
        <w:pStyle w:val="Heading1"/>
        <w:spacing w:line="360" w:lineRule="auto"/>
      </w:pPr>
      <w:r>
        <w:t>Ancient Texts</w:t>
      </w:r>
      <w:bookmarkEnd w:id="55"/>
      <w:bookmarkEnd w:id="56"/>
      <w:bookmarkEnd w:id="57"/>
      <w:bookmarkEnd w:id="58"/>
    </w:p>
    <w:p w14:paraId="7CA3141B" w14:textId="77777777" w:rsidR="00B3456A" w:rsidRPr="00B3456A" w:rsidRDefault="00B3456A" w:rsidP="00B3456A"/>
    <w:p w14:paraId="178CEA6C" w14:textId="77777777" w:rsidR="00B3456A" w:rsidRDefault="001961FF" w:rsidP="00B3456A">
      <w:pPr>
        <w:spacing w:line="360" w:lineRule="auto"/>
        <w:ind w:firstLine="720"/>
      </w:pPr>
      <w:bookmarkStart w:id="59" w:name="_Hlk39503731"/>
      <w:bookmarkStart w:id="60" w:name="_Hlk39494412"/>
      <w:r w:rsidRPr="00F17DAE">
        <w:t xml:space="preserve">In order to understand how the Jewish purity </w:t>
      </w:r>
      <w:proofErr w:type="gramStart"/>
      <w:r w:rsidR="00A874B9" w:rsidRPr="00F17DAE">
        <w:t>laws</w:t>
      </w:r>
      <w:proofErr w:type="gramEnd"/>
      <w:r w:rsidRPr="00F17DAE">
        <w:t xml:space="preserve"> affect women today, the ancient Jewish texts must first be examined. This section of the dissertation will discuss these texts, mostly focusing on sections of Leviticus and touching on texts such as the Mishna and Talmud. These texts give a brief but insightful look into where the Niddah laws originated from, which will allow conclusions to be made about how these laws have affected women and Judaism </w:t>
      </w:r>
      <w:r w:rsidR="00A874B9" w:rsidRPr="00F17DAE">
        <w:t>in</w:t>
      </w:r>
      <w:r w:rsidRPr="00F17DAE">
        <w:t xml:space="preserve"> later years. It will also provide some history as to how these laws were practiced in ancient times, and how that impacted the role of women at the time.</w:t>
      </w:r>
    </w:p>
    <w:p w14:paraId="5CAE93BC" w14:textId="77777777" w:rsidR="00B3456A" w:rsidRDefault="001961FF" w:rsidP="00B3456A">
      <w:pPr>
        <w:spacing w:line="360" w:lineRule="auto"/>
        <w:ind w:firstLine="720"/>
      </w:pPr>
      <w:r w:rsidRPr="00F17DAE">
        <w:t xml:space="preserve"> Impurity, both moral and ritual, has a large role in the Niddah laws. The difference between these impurities will be discussed, along with the difference of impurity for men and women, how one would become impure and the ways in which impurity is removed. The Mikvah (sacred bath) is a main component of removing impurity, and therefore will be looked at in some detail. </w:t>
      </w:r>
    </w:p>
    <w:p w14:paraId="7F6CA253" w14:textId="1409F2A6" w:rsidR="001961FF" w:rsidRPr="00F17DAE" w:rsidRDefault="001961FF" w:rsidP="00B3456A">
      <w:pPr>
        <w:spacing w:line="360" w:lineRule="auto"/>
        <w:ind w:firstLine="720"/>
      </w:pPr>
      <w:r w:rsidRPr="00F17DAE">
        <w:t xml:space="preserve">Finally, this dissertation will look at how the </w:t>
      </w:r>
      <w:r w:rsidR="00B859CE">
        <w:t>Temple</w:t>
      </w:r>
      <w:r w:rsidRPr="00F17DAE">
        <w:t xml:space="preserve"> played a role with the Niddah laws and what having the </w:t>
      </w:r>
      <w:r w:rsidR="00B859CE">
        <w:t>Temple</w:t>
      </w:r>
      <w:r w:rsidRPr="00F17DAE">
        <w:t xml:space="preserve"> meant for women during menstruation. Ancient times and texts are the main pillar on which the Niddah laws stand, and the discussion of them will help uncover the intention behind them and the implications they have on women.</w:t>
      </w:r>
    </w:p>
    <w:p w14:paraId="059C4843" w14:textId="77777777" w:rsidR="001961FF" w:rsidRPr="00F17DAE" w:rsidRDefault="001961FF" w:rsidP="008E6429">
      <w:pPr>
        <w:keepNext/>
        <w:keepLines/>
        <w:spacing w:before="40" w:after="0" w:line="360" w:lineRule="auto"/>
        <w:outlineLvl w:val="1"/>
        <w:rPr>
          <w:rFonts w:eastAsiaTheme="majorEastAsia" w:cstheme="majorBidi"/>
          <w:sz w:val="32"/>
          <w:szCs w:val="32"/>
        </w:rPr>
      </w:pPr>
      <w:bookmarkStart w:id="61" w:name="_Toc39585771"/>
      <w:bookmarkStart w:id="62" w:name="_Toc40008540"/>
      <w:r w:rsidRPr="00F17DAE">
        <w:rPr>
          <w:rFonts w:eastAsiaTheme="majorEastAsia" w:cstheme="majorBidi"/>
          <w:sz w:val="32"/>
          <w:szCs w:val="32"/>
        </w:rPr>
        <w:t>Purity in Leviticus</w:t>
      </w:r>
      <w:bookmarkEnd w:id="61"/>
      <w:bookmarkEnd w:id="62"/>
      <w:r w:rsidRPr="00F17DAE">
        <w:rPr>
          <w:rFonts w:eastAsiaTheme="majorEastAsia" w:cstheme="majorBidi"/>
          <w:sz w:val="32"/>
          <w:szCs w:val="32"/>
        </w:rPr>
        <w:t xml:space="preserve"> </w:t>
      </w:r>
    </w:p>
    <w:p w14:paraId="648128DE" w14:textId="4A09BBEB" w:rsidR="00B3456A" w:rsidRPr="00B3456A" w:rsidRDefault="00430B64" w:rsidP="00B3456A">
      <w:pPr>
        <w:pStyle w:val="Heading3"/>
        <w:spacing w:line="360" w:lineRule="auto"/>
      </w:pPr>
      <w:bookmarkStart w:id="63" w:name="_Toc40008541"/>
      <w:r w:rsidRPr="00F17DAE">
        <w:t>Purity and Impurity</w:t>
      </w:r>
      <w:bookmarkEnd w:id="63"/>
      <w:r w:rsidRPr="00F17DAE">
        <w:t xml:space="preserve"> </w:t>
      </w:r>
    </w:p>
    <w:bookmarkEnd w:id="60"/>
    <w:p w14:paraId="2B406B98" w14:textId="16B7BE1C" w:rsidR="001961FF" w:rsidRPr="00F17DAE" w:rsidRDefault="001961FF" w:rsidP="008E6429">
      <w:pPr>
        <w:spacing w:line="360" w:lineRule="auto"/>
        <w:ind w:firstLine="720"/>
        <w:rPr>
          <w:szCs w:val="24"/>
          <w:shd w:val="clear" w:color="auto" w:fill="FFFFFF"/>
        </w:rPr>
      </w:pPr>
      <w:r w:rsidRPr="00F17DAE">
        <w:t>Leviticus 15 is one of the most important texts regarding the purity laws, as it is the first mention in the biblical text of what makes a person pure and impure.</w:t>
      </w:r>
      <w:r w:rsidRPr="00F17DAE">
        <w:rPr>
          <w:szCs w:val="24"/>
          <w:shd w:val="clear" w:color="auto" w:fill="FFFFFF"/>
        </w:rPr>
        <w:t xml:space="preserve"> The taboo around blood and women’s periods is </w:t>
      </w:r>
      <w:r w:rsidR="00B859CE" w:rsidRPr="00F17DAE">
        <w:rPr>
          <w:szCs w:val="24"/>
          <w:shd w:val="clear" w:color="auto" w:fill="FFFFFF"/>
        </w:rPr>
        <w:t>e</w:t>
      </w:r>
      <w:r w:rsidR="00B859CE">
        <w:rPr>
          <w:szCs w:val="24"/>
          <w:shd w:val="clear" w:color="auto" w:fill="FFFFFF"/>
        </w:rPr>
        <w:t>mbedded</w:t>
      </w:r>
      <w:r w:rsidRPr="00F17DAE">
        <w:rPr>
          <w:szCs w:val="24"/>
          <w:shd w:val="clear" w:color="auto" w:fill="FFFFFF"/>
        </w:rPr>
        <w:t xml:space="preserve"> into Judaism, with there being laws throughout its teachings, expressing the idea of ‘bad blood’</w:t>
      </w:r>
      <w:r w:rsidRPr="00F17DAE">
        <w:rPr>
          <w:szCs w:val="24"/>
          <w:shd w:val="clear" w:color="auto" w:fill="FFFFFF"/>
          <w:vertAlign w:val="superscript"/>
        </w:rPr>
        <w:footnoteReference w:id="4"/>
      </w:r>
      <w:r w:rsidRPr="00F17DAE">
        <w:rPr>
          <w:szCs w:val="24"/>
          <w:shd w:val="clear" w:color="auto" w:fill="FFFFFF"/>
        </w:rPr>
        <w:t xml:space="preserve"> being impure. This most likely comes from blood-carrying diseases in ancient times </w:t>
      </w:r>
      <w:r w:rsidR="00A874B9" w:rsidRPr="00F17DAE">
        <w:rPr>
          <w:szCs w:val="24"/>
          <w:shd w:val="clear" w:color="auto" w:fill="FFFFFF"/>
        </w:rPr>
        <w:t>and</w:t>
      </w:r>
      <w:r w:rsidRPr="00F17DAE">
        <w:rPr>
          <w:szCs w:val="24"/>
          <w:shd w:val="clear" w:color="auto" w:fill="FFFFFF"/>
        </w:rPr>
        <w:t xml:space="preserve"> from blood being associated with death. Therefore, it is only natural that “a fear or revulsion of menstrual blood seems to have been a standard feature of Ancient Near Eastern culture</w:t>
      </w:r>
      <w:r w:rsidR="00B14A43">
        <w:rPr>
          <w:szCs w:val="24"/>
          <w:shd w:val="clear" w:color="auto" w:fill="FFFFFF"/>
        </w:rPr>
        <w:t>”.</w:t>
      </w:r>
      <w:r w:rsidRPr="00F17DAE">
        <w:rPr>
          <w:szCs w:val="24"/>
          <w:shd w:val="clear" w:color="auto" w:fill="FFFFFF"/>
          <w:vertAlign w:val="superscript"/>
        </w:rPr>
        <w:footnoteReference w:id="5"/>
      </w:r>
      <w:r w:rsidR="00B3456A">
        <w:rPr>
          <w:szCs w:val="24"/>
          <w:shd w:val="clear" w:color="auto" w:fill="FFFFFF"/>
        </w:rPr>
        <w:t xml:space="preserve"> </w:t>
      </w:r>
      <w:r w:rsidRPr="00F17DAE">
        <w:rPr>
          <w:szCs w:val="24"/>
          <w:shd w:val="clear" w:color="auto" w:fill="FFFFFF"/>
        </w:rPr>
        <w:t>This ‘fear’ is reflected in the texts of Leviticus in which the social rules of the time were written down</w:t>
      </w:r>
      <w:r w:rsidR="00B14A43">
        <w:rPr>
          <w:szCs w:val="24"/>
          <w:shd w:val="clear" w:color="auto" w:fill="FFFFFF"/>
        </w:rPr>
        <w:t>.</w:t>
      </w:r>
      <w:r w:rsidRPr="00F17DAE">
        <w:rPr>
          <w:szCs w:val="24"/>
          <w:shd w:val="clear" w:color="auto" w:fill="FFFFFF"/>
          <w:vertAlign w:val="superscript"/>
        </w:rPr>
        <w:footnoteReference w:id="6"/>
      </w:r>
      <w:r w:rsidRPr="00F17DAE">
        <w:rPr>
          <w:szCs w:val="24"/>
          <w:shd w:val="clear" w:color="auto" w:fill="FFFFFF"/>
        </w:rPr>
        <w:t xml:space="preserve"> The text is split up into two sections, ritual impurity which is temporary and moral impurity which requires cleansing. </w:t>
      </w:r>
    </w:p>
    <w:p w14:paraId="616C61DC" w14:textId="77777777" w:rsidR="001961FF" w:rsidRPr="00F17DAE" w:rsidRDefault="001961FF" w:rsidP="00DF313E">
      <w:pPr>
        <w:spacing w:line="360" w:lineRule="auto"/>
        <w:ind w:firstLine="720"/>
        <w:rPr>
          <w:szCs w:val="24"/>
          <w:shd w:val="clear" w:color="auto" w:fill="FFFFFF"/>
        </w:rPr>
      </w:pPr>
      <w:r w:rsidRPr="00F17DAE">
        <w:t xml:space="preserve">The first section of Leviticus 15 that involves the purity of women states: </w:t>
      </w:r>
    </w:p>
    <w:p w14:paraId="15F3253E" w14:textId="77777777" w:rsidR="001961FF" w:rsidRPr="00F17DAE" w:rsidRDefault="001961FF" w:rsidP="008E6429">
      <w:pPr>
        <w:spacing w:line="360" w:lineRule="auto"/>
        <w:ind w:left="1134" w:right="1134"/>
        <w:rPr>
          <w:szCs w:val="24"/>
          <w:shd w:val="clear" w:color="auto" w:fill="FFFFFF"/>
        </w:rPr>
      </w:pPr>
      <w:r w:rsidRPr="00F17DAE">
        <w:rPr>
          <w:szCs w:val="24"/>
          <w:shd w:val="clear" w:color="auto" w:fill="FFFFFF"/>
        </w:rPr>
        <w:t>When a woman has a discharge of blood that is her regular discharge from her body, she shall be in her impurity for seven days, and whoever touches her shall be unclean until the evening.</w:t>
      </w:r>
      <w:r w:rsidRPr="00F17DAE">
        <w:rPr>
          <w:rFonts w:cs="Arial"/>
          <w:b/>
          <w:bCs/>
          <w:szCs w:val="24"/>
          <w:shd w:val="clear" w:color="auto" w:fill="FFFFFF"/>
          <w:vertAlign w:val="superscript"/>
        </w:rPr>
        <w:t> </w:t>
      </w:r>
      <w:r w:rsidRPr="00F17DAE">
        <w:rPr>
          <w:szCs w:val="24"/>
          <w:shd w:val="clear" w:color="auto" w:fill="FFFFFF"/>
        </w:rPr>
        <w:t>Everything upon which she lies during her impurity shall be unclean; everything also upon which she sits shall be unclean.</w:t>
      </w:r>
      <w:r w:rsidRPr="00F17DAE">
        <w:rPr>
          <w:rFonts w:cs="Arial"/>
          <w:b/>
          <w:bCs/>
          <w:szCs w:val="24"/>
          <w:shd w:val="clear" w:color="auto" w:fill="FFFFFF"/>
          <w:vertAlign w:val="superscript"/>
        </w:rPr>
        <w:t> </w:t>
      </w:r>
      <w:r w:rsidRPr="00F17DAE">
        <w:rPr>
          <w:szCs w:val="24"/>
          <w:shd w:val="clear" w:color="auto" w:fill="FFFFFF"/>
        </w:rPr>
        <w:t>Whoever touches her bed shall wash his clothes, and bathe in water, and be unclean until the evening.</w:t>
      </w:r>
      <w:r w:rsidRPr="00F17DAE">
        <w:rPr>
          <w:b/>
          <w:bCs/>
          <w:szCs w:val="24"/>
          <w:shd w:val="clear" w:color="auto" w:fill="FFFFFF"/>
          <w:vertAlign w:val="superscript"/>
        </w:rPr>
        <w:t> </w:t>
      </w:r>
      <w:r w:rsidRPr="00F17DAE">
        <w:rPr>
          <w:szCs w:val="24"/>
          <w:shd w:val="clear" w:color="auto" w:fill="FFFFFF"/>
        </w:rPr>
        <w:t>Whoever touches anything upon which she sits shall wash his clothes, and bathe in water, and be unclean until the evening;</w:t>
      </w:r>
      <w:r w:rsidRPr="00F17DAE">
        <w:rPr>
          <w:b/>
          <w:bCs/>
          <w:szCs w:val="24"/>
          <w:shd w:val="clear" w:color="auto" w:fill="FFFFFF"/>
          <w:vertAlign w:val="superscript"/>
        </w:rPr>
        <w:t> </w:t>
      </w:r>
      <w:r w:rsidRPr="00F17DAE">
        <w:rPr>
          <w:szCs w:val="24"/>
          <w:shd w:val="clear" w:color="auto" w:fill="FFFFFF"/>
        </w:rPr>
        <w:t>whether it is the bed or anything upon which she sits, when he touches it he shall be unclean until the evening (Lev 15: 19-23).</w:t>
      </w:r>
    </w:p>
    <w:p w14:paraId="2BE879B7" w14:textId="15E2E7A7" w:rsidR="001961FF" w:rsidRPr="00F17DAE" w:rsidRDefault="001961FF" w:rsidP="008E6429">
      <w:pPr>
        <w:spacing w:line="360" w:lineRule="auto"/>
        <w:rPr>
          <w:szCs w:val="24"/>
          <w:shd w:val="clear" w:color="auto" w:fill="FFFFFF"/>
        </w:rPr>
      </w:pPr>
      <w:r w:rsidRPr="00F17DAE">
        <w:rPr>
          <w:szCs w:val="24"/>
          <w:shd w:val="clear" w:color="auto" w:fill="FFFFFF"/>
        </w:rPr>
        <w:t>This section of the text states that when a woman has her menstruation, she is considered impure for seven days after the bleeding has stopped.</w:t>
      </w:r>
      <w:r w:rsidRPr="00F17DAE">
        <w:t xml:space="preserve"> This is an example of ritual impurity. During the times of the First and Second </w:t>
      </w:r>
      <w:r w:rsidR="00B859CE">
        <w:t>Temple</w:t>
      </w:r>
      <w:r w:rsidRPr="00F17DAE">
        <w:t xml:space="preserve">, a woman would not be allowed to enter the </w:t>
      </w:r>
      <w:r w:rsidR="00B859CE">
        <w:t>Temple</w:t>
      </w:r>
      <w:r w:rsidRPr="00F17DAE">
        <w:t xml:space="preserve"> as anything she sat on would be made impure.</w:t>
      </w:r>
      <w:r w:rsidRPr="00F17DAE">
        <w:rPr>
          <w:szCs w:val="24"/>
          <w:shd w:val="clear" w:color="auto" w:fill="FFFFFF"/>
        </w:rPr>
        <w:t xml:space="preserve"> This impurity is passed onto anything that her blood touches, and therefore any seat or bed that she uses will then be impure. If anyone touches her, or these impure places, they too will be impure until they have cleansed. </w:t>
      </w:r>
    </w:p>
    <w:p w14:paraId="1092322E" w14:textId="016D2A0C" w:rsidR="001961FF" w:rsidRPr="00F17DAE" w:rsidRDefault="001961FF" w:rsidP="00DF313E">
      <w:pPr>
        <w:spacing w:line="360" w:lineRule="auto"/>
        <w:ind w:firstLine="720"/>
        <w:rPr>
          <w:szCs w:val="24"/>
          <w:shd w:val="clear" w:color="auto" w:fill="FFFFFF"/>
        </w:rPr>
      </w:pPr>
      <w:r w:rsidRPr="00F17DAE">
        <w:rPr>
          <w:szCs w:val="24"/>
          <w:shd w:val="clear" w:color="auto" w:fill="FFFFFF"/>
        </w:rPr>
        <w:t>Due to the time in which these texts were written, it was quite easy for a woman to pass on her impurity</w:t>
      </w:r>
      <w:r w:rsidR="00466941">
        <w:rPr>
          <w:szCs w:val="24"/>
          <w:shd w:val="clear" w:color="auto" w:fill="FFFFFF"/>
        </w:rPr>
        <w:t>,</w:t>
      </w:r>
      <w:r w:rsidRPr="00F17DAE">
        <w:rPr>
          <w:szCs w:val="24"/>
          <w:shd w:val="clear" w:color="auto" w:fill="FFFFFF"/>
          <w:vertAlign w:val="superscript"/>
        </w:rPr>
        <w:footnoteReference w:id="7"/>
      </w:r>
      <w:r w:rsidRPr="00F17DAE">
        <w:rPr>
          <w:szCs w:val="24"/>
          <w:shd w:val="clear" w:color="auto" w:fill="FFFFFF"/>
        </w:rPr>
        <w:t xml:space="preserve"> as they did not have the modern female hygiene products that prevent that from occurring today. Furthermore, the menstruation’s “biological purpose was not at all clear then, and as a result a woman’s monthly discharge was treated as a subject of fear and abomination</w:t>
      </w:r>
      <w:r w:rsidR="00B14A43">
        <w:rPr>
          <w:szCs w:val="24"/>
          <w:shd w:val="clear" w:color="auto" w:fill="FFFFFF"/>
        </w:rPr>
        <w:t>”.</w:t>
      </w:r>
      <w:r w:rsidRPr="00F17DAE">
        <w:rPr>
          <w:szCs w:val="24"/>
          <w:shd w:val="clear" w:color="auto" w:fill="FFFFFF"/>
          <w:vertAlign w:val="superscript"/>
        </w:rPr>
        <w:footnoteReference w:id="8"/>
      </w:r>
      <w:r w:rsidRPr="00F17DAE">
        <w:rPr>
          <w:szCs w:val="24"/>
          <w:shd w:val="clear" w:color="auto" w:fill="FFFFFF"/>
        </w:rPr>
        <w:t xml:space="preserve"> Although this view is understandable at the time, it is still present today due to the literature and laws that are immersed with the negatives view of menstruation. </w:t>
      </w:r>
    </w:p>
    <w:p w14:paraId="539BDA3D" w14:textId="77777777" w:rsidR="001961FF" w:rsidRPr="00F17DAE" w:rsidRDefault="001961FF" w:rsidP="00DF313E">
      <w:pPr>
        <w:spacing w:line="360" w:lineRule="auto"/>
        <w:ind w:firstLine="720"/>
        <w:rPr>
          <w:szCs w:val="24"/>
          <w:shd w:val="clear" w:color="auto" w:fill="FFFFFF"/>
        </w:rPr>
      </w:pPr>
      <w:r w:rsidRPr="00F17DAE">
        <w:rPr>
          <w:szCs w:val="24"/>
          <w:shd w:val="clear" w:color="auto" w:fill="FFFFFF"/>
        </w:rPr>
        <w:t>Leviticus also describes the laws concerning women having non-menstrual bleeding, which is can be seen in the following quote.</w:t>
      </w:r>
    </w:p>
    <w:p w14:paraId="1D103399" w14:textId="77777777" w:rsidR="001961FF" w:rsidRPr="00F17DAE" w:rsidRDefault="001961FF" w:rsidP="008E6429">
      <w:pPr>
        <w:spacing w:line="360" w:lineRule="auto"/>
        <w:ind w:left="1134" w:right="1134"/>
        <w:rPr>
          <w:shd w:val="clear" w:color="auto" w:fill="FFFFFF"/>
        </w:rPr>
      </w:pPr>
      <w:r w:rsidRPr="00F17DAE">
        <w:rPr>
          <w:shd w:val="clear" w:color="auto" w:fill="FFFFFF"/>
        </w:rPr>
        <w:t>If a woman has a discharge of blood for many days, not at the time of her impurity, or if she has a discharge beyond the time of her impurity, all the days of the discharge she shall continue in uncleanness; as in the days of her impurity, she shall be unclean. (Lev 15:25-26)</w:t>
      </w:r>
    </w:p>
    <w:p w14:paraId="11983B78" w14:textId="24C08C5F" w:rsidR="001961FF" w:rsidRPr="00F17DAE" w:rsidRDefault="001961FF" w:rsidP="008E6429">
      <w:pPr>
        <w:spacing w:line="360" w:lineRule="auto"/>
        <w:rPr>
          <w:shd w:val="clear" w:color="auto" w:fill="FFFFFF"/>
        </w:rPr>
      </w:pPr>
      <w:r w:rsidRPr="00F17DAE">
        <w:rPr>
          <w:shd w:val="clear" w:color="auto" w:fill="FFFFFF"/>
        </w:rPr>
        <w:t>As in the case that the blood is not considered ‘natural’, there are further steps that must be taken to rid the woman of her impurities. The previous rules of having to wait for seven days without blood</w:t>
      </w:r>
      <w:r w:rsidR="00466941">
        <w:rPr>
          <w:shd w:val="clear" w:color="auto" w:fill="FFFFFF"/>
        </w:rPr>
        <w:t>,</w:t>
      </w:r>
      <w:r w:rsidRPr="00F17DAE">
        <w:rPr>
          <w:shd w:val="clear" w:color="auto" w:fill="FFFFFF"/>
          <w:vertAlign w:val="superscript"/>
        </w:rPr>
        <w:footnoteReference w:id="9"/>
      </w:r>
      <w:r w:rsidRPr="00F17DAE">
        <w:rPr>
          <w:shd w:val="clear" w:color="auto" w:fill="FFFFFF"/>
        </w:rPr>
        <w:t xml:space="preserve"> as seen in Lev 15: 19-23 still apply, however,</w:t>
      </w:r>
    </w:p>
    <w:p w14:paraId="182E17A1" w14:textId="77777777" w:rsidR="001961FF" w:rsidRPr="00F17DAE" w:rsidRDefault="001961FF" w:rsidP="008E6429">
      <w:pPr>
        <w:spacing w:line="360" w:lineRule="auto"/>
        <w:ind w:left="1134" w:right="1134"/>
        <w:rPr>
          <w:shd w:val="clear" w:color="auto" w:fill="FFFFFF"/>
        </w:rPr>
      </w:pPr>
      <w:r w:rsidRPr="00F17DAE">
        <w:rPr>
          <w:shd w:val="clear" w:color="auto" w:fill="FFFFFF"/>
        </w:rPr>
        <w:t>On the eighth day she shall take two turtledoves or two pigeons and bring them to the priest at the entrance of the tent of meeting. The priest shall offer one for a sin offering and the other for a burnt offering; and the priest shall make atonement on her behalf before the </w:t>
      </w:r>
      <w:r w:rsidRPr="00F17DAE">
        <w:rPr>
          <w:smallCaps/>
          <w:shd w:val="clear" w:color="auto" w:fill="FFFFFF"/>
        </w:rPr>
        <w:t>Lord</w:t>
      </w:r>
      <w:r w:rsidRPr="00F17DAE">
        <w:rPr>
          <w:shd w:val="clear" w:color="auto" w:fill="FFFFFF"/>
        </w:rPr>
        <w:t> for her unclean discharge. (Lev 15:29-30)</w:t>
      </w:r>
    </w:p>
    <w:p w14:paraId="3B4D3555" w14:textId="6DA8906B" w:rsidR="001961FF" w:rsidRPr="00F17DAE" w:rsidRDefault="001961FF" w:rsidP="008E6429">
      <w:pPr>
        <w:spacing w:line="360" w:lineRule="auto"/>
        <w:rPr>
          <w:szCs w:val="24"/>
          <w:shd w:val="clear" w:color="auto" w:fill="FFFFFF"/>
        </w:rPr>
      </w:pPr>
      <w:r w:rsidRPr="00F17DAE">
        <w:rPr>
          <w:szCs w:val="24"/>
          <w:shd w:val="clear" w:color="auto" w:fill="FFFFFF"/>
        </w:rPr>
        <w:t>It is important to note that the sacrifice mentioned in the text for a woman’s unclean discharge is the same as that of a man’s (Lev 15:13-15)</w:t>
      </w:r>
      <w:r w:rsidR="00B14A43">
        <w:rPr>
          <w:szCs w:val="24"/>
          <w:shd w:val="clear" w:color="auto" w:fill="FFFFFF"/>
        </w:rPr>
        <w:t>.</w:t>
      </w:r>
      <w:r w:rsidRPr="00F17DAE">
        <w:rPr>
          <w:szCs w:val="24"/>
          <w:shd w:val="clear" w:color="auto" w:fill="FFFFFF"/>
          <w:vertAlign w:val="superscript"/>
        </w:rPr>
        <w:footnoteReference w:id="10"/>
      </w:r>
      <w:r w:rsidRPr="00F17DAE">
        <w:rPr>
          <w:szCs w:val="24"/>
          <w:shd w:val="clear" w:color="auto" w:fill="FFFFFF"/>
        </w:rPr>
        <w:t xml:space="preserve">  There is much discussion over the harshness of a woman’s penance compared to that of a man</w:t>
      </w:r>
      <w:r w:rsidR="00466941">
        <w:rPr>
          <w:szCs w:val="24"/>
          <w:shd w:val="clear" w:color="auto" w:fill="FFFFFF"/>
        </w:rPr>
        <w:t>,</w:t>
      </w:r>
      <w:r w:rsidRPr="00F17DAE">
        <w:rPr>
          <w:szCs w:val="24"/>
          <w:shd w:val="clear" w:color="auto" w:fill="FFFFFF"/>
          <w:vertAlign w:val="superscript"/>
        </w:rPr>
        <w:footnoteReference w:id="11"/>
      </w:r>
      <w:r w:rsidRPr="00F17DAE">
        <w:rPr>
          <w:szCs w:val="24"/>
          <w:shd w:val="clear" w:color="auto" w:fill="FFFFFF"/>
        </w:rPr>
        <w:t xml:space="preserve"> as unlike in this case, the sacrifice or penance is not always equal.</w:t>
      </w:r>
    </w:p>
    <w:p w14:paraId="1C03E06A" w14:textId="649225F1" w:rsidR="001961FF" w:rsidRPr="00F17DAE" w:rsidRDefault="001961FF" w:rsidP="00DF313E">
      <w:pPr>
        <w:spacing w:line="360" w:lineRule="auto"/>
        <w:ind w:firstLine="720"/>
        <w:rPr>
          <w:szCs w:val="24"/>
          <w:shd w:val="clear" w:color="auto" w:fill="FFFFFF"/>
        </w:rPr>
      </w:pPr>
      <w:r w:rsidRPr="00F17DAE">
        <w:rPr>
          <w:szCs w:val="24"/>
          <w:shd w:val="clear" w:color="auto" w:fill="FFFFFF"/>
        </w:rPr>
        <w:t>Contrary to the passage concerning male impurity</w:t>
      </w:r>
      <w:r w:rsidR="00DF313E">
        <w:rPr>
          <w:szCs w:val="24"/>
          <w:shd w:val="clear" w:color="auto" w:fill="FFFFFF"/>
        </w:rPr>
        <w:t xml:space="preserve"> (</w:t>
      </w:r>
      <w:r w:rsidR="00DF313E">
        <w:t>Lev 15:13-15</w:t>
      </w:r>
      <w:r w:rsidR="00DF313E">
        <w:t>)</w:t>
      </w:r>
      <w:r w:rsidRPr="00F17DAE">
        <w:rPr>
          <w:szCs w:val="24"/>
          <w:shd w:val="clear" w:color="auto" w:fill="FFFFFF"/>
        </w:rPr>
        <w:t xml:space="preserve">, the woman’s passage does not state that she needs to Mikvah. This could suggest that the male impurity is worse than that of the woman’s, as he needs to be cleaned in order to be morally pure again. However, from a different perspective, a woman may not have to bath to become pure because of her lack of involvement within the </w:t>
      </w:r>
      <w:r w:rsidR="00B859CE">
        <w:rPr>
          <w:szCs w:val="24"/>
          <w:shd w:val="clear" w:color="auto" w:fill="FFFFFF"/>
        </w:rPr>
        <w:t>Temple</w:t>
      </w:r>
      <w:r w:rsidRPr="00F17DAE">
        <w:rPr>
          <w:szCs w:val="24"/>
          <w:shd w:val="clear" w:color="auto" w:fill="FFFFFF"/>
        </w:rPr>
        <w:t>, and therefore lack of urgency to be pure again. This, however, can be dismissed as the woman would handle the food preparation, and therefore could easily pass on her impurity to her husband. This gives more incentive for a woman to become clean again, if only to prevent the impurity of the men around her.</w:t>
      </w:r>
    </w:p>
    <w:p w14:paraId="2D4BBFA9" w14:textId="7A7310F2" w:rsidR="001961FF" w:rsidRPr="00F17DAE" w:rsidRDefault="001961FF" w:rsidP="008E6429">
      <w:pPr>
        <w:pStyle w:val="Heading3"/>
        <w:spacing w:line="360" w:lineRule="auto"/>
        <w:rPr>
          <w:shd w:val="clear" w:color="auto" w:fill="FFFFFF"/>
        </w:rPr>
      </w:pPr>
      <w:bookmarkStart w:id="65" w:name="_Toc39585773"/>
      <w:bookmarkStart w:id="66" w:name="_Toc40008542"/>
      <w:r w:rsidRPr="00F17DAE">
        <w:rPr>
          <w:shd w:val="clear" w:color="auto" w:fill="FFFFFF"/>
        </w:rPr>
        <w:t>Impurity Through Intercourse</w:t>
      </w:r>
      <w:bookmarkEnd w:id="65"/>
      <w:bookmarkEnd w:id="66"/>
      <w:r w:rsidRPr="00F17DAE">
        <w:rPr>
          <w:shd w:val="clear" w:color="auto" w:fill="FFFFFF"/>
        </w:rPr>
        <w:t xml:space="preserve"> </w:t>
      </w:r>
    </w:p>
    <w:p w14:paraId="4E0489B7" w14:textId="77777777" w:rsidR="001961FF" w:rsidRPr="00F17DAE" w:rsidRDefault="001961FF" w:rsidP="008E6429">
      <w:pPr>
        <w:spacing w:line="360" w:lineRule="auto"/>
        <w:ind w:firstLine="720"/>
        <w:rPr>
          <w:szCs w:val="24"/>
          <w:shd w:val="clear" w:color="auto" w:fill="FFFFFF"/>
        </w:rPr>
      </w:pPr>
      <w:r w:rsidRPr="00F17DAE">
        <w:rPr>
          <w:szCs w:val="24"/>
          <w:shd w:val="clear" w:color="auto" w:fill="FFFFFF"/>
        </w:rPr>
        <w:t>A section of Leviticus that has a large amount of commentary on impurity through intercourse is Lev 15:24. It states that</w:t>
      </w:r>
      <w:r w:rsidRPr="00F17DAE">
        <w:rPr>
          <w:b/>
          <w:bCs/>
          <w:szCs w:val="24"/>
          <w:shd w:val="clear" w:color="auto" w:fill="FFFFFF"/>
          <w:vertAlign w:val="superscript"/>
        </w:rPr>
        <w:t> “</w:t>
      </w:r>
      <w:r w:rsidRPr="00F17DAE">
        <w:rPr>
          <w:szCs w:val="24"/>
          <w:shd w:val="clear" w:color="auto" w:fill="FFFFFF"/>
        </w:rPr>
        <w:t xml:space="preserve">if any man lies with her, and her impurity falls on him, he shall be unclean seven days; and every bed on which he lies shall be unclean”. By this law, it is understood that if a man were to have sex with a woman while she was menstruating, then he too would become impure. This text therefore does not state that this act is banned, only that impurity of the man would be the consequence. </w:t>
      </w:r>
    </w:p>
    <w:p w14:paraId="1F240AB9" w14:textId="77777777" w:rsidR="001961FF" w:rsidRPr="00F17DAE" w:rsidRDefault="001961FF" w:rsidP="00DF313E">
      <w:pPr>
        <w:spacing w:line="360" w:lineRule="auto"/>
        <w:ind w:firstLine="720"/>
        <w:rPr>
          <w:szCs w:val="24"/>
          <w:shd w:val="clear" w:color="auto" w:fill="FFFFFF"/>
        </w:rPr>
      </w:pPr>
      <w:r w:rsidRPr="00F17DAE">
        <w:rPr>
          <w:szCs w:val="24"/>
          <w:shd w:val="clear" w:color="auto" w:fill="FFFFFF"/>
        </w:rPr>
        <w:t xml:space="preserve">However, other sections of Leviticus that discuss the matter of intercourse whilst a woman is menstruating differ from the ones discussed above. For example, the lines “you shall not approach a woman to uncover her nakedness while she is in her menstrual uncleanness” (Lev 18:19) state that you should not try and have sex with a woman while she is menstruating. Furthermore, the lines “if a man lies with a woman having her sickness and uncovers her nakedness, he has laid bare her flow and she has laid bare her flow of blood; both of them shall be cut off from their people” (Lev 20:18) state that it should not be done because the area in which the woman is bleeding has been revealed and both may be killed for doing so. </w:t>
      </w:r>
    </w:p>
    <w:p w14:paraId="44BC1B7F" w14:textId="55C66877" w:rsidR="001961FF" w:rsidRPr="00F17DAE" w:rsidRDefault="001961FF" w:rsidP="00DF313E">
      <w:pPr>
        <w:spacing w:line="360" w:lineRule="auto"/>
        <w:ind w:firstLine="720"/>
        <w:rPr>
          <w:szCs w:val="24"/>
          <w:shd w:val="clear" w:color="auto" w:fill="FFFFFF"/>
        </w:rPr>
      </w:pPr>
      <w:r w:rsidRPr="00F17DAE">
        <w:rPr>
          <w:szCs w:val="24"/>
          <w:shd w:val="clear" w:color="auto" w:fill="FFFFFF"/>
        </w:rPr>
        <w:t xml:space="preserve">When comparing Lev 15:24 to Lev 18:19 and Lev 20:18, Lev 15:24 refers to ritual impurity and the other two passages refer to moral impurity. The distinction here is vital, as it shows the difference between an intended act and an accidental act. This distinction is </w:t>
      </w:r>
      <w:r w:rsidR="00B859CE">
        <w:rPr>
          <w:szCs w:val="24"/>
          <w:shd w:val="clear" w:color="auto" w:fill="FFFFFF"/>
        </w:rPr>
        <w:t>presented</w:t>
      </w:r>
      <w:r w:rsidRPr="00F17DAE">
        <w:rPr>
          <w:szCs w:val="24"/>
          <w:shd w:val="clear" w:color="auto" w:fill="FFFFFF"/>
        </w:rPr>
        <w:t xml:space="preserve"> in the way that the texts are worded. Lev 15:24 states that if “her impurity falls on him”, that implies that the two were engaged in intercourse when the woman began menstruating. In this case, the couple were not aware of the onset of menstruation. However, the other texts refer to a man “uncovering” a woman while she is menstruating, making the act morally impure, as the individual did so knowingly. This also leads to the assumption that the first text is referring to a married couple, and the others are referring to pre-marital intercourse.</w:t>
      </w:r>
      <w:r w:rsidRPr="00F17DAE">
        <w:rPr>
          <w:szCs w:val="24"/>
          <w:shd w:val="clear" w:color="auto" w:fill="FFFFFF"/>
          <w:vertAlign w:val="superscript"/>
        </w:rPr>
        <w:footnoteReference w:id="12"/>
      </w:r>
      <w:r w:rsidRPr="00F17DAE">
        <w:rPr>
          <w:szCs w:val="24"/>
          <w:shd w:val="clear" w:color="auto" w:fill="FFFFFF"/>
        </w:rPr>
        <w:t xml:space="preserve"> </w:t>
      </w:r>
    </w:p>
    <w:p w14:paraId="7F77AB21" w14:textId="7B48D122" w:rsidR="001961FF" w:rsidRPr="00F17DAE" w:rsidRDefault="001961FF" w:rsidP="00DF313E">
      <w:pPr>
        <w:spacing w:line="360" w:lineRule="auto"/>
        <w:ind w:firstLine="720"/>
        <w:rPr>
          <w:szCs w:val="24"/>
          <w:shd w:val="clear" w:color="auto" w:fill="FFFFFF"/>
        </w:rPr>
      </w:pPr>
      <w:r w:rsidRPr="00F17DAE">
        <w:rPr>
          <w:szCs w:val="24"/>
          <w:shd w:val="clear" w:color="auto" w:fill="FFFFFF"/>
        </w:rPr>
        <w:t xml:space="preserve">The difference in the rules in Lev 15 compared to Lev 18 and 20 may be </w:t>
      </w:r>
      <w:r w:rsidR="00A874B9" w:rsidRPr="00F17DAE">
        <w:rPr>
          <w:szCs w:val="24"/>
          <w:shd w:val="clear" w:color="auto" w:fill="FFFFFF"/>
        </w:rPr>
        <w:t>because</w:t>
      </w:r>
      <w:r w:rsidRPr="00F17DAE">
        <w:rPr>
          <w:szCs w:val="24"/>
          <w:shd w:val="clear" w:color="auto" w:fill="FFFFFF"/>
        </w:rPr>
        <w:t xml:space="preserve"> they were written at different times. According to O’Grandy, “Most biblical commentators agree that the two passages originated in different historical periods: that is, Lev 20 falls within the sphere of the “holiness period”, while Lev 15 is part of the “Priestly Code”</w:t>
      </w:r>
      <w:r w:rsidR="00B14A43">
        <w:rPr>
          <w:szCs w:val="24"/>
          <w:shd w:val="clear" w:color="auto" w:fill="FFFFFF"/>
        </w:rPr>
        <w:t>.</w:t>
      </w:r>
      <w:r w:rsidRPr="00F17DAE">
        <w:rPr>
          <w:szCs w:val="24"/>
          <w:shd w:val="clear" w:color="auto" w:fill="FFFFFF"/>
          <w:vertAlign w:val="superscript"/>
        </w:rPr>
        <w:footnoteReference w:id="13"/>
      </w:r>
    </w:p>
    <w:p w14:paraId="1B88CFB2" w14:textId="37A275DF" w:rsidR="001961FF" w:rsidRPr="00A01332" w:rsidRDefault="001961FF" w:rsidP="00DF313E">
      <w:pPr>
        <w:spacing w:line="360" w:lineRule="auto"/>
        <w:ind w:firstLine="720"/>
        <w:rPr>
          <w:szCs w:val="24"/>
          <w:shd w:val="clear" w:color="auto" w:fill="FFFFFF"/>
        </w:rPr>
      </w:pPr>
      <w:r w:rsidRPr="00F17DAE">
        <w:rPr>
          <w:szCs w:val="24"/>
          <w:shd w:val="clear" w:color="auto" w:fill="FFFFFF"/>
        </w:rPr>
        <w:t>The Talmud also comments on menstruation during sex.  It believes that if a woman does bleed during sex, then she should have sex another three times, and if the bleeding persists, divorce and then remarry. The woman can remarry up to another two times before confirming that the bleeding is in fact a health issue and not being caused by intercourse (BT Niddah 65b-66a). This would have been very difficult for a woman, as one can assume that she would not want to marry up to three times before she is able to determine what is causing her bleeding. As this bleeding can be established as not being menstrual blood, it is considered not to hold the impurities that menstrual blood does, and therefore, would not pass on its impurity to the woman’s partner.</w:t>
      </w:r>
    </w:p>
    <w:p w14:paraId="607EC204" w14:textId="20709BC9" w:rsidR="001961FF" w:rsidRPr="00F17DAE" w:rsidRDefault="001961FF" w:rsidP="008E6429">
      <w:pPr>
        <w:pStyle w:val="Heading3"/>
        <w:spacing w:line="360" w:lineRule="auto"/>
        <w:rPr>
          <w:shd w:val="clear" w:color="auto" w:fill="FFFFFF"/>
        </w:rPr>
      </w:pPr>
      <w:bookmarkStart w:id="67" w:name="_Toc39585774"/>
      <w:bookmarkStart w:id="68" w:name="_Toc40008543"/>
      <w:r w:rsidRPr="00F17DAE">
        <w:rPr>
          <w:shd w:val="clear" w:color="auto" w:fill="FFFFFF"/>
        </w:rPr>
        <w:t>Separation</w:t>
      </w:r>
      <w:bookmarkEnd w:id="67"/>
      <w:bookmarkEnd w:id="68"/>
    </w:p>
    <w:p w14:paraId="79E601BF" w14:textId="57C080FB" w:rsidR="001961FF" w:rsidRPr="00F17DAE" w:rsidRDefault="001961FF" w:rsidP="008E6429">
      <w:pPr>
        <w:spacing w:line="360" w:lineRule="auto"/>
        <w:ind w:firstLine="720"/>
        <w:rPr>
          <w:szCs w:val="24"/>
          <w:shd w:val="clear" w:color="auto" w:fill="FFFFFF"/>
        </w:rPr>
      </w:pPr>
      <w:r w:rsidRPr="00F17DAE">
        <w:rPr>
          <w:szCs w:val="24"/>
          <w:shd w:val="clear" w:color="auto" w:fill="FFFFFF"/>
        </w:rPr>
        <w:t>The final section of Leviticus that is important to look at when considering the female purity laws is that of Lev 15:31. It states, “keep the people of Israel separate from their uncleanness</w:t>
      </w:r>
      <w:r w:rsidRPr="00F17DAE">
        <w:rPr>
          <w:rFonts w:ascii="Verdana" w:hAnsi="Verdana"/>
          <w:shd w:val="clear" w:color="auto" w:fill="FFFFFF"/>
        </w:rPr>
        <w:t xml:space="preserve">, </w:t>
      </w:r>
      <w:r w:rsidRPr="00F17DAE">
        <w:rPr>
          <w:szCs w:val="24"/>
          <w:shd w:val="clear" w:color="auto" w:fill="FFFFFF"/>
        </w:rPr>
        <w:t>so that they do not die in their uncleanness by defiling my tabernacle that is in their midst”. The law of keeping the unclean away from the clean may have in fact heightened the stigma that is around a woman and her menstruation, as it is considered to be on the same level of impurity as incest</w:t>
      </w:r>
      <w:r w:rsidRPr="00F17DAE">
        <w:rPr>
          <w:szCs w:val="24"/>
          <w:shd w:val="clear" w:color="auto" w:fill="FFFFFF"/>
          <w:vertAlign w:val="superscript"/>
        </w:rPr>
        <w:footnoteReference w:id="14"/>
      </w:r>
      <w:r w:rsidRPr="00F17DAE">
        <w:rPr>
          <w:szCs w:val="24"/>
          <w:shd w:val="clear" w:color="auto" w:fill="FFFFFF"/>
        </w:rPr>
        <w:t xml:space="preserve"> and bestiality</w:t>
      </w:r>
      <w:r w:rsidR="00B14A43">
        <w:rPr>
          <w:szCs w:val="24"/>
          <w:shd w:val="clear" w:color="auto" w:fill="FFFFFF"/>
        </w:rPr>
        <w:t>.</w:t>
      </w:r>
      <w:r w:rsidRPr="00F17DAE">
        <w:rPr>
          <w:szCs w:val="24"/>
          <w:shd w:val="clear" w:color="auto" w:fill="FFFFFF"/>
          <w:vertAlign w:val="superscript"/>
        </w:rPr>
        <w:footnoteReference w:id="15"/>
      </w:r>
      <w:r w:rsidRPr="00F17DAE">
        <w:rPr>
          <w:szCs w:val="24"/>
          <w:shd w:val="clear" w:color="auto" w:fill="FFFFFF"/>
        </w:rPr>
        <w:t xml:space="preserve"> The idea surrounding separation and menstruating women is also referred to in the name </w:t>
      </w:r>
      <w:r w:rsidRPr="00F17DAE">
        <w:rPr>
          <w:i/>
          <w:iCs/>
          <w:szCs w:val="24"/>
          <w:shd w:val="clear" w:color="auto" w:fill="FFFFFF"/>
        </w:rPr>
        <w:t xml:space="preserve">Niddah </w:t>
      </w:r>
      <w:r w:rsidRPr="00F17DAE">
        <w:rPr>
          <w:szCs w:val="24"/>
          <w:shd w:val="clear" w:color="auto" w:fill="FFFFFF"/>
        </w:rPr>
        <w:t>as it means one who is distanced or banished</w:t>
      </w:r>
      <w:r w:rsidRPr="00F17DAE">
        <w:rPr>
          <w:szCs w:val="24"/>
          <w:shd w:val="clear" w:color="auto" w:fill="FFFFFF"/>
          <w:vertAlign w:val="superscript"/>
        </w:rPr>
        <w:footnoteReference w:id="16"/>
      </w:r>
      <w:r w:rsidRPr="00F17DAE">
        <w:rPr>
          <w:szCs w:val="24"/>
          <w:shd w:val="clear" w:color="auto" w:fill="FFFFFF"/>
        </w:rPr>
        <w:t>. Some women go as far as to separate themselves from their communities. There was evidence of this found in the Dead Sea Scrolls, as it “revealed an entire settlement [of women] dedicated to living a “pure” and “separate” life</w:t>
      </w:r>
      <w:r w:rsidR="00B14A43">
        <w:rPr>
          <w:szCs w:val="24"/>
          <w:shd w:val="clear" w:color="auto" w:fill="FFFFFF"/>
        </w:rPr>
        <w:t>”.</w:t>
      </w:r>
      <w:r w:rsidRPr="00F17DAE">
        <w:rPr>
          <w:szCs w:val="24"/>
          <w:shd w:val="clear" w:color="auto" w:fill="FFFFFF"/>
          <w:vertAlign w:val="superscript"/>
        </w:rPr>
        <w:footnoteReference w:id="17"/>
      </w:r>
      <w:r w:rsidRPr="00F17DAE">
        <w:rPr>
          <w:szCs w:val="24"/>
          <w:shd w:val="clear" w:color="auto" w:fill="FFFFFF"/>
        </w:rPr>
        <w:t xml:space="preserve"> Although this could be seen as extreme, perhaps it was in fact ideal in a society which held such negative views around a woman’s biology. </w:t>
      </w:r>
    </w:p>
    <w:p w14:paraId="669827FC" w14:textId="4E807D52" w:rsidR="001961FF" w:rsidRPr="00F17DAE" w:rsidRDefault="001961FF" w:rsidP="008E6429">
      <w:pPr>
        <w:pStyle w:val="Heading2"/>
        <w:spacing w:line="360" w:lineRule="auto"/>
      </w:pPr>
      <w:bookmarkStart w:id="69" w:name="_Toc39585775"/>
      <w:bookmarkStart w:id="70" w:name="_Toc40008544"/>
      <w:r w:rsidRPr="00F17DAE">
        <w:t>Removing Impurity</w:t>
      </w:r>
      <w:bookmarkEnd w:id="69"/>
      <w:bookmarkEnd w:id="70"/>
    </w:p>
    <w:p w14:paraId="7642DD4A" w14:textId="14FE3480" w:rsidR="001961FF" w:rsidRPr="00F17DAE" w:rsidRDefault="001961FF" w:rsidP="008E6429">
      <w:pPr>
        <w:spacing w:line="360" w:lineRule="auto"/>
        <w:ind w:firstLine="720"/>
      </w:pPr>
      <w:r w:rsidRPr="00F17DAE">
        <w:rPr>
          <w:szCs w:val="24"/>
          <w:shd w:val="clear" w:color="auto" w:fill="FFFFFF"/>
        </w:rPr>
        <w:t xml:space="preserve">Purity during the time of the </w:t>
      </w:r>
      <w:r w:rsidR="00B859CE">
        <w:rPr>
          <w:szCs w:val="24"/>
          <w:shd w:val="clear" w:color="auto" w:fill="FFFFFF"/>
        </w:rPr>
        <w:t>Temple</w:t>
      </w:r>
      <w:r w:rsidRPr="00F17DAE">
        <w:rPr>
          <w:szCs w:val="24"/>
          <w:shd w:val="clear" w:color="auto" w:fill="FFFFFF"/>
        </w:rPr>
        <w:t xml:space="preserve"> was held at a fa</w:t>
      </w:r>
      <w:r w:rsidR="00DF313E">
        <w:rPr>
          <w:szCs w:val="24"/>
          <w:shd w:val="clear" w:color="auto" w:fill="FFFFFF"/>
        </w:rPr>
        <w:t>r</w:t>
      </w:r>
      <w:r w:rsidRPr="00F17DAE">
        <w:rPr>
          <w:szCs w:val="24"/>
          <w:shd w:val="clear" w:color="auto" w:fill="FFFFFF"/>
        </w:rPr>
        <w:t xml:space="preserve"> higher standard than it is today. It could be suggested that the “original use of the Niddah Laws was to keep the unclean people out of the </w:t>
      </w:r>
      <w:r w:rsidR="00B859CE">
        <w:rPr>
          <w:szCs w:val="24"/>
          <w:shd w:val="clear" w:color="auto" w:fill="FFFFFF"/>
        </w:rPr>
        <w:t>Temple</w:t>
      </w:r>
      <w:r w:rsidR="00B14A43">
        <w:rPr>
          <w:szCs w:val="24"/>
          <w:shd w:val="clear" w:color="auto" w:fill="FFFFFF"/>
        </w:rPr>
        <w:t>”</w:t>
      </w:r>
      <w:r w:rsidR="00466941">
        <w:rPr>
          <w:szCs w:val="24"/>
          <w:shd w:val="clear" w:color="auto" w:fill="FFFFFF"/>
        </w:rPr>
        <w:t>,</w:t>
      </w:r>
      <w:r w:rsidRPr="00F17DAE">
        <w:rPr>
          <w:szCs w:val="24"/>
          <w:shd w:val="clear" w:color="auto" w:fill="FFFFFF"/>
          <w:vertAlign w:val="superscript"/>
        </w:rPr>
        <w:footnoteReference w:id="18"/>
      </w:r>
      <w:r w:rsidRPr="00F17DAE">
        <w:rPr>
          <w:szCs w:val="24"/>
          <w:shd w:val="clear" w:color="auto" w:fill="FFFFFF"/>
        </w:rPr>
        <w:t xml:space="preserve"> and that this negative projection tickled down into society, influencing people’s views of women. Kathleen O’Grandy states that “menstrual taboos in Judaism and Christianity have functioned to keep women from attaining high ranking positions and excluded them from ceremonial participation</w:t>
      </w:r>
      <w:r w:rsidR="00B14A43">
        <w:rPr>
          <w:szCs w:val="24"/>
          <w:shd w:val="clear" w:color="auto" w:fill="FFFFFF"/>
        </w:rPr>
        <w:t>”.</w:t>
      </w:r>
      <w:r w:rsidRPr="00F17DAE">
        <w:rPr>
          <w:szCs w:val="24"/>
          <w:shd w:val="clear" w:color="auto" w:fill="FFFFFF"/>
          <w:vertAlign w:val="superscript"/>
        </w:rPr>
        <w:footnoteReference w:id="19"/>
      </w:r>
      <w:r w:rsidRPr="00F17DAE">
        <w:rPr>
          <w:szCs w:val="24"/>
          <w:shd w:val="clear" w:color="auto" w:fill="FFFFFF"/>
        </w:rPr>
        <w:t xml:space="preserve"> This statement is an extreme one, however, through how the laws effect women, and have continued to effect women, one must think of the intentions behind these laws. It may just be that women have different role to play in the family, or it may be that women were not welcome because they were seen as less than. Evidence of this can be seen in the ancient lay out of the </w:t>
      </w:r>
      <w:r w:rsidRPr="00F17DAE">
        <w:rPr>
          <w:szCs w:val="24"/>
        </w:rPr>
        <w:t>Carpentras Synagogue, which shows that women used to listen to the services through a vent in the basement of the synagogue</w:t>
      </w:r>
      <w:r w:rsidR="00B14A43">
        <w:rPr>
          <w:szCs w:val="24"/>
        </w:rPr>
        <w:t>.</w:t>
      </w:r>
      <w:r w:rsidRPr="00F17DAE">
        <w:rPr>
          <w:szCs w:val="24"/>
          <w:vertAlign w:val="superscript"/>
        </w:rPr>
        <w:footnoteReference w:id="20"/>
      </w:r>
      <w:r w:rsidRPr="00F17DAE">
        <w:rPr>
          <w:szCs w:val="24"/>
        </w:rPr>
        <w:t xml:space="preserve"> In this same synagogue, Henry </w:t>
      </w:r>
      <w:r w:rsidRPr="00F17DAE">
        <w:t>Abramson makes a comment on how a blind Rabbi would translate sections of the Torah for the women, as they were not able to read the Hebrew</w:t>
      </w:r>
      <w:r w:rsidR="00B14A43">
        <w:t>.</w:t>
      </w:r>
      <w:r w:rsidRPr="00F17DAE">
        <w:rPr>
          <w:vertAlign w:val="superscript"/>
        </w:rPr>
        <w:footnoteReference w:id="21"/>
      </w:r>
      <w:r w:rsidRPr="00F17DAE">
        <w:t xml:space="preserve"> This shows that women were not able to progress in their understanding without putting in effort</w:t>
      </w:r>
      <w:r w:rsidR="009275E8">
        <w:t xml:space="preserve"> and seeking others help</w:t>
      </w:r>
      <w:r w:rsidRPr="00F17DAE">
        <w:t xml:space="preserve">, whereas it was just handed to the men in the synagogue purely because they were men. </w:t>
      </w:r>
    </w:p>
    <w:p w14:paraId="7E304B8D" w14:textId="38752BD4" w:rsidR="001961FF" w:rsidRPr="00F17DAE" w:rsidRDefault="001961FF" w:rsidP="009B0E79">
      <w:pPr>
        <w:spacing w:line="360" w:lineRule="auto"/>
        <w:ind w:firstLine="720"/>
        <w:rPr>
          <w:szCs w:val="24"/>
          <w:shd w:val="clear" w:color="auto" w:fill="FFFFFF"/>
        </w:rPr>
      </w:pPr>
      <w:r w:rsidRPr="00F17DAE">
        <w:rPr>
          <w:szCs w:val="24"/>
          <w:shd w:val="clear" w:color="auto" w:fill="FFFFFF"/>
        </w:rPr>
        <w:t>The rituals to rid an in</w:t>
      </w:r>
      <w:r w:rsidR="00B859CE">
        <w:rPr>
          <w:szCs w:val="24"/>
          <w:shd w:val="clear" w:color="auto" w:fill="FFFFFF"/>
        </w:rPr>
        <w:t>dividual</w:t>
      </w:r>
      <w:r w:rsidRPr="00F17DAE">
        <w:rPr>
          <w:szCs w:val="24"/>
          <w:shd w:val="clear" w:color="auto" w:fill="FFFFFF"/>
        </w:rPr>
        <w:t xml:space="preserve"> of impurity were performed in the </w:t>
      </w:r>
      <w:r w:rsidR="00B859CE">
        <w:rPr>
          <w:szCs w:val="24"/>
          <w:shd w:val="clear" w:color="auto" w:fill="FFFFFF"/>
        </w:rPr>
        <w:t>Temple</w:t>
      </w:r>
      <w:r w:rsidRPr="00F17DAE">
        <w:rPr>
          <w:szCs w:val="24"/>
          <w:shd w:val="clear" w:color="auto" w:fill="FFFFFF"/>
        </w:rPr>
        <w:t>, and as seen in the texts, involved actions such as animal sacrifices and the washing of the body</w:t>
      </w:r>
      <w:r w:rsidR="00B14A43">
        <w:rPr>
          <w:szCs w:val="24"/>
          <w:shd w:val="clear" w:color="auto" w:fill="FFFFFF"/>
        </w:rPr>
        <w:t>.</w:t>
      </w:r>
      <w:r w:rsidRPr="00F17DAE">
        <w:rPr>
          <w:szCs w:val="24"/>
          <w:shd w:val="clear" w:color="auto" w:fill="FFFFFF"/>
          <w:vertAlign w:val="superscript"/>
        </w:rPr>
        <w:footnoteReference w:id="22"/>
      </w:r>
      <w:r w:rsidRPr="00F17DAE">
        <w:rPr>
          <w:szCs w:val="24"/>
          <w:shd w:val="clear" w:color="auto" w:fill="FFFFFF"/>
        </w:rPr>
        <w:t xml:space="preserve"> The purification of the body w</w:t>
      </w:r>
      <w:r w:rsidR="00B859CE">
        <w:rPr>
          <w:szCs w:val="24"/>
          <w:shd w:val="clear" w:color="auto" w:fill="FFFFFF"/>
        </w:rPr>
        <w:t>as conducted</w:t>
      </w:r>
      <w:r w:rsidRPr="00F17DAE">
        <w:rPr>
          <w:szCs w:val="24"/>
          <w:shd w:val="clear" w:color="auto" w:fill="FFFFFF"/>
        </w:rPr>
        <w:t xml:space="preserve"> through washing in a Mikvah. A Mikvah is a pool of water that “must be composed of stationary, not flowing, waters and must contain a certain percentage of water derived from a natural source</w:t>
      </w:r>
      <w:r w:rsidR="00B14A43">
        <w:rPr>
          <w:szCs w:val="24"/>
          <w:shd w:val="clear" w:color="auto" w:fill="FFFFFF"/>
        </w:rPr>
        <w:t>”.</w:t>
      </w:r>
      <w:r w:rsidRPr="00F17DAE">
        <w:rPr>
          <w:szCs w:val="24"/>
          <w:shd w:val="clear" w:color="auto" w:fill="FFFFFF"/>
          <w:vertAlign w:val="superscript"/>
        </w:rPr>
        <w:footnoteReference w:id="23"/>
      </w:r>
      <w:r w:rsidRPr="00F17DAE">
        <w:rPr>
          <w:szCs w:val="24"/>
          <w:shd w:val="clear" w:color="auto" w:fill="FFFFFF"/>
        </w:rPr>
        <w:t xml:space="preserve"> This is a very important section of the synagogue, as it can be </w:t>
      </w:r>
      <w:r w:rsidR="00B859CE">
        <w:rPr>
          <w:szCs w:val="24"/>
          <w:shd w:val="clear" w:color="auto" w:fill="FFFFFF"/>
        </w:rPr>
        <w:t>perceived as a</w:t>
      </w:r>
      <w:r w:rsidRPr="00F17DAE">
        <w:rPr>
          <w:szCs w:val="24"/>
          <w:shd w:val="clear" w:color="auto" w:fill="FFFFFF"/>
        </w:rPr>
        <w:t xml:space="preserve"> replacement for the </w:t>
      </w:r>
      <w:r w:rsidR="00B859CE">
        <w:rPr>
          <w:szCs w:val="24"/>
          <w:shd w:val="clear" w:color="auto" w:fill="FFFFFF"/>
        </w:rPr>
        <w:t>Temple</w:t>
      </w:r>
      <w:r w:rsidRPr="00F17DAE">
        <w:rPr>
          <w:szCs w:val="24"/>
          <w:shd w:val="clear" w:color="auto" w:fill="FFFFFF"/>
        </w:rPr>
        <w:t>, as it is has now taken over the role of place for purification.</w:t>
      </w:r>
      <w:r w:rsidR="00B859CE">
        <w:rPr>
          <w:szCs w:val="24"/>
          <w:shd w:val="clear" w:color="auto" w:fill="FFFFFF"/>
        </w:rPr>
        <w:t xml:space="preserve"> Purity payed such an important role after the Second Temple fe</w:t>
      </w:r>
      <w:r w:rsidR="009B0E79">
        <w:rPr>
          <w:szCs w:val="24"/>
          <w:shd w:val="clear" w:color="auto" w:fill="FFFFFF"/>
        </w:rPr>
        <w:t>l</w:t>
      </w:r>
      <w:r w:rsidR="00B859CE">
        <w:rPr>
          <w:szCs w:val="24"/>
          <w:shd w:val="clear" w:color="auto" w:fill="FFFFFF"/>
        </w:rPr>
        <w:t xml:space="preserve">l </w:t>
      </w:r>
      <w:r w:rsidR="009B0E79">
        <w:rPr>
          <w:szCs w:val="24"/>
          <w:shd w:val="clear" w:color="auto" w:fill="FFFFFF"/>
        </w:rPr>
        <w:t>that when the</w:t>
      </w:r>
      <w:r w:rsidR="00B859CE">
        <w:rPr>
          <w:szCs w:val="24"/>
          <w:shd w:val="clear" w:color="auto" w:fill="FFFFFF"/>
        </w:rPr>
        <w:t xml:space="preserve"> synagogues were being built</w:t>
      </w:r>
      <w:r w:rsidRPr="00F17DAE">
        <w:rPr>
          <w:szCs w:val="24"/>
          <w:shd w:val="clear" w:color="auto" w:fill="FFFFFF"/>
        </w:rPr>
        <w:t>, the building of the Mikvahs took priority over the building of the synagogue itself</w:t>
      </w:r>
      <w:r w:rsidR="00B14A43">
        <w:rPr>
          <w:szCs w:val="24"/>
          <w:shd w:val="clear" w:color="auto" w:fill="FFFFFF"/>
        </w:rPr>
        <w:t>.</w:t>
      </w:r>
      <w:r w:rsidRPr="00F17DAE">
        <w:rPr>
          <w:szCs w:val="24"/>
          <w:shd w:val="clear" w:color="auto" w:fill="FFFFFF"/>
          <w:vertAlign w:val="superscript"/>
        </w:rPr>
        <w:footnoteReference w:id="24"/>
      </w:r>
      <w:r w:rsidRPr="00F17DAE">
        <w:rPr>
          <w:szCs w:val="24"/>
          <w:shd w:val="clear" w:color="auto" w:fill="FFFFFF"/>
        </w:rPr>
        <w:t xml:space="preserve"> Furthermore, “the archaeological excavations of Masada demonstrate that even while under siege by the Romans in a place where water was scarce, the Jews built mikvehs</w:t>
      </w:r>
      <w:r w:rsidR="00B14A43">
        <w:rPr>
          <w:szCs w:val="24"/>
          <w:shd w:val="clear" w:color="auto" w:fill="FFFFFF"/>
        </w:rPr>
        <w:t>”</w:t>
      </w:r>
      <w:r w:rsidR="00466941">
        <w:rPr>
          <w:szCs w:val="24"/>
          <w:shd w:val="clear" w:color="auto" w:fill="FFFFFF"/>
        </w:rPr>
        <w:t>,</w:t>
      </w:r>
      <w:r w:rsidRPr="00F17DAE">
        <w:rPr>
          <w:szCs w:val="24"/>
          <w:shd w:val="clear" w:color="auto" w:fill="FFFFFF"/>
          <w:vertAlign w:val="superscript"/>
        </w:rPr>
        <w:footnoteReference w:id="25"/>
      </w:r>
      <w:r w:rsidRPr="00F17DAE">
        <w:rPr>
          <w:szCs w:val="24"/>
          <w:shd w:val="clear" w:color="auto" w:fill="FFFFFF"/>
        </w:rPr>
        <w:t xml:space="preserve"> fully demonstrating the importance of purity in ancient Judaism. Wit</w:t>
      </w:r>
      <w:r w:rsidR="009B0E79">
        <w:rPr>
          <w:szCs w:val="24"/>
          <w:shd w:val="clear" w:color="auto" w:fill="FFFFFF"/>
        </w:rPr>
        <w:t>h this evidence</w:t>
      </w:r>
      <w:r w:rsidRPr="00F17DAE">
        <w:rPr>
          <w:szCs w:val="24"/>
          <w:shd w:val="clear" w:color="auto" w:fill="FFFFFF"/>
        </w:rPr>
        <w:t xml:space="preserve"> the conclusion</w:t>
      </w:r>
      <w:r w:rsidR="009B0E79">
        <w:rPr>
          <w:szCs w:val="24"/>
          <w:shd w:val="clear" w:color="auto" w:fill="FFFFFF"/>
        </w:rPr>
        <w:t xml:space="preserve"> can be made</w:t>
      </w:r>
      <w:r w:rsidRPr="00F17DAE">
        <w:rPr>
          <w:szCs w:val="24"/>
          <w:shd w:val="clear" w:color="auto" w:fill="FFFFFF"/>
        </w:rPr>
        <w:t xml:space="preserve"> of how much being impure every month must have weighted down on those women, and how much shame </w:t>
      </w:r>
      <w:r w:rsidR="009B0E79">
        <w:rPr>
          <w:szCs w:val="24"/>
          <w:shd w:val="clear" w:color="auto" w:fill="FFFFFF"/>
        </w:rPr>
        <w:t xml:space="preserve">surrounding menstruation </w:t>
      </w:r>
      <w:r w:rsidRPr="00F17DAE">
        <w:rPr>
          <w:szCs w:val="24"/>
          <w:shd w:val="clear" w:color="auto" w:fill="FFFFFF"/>
        </w:rPr>
        <w:t xml:space="preserve">has carried on into the modern day. </w:t>
      </w:r>
    </w:p>
    <w:p w14:paraId="37CFC60D" w14:textId="5E8917FA" w:rsidR="001961FF" w:rsidRPr="00F17DAE" w:rsidRDefault="001961FF" w:rsidP="008E6429">
      <w:pPr>
        <w:pStyle w:val="Heading2"/>
        <w:spacing w:line="360" w:lineRule="auto"/>
      </w:pPr>
      <w:bookmarkStart w:id="71" w:name="_Toc39585776"/>
      <w:bookmarkStart w:id="72" w:name="_Toc40008545"/>
      <w:r w:rsidRPr="00F17DAE">
        <w:t>The Effect on Women</w:t>
      </w:r>
      <w:bookmarkEnd w:id="71"/>
      <w:bookmarkEnd w:id="72"/>
    </w:p>
    <w:p w14:paraId="38EDBE3C" w14:textId="231DCB8F" w:rsidR="001961FF" w:rsidRPr="00F17DAE" w:rsidRDefault="001961FF" w:rsidP="008E6429">
      <w:pPr>
        <w:spacing w:line="360" w:lineRule="auto"/>
        <w:ind w:firstLine="720"/>
        <w:rPr>
          <w:szCs w:val="24"/>
          <w:shd w:val="clear" w:color="auto" w:fill="FFFFFF"/>
        </w:rPr>
      </w:pPr>
      <w:r w:rsidRPr="00F17DAE">
        <w:rPr>
          <w:szCs w:val="24"/>
          <w:shd w:val="clear" w:color="auto" w:fill="FFFFFF"/>
        </w:rPr>
        <w:t>Although from the perspective of the ancient texts,</w:t>
      </w:r>
      <w:r w:rsidR="00B859CE">
        <w:rPr>
          <w:szCs w:val="24"/>
          <w:shd w:val="clear" w:color="auto" w:fill="FFFFFF"/>
        </w:rPr>
        <w:t xml:space="preserve"> women were being excluded from a large portion of Jewish life</w:t>
      </w:r>
      <w:r w:rsidRPr="00F17DAE">
        <w:rPr>
          <w:szCs w:val="24"/>
          <w:shd w:val="clear" w:color="auto" w:fill="FFFFFF"/>
        </w:rPr>
        <w:t xml:space="preserve">. However, there is evidence that demonstrates the empowerment that women had after the destruction of the </w:t>
      </w:r>
      <w:r w:rsidR="00B859CE">
        <w:rPr>
          <w:szCs w:val="24"/>
          <w:shd w:val="clear" w:color="auto" w:fill="FFFFFF"/>
        </w:rPr>
        <w:t>Temple</w:t>
      </w:r>
      <w:r w:rsidRPr="00F17DAE">
        <w:rPr>
          <w:szCs w:val="24"/>
          <w:shd w:val="clear" w:color="auto" w:fill="FFFFFF"/>
        </w:rPr>
        <w:t xml:space="preserve">. This is </w:t>
      </w:r>
      <w:r w:rsidR="00A874B9" w:rsidRPr="00F17DAE">
        <w:rPr>
          <w:szCs w:val="24"/>
          <w:shd w:val="clear" w:color="auto" w:fill="FFFFFF"/>
        </w:rPr>
        <w:t>because</w:t>
      </w:r>
      <w:r w:rsidRPr="00F17DAE">
        <w:rPr>
          <w:szCs w:val="24"/>
          <w:shd w:val="clear" w:color="auto" w:fill="FFFFFF"/>
        </w:rPr>
        <w:t xml:space="preserve"> “the destruction of the two </w:t>
      </w:r>
      <w:r w:rsidR="00B859CE">
        <w:rPr>
          <w:szCs w:val="24"/>
          <w:shd w:val="clear" w:color="auto" w:fill="FFFFFF"/>
        </w:rPr>
        <w:t>Temple</w:t>
      </w:r>
      <w:r w:rsidRPr="00F17DAE">
        <w:rPr>
          <w:szCs w:val="24"/>
          <w:shd w:val="clear" w:color="auto" w:fill="FFFFFF"/>
        </w:rPr>
        <w:t>s ... removed the concrete locus and justification of the laws and impurity</w:t>
      </w:r>
      <w:r w:rsidR="00B859CE">
        <w:rPr>
          <w:szCs w:val="24"/>
          <w:shd w:val="clear" w:color="auto" w:fill="FFFFFF"/>
        </w:rPr>
        <w:t>”</w:t>
      </w:r>
      <w:r w:rsidR="00B14A43">
        <w:rPr>
          <w:szCs w:val="24"/>
          <w:shd w:val="clear" w:color="auto" w:fill="FFFFFF"/>
        </w:rPr>
        <w:t>.</w:t>
      </w:r>
      <w:r w:rsidRPr="00F17DAE">
        <w:rPr>
          <w:szCs w:val="24"/>
          <w:shd w:val="clear" w:color="auto" w:fill="FFFFFF"/>
          <w:vertAlign w:val="superscript"/>
        </w:rPr>
        <w:footnoteReference w:id="26"/>
      </w:r>
      <w:r w:rsidRPr="00F17DAE">
        <w:rPr>
          <w:szCs w:val="24"/>
          <w:shd w:val="clear" w:color="auto" w:fill="FFFFFF"/>
        </w:rPr>
        <w:t xml:space="preserve"> Still, the laws were not removed completely, for example, segregation in the synagogue was still implemented as it represented the </w:t>
      </w:r>
      <w:r w:rsidR="00B859CE">
        <w:rPr>
          <w:szCs w:val="24"/>
          <w:shd w:val="clear" w:color="auto" w:fill="FFFFFF"/>
        </w:rPr>
        <w:t>Temple</w:t>
      </w:r>
      <w:r w:rsidRPr="00F17DAE">
        <w:rPr>
          <w:szCs w:val="24"/>
          <w:shd w:val="clear" w:color="auto" w:fill="FFFFFF"/>
        </w:rPr>
        <w:t>. This change, however, seemed to have an impact on women in Judaism, as there was a large influx of women who joined Judaism during the first and second centuries of the Rabbinic period</w:t>
      </w:r>
      <w:r w:rsidR="00B14A43">
        <w:rPr>
          <w:szCs w:val="24"/>
          <w:shd w:val="clear" w:color="auto" w:fill="FFFFFF"/>
        </w:rPr>
        <w:t>.</w:t>
      </w:r>
      <w:r w:rsidRPr="00F17DAE">
        <w:rPr>
          <w:szCs w:val="24"/>
          <w:shd w:val="clear" w:color="auto" w:fill="FFFFFF"/>
          <w:vertAlign w:val="superscript"/>
        </w:rPr>
        <w:footnoteReference w:id="27"/>
      </w:r>
      <w:r w:rsidRPr="00F17DAE">
        <w:rPr>
          <w:szCs w:val="24"/>
          <w:shd w:val="clear" w:color="auto" w:fill="FFFFFF"/>
        </w:rPr>
        <w:t xml:space="preserve"> This is suggested to be due to the “active, leading Jewish women</w:t>
      </w:r>
      <w:r w:rsidR="00B14A43">
        <w:rPr>
          <w:szCs w:val="24"/>
          <w:shd w:val="clear" w:color="auto" w:fill="FFFFFF"/>
        </w:rPr>
        <w:t>”</w:t>
      </w:r>
      <w:r w:rsidR="00466941">
        <w:rPr>
          <w:szCs w:val="24"/>
          <w:shd w:val="clear" w:color="auto" w:fill="FFFFFF"/>
        </w:rPr>
        <w:t>,</w:t>
      </w:r>
      <w:r w:rsidRPr="00F17DAE">
        <w:rPr>
          <w:szCs w:val="24"/>
          <w:shd w:val="clear" w:color="auto" w:fill="FFFFFF"/>
          <w:vertAlign w:val="superscript"/>
        </w:rPr>
        <w:footnoteReference w:id="28"/>
      </w:r>
      <w:r w:rsidRPr="00F17DAE">
        <w:rPr>
          <w:szCs w:val="24"/>
          <w:shd w:val="clear" w:color="auto" w:fill="FFFFFF"/>
        </w:rPr>
        <w:t xml:space="preserve"> who were interesting non-Jewish women in the Jewish community.</w:t>
      </w:r>
    </w:p>
    <w:p w14:paraId="13A7D1A7" w14:textId="7B254AD2" w:rsidR="001961FF" w:rsidRPr="00F17DAE" w:rsidRDefault="001961FF" w:rsidP="0089090E">
      <w:pPr>
        <w:spacing w:line="360" w:lineRule="auto"/>
        <w:ind w:firstLine="720"/>
        <w:rPr>
          <w:szCs w:val="24"/>
          <w:shd w:val="clear" w:color="auto" w:fill="FFFFFF"/>
        </w:rPr>
      </w:pPr>
      <w:r w:rsidRPr="00F17DAE">
        <w:rPr>
          <w:szCs w:val="24"/>
          <w:shd w:val="clear" w:color="auto" w:fill="FFFFFF"/>
        </w:rPr>
        <w:t>However, opposing this development for women is the fact that “the rabbinic sages believes that Jewish society functioned best when its female members remained in the domestic domain under the aegis of male authority”.</w:t>
      </w:r>
      <w:r w:rsidR="008559E0">
        <w:rPr>
          <w:rStyle w:val="FootnoteReference"/>
          <w:szCs w:val="24"/>
          <w:shd w:val="clear" w:color="auto" w:fill="FFFFFF"/>
        </w:rPr>
        <w:footnoteReference w:id="29"/>
      </w:r>
      <w:r w:rsidRPr="00F17DAE">
        <w:rPr>
          <w:szCs w:val="24"/>
          <w:shd w:val="clear" w:color="auto" w:fill="FFFFFF"/>
        </w:rPr>
        <w:t xml:space="preserve"> This is reflected in the fact that although the purity laws </w:t>
      </w:r>
      <w:r w:rsidR="00B859CE">
        <w:rPr>
          <w:szCs w:val="24"/>
          <w:shd w:val="clear" w:color="auto" w:fill="FFFFFF"/>
        </w:rPr>
        <w:t>had become</w:t>
      </w:r>
      <w:r w:rsidRPr="00F17DAE">
        <w:rPr>
          <w:szCs w:val="24"/>
          <w:shd w:val="clear" w:color="auto" w:fill="FFFFFF"/>
        </w:rPr>
        <w:t xml:space="preserve"> more lenient, </w:t>
      </w:r>
      <w:r w:rsidR="00B859CE">
        <w:rPr>
          <w:szCs w:val="24"/>
          <w:shd w:val="clear" w:color="auto" w:fill="FFFFFF"/>
        </w:rPr>
        <w:t xml:space="preserve">they had, </w:t>
      </w:r>
      <w:r w:rsidRPr="00F17DAE">
        <w:rPr>
          <w:szCs w:val="24"/>
          <w:shd w:val="clear" w:color="auto" w:fill="FFFFFF"/>
        </w:rPr>
        <w:t>however, increased for women. “The rabbis increased the period of sexual separation to twelve days, prescribing five days minimum for the menstrual flow and seven “clean” days afterward</w:t>
      </w:r>
      <w:r w:rsidR="008559E0">
        <w:rPr>
          <w:szCs w:val="24"/>
          <w:shd w:val="clear" w:color="auto" w:fill="FFFFFF"/>
        </w:rPr>
        <w:t>”</w:t>
      </w:r>
      <w:r w:rsidR="00466941">
        <w:rPr>
          <w:szCs w:val="24"/>
          <w:shd w:val="clear" w:color="auto" w:fill="FFFFFF"/>
        </w:rPr>
        <w:t>,</w:t>
      </w:r>
      <w:r w:rsidRPr="00F17DAE">
        <w:rPr>
          <w:szCs w:val="24"/>
          <w:shd w:val="clear" w:color="auto" w:fill="FFFFFF"/>
          <w:vertAlign w:val="superscript"/>
        </w:rPr>
        <w:footnoteReference w:id="30"/>
      </w:r>
      <w:r w:rsidRPr="00F17DAE">
        <w:rPr>
          <w:szCs w:val="24"/>
          <w:shd w:val="clear" w:color="auto" w:fill="FFFFFF"/>
        </w:rPr>
        <w:t xml:space="preserve"> however, there are some sources that claim that this was the choice of the women, although this is unlikely as it was the males who determined ritualist rules such as this. </w:t>
      </w:r>
    </w:p>
    <w:p w14:paraId="28229C95" w14:textId="77777777" w:rsidR="001961FF" w:rsidRPr="00F17DAE" w:rsidRDefault="001961FF" w:rsidP="008E6429">
      <w:pPr>
        <w:pStyle w:val="Heading2"/>
        <w:spacing w:line="360" w:lineRule="auto"/>
      </w:pPr>
      <w:bookmarkStart w:id="73" w:name="_Hlk39588218"/>
      <w:bookmarkStart w:id="74" w:name="_Toc40008546"/>
      <w:r w:rsidRPr="00F17DAE">
        <w:t>Conclusion</w:t>
      </w:r>
      <w:bookmarkEnd w:id="74"/>
    </w:p>
    <w:p w14:paraId="52DDBA59" w14:textId="496FB0CD" w:rsidR="001961FF" w:rsidRPr="00F17DAE" w:rsidRDefault="001961FF" w:rsidP="008E6429">
      <w:pPr>
        <w:spacing w:line="360" w:lineRule="auto"/>
        <w:ind w:firstLine="720"/>
      </w:pPr>
      <w:r w:rsidRPr="00F17DAE">
        <w:t xml:space="preserve">Leviticus is a major contribution to the Jewish view of menstruation. The taboo of blood and the impurity that it carries has been passed on to also include that of menstruation blood. This leaves many women in the position of being impure for a large part of their lives. Various sections of Lev 15 explain how an individual would become impure, and how this passed on. According to Lev 15 this is easily done, which only adds to the difficulties of being a woman in ancient times. The attention around impurity would only have led to women feeling more excluded from their religion than they already did. Examples of this exclusion can be seen through women not being able to enter certain areas of the </w:t>
      </w:r>
      <w:r w:rsidR="00B859CE">
        <w:t>Temple</w:t>
      </w:r>
      <w:r w:rsidRPr="00F17DAE">
        <w:t xml:space="preserve"> even whilst not menstruating, and not being allowed inside when menstruating. The example of the women’s colonies described in the Dead Sea Scrolls fully shows the pressure that women were under, as some found it easier to live separately than </w:t>
      </w:r>
      <w:r w:rsidR="0089090E">
        <w:t xml:space="preserve">with </w:t>
      </w:r>
      <w:r w:rsidRPr="00F17DAE">
        <w:t xml:space="preserve">others. </w:t>
      </w:r>
    </w:p>
    <w:p w14:paraId="1F42C758" w14:textId="4E77A04C" w:rsidR="001961FF" w:rsidRPr="00F17DAE" w:rsidRDefault="001961FF" w:rsidP="00EF5078">
      <w:pPr>
        <w:spacing w:line="360" w:lineRule="auto"/>
        <w:ind w:firstLine="720"/>
      </w:pPr>
      <w:r w:rsidRPr="00F17DAE">
        <w:t>The issue of intercourse and menstruation is</w:t>
      </w:r>
      <w:r w:rsidR="0089090E">
        <w:t xml:space="preserve"> one that has conflicting instructions in the texts</w:t>
      </w:r>
      <w:r w:rsidRPr="00F17DAE">
        <w:t xml:space="preserve">. The difference of opinion </w:t>
      </w:r>
      <w:r w:rsidR="00A01332">
        <w:t xml:space="preserve">in Lev 18:19 and Lev 20:18, texts that </w:t>
      </w:r>
      <w:r w:rsidRPr="00F17DAE">
        <w:t>immediately follow each other</w:t>
      </w:r>
      <w:r w:rsidR="00A01332">
        <w:t xml:space="preserve"> in the Jewish Bible,</w:t>
      </w:r>
      <w:r w:rsidR="0089090E">
        <w:t xml:space="preserve"> is said to be because they were written at different times. If this is the case, then the texts show the progression of menstrual fear in ancient times, and the texts get increasingly harsher with its boundaries. T</w:t>
      </w:r>
      <w:r w:rsidRPr="00F17DAE">
        <w:t xml:space="preserve">he texts </w:t>
      </w:r>
      <w:r w:rsidR="0089090E">
        <w:t xml:space="preserve">also </w:t>
      </w:r>
      <w:r w:rsidRPr="00F17DAE">
        <w:t xml:space="preserve">show a different set of rules between a married couple and a non-married couple. </w:t>
      </w:r>
      <w:r w:rsidR="00976073">
        <w:t>However, logically, t</w:t>
      </w:r>
      <w:r w:rsidRPr="00F17DAE">
        <w:t>her</w:t>
      </w:r>
      <w:r w:rsidR="00976073">
        <w:t xml:space="preserve">e is </w:t>
      </w:r>
      <w:r w:rsidRPr="00F17DAE">
        <w:t xml:space="preserve">no reason as to why a woman’s menstrual blood </w:t>
      </w:r>
      <w:r w:rsidR="00976073">
        <w:t xml:space="preserve">should be </w:t>
      </w:r>
      <w:r w:rsidRPr="00F17DAE">
        <w:t xml:space="preserve">more impure to one person than it is to another. This is just one example of the confusion in the texts surrounding menstruation, which adds to the reasons that there is so much stigma around the topic. </w:t>
      </w:r>
    </w:p>
    <w:p w14:paraId="5FE63ABB" w14:textId="2B588A24" w:rsidR="001961FF" w:rsidRPr="00F17DAE" w:rsidRDefault="001961FF" w:rsidP="00EF5078">
      <w:pPr>
        <w:spacing w:line="360" w:lineRule="auto"/>
        <w:ind w:firstLine="720"/>
      </w:pPr>
      <w:r w:rsidRPr="00F17DAE">
        <w:t xml:space="preserve">One would assume that after the </w:t>
      </w:r>
      <w:r w:rsidR="00B859CE">
        <w:t>Temple</w:t>
      </w:r>
      <w:r w:rsidRPr="00F17DAE">
        <w:t xml:space="preserve"> had fallen and when there was no longer a real need for purity in worship, that the restrictions placed upon menstruating women would decrease. However, the regulations increased, leaving women in a worse off place than before. Some scholars state that this was the choice of women, but even in ancient times it is difficult to believe that women would choose to be separated from their husbands and remain impure for longer. The male presence is evident through </w:t>
      </w:r>
      <w:r w:rsidR="00A874B9" w:rsidRPr="00F17DAE">
        <w:t>all</w:t>
      </w:r>
      <w:r w:rsidRPr="00F17DAE">
        <w:t xml:space="preserve"> the laws, as they are degrading and difficult for women to cope with. Today, the difficulty of them has not decreased, and the male presence is evident. </w:t>
      </w:r>
    </w:p>
    <w:p w14:paraId="1E6807E1" w14:textId="77777777" w:rsidR="001961FF" w:rsidRPr="00F17DAE" w:rsidRDefault="001961FF" w:rsidP="008E6429">
      <w:pPr>
        <w:spacing w:line="360" w:lineRule="auto"/>
        <w:rPr>
          <w:szCs w:val="24"/>
          <w:shd w:val="clear" w:color="auto" w:fill="FFFFFF"/>
        </w:rPr>
      </w:pPr>
    </w:p>
    <w:bookmarkEnd w:id="59"/>
    <w:bookmarkEnd w:id="73"/>
    <w:p w14:paraId="1BB40912" w14:textId="24822AF7" w:rsidR="0093604C" w:rsidRPr="00F17DAE" w:rsidRDefault="0093604C" w:rsidP="008E6429">
      <w:pPr>
        <w:spacing w:line="360" w:lineRule="auto"/>
        <w:rPr>
          <w:szCs w:val="24"/>
          <w:shd w:val="clear" w:color="auto" w:fill="FFFFFF"/>
        </w:rPr>
      </w:pPr>
    </w:p>
    <w:p w14:paraId="30B71B86" w14:textId="7BA7BCB1" w:rsidR="00430B64" w:rsidRPr="00F17DAE" w:rsidRDefault="00430B64" w:rsidP="008E6429">
      <w:pPr>
        <w:spacing w:line="360" w:lineRule="auto"/>
        <w:rPr>
          <w:szCs w:val="24"/>
          <w:shd w:val="clear" w:color="auto" w:fill="FFFFFF"/>
        </w:rPr>
      </w:pPr>
    </w:p>
    <w:p w14:paraId="6CFECA69" w14:textId="220693FC" w:rsidR="00430B64" w:rsidRPr="00F17DAE" w:rsidRDefault="00430B64" w:rsidP="008E6429">
      <w:pPr>
        <w:spacing w:line="360" w:lineRule="auto"/>
        <w:rPr>
          <w:szCs w:val="24"/>
          <w:shd w:val="clear" w:color="auto" w:fill="FFFFFF"/>
        </w:rPr>
      </w:pPr>
    </w:p>
    <w:p w14:paraId="1A4A8A5D" w14:textId="77777777" w:rsidR="00A01332" w:rsidRDefault="00A01332" w:rsidP="008E6429">
      <w:pPr>
        <w:spacing w:line="360" w:lineRule="auto"/>
        <w:rPr>
          <w:szCs w:val="24"/>
          <w:shd w:val="clear" w:color="auto" w:fill="FFFFFF"/>
        </w:rPr>
      </w:pPr>
    </w:p>
    <w:p w14:paraId="02CB5E7E" w14:textId="7FDAE512" w:rsidR="00D669C5" w:rsidRPr="00D669C5" w:rsidRDefault="003247A4" w:rsidP="008E6429">
      <w:pPr>
        <w:keepNext/>
        <w:keepLines/>
        <w:spacing w:before="240" w:after="0" w:line="360" w:lineRule="auto"/>
        <w:outlineLvl w:val="0"/>
        <w:rPr>
          <w:rFonts w:eastAsiaTheme="majorEastAsia" w:cstheme="majorBidi"/>
          <w:sz w:val="32"/>
          <w:szCs w:val="32"/>
        </w:rPr>
      </w:pPr>
      <w:bookmarkStart w:id="75" w:name="_Toc40008547"/>
      <w:r>
        <w:rPr>
          <w:rFonts w:eastAsiaTheme="majorEastAsia" w:cstheme="majorBidi"/>
          <w:sz w:val="32"/>
          <w:szCs w:val="32"/>
        </w:rPr>
        <w:t>Orthodox</w:t>
      </w:r>
      <w:bookmarkEnd w:id="75"/>
    </w:p>
    <w:p w14:paraId="3931513B" w14:textId="0155C667" w:rsidR="00430B64" w:rsidRPr="00430B64" w:rsidRDefault="00A01332" w:rsidP="008E6429">
      <w:pPr>
        <w:spacing w:line="360" w:lineRule="auto"/>
        <w:ind w:firstLine="720"/>
        <w:rPr>
          <w:szCs w:val="24"/>
        </w:rPr>
      </w:pPr>
      <w:bookmarkStart w:id="76" w:name="_Hlk39500463"/>
      <w:r w:rsidRPr="00A01332">
        <w:rPr>
          <w:szCs w:val="24"/>
        </w:rPr>
        <w:t>Although most other denominations of Judaism do not follow the purity laws anymore, they are still closely followed by many today</w:t>
      </w:r>
      <w:r>
        <w:rPr>
          <w:szCs w:val="24"/>
        </w:rPr>
        <w:t>.</w:t>
      </w:r>
      <w:r w:rsidRPr="00A01332">
        <w:rPr>
          <w:szCs w:val="24"/>
        </w:rPr>
        <w:t xml:space="preserve"> </w:t>
      </w:r>
      <w:r w:rsidR="00430B64" w:rsidRPr="00430B64">
        <w:rPr>
          <w:szCs w:val="24"/>
        </w:rPr>
        <w:t xml:space="preserve">The Niddah laws are </w:t>
      </w:r>
      <w:proofErr w:type="gramStart"/>
      <w:r w:rsidR="00430B64" w:rsidRPr="00430B64">
        <w:rPr>
          <w:szCs w:val="24"/>
        </w:rPr>
        <w:t>most commonly practiced</w:t>
      </w:r>
      <w:proofErr w:type="gramEnd"/>
      <w:r w:rsidR="00430B64" w:rsidRPr="00430B64">
        <w:rPr>
          <w:szCs w:val="24"/>
        </w:rPr>
        <w:t xml:space="preserve"> by </w:t>
      </w:r>
      <w:r w:rsidR="003247A4">
        <w:rPr>
          <w:szCs w:val="24"/>
        </w:rPr>
        <w:t>Orthodox</w:t>
      </w:r>
      <w:r w:rsidR="00430B64" w:rsidRPr="00430B64">
        <w:rPr>
          <w:szCs w:val="24"/>
        </w:rPr>
        <w:t xml:space="preserve"> Jews, as they are traditional laws that as many </w:t>
      </w:r>
      <w:r w:rsidR="003247A4">
        <w:rPr>
          <w:szCs w:val="24"/>
        </w:rPr>
        <w:t>Reform</w:t>
      </w:r>
      <w:r w:rsidR="00430B64" w:rsidRPr="00430B64">
        <w:rPr>
          <w:szCs w:val="24"/>
        </w:rPr>
        <w:t xml:space="preserve"> couples feel that they do not fit in with their beliefs. This section of the dissertation will focus on the </w:t>
      </w:r>
      <w:r w:rsidR="003247A4">
        <w:rPr>
          <w:szCs w:val="24"/>
        </w:rPr>
        <w:t>Orthodox</w:t>
      </w:r>
      <w:r w:rsidR="00430B64" w:rsidRPr="00430B64">
        <w:rPr>
          <w:szCs w:val="24"/>
        </w:rPr>
        <w:t xml:space="preserve"> women and couples that choose to practise these laws and their perception of them. First-hand accounts</w:t>
      </w:r>
      <w:r w:rsidR="003A462B">
        <w:rPr>
          <w:szCs w:val="24"/>
        </w:rPr>
        <w:t>, such as a set of interviews from a group of Jewish women,</w:t>
      </w:r>
      <w:r w:rsidR="003A462B">
        <w:rPr>
          <w:rStyle w:val="FootnoteReference"/>
          <w:szCs w:val="24"/>
        </w:rPr>
        <w:footnoteReference w:id="31"/>
      </w:r>
      <w:r w:rsidR="00430B64" w:rsidRPr="00430B64">
        <w:rPr>
          <w:szCs w:val="24"/>
        </w:rPr>
        <w:t xml:space="preserve"> will be used to understand this perception, as many modern feminism and </w:t>
      </w:r>
      <w:r w:rsidR="003247A4">
        <w:rPr>
          <w:szCs w:val="24"/>
        </w:rPr>
        <w:t>Reform</w:t>
      </w:r>
      <w:r w:rsidR="00430B64" w:rsidRPr="00430B64">
        <w:rPr>
          <w:szCs w:val="24"/>
        </w:rPr>
        <w:t xml:space="preserve"> descriptions of the laws fail to include the view of the people who practice them. Many aspects of life will be </w:t>
      </w:r>
      <w:r w:rsidR="003A462B">
        <w:rPr>
          <w:szCs w:val="24"/>
        </w:rPr>
        <w:t>studied</w:t>
      </w:r>
      <w:r w:rsidR="00430B64" w:rsidRPr="00430B64">
        <w:rPr>
          <w:szCs w:val="24"/>
        </w:rPr>
        <w:t>, as the ancient texts do not show how the laws should be or are practiced in the modern day. Modern aspects of life, such as contraception and abortion will be explored. The ancient texts</w:t>
      </w:r>
      <w:r w:rsidR="003A462B">
        <w:rPr>
          <w:szCs w:val="24"/>
        </w:rPr>
        <w:t xml:space="preserve">, such as </w:t>
      </w:r>
      <w:proofErr w:type="spellStart"/>
      <w:r w:rsidR="003A462B" w:rsidRPr="00430B64">
        <w:t>Yevamont</w:t>
      </w:r>
      <w:proofErr w:type="spellEnd"/>
      <w:r w:rsidR="003A462B" w:rsidRPr="00430B64">
        <w:t xml:space="preserve"> 12b</w:t>
      </w:r>
      <w:r w:rsidR="003A462B">
        <w:t xml:space="preserve"> and </w:t>
      </w:r>
      <w:r w:rsidR="003A462B" w:rsidRPr="00430B64">
        <w:t>Exodus 21: 22-25</w:t>
      </w:r>
      <w:r w:rsidR="00430B64" w:rsidRPr="00430B64">
        <w:rPr>
          <w:szCs w:val="24"/>
        </w:rPr>
        <w:t xml:space="preserve"> will be used to aid this exploration as to see how they have been interpreted to result in how they are practiced today. </w:t>
      </w:r>
      <w:r w:rsidR="00430B64" w:rsidRPr="00EB68CC">
        <w:rPr>
          <w:szCs w:val="24"/>
          <w:highlight w:val="yellow"/>
        </w:rPr>
        <w:t>Scholars such as Beth Wenger, Blu Greenberg and Rachel Baile will be used to explore these topics</w:t>
      </w:r>
      <w:r w:rsidR="00430B64" w:rsidRPr="00430B64">
        <w:rPr>
          <w:szCs w:val="24"/>
        </w:rPr>
        <w:t xml:space="preserve">. They will provide an informative and sometimes feminist perspective that will serve to explore the real-life application of the laws. This dissertation will give a critical response to these scholars.  </w:t>
      </w:r>
    </w:p>
    <w:p w14:paraId="34062039" w14:textId="36D5F61C" w:rsidR="00430B64" w:rsidRPr="00D21A9A" w:rsidRDefault="00430B64" w:rsidP="00D21A9A">
      <w:pPr>
        <w:spacing w:line="360" w:lineRule="auto"/>
        <w:ind w:firstLine="720"/>
      </w:pPr>
      <w:r w:rsidRPr="00D21A9A">
        <w:t xml:space="preserve">The Mikvah represents rebirth and starting anew for the women who choose to take part in the laws. How women use the Mikvah to empower themselves and other women will be interesting to look at, due to the stigma that surrounds it. The Mikvah also marks the end of the separation between a couple after a woman has finished menstruating. The separation is one of the main aspects that women who practice the laws do not enjoy. There are many issues that come with having to separate in this time, and the implications on women’s mental health and the negative impact that it has on couples should be explored, as well as the positive impact that it has. Although there are similarities in women’s experiences, there are also major differences. </w:t>
      </w:r>
    </w:p>
    <w:p w14:paraId="6A0EF1BD" w14:textId="24D3AC03" w:rsidR="00430B64" w:rsidRPr="00D21A9A" w:rsidRDefault="00430B64" w:rsidP="00D21A9A">
      <w:pPr>
        <w:spacing w:line="360" w:lineRule="auto"/>
        <w:ind w:firstLine="720"/>
      </w:pPr>
      <w:r w:rsidRPr="00D21A9A">
        <w:t xml:space="preserve">Finally, this section will explore how the practices of the laws have influenced how individuals view themselves. One experience from Katia Aryeh </w:t>
      </w:r>
      <w:r w:rsidR="003A462B" w:rsidRPr="00D21A9A">
        <w:t xml:space="preserve">highlights </w:t>
      </w:r>
      <w:r w:rsidRPr="00D21A9A">
        <w:t xml:space="preserve">how the </w:t>
      </w:r>
      <w:r w:rsidR="003247A4" w:rsidRPr="00D21A9A">
        <w:t>Orthodox</w:t>
      </w:r>
      <w:r w:rsidRPr="00D21A9A">
        <w:t xml:space="preserve"> community that preaches these laws have impacted her and what kind of views </w:t>
      </w:r>
      <w:r w:rsidR="003247A4" w:rsidRPr="00D21A9A">
        <w:t>Orthodox</w:t>
      </w:r>
      <w:r w:rsidRPr="00D21A9A">
        <w:t xml:space="preserve"> children are being taught</w:t>
      </w:r>
      <w:r w:rsidR="008559E0" w:rsidRPr="00D21A9A">
        <w:t>.</w:t>
      </w:r>
      <w:r w:rsidRPr="00D21A9A">
        <w:rPr>
          <w:vertAlign w:val="superscript"/>
        </w:rPr>
        <w:footnoteReference w:id="32"/>
      </w:r>
      <w:r w:rsidRPr="00D21A9A">
        <w:t xml:space="preserve"> The main focus of these laws is usually around the women who practice them, however, little consideration is taken to the implication of being brought up by individuals who may use these laws to manipulate young women and teach them that their bodies are not their own but are their husbands. </w:t>
      </w:r>
    </w:p>
    <w:p w14:paraId="5A5CC0FE" w14:textId="77777777" w:rsidR="00430B64" w:rsidRPr="00430B64" w:rsidRDefault="00430B64" w:rsidP="008E6429">
      <w:pPr>
        <w:pStyle w:val="Heading2"/>
        <w:spacing w:line="360" w:lineRule="auto"/>
      </w:pPr>
      <w:bookmarkStart w:id="77" w:name="_Toc40008548"/>
      <w:bookmarkEnd w:id="76"/>
      <w:r w:rsidRPr="00430B64">
        <w:t>Contraception</w:t>
      </w:r>
      <w:bookmarkEnd w:id="77"/>
    </w:p>
    <w:p w14:paraId="3364A83E" w14:textId="0201E9C8" w:rsidR="00430B64" w:rsidRPr="00430B64" w:rsidRDefault="00430B64" w:rsidP="00D21A9A">
      <w:pPr>
        <w:spacing w:line="360" w:lineRule="auto"/>
        <w:ind w:firstLine="720"/>
      </w:pPr>
      <w:r w:rsidRPr="00430B64">
        <w:t>The usage of contraception by a man is prohibited by Jewish law as outlined in the Mishnah. The law states that “Whosoever emits semen in vain deserves death, for it is said in Scripture” (Babylon </w:t>
      </w:r>
      <w:hyperlink r:id="rId15" w:tooltip="Talmud" w:history="1">
        <w:r w:rsidRPr="00430B64">
          <w:t>Talmud</w:t>
        </w:r>
      </w:hyperlink>
      <w:r w:rsidRPr="00430B64">
        <w:t>, Tractate Niddah, p. 13a: 32). From this teaching, semen that is not used for reproduction is seen as a waste, and this, therefore, prohibits a man to use contraception. This law is upheld by the biblical teaching “God blessed them, and God said to them, Be fruitful and multiply” (Gen 1:28). However, in this translation, taken from NRSV, the commandment is directed at ‘them’, meaning both the man and the women, although in the original Hebrew, it is written as ‘him.’ As a result of this, it is understood that</w:t>
      </w:r>
      <w:r w:rsidR="003A462B">
        <w:t xml:space="preserve"> the responsibility to marry and have children lies only with men and not with </w:t>
      </w:r>
      <w:r w:rsidR="00D21A9A">
        <w:t>women</w:t>
      </w:r>
      <w:r w:rsidR="008559E0">
        <w:t>.</w:t>
      </w:r>
      <w:r w:rsidRPr="00430B64">
        <w:rPr>
          <w:vertAlign w:val="superscript"/>
        </w:rPr>
        <w:footnoteReference w:id="33"/>
      </w:r>
      <w:r w:rsidRPr="00430B64">
        <w:t xml:space="preserve"> For this reason, women should be able to use contraception, such as the pill (as it does not prevent the semen from reaching the egg) without issue. Nonetheless, this is not the case.</w:t>
      </w:r>
    </w:p>
    <w:p w14:paraId="37970F71" w14:textId="1C98817B" w:rsidR="00430B64" w:rsidRPr="00430B64" w:rsidRDefault="003247A4" w:rsidP="00D21A9A">
      <w:pPr>
        <w:spacing w:line="360" w:lineRule="auto"/>
        <w:ind w:firstLine="720"/>
      </w:pPr>
      <w:r>
        <w:t>Orthodox</w:t>
      </w:r>
      <w:r w:rsidR="00430B64" w:rsidRPr="00430B64">
        <w:t xml:space="preserve"> Judaism refers to the story of the three women who wer</w:t>
      </w:r>
      <w:r w:rsidR="003A462B">
        <w:t>e presented</w:t>
      </w:r>
      <w:r w:rsidR="00430B64" w:rsidRPr="00430B64">
        <w:t xml:space="preserve"> with the question of whether women should be able to use contraception. This teaching states that, </w:t>
      </w:r>
    </w:p>
    <w:p w14:paraId="39382F61" w14:textId="77777777" w:rsidR="00430B64" w:rsidRPr="00430B64" w:rsidRDefault="00430B64" w:rsidP="008E6429">
      <w:pPr>
        <w:spacing w:line="360" w:lineRule="auto"/>
        <w:ind w:left="1134" w:right="1134"/>
      </w:pPr>
      <w:r w:rsidRPr="00430B64">
        <w:t>Three women may engage in relations with a contraceptive resorbent, a soft fabric placed at the entrance to their wombs to prevent conception, despite the fact that this practice is generally prohibited (</w:t>
      </w:r>
      <w:bookmarkStart w:id="79" w:name="_Hlk40007629"/>
      <w:r w:rsidRPr="00430B64">
        <w:t>Yevamont 12b</w:t>
      </w:r>
      <w:bookmarkEnd w:id="79"/>
      <w:r w:rsidRPr="00430B64">
        <w:t>)</w:t>
      </w:r>
    </w:p>
    <w:p w14:paraId="3B7E6119" w14:textId="535F1872" w:rsidR="00430B64" w:rsidRPr="00430B64" w:rsidRDefault="00430B64" w:rsidP="008E6429">
      <w:pPr>
        <w:spacing w:line="360" w:lineRule="auto"/>
      </w:pPr>
      <w:r w:rsidRPr="00430B64">
        <w:t>In this translation of the text, it states that a woman ‘may’ use contraception. However, in other translations and interpretations of the text, there is the opinion that it could mean that either a woman must use contraception or that she does not have to but may use it</w:t>
      </w:r>
      <w:r w:rsidR="008559E0">
        <w:t>.</w:t>
      </w:r>
      <w:r w:rsidRPr="00430B64">
        <w:rPr>
          <w:vertAlign w:val="superscript"/>
        </w:rPr>
        <w:footnoteReference w:id="34"/>
      </w:r>
      <w:r w:rsidRPr="00430B64">
        <w:t xml:space="preserve"> There is also the opinion that the women listed ‘must’ use contraception as to get pregnant would be very detrimental to their health</w:t>
      </w:r>
      <w:r w:rsidR="008559E0">
        <w:t>.</w:t>
      </w:r>
      <w:r w:rsidR="008559E0" w:rsidRPr="00430B64">
        <w:rPr>
          <w:vertAlign w:val="superscript"/>
        </w:rPr>
        <w:footnoteReference w:id="35"/>
      </w:r>
      <w:r w:rsidRPr="00430B64">
        <w:t xml:space="preserve"> However, these rules do not apply to women who merely do not want to have a child, and therefore it is left to the interpretation of Rabbis and other figureheads to determine </w:t>
      </w:r>
      <w:r w:rsidR="00F17DAE" w:rsidRPr="00430B64">
        <w:t>whether</w:t>
      </w:r>
      <w:r w:rsidRPr="00430B64">
        <w:t xml:space="preserve"> a woman can use contraception.</w:t>
      </w:r>
    </w:p>
    <w:p w14:paraId="7A5FD325" w14:textId="1E723F4D" w:rsidR="00430B64" w:rsidRPr="00430B64" w:rsidRDefault="00430B64" w:rsidP="008E6429">
      <w:pPr>
        <w:spacing w:line="360" w:lineRule="auto"/>
      </w:pPr>
      <w:r w:rsidRPr="00430B64">
        <w:t xml:space="preserve"> </w:t>
      </w:r>
      <w:r w:rsidR="00D21A9A">
        <w:tab/>
      </w:r>
      <w:r w:rsidRPr="00430B64">
        <w:t xml:space="preserve">Moses </w:t>
      </w:r>
      <w:proofErr w:type="spellStart"/>
      <w:r w:rsidRPr="00430B64">
        <w:t>Sofer</w:t>
      </w:r>
      <w:proofErr w:type="spellEnd"/>
      <w:r w:rsidRPr="00430B64">
        <w:t xml:space="preserve">, one of the most important modern </w:t>
      </w:r>
      <w:r w:rsidR="003247A4">
        <w:t>Orthodox</w:t>
      </w:r>
      <w:r w:rsidRPr="00430B64">
        <w:t xml:space="preserve"> figures and halakhists, forbids contraception during sex. He states that, </w:t>
      </w:r>
    </w:p>
    <w:p w14:paraId="49343531" w14:textId="77777777" w:rsidR="00430B64" w:rsidRPr="00430B64" w:rsidRDefault="00430B64" w:rsidP="008E6429">
      <w:pPr>
        <w:spacing w:line="360" w:lineRule="auto"/>
        <w:ind w:left="1134" w:right="1134"/>
      </w:pPr>
      <w:r w:rsidRPr="00430B64">
        <w:t>The law is that during intercourse, in my opinion, [mokh] may not be permitted, but after [intercourse] it is possible to be more lenient. But [it must be done] with the husband’s permission (Moses Sofer (Hatam Sofer), Responsa, Yoreh De’ah 172)</w:t>
      </w:r>
    </w:p>
    <w:p w14:paraId="72E9714A" w14:textId="77777777" w:rsidR="00430B64" w:rsidRPr="00D21A9A" w:rsidRDefault="00430B64" w:rsidP="008E6429">
      <w:pPr>
        <w:spacing w:line="360" w:lineRule="auto"/>
      </w:pPr>
      <w:r w:rsidRPr="00430B64">
        <w:t xml:space="preserve">He also believes that he acknowledges that the </w:t>
      </w:r>
      <w:r w:rsidRPr="00D21A9A">
        <w:t xml:space="preserve">law stated in Yevamont 12b does exist, however, he struggles to find any figurehead who would allow it to be practiced. He discusses contraception being used after intercourse, which is done by inserting a cloth to absorb the semen. The fact that this cannot be done without the husband’s permission could be very dangerous for women who are in abusive relationships, or even just do not want children. This puts the man in control of the woman’s body. </w:t>
      </w:r>
    </w:p>
    <w:p w14:paraId="00AC1195" w14:textId="69893353" w:rsidR="00430B64" w:rsidRPr="00430B64" w:rsidRDefault="00430B64" w:rsidP="00D21A9A">
      <w:pPr>
        <w:spacing w:line="360" w:lineRule="auto"/>
        <w:ind w:firstLine="720"/>
      </w:pPr>
      <w:r w:rsidRPr="00430B64">
        <w:t>Nonetheless, it is common today that modern contraception, such as the pill or intrauterine device is used “allows intercourse to proceed naturally and unimpeded, allowing the fulfilment of the wife’s conjugal rights</w:t>
      </w:r>
      <w:r w:rsidR="008559E0">
        <w:t>”.</w:t>
      </w:r>
      <w:r w:rsidRPr="00430B64">
        <w:rPr>
          <w:vertAlign w:val="superscript"/>
        </w:rPr>
        <w:footnoteReference w:id="36"/>
      </w:r>
      <w:r w:rsidRPr="00430B64">
        <w:t xml:space="preserve"> There is then no barrier between a man and women, and therefore, no religious reason as to why even </w:t>
      </w:r>
      <w:r w:rsidR="003247A4">
        <w:t>Orthodox</w:t>
      </w:r>
      <w:r w:rsidRPr="00430B64">
        <w:t xml:space="preserve"> women should not be able to use them. </w:t>
      </w:r>
    </w:p>
    <w:p w14:paraId="681AF527" w14:textId="0C55041B" w:rsidR="00430B64" w:rsidRPr="00430B64" w:rsidRDefault="00430B64" w:rsidP="008E6429">
      <w:pPr>
        <w:pStyle w:val="Heading2"/>
        <w:spacing w:line="360" w:lineRule="auto"/>
      </w:pPr>
      <w:bookmarkStart w:id="80" w:name="_Toc40008549"/>
      <w:r w:rsidRPr="00430B64">
        <w:t>Abortion</w:t>
      </w:r>
      <w:bookmarkEnd w:id="80"/>
    </w:p>
    <w:p w14:paraId="6D3BC968" w14:textId="0FCD0C03" w:rsidR="00430B64" w:rsidRPr="00430B64" w:rsidRDefault="00430B64" w:rsidP="008E6429">
      <w:pPr>
        <w:spacing w:line="360" w:lineRule="auto"/>
        <w:ind w:firstLine="720"/>
      </w:pPr>
      <w:r w:rsidRPr="00430B64">
        <w:t xml:space="preserve">An issue that has recently impacted on the </w:t>
      </w:r>
      <w:r w:rsidR="003247A4">
        <w:t>Orthodox</w:t>
      </w:r>
      <w:r w:rsidRPr="00430B64">
        <w:t xml:space="preserve"> Jewish community is that of abortion. Due to abortion being more accessible and openly discussed, </w:t>
      </w:r>
      <w:r w:rsidR="003247A4">
        <w:t>Orthodox</w:t>
      </w:r>
      <w:r w:rsidRPr="00430B64">
        <w:t xml:space="preserve"> community leaders have been pushed to express their position</w:t>
      </w:r>
      <w:r w:rsidR="008559E0">
        <w:t>.</w:t>
      </w:r>
      <w:r w:rsidRPr="00430B64">
        <w:rPr>
          <w:vertAlign w:val="superscript"/>
        </w:rPr>
        <w:footnoteReference w:id="37"/>
      </w:r>
      <w:r w:rsidRPr="00430B64">
        <w:t xml:space="preserve"> The majority of the texts that are written on the topic surround the fact that “abortion is always an extraordinary measure in extreme circumstances</w:t>
      </w:r>
      <w:r w:rsidR="008559E0">
        <w:t>”</w:t>
      </w:r>
      <w:r w:rsidR="00466941">
        <w:t>,</w:t>
      </w:r>
      <w:r w:rsidRPr="00430B64">
        <w:rPr>
          <w:vertAlign w:val="superscript"/>
        </w:rPr>
        <w:footnoteReference w:id="38"/>
      </w:r>
      <w:r w:rsidRPr="00430B64">
        <w:t xml:space="preserve"> which usually involves the life of the mother being threatened. In the biblical text, </w:t>
      </w:r>
      <w:bookmarkStart w:id="82" w:name="_Hlk40007662"/>
      <w:r w:rsidRPr="00430B64">
        <w:t>Exodus 21: 22-25</w:t>
      </w:r>
      <w:bookmarkEnd w:id="82"/>
      <w:r w:rsidRPr="00430B64">
        <w:t>, it states that:</w:t>
      </w:r>
    </w:p>
    <w:p w14:paraId="29AA9EBB" w14:textId="77777777" w:rsidR="00430B64" w:rsidRPr="00430B64" w:rsidRDefault="00430B64" w:rsidP="008E6429">
      <w:pPr>
        <w:spacing w:line="360" w:lineRule="auto"/>
        <w:ind w:left="1134" w:right="1134"/>
      </w:pPr>
      <w:r w:rsidRPr="00430B64">
        <w:t>When people who are fighting injure a pregnant woman so that there is a miscarriage, and yet no further harm follows, the one responsible shall be fined what the woman’s husband demands, paying as much as the judges determine.</w:t>
      </w:r>
      <w:r w:rsidRPr="00430B64">
        <w:rPr>
          <w:b/>
          <w:bCs/>
          <w:vertAlign w:val="superscript"/>
        </w:rPr>
        <w:t> </w:t>
      </w:r>
      <w:r w:rsidRPr="00430B64">
        <w:t>If any harm follows, then you shall give life for life, eye for eye, tooth for tooth, hand for hand, foot for foot, burn for burn, wound for wound, stripe for stripe.</w:t>
      </w:r>
    </w:p>
    <w:p w14:paraId="119840D5" w14:textId="2EC133A1" w:rsidR="00430B64" w:rsidRPr="00430B64" w:rsidRDefault="00430B64" w:rsidP="008E6429">
      <w:pPr>
        <w:spacing w:line="360" w:lineRule="auto"/>
      </w:pPr>
      <w:r w:rsidRPr="00430B64">
        <w:t>It is clear in this passage, that it is the woman’s life that is put before the</w:t>
      </w:r>
      <w:r w:rsidR="003A462B">
        <w:t xml:space="preserve"> life</w:t>
      </w:r>
      <w:r w:rsidRPr="00430B64">
        <w:t xml:space="preserve"> of </w:t>
      </w:r>
      <w:r w:rsidR="00F17DAE" w:rsidRPr="00430B64">
        <w:t>the foetus</w:t>
      </w:r>
      <w:r w:rsidRPr="00430B64">
        <w:t xml:space="preserve">. The man only receives a fine for causing the miscarriage of the unborn child, but a death sentence for killing the child and woman. This is supported by Mishnah Oholot 7:6 which states that: </w:t>
      </w:r>
    </w:p>
    <w:p w14:paraId="18FBD724" w14:textId="77777777" w:rsidR="00430B64" w:rsidRPr="00430B64" w:rsidRDefault="00430B64" w:rsidP="008E6429">
      <w:pPr>
        <w:spacing w:line="360" w:lineRule="auto"/>
        <w:ind w:left="1134" w:right="1134"/>
      </w:pPr>
      <w:r w:rsidRPr="00430B64">
        <w:t>If a woman is having trouble giving birth, they cut up the child in her womb and brings it forth limb by limb, because her life comes before the life of [the child]. But if the greater part has come out, one may not touch it, for one may not set aside one person's life for that of another.</w:t>
      </w:r>
    </w:p>
    <w:p w14:paraId="1079368E" w14:textId="3F401A67" w:rsidR="00430B64" w:rsidRPr="00430B64" w:rsidRDefault="00430B64" w:rsidP="008E6429">
      <w:pPr>
        <w:spacing w:line="360" w:lineRule="auto"/>
      </w:pPr>
      <w:r w:rsidRPr="00430B64">
        <w:t xml:space="preserve">This also shows that the mother’s life </w:t>
      </w:r>
      <w:r w:rsidR="003A462B">
        <w:t xml:space="preserve">takes priority over </w:t>
      </w:r>
      <w:r w:rsidRPr="00430B64">
        <w:t>the baby’s even up to the moment of birth. However, it states that if any part of the child has been birthed, then nothing may be done, as one life cannot</w:t>
      </w:r>
      <w:r w:rsidR="003A462B">
        <w:t xml:space="preserve"> take priority over another</w:t>
      </w:r>
      <w:r w:rsidRPr="00430B64">
        <w:t xml:space="preserve">. This then suggests that a baby is not alive until birth, and therefore life does not begin at conception but when the child enters the world. </w:t>
      </w:r>
    </w:p>
    <w:p w14:paraId="152E9B16" w14:textId="5BCFB65A" w:rsidR="00430B64" w:rsidRPr="00430B64" w:rsidRDefault="00430B64" w:rsidP="00D21A9A">
      <w:pPr>
        <w:spacing w:line="360" w:lineRule="auto"/>
        <w:ind w:firstLine="720"/>
      </w:pPr>
      <w:r w:rsidRPr="00430B64">
        <w:t>It can be understood that most Jewish authorities would allow abortion under certain circumstances. This is reflected in the Israeli Knesset abortion law of 1977 which allows the abortion of a pregnancy that was caused by adultery or rape, in the case of a child being pregnant, if the mother had severe mental health issues or if the child was known to be born with se</w:t>
      </w:r>
      <w:r w:rsidR="003A462B">
        <w:t>vere</w:t>
      </w:r>
      <w:r w:rsidRPr="00430B64">
        <w:t xml:space="preserve"> hea</w:t>
      </w:r>
      <w:r w:rsidR="003A462B">
        <w:t>lth</w:t>
      </w:r>
      <w:r w:rsidRPr="00430B64">
        <w:t xml:space="preserve"> defects</w:t>
      </w:r>
      <w:r w:rsidR="008559E0">
        <w:t>.</w:t>
      </w:r>
      <w:r w:rsidRPr="00430B64">
        <w:rPr>
          <w:vertAlign w:val="superscript"/>
        </w:rPr>
        <w:footnoteReference w:id="39"/>
      </w:r>
      <w:r w:rsidRPr="00430B64">
        <w:t xml:space="preserve"> </w:t>
      </w:r>
      <w:r w:rsidR="003247A4">
        <w:t>Orthodox</w:t>
      </w:r>
      <w:r w:rsidRPr="00430B64">
        <w:t xml:space="preserve"> Judaism is more liberal than </w:t>
      </w:r>
      <w:r w:rsidRPr="00D21A9A">
        <w:t xml:space="preserve">other religions that do not allow abortion under any circumstances. This is reflected across Judaism, regardless of location. For </w:t>
      </w:r>
      <w:r w:rsidR="00F17DAE" w:rsidRPr="00D21A9A">
        <w:t>example,</w:t>
      </w:r>
      <w:r w:rsidRPr="00D21A9A">
        <w:t xml:space="preserve"> in Israel </w:t>
      </w:r>
      <w:r w:rsidR="003247A4" w:rsidRPr="00D21A9A">
        <w:t>Orthodox</w:t>
      </w:r>
      <w:r w:rsidRPr="00D21A9A">
        <w:t xml:space="preserve"> Jews are only against abortion for “nonvital</w:t>
      </w:r>
      <w:r w:rsidR="008559E0" w:rsidRPr="00D21A9A">
        <w:t>”</w:t>
      </w:r>
      <w:r w:rsidRPr="00D21A9A">
        <w:rPr>
          <w:vertAlign w:val="superscript"/>
        </w:rPr>
        <w:footnoteReference w:id="40"/>
      </w:r>
      <w:r w:rsidR="008559E0" w:rsidRPr="00D21A9A">
        <w:t xml:space="preserve"> </w:t>
      </w:r>
      <w:r w:rsidRPr="00D21A9A">
        <w:t xml:space="preserve">reasons. However, there are some </w:t>
      </w:r>
      <w:r w:rsidR="003247A4" w:rsidRPr="00D21A9A">
        <w:t>Orthodox</w:t>
      </w:r>
      <w:r w:rsidRPr="00D21A9A">
        <w:t xml:space="preserve"> Jews who do not allow abortion and compare this act to the holocaust in order to manipulate </w:t>
      </w:r>
      <w:r w:rsidRPr="00430B64">
        <w:t>people in their actions</w:t>
      </w:r>
      <w:r w:rsidR="008559E0">
        <w:t>.</w:t>
      </w:r>
      <w:r w:rsidRPr="00430B64">
        <w:rPr>
          <w:vertAlign w:val="superscript"/>
        </w:rPr>
        <w:footnoteReference w:id="41"/>
      </w:r>
      <w:r w:rsidRPr="00430B64">
        <w:t xml:space="preserve"> </w:t>
      </w:r>
    </w:p>
    <w:p w14:paraId="02C8B57D" w14:textId="77777777" w:rsidR="00430B64" w:rsidRPr="00430B64" w:rsidRDefault="00430B64" w:rsidP="008E6429">
      <w:pPr>
        <w:pStyle w:val="Heading2"/>
        <w:spacing w:line="360" w:lineRule="auto"/>
      </w:pPr>
      <w:bookmarkStart w:id="83" w:name="_Toc40008550"/>
      <w:r w:rsidRPr="00430B64">
        <w:t>Medical Persuasion</w:t>
      </w:r>
      <w:bookmarkEnd w:id="83"/>
      <w:r w:rsidRPr="00430B64">
        <w:t xml:space="preserve"> </w:t>
      </w:r>
    </w:p>
    <w:p w14:paraId="68E72E63" w14:textId="3ED969A6" w:rsidR="00430B64" w:rsidRPr="00D21A9A" w:rsidRDefault="00430B64" w:rsidP="008E6429">
      <w:pPr>
        <w:spacing w:line="360" w:lineRule="auto"/>
        <w:ind w:firstLine="720"/>
      </w:pPr>
      <w:r w:rsidRPr="00430B64">
        <w:t xml:space="preserve">An increasing number of people </w:t>
      </w:r>
      <w:r w:rsidR="00612069" w:rsidRPr="00430B64">
        <w:t>claim</w:t>
      </w:r>
      <w:r w:rsidRPr="00430B64">
        <w:t xml:space="preserve"> that following Niddah has an array of health benefits. For example, “at least two book-length tracts along with dozens of pamphlets and articles explaining the medical benefits of family purity were published by </w:t>
      </w:r>
      <w:r w:rsidR="003247A4">
        <w:t>Orthodox</w:t>
      </w:r>
      <w:r w:rsidRPr="00430B64">
        <w:t xml:space="preserve"> rabbis during the 1920s</w:t>
      </w:r>
      <w:r w:rsidR="008559E0">
        <w:t>”.</w:t>
      </w:r>
      <w:r w:rsidRPr="00430B64">
        <w:rPr>
          <w:vertAlign w:val="superscript"/>
        </w:rPr>
        <w:footnoteReference w:id="42"/>
      </w:r>
      <w:r w:rsidR="008559E0">
        <w:t xml:space="preserve"> </w:t>
      </w:r>
      <w:r w:rsidRPr="00430B64">
        <w:t xml:space="preserve">Writings about the health benefits can still be found today. In America, Professor L. Duncan </w:t>
      </w:r>
      <w:proofErr w:type="spellStart"/>
      <w:r w:rsidRPr="00430B64">
        <w:t>Bukley</w:t>
      </w:r>
      <w:proofErr w:type="spellEnd"/>
      <w:r w:rsidRPr="00430B64">
        <w:t xml:space="preserve"> claimed that “</w:t>
      </w:r>
      <w:r w:rsidR="003247A4">
        <w:t>Orthodox</w:t>
      </w:r>
      <w:r w:rsidRPr="00430B64">
        <w:t xml:space="preserve"> Jews, especially of the poorer class, observing their ritual life, are much less subject to cancer than the rest of any population</w:t>
      </w:r>
      <w:r w:rsidR="008559E0">
        <w:t>”</w:t>
      </w:r>
      <w:r w:rsidR="00466941">
        <w:t>,</w:t>
      </w:r>
      <w:r w:rsidRPr="00430B64">
        <w:rPr>
          <w:vertAlign w:val="superscript"/>
        </w:rPr>
        <w:footnoteReference w:id="43"/>
      </w:r>
      <w:r w:rsidRPr="00430B64">
        <w:t xml:space="preserve"> however, there was no medical evidence to this. Furthermore, Menachem Brayer claimed that women who practice the Niddah laws are less likely to have still births or children with deformities. Claims such as these have very little research into them, and </w:t>
      </w:r>
      <w:proofErr w:type="gramStart"/>
      <w:r w:rsidR="003A462B">
        <w:t>the majority of</w:t>
      </w:r>
      <w:proofErr w:type="gramEnd"/>
      <w:r w:rsidR="003A462B">
        <w:t xml:space="preserve"> </w:t>
      </w:r>
      <w:r w:rsidR="003A462B" w:rsidRPr="00D21A9A">
        <w:t xml:space="preserve">these </w:t>
      </w:r>
      <w:r w:rsidRPr="00D21A9A">
        <w:t xml:space="preserve">claims come from Rabbis with limited to no medical backgrounds. Claims such as these would manipulate a </w:t>
      </w:r>
      <w:r w:rsidR="00F17DAE" w:rsidRPr="00D21A9A">
        <w:t>woman</w:t>
      </w:r>
      <w:r w:rsidRPr="00D21A9A">
        <w:t xml:space="preserve"> into following these laws, suggesting that not all followers do it by choice but by obligation.</w:t>
      </w:r>
    </w:p>
    <w:p w14:paraId="07EB6BBB" w14:textId="4534A5F0" w:rsidR="00430B64" w:rsidRPr="00D21A9A" w:rsidRDefault="00430B64" w:rsidP="008E6429">
      <w:pPr>
        <w:pStyle w:val="Heading2"/>
        <w:spacing w:line="360" w:lineRule="auto"/>
      </w:pPr>
      <w:bookmarkStart w:id="84" w:name="_Toc40008551"/>
      <w:r w:rsidRPr="00D21A9A">
        <w:t xml:space="preserve">Real </w:t>
      </w:r>
      <w:r w:rsidR="00A01332" w:rsidRPr="00D21A9A">
        <w:t>L</w:t>
      </w:r>
      <w:r w:rsidRPr="00D21A9A">
        <w:t xml:space="preserve">ife </w:t>
      </w:r>
      <w:r w:rsidR="00A01332" w:rsidRPr="00D21A9A">
        <w:t>E</w:t>
      </w:r>
      <w:r w:rsidRPr="00D21A9A">
        <w:t xml:space="preserve">xamples of </w:t>
      </w:r>
      <w:r w:rsidR="00A01332" w:rsidRPr="00D21A9A">
        <w:t>W</w:t>
      </w:r>
      <w:r w:rsidRPr="00D21A9A">
        <w:t xml:space="preserve">omen </w:t>
      </w:r>
      <w:r w:rsidR="00A01332" w:rsidRPr="00D21A9A">
        <w:t>F</w:t>
      </w:r>
      <w:r w:rsidRPr="00D21A9A">
        <w:t xml:space="preserve">ollowing the </w:t>
      </w:r>
      <w:r w:rsidR="00A01332" w:rsidRPr="00D21A9A">
        <w:t>L</w:t>
      </w:r>
      <w:r w:rsidRPr="00D21A9A">
        <w:t>aws</w:t>
      </w:r>
      <w:bookmarkEnd w:id="84"/>
      <w:r w:rsidRPr="00D21A9A">
        <w:t xml:space="preserve"> </w:t>
      </w:r>
    </w:p>
    <w:p w14:paraId="6D908E4B" w14:textId="77F7B6BD" w:rsidR="00430B64" w:rsidRPr="00D21A9A" w:rsidRDefault="00430B64" w:rsidP="008E6429">
      <w:pPr>
        <w:spacing w:line="360" w:lineRule="auto"/>
        <w:ind w:firstLine="720"/>
      </w:pPr>
      <w:r w:rsidRPr="00D21A9A">
        <w:t>A sense of obligation is a common reason for women following the laws. An interview was c</w:t>
      </w:r>
      <w:r w:rsidR="003A462B" w:rsidRPr="00D21A9A">
        <w:t>onducted</w:t>
      </w:r>
      <w:r w:rsidRPr="00D21A9A">
        <w:t xml:space="preserve"> on a group of </w:t>
      </w:r>
      <w:r w:rsidR="003247A4" w:rsidRPr="00D21A9A">
        <w:t>Orthodox</w:t>
      </w:r>
      <w:r w:rsidRPr="00D21A9A">
        <w:t xml:space="preserve"> Jewish women living in Jerusalem in 2001</w:t>
      </w:r>
      <w:r w:rsidR="008559E0" w:rsidRPr="00D21A9A">
        <w:t>.</w:t>
      </w:r>
      <w:r w:rsidRPr="00D21A9A">
        <w:rPr>
          <w:vertAlign w:val="superscript"/>
        </w:rPr>
        <w:footnoteReference w:id="44"/>
      </w:r>
      <w:r w:rsidRPr="00D21A9A">
        <w:t xml:space="preserve"> Thirty women were interviewed, with their ages ranging from 25 to 57 and the length of their marriages ranging </w:t>
      </w:r>
      <w:r w:rsidR="00F17DAE" w:rsidRPr="00D21A9A">
        <w:t>from</w:t>
      </w:r>
      <w:r w:rsidRPr="00D21A9A">
        <w:t xml:space="preserve"> four month to 35 years. The interviews were </w:t>
      </w:r>
      <w:r w:rsidR="003A462B" w:rsidRPr="00D21A9A">
        <w:t>conducted</w:t>
      </w:r>
      <w:r w:rsidRPr="00D21A9A">
        <w:t xml:space="preserve"> </w:t>
      </w:r>
      <w:proofErr w:type="gramStart"/>
      <w:r w:rsidRPr="00D21A9A">
        <w:t>in an attempt to</w:t>
      </w:r>
      <w:proofErr w:type="gramEnd"/>
      <w:r w:rsidRPr="00D21A9A">
        <w:t xml:space="preserve"> gain a different perspective of the regimen to ritual purity, similar to this desertion. </w:t>
      </w:r>
    </w:p>
    <w:p w14:paraId="5DAFB746" w14:textId="670A06D0" w:rsidR="00430B64" w:rsidRPr="00D21A9A" w:rsidRDefault="00430B64" w:rsidP="00D21A9A">
      <w:pPr>
        <w:spacing w:line="360" w:lineRule="auto"/>
        <w:ind w:firstLine="720"/>
      </w:pPr>
      <w:r w:rsidRPr="00D21A9A">
        <w:t>The women in these interviews described participating in the laws because they saw it as a halakhic way of life, and not something that they necessarily have to enjoy all the time</w:t>
      </w:r>
      <w:r w:rsidR="008559E0" w:rsidRPr="00D21A9A">
        <w:t>.</w:t>
      </w:r>
      <w:r w:rsidRPr="00D21A9A">
        <w:rPr>
          <w:vertAlign w:val="superscript"/>
        </w:rPr>
        <w:footnoteReference w:id="45"/>
      </w:r>
      <w:r w:rsidRPr="00D21A9A">
        <w:t xml:space="preserve">  This is a valid point when defending Niddah laws, because not all aspects of religion are pleasant, such as fasting, however, people</w:t>
      </w:r>
      <w:r w:rsidR="003A462B" w:rsidRPr="00D21A9A">
        <w:t xml:space="preserve"> participate in </w:t>
      </w:r>
      <w:r w:rsidRPr="00D21A9A">
        <w:t xml:space="preserve">them because it is what they believe to be right, and what Jewish women do is no different. </w:t>
      </w:r>
    </w:p>
    <w:p w14:paraId="3702154D" w14:textId="245AC4AC" w:rsidR="00B14A43" w:rsidRDefault="00D21A9A" w:rsidP="00D21A9A">
      <w:pPr>
        <w:spacing w:line="360" w:lineRule="auto"/>
        <w:ind w:firstLine="720"/>
      </w:pPr>
      <w:r>
        <w:t>T</w:t>
      </w:r>
      <w:r w:rsidR="00430B64" w:rsidRPr="00D21A9A">
        <w:t xml:space="preserve">he interviews gave an excellent insight into to what it is like to </w:t>
      </w:r>
      <w:r w:rsidR="00A874B9" w:rsidRPr="00D21A9A">
        <w:t>be</w:t>
      </w:r>
      <w:r w:rsidR="00430B64" w:rsidRPr="00D21A9A">
        <w:t xml:space="preserve"> participating in Niddah. For instance, many of the women described a dislike of not touching during menstruation. They found it frustrating, not because of the restrictions relating to intercourse, but also to being touched in general. One woman made the comment that her “needs to be touched are not just sexual: they’re human</w:t>
      </w:r>
      <w:r w:rsidR="008559E0" w:rsidRPr="00D21A9A">
        <w:t>”</w:t>
      </w:r>
      <w:r w:rsidR="00466941" w:rsidRPr="00D21A9A">
        <w:t>,</w:t>
      </w:r>
      <w:r w:rsidR="00430B64" w:rsidRPr="00D21A9A">
        <w:rPr>
          <w:vertAlign w:val="superscript"/>
        </w:rPr>
        <w:footnoteReference w:id="46"/>
      </w:r>
      <w:r w:rsidR="00430B64" w:rsidRPr="00D21A9A">
        <w:t xml:space="preserve"> and she finds it difficult to u</w:t>
      </w:r>
      <w:r w:rsidR="00430B64" w:rsidRPr="00430B64">
        <w:t xml:space="preserve">nderstand why this is ignored. Another woman gave her story of how she bled for three and a half months after </w:t>
      </w:r>
      <w:r w:rsidR="00430B64" w:rsidRPr="00B34534">
        <w:t xml:space="preserve">childbirth, meaning that she was impure and therefore could not touch her husband. This led to mental health issues. Although she acknowledges that if she had gone to her rabbi, she would have been excused from this, however, did not understand why it took mental health difficulties </w:t>
      </w:r>
      <w:r w:rsidR="00430B64" w:rsidRPr="00430B64">
        <w:t xml:space="preserve">for this to occur. </w:t>
      </w:r>
    </w:p>
    <w:p w14:paraId="3916E527" w14:textId="1A61C83E" w:rsidR="00430B64" w:rsidRPr="008559E0" w:rsidRDefault="00430B64" w:rsidP="00B34534">
      <w:pPr>
        <w:spacing w:line="360" w:lineRule="auto"/>
        <w:ind w:firstLine="720"/>
        <w:rPr>
          <w:szCs w:val="24"/>
        </w:rPr>
      </w:pPr>
      <w:r w:rsidRPr="00430B64">
        <w:t>However, some women enjoyed the separation, not specifically from touch but from sexual activities as it allows them to not feel pressured into sex and gives” women a legitimation for a ‘no’ voice within their sexual relationships</w:t>
      </w:r>
      <w:r w:rsidR="008559E0">
        <w:t>”.</w:t>
      </w:r>
      <w:r w:rsidRPr="00430B64">
        <w:rPr>
          <w:vertAlign w:val="superscript"/>
        </w:rPr>
        <w:footnoteReference w:id="47"/>
      </w:r>
      <w:r w:rsidRPr="00430B64">
        <w:t xml:space="preserve"> </w:t>
      </w:r>
      <w:r w:rsidR="00B14A43" w:rsidRPr="00B14A43">
        <w:rPr>
          <w:szCs w:val="24"/>
        </w:rPr>
        <w:t>Several women who choose to follow the laws choose to do so because they feel it helps their relationship with their husbands. They claim that the time apart helps other aspects of their relationship grow, as they are no longer reliant on the physical relationship. Furthermore, at the end of the time apart, “the couple renews the sexual relationship each month with an eagerness and a passion reminiscent of their honeymoon</w:t>
      </w:r>
      <w:r w:rsidR="008559E0">
        <w:rPr>
          <w:szCs w:val="24"/>
        </w:rPr>
        <w:t>”</w:t>
      </w:r>
      <w:r w:rsidR="00466941">
        <w:rPr>
          <w:szCs w:val="24"/>
        </w:rPr>
        <w:t>,</w:t>
      </w:r>
      <w:r w:rsidR="00B14A43" w:rsidRPr="00B14A43">
        <w:rPr>
          <w:szCs w:val="24"/>
          <w:vertAlign w:val="superscript"/>
        </w:rPr>
        <w:footnoteReference w:id="48"/>
      </w:r>
      <w:r w:rsidR="00B14A43" w:rsidRPr="00B14A43">
        <w:rPr>
          <w:szCs w:val="24"/>
        </w:rPr>
        <w:t xml:space="preserve"> with the aim of keeping the marriage interesting and exciting.</w:t>
      </w:r>
    </w:p>
    <w:p w14:paraId="3E61D226" w14:textId="77777777" w:rsidR="00430B64" w:rsidRPr="00430B64" w:rsidRDefault="00430B64" w:rsidP="008E6429">
      <w:pPr>
        <w:pStyle w:val="Heading2"/>
        <w:spacing w:line="360" w:lineRule="auto"/>
      </w:pPr>
      <w:bookmarkStart w:id="85" w:name="_Toc40008552"/>
      <w:r w:rsidRPr="00430B64">
        <w:t>Mikvah</w:t>
      </w:r>
      <w:bookmarkEnd w:id="85"/>
    </w:p>
    <w:p w14:paraId="49C7D27F" w14:textId="77777777" w:rsidR="00430B64" w:rsidRPr="00430B64" w:rsidRDefault="00430B64" w:rsidP="008E6429">
      <w:pPr>
        <w:pStyle w:val="Heading3"/>
        <w:spacing w:line="360" w:lineRule="auto"/>
      </w:pPr>
      <w:bookmarkStart w:id="86" w:name="_Toc40008553"/>
      <w:r w:rsidRPr="00430B64">
        <w:t>Control</w:t>
      </w:r>
      <w:bookmarkEnd w:id="86"/>
    </w:p>
    <w:p w14:paraId="11E3320C" w14:textId="7A50C8C8" w:rsidR="00430B64" w:rsidRPr="00430B64" w:rsidRDefault="00430B64" w:rsidP="008E6429">
      <w:pPr>
        <w:spacing w:line="360" w:lineRule="auto"/>
        <w:ind w:firstLine="720"/>
      </w:pPr>
      <w:r w:rsidRPr="00430B64">
        <w:t xml:space="preserve">In these interviews, there are also a few comments on their participation in the Mikvah. One that stands out is that women use it </w:t>
      </w:r>
      <w:r w:rsidR="00A874B9" w:rsidRPr="00430B64">
        <w:t>to</w:t>
      </w:r>
      <w:r w:rsidRPr="00430B64">
        <w:t xml:space="preserve"> control intercourse, and in some cases men, as they </w:t>
      </w:r>
      <w:r w:rsidR="00A874B9" w:rsidRPr="00430B64">
        <w:t>can</w:t>
      </w:r>
      <w:r w:rsidRPr="00430B64">
        <w:t xml:space="preserve"> delay the Mikvah if they wish, and therefore not allow intercourse to happen. One woman commented that “Mikvah can be used as an overt tactic of power, a sexual weapon</w:t>
      </w:r>
      <w:r w:rsidR="008559E0">
        <w:t>”.</w:t>
      </w:r>
      <w:r w:rsidRPr="00430B64">
        <w:rPr>
          <w:vertAlign w:val="superscript"/>
        </w:rPr>
        <w:footnoteReference w:id="49"/>
      </w:r>
      <w:r w:rsidRPr="00430B64">
        <w:t xml:space="preserve"> This completely contradicts the argument that the purity laws degrade women, as in this case, they empower them and gives them control. </w:t>
      </w:r>
      <w:r w:rsidRPr="00B34534">
        <w:t xml:space="preserve">The interviews give an example </w:t>
      </w:r>
      <w:r w:rsidRPr="00430B64">
        <w:t>of where this control was taken to the extreme:</w:t>
      </w:r>
    </w:p>
    <w:p w14:paraId="5403BD04" w14:textId="6C0886A3" w:rsidR="00430B64" w:rsidRPr="00430B64" w:rsidRDefault="00430B64" w:rsidP="008E6429">
      <w:pPr>
        <w:spacing w:line="360" w:lineRule="auto"/>
        <w:ind w:left="1134" w:right="1134"/>
      </w:pPr>
      <w:proofErr w:type="gramStart"/>
      <w:r w:rsidRPr="00430B64">
        <w:t>a number of</w:t>
      </w:r>
      <w:proofErr w:type="gramEnd"/>
      <w:r w:rsidRPr="00430B64">
        <w:t xml:space="preserve"> our informants cited instances when communities of women banded together, refusing (as a group) to go to the Mikvah until an injustice done by one of the men in the community against a woman peer was rectified</w:t>
      </w:r>
      <w:r w:rsidR="008559E0">
        <w:t>.</w:t>
      </w:r>
      <w:r w:rsidRPr="00430B64">
        <w:rPr>
          <w:vertAlign w:val="superscript"/>
        </w:rPr>
        <w:footnoteReference w:id="50"/>
      </w:r>
    </w:p>
    <w:p w14:paraId="2E77274F" w14:textId="5D3556FC" w:rsidR="00430B64" w:rsidRPr="00430B64" w:rsidRDefault="00430B64" w:rsidP="008E6429">
      <w:pPr>
        <w:spacing w:line="360" w:lineRule="auto"/>
      </w:pPr>
      <w:r w:rsidRPr="00430B64">
        <w:t>There are further examples of women doing this in a Moroccan Jewish settlement in Israel, as women saw sexual relations as a bargaining chip that they could use to get the upper hand in things such as family decisions</w:t>
      </w:r>
      <w:r w:rsidR="008559E0">
        <w:t>.</w:t>
      </w:r>
      <w:r w:rsidRPr="00430B64">
        <w:rPr>
          <w:vertAlign w:val="superscript"/>
        </w:rPr>
        <w:footnoteReference w:id="51"/>
      </w:r>
      <w:r w:rsidRPr="00430B64">
        <w:t xml:space="preserve"> These examples show the position of power that women hold in their communities, and that if they crave change, then they are able to do so by using what men want from them as a way to control and gain from them. </w:t>
      </w:r>
    </w:p>
    <w:p w14:paraId="2C2BC7E9" w14:textId="77777777" w:rsidR="00430B64" w:rsidRPr="00430B64" w:rsidRDefault="00430B64" w:rsidP="008E6429">
      <w:pPr>
        <w:pStyle w:val="Heading3"/>
        <w:spacing w:line="360" w:lineRule="auto"/>
      </w:pPr>
      <w:bookmarkStart w:id="87" w:name="_Toc40008554"/>
      <w:r w:rsidRPr="00430B64">
        <w:t>Practicing</w:t>
      </w:r>
      <w:bookmarkEnd w:id="87"/>
      <w:r w:rsidRPr="00430B64">
        <w:t xml:space="preserve"> </w:t>
      </w:r>
    </w:p>
    <w:p w14:paraId="26A0F0B1" w14:textId="798EB0B7" w:rsidR="00430B64" w:rsidRPr="00430B64" w:rsidRDefault="00430B64" w:rsidP="008E6429">
      <w:pPr>
        <w:spacing w:line="360" w:lineRule="auto"/>
        <w:ind w:firstLine="720"/>
      </w:pPr>
      <w:r w:rsidRPr="00430B64">
        <w:t xml:space="preserve">Participating in these rituals is important, as going to Mikvah is a “practice high in religious and symbolic significance for </w:t>
      </w:r>
      <w:r w:rsidR="003247A4">
        <w:t>Orthodox</w:t>
      </w:r>
      <w:r w:rsidRPr="00430B64">
        <w:t xml:space="preserve"> Jews</w:t>
      </w:r>
      <w:r w:rsidR="008559E0">
        <w:t>”.</w:t>
      </w:r>
      <w:r w:rsidRPr="00430B64">
        <w:rPr>
          <w:vertAlign w:val="superscript"/>
        </w:rPr>
        <w:footnoteReference w:id="52"/>
      </w:r>
      <w:r w:rsidRPr="00430B64">
        <w:t xml:space="preserve"> There are many reasons why a woman would attend a Mikvah. It has a ritual importance, as it allows women to become ritually clean again. It also has a psychological impact, as it reconnects a husband and wife, both emotionally and physically</w:t>
      </w:r>
      <w:r w:rsidR="008559E0">
        <w:t>.</w:t>
      </w:r>
      <w:r w:rsidRPr="00430B64">
        <w:rPr>
          <w:vertAlign w:val="superscript"/>
        </w:rPr>
        <w:footnoteReference w:id="53"/>
      </w:r>
      <w:r w:rsidRPr="00430B64">
        <w:t xml:space="preserve"> Some women enjoy going as it is a time that they </w:t>
      </w:r>
      <w:r w:rsidR="00A874B9">
        <w:t xml:space="preserve">can </w:t>
      </w:r>
      <w:r w:rsidRPr="00430B64">
        <w:t>focus on themselves and enjoy the spa-like surroundings</w:t>
      </w:r>
      <w:r w:rsidR="008559E0">
        <w:t>.</w:t>
      </w:r>
      <w:r w:rsidRPr="00430B64">
        <w:rPr>
          <w:vertAlign w:val="superscript"/>
        </w:rPr>
        <w:footnoteReference w:id="54"/>
      </w:r>
      <w:r w:rsidRPr="00430B64">
        <w:t xml:space="preserve"> Regardless of the reasons why women go, it is a place in which women can be celebrated for being women. It is also something in their religion that does not shame them for being a woman, which is what many aspects of religious life inadvertently does.</w:t>
      </w:r>
    </w:p>
    <w:p w14:paraId="073E6EE0" w14:textId="26084D38" w:rsidR="00430B64" w:rsidRPr="00430B64" w:rsidRDefault="00430B64" w:rsidP="00B34534">
      <w:pPr>
        <w:spacing w:line="360" w:lineRule="auto"/>
        <w:ind w:firstLine="720"/>
      </w:pPr>
      <w:r w:rsidRPr="00430B64">
        <w:t>There is a difficulty surrounding when one must go to the Mikvah. For example, one of the women made the comment that she was still getting used to it as she had only been married for a few months, and women only begin going once they are married</w:t>
      </w:r>
      <w:r w:rsidR="008559E0">
        <w:t>.</w:t>
      </w:r>
      <w:r w:rsidRPr="00430B64">
        <w:rPr>
          <w:vertAlign w:val="superscript"/>
        </w:rPr>
        <w:footnoteReference w:id="55"/>
      </w:r>
      <w:r w:rsidRPr="00430B64">
        <w:t xml:space="preserve"> To comply </w:t>
      </w:r>
      <w:r w:rsidR="003B2CC9">
        <w:t xml:space="preserve">with </w:t>
      </w:r>
      <w:r w:rsidRPr="00430B64">
        <w:t>the Niddah laws, a woman must have no bleeding for seven days after her period has finished, after this she must then attend the Mikvah. Women test this by “swabbing themselves with a linen cloth”</w:t>
      </w:r>
      <w:r w:rsidR="00466941">
        <w:t>,</w:t>
      </w:r>
      <w:r w:rsidRPr="00430B64">
        <w:rPr>
          <w:vertAlign w:val="superscript"/>
        </w:rPr>
        <w:footnoteReference w:id="56"/>
      </w:r>
      <w:r w:rsidRPr="00430B64">
        <w:t xml:space="preserve"> which as can be imagined, is not very pleasant. Furthermore, “the first examination of the seven days requires the cloth to be left in for about an hour, even if the woman is out of the house, and it is usually quite painful</w:t>
      </w:r>
      <w:r w:rsidRPr="00B34534">
        <w:t>”</w:t>
      </w:r>
      <w:r w:rsidR="008559E0" w:rsidRPr="00B34534">
        <w:t>.</w:t>
      </w:r>
      <w:r w:rsidRPr="00B34534">
        <w:rPr>
          <w:vertAlign w:val="superscript"/>
        </w:rPr>
        <w:footnoteReference w:id="57"/>
      </w:r>
      <w:r w:rsidRPr="00B34534">
        <w:t xml:space="preserve"> Not every </w:t>
      </w:r>
      <w:r w:rsidRPr="00430B64">
        <w:t xml:space="preserve">woman is comfortable with doing this. </w:t>
      </w:r>
    </w:p>
    <w:p w14:paraId="0130402D" w14:textId="7A1F202B" w:rsidR="00430B64" w:rsidRPr="00430B64" w:rsidRDefault="00430B64" w:rsidP="00B34534">
      <w:pPr>
        <w:spacing w:line="360" w:lineRule="auto"/>
        <w:ind w:firstLine="720"/>
      </w:pPr>
      <w:r w:rsidRPr="00430B64">
        <w:t xml:space="preserve">This requirement of the Niddah is not easy for women, which </w:t>
      </w:r>
      <w:proofErr w:type="gramStart"/>
      <w:r w:rsidRPr="00430B64">
        <w:t>is a reflection of</w:t>
      </w:r>
      <w:proofErr w:type="gramEnd"/>
      <w:r w:rsidRPr="00430B64">
        <w:t xml:space="preserve"> the fact that it was developed by men. It could be argued that today, there could be a more modern way of carrying out these checks, as the </w:t>
      </w:r>
      <w:r w:rsidR="003B2CC9">
        <w:t>practise</w:t>
      </w:r>
      <w:r w:rsidRPr="00430B64">
        <w:t xml:space="preserve"> of inserting an uncomfortable piece of cloth for a week seems to come across a little old fashioned. Some </w:t>
      </w:r>
      <w:r w:rsidR="003247A4">
        <w:t>Orthodox</w:t>
      </w:r>
      <w:r w:rsidRPr="00430B64">
        <w:t xml:space="preserve"> Jewish women agree with this, with one describing having to do the checks as “feeling that it is the long hands of the rabbis of hundreds of years literally entering my body to check me</w:t>
      </w:r>
      <w:r w:rsidR="008559E0">
        <w:t>”.</w:t>
      </w:r>
      <w:r w:rsidRPr="00430B64">
        <w:rPr>
          <w:vertAlign w:val="superscript"/>
        </w:rPr>
        <w:footnoteReference w:id="58"/>
      </w:r>
      <w:r w:rsidRPr="00430B64">
        <w:t xml:space="preserve"> This illustrates that the ways for checking for blood are outdated in a lot of ways and should be re-evaluated. If a woman chooses to live her life in the </w:t>
      </w:r>
      <w:r w:rsidR="003247A4">
        <w:t>Orthodox</w:t>
      </w:r>
      <w:r w:rsidRPr="00430B64">
        <w:t xml:space="preserve"> way, she should be able to do it in such a way that does not make her feel uncomfortable. Furthermore, when a woman sees blood during her ‘clean days’ or when she is not menstruating, she must show it to her husband and her rabbi to ensure that the blood is clean. Some women would deem the fact that a woman has to show her menstrual blood to anyone, let alone the man that she is married to or one that is a figure of authority, as being very dehumanising.</w:t>
      </w:r>
      <w:r w:rsidRPr="00430B64">
        <w:rPr>
          <w:vertAlign w:val="superscript"/>
        </w:rPr>
        <w:footnoteReference w:id="59"/>
      </w:r>
    </w:p>
    <w:p w14:paraId="331AA5B0" w14:textId="77777777" w:rsidR="00430B64" w:rsidRPr="00430B64" w:rsidRDefault="00430B64" w:rsidP="008E6429">
      <w:pPr>
        <w:pStyle w:val="Heading2"/>
        <w:spacing w:line="360" w:lineRule="auto"/>
      </w:pPr>
      <w:bookmarkStart w:id="89" w:name="_Toc40008555"/>
      <w:r w:rsidRPr="00430B64">
        <w:t>Sexual Objectification</w:t>
      </w:r>
      <w:bookmarkEnd w:id="89"/>
    </w:p>
    <w:p w14:paraId="7879BB50" w14:textId="0F85EF40" w:rsidR="00466941" w:rsidRDefault="00430B64" w:rsidP="008E6429">
      <w:pPr>
        <w:spacing w:line="360" w:lineRule="auto"/>
        <w:ind w:firstLine="720"/>
      </w:pPr>
      <w:r w:rsidRPr="00430B64">
        <w:t xml:space="preserve">Finally, one must also think about the implications that it must have on some women when they grow up, to be told that they are an object of sexuality from a young age. In </w:t>
      </w:r>
      <w:bookmarkStart w:id="90" w:name="_Hlk39666044"/>
      <w:r w:rsidRPr="00430B64">
        <w:t xml:space="preserve">Katia Aryeh’s </w:t>
      </w:r>
      <w:bookmarkEnd w:id="90"/>
      <w:r w:rsidRPr="00430B64">
        <w:t xml:space="preserve">reflection on her experience as an </w:t>
      </w:r>
      <w:r w:rsidR="003247A4">
        <w:t>Orthodox</w:t>
      </w:r>
      <w:r w:rsidRPr="00430B64">
        <w:t xml:space="preserve"> Jew, she expresses how girls are told that the Rabbis are </w:t>
      </w:r>
      <w:proofErr w:type="gramStart"/>
      <w:r w:rsidRPr="00430B64">
        <w:t>similar to</w:t>
      </w:r>
      <w:proofErr w:type="gramEnd"/>
      <w:r w:rsidRPr="00430B64">
        <w:t xml:space="preserve"> a gynaecologist. They are also told that if they feel uncomfortable with the process, then they are the ones who are making it uncomfortable as they do not understand the motivation behind the Rabbi</w:t>
      </w:r>
      <w:r w:rsidR="00466941">
        <w:t>.</w:t>
      </w:r>
      <w:r w:rsidRPr="00430B64">
        <w:rPr>
          <w:vertAlign w:val="superscript"/>
        </w:rPr>
        <w:footnoteReference w:id="60"/>
      </w:r>
      <w:r w:rsidRPr="00430B64">
        <w:t xml:space="preserve"> Furthermore, engaged couples are told to refrain from taking part in a lot of sexual activity, as the man will grow tired of the women, and Aryeh compares this to growing tired of chocolate cake when you have it too often</w:t>
      </w:r>
      <w:r w:rsidR="00466941">
        <w:t>.</w:t>
      </w:r>
      <w:r w:rsidRPr="00430B64">
        <w:rPr>
          <w:vertAlign w:val="superscript"/>
        </w:rPr>
        <w:footnoteReference w:id="61"/>
      </w:r>
      <w:r w:rsidRPr="00430B64">
        <w:t xml:space="preserve"> As a solution to this issue, girls are made to </w:t>
      </w:r>
      <w:r w:rsidR="003B2CC9">
        <w:t>believe</w:t>
      </w:r>
      <w:r w:rsidRPr="00430B64">
        <w:t xml:space="preserve"> that</w:t>
      </w:r>
    </w:p>
    <w:p w14:paraId="2247F674" w14:textId="6CEA6A1E" w:rsidR="00466941" w:rsidRDefault="00430B64" w:rsidP="003B2CC9">
      <w:pPr>
        <w:spacing w:line="360" w:lineRule="auto"/>
        <w:ind w:left="680" w:right="680"/>
      </w:pPr>
      <w:r w:rsidRPr="00430B64">
        <w:t>without a forced physical separation, their husbands will only see them as sexual toys and will have no incentive to talk to them and connect on a deeper emotional and intellectual level</w:t>
      </w:r>
      <w:r w:rsidRPr="00430B64">
        <w:rPr>
          <w:vertAlign w:val="superscript"/>
        </w:rPr>
        <w:footnoteReference w:id="62"/>
      </w:r>
      <w:r w:rsidRPr="00430B64">
        <w:t xml:space="preserve"> </w:t>
      </w:r>
    </w:p>
    <w:p w14:paraId="5C2B60C2" w14:textId="3164604F" w:rsidR="00B34534" w:rsidRDefault="00B34534" w:rsidP="00B34534">
      <w:pPr>
        <w:spacing w:line="360" w:lineRule="auto"/>
      </w:pPr>
      <w:r>
        <w:t>which could be detrimental for their mental health.</w:t>
      </w:r>
    </w:p>
    <w:p w14:paraId="20531247" w14:textId="64A6CA8C" w:rsidR="00430B64" w:rsidRPr="00430B64" w:rsidRDefault="00B34534" w:rsidP="00B34534">
      <w:pPr>
        <w:spacing w:line="360" w:lineRule="auto"/>
        <w:ind w:firstLine="680"/>
      </w:pPr>
      <w:r>
        <w:t>Even though there are many examples of women being made to feel this way,</w:t>
      </w:r>
      <w:r w:rsidR="00430B64" w:rsidRPr="00430B64">
        <w:t xml:space="preserve"> not all women</w:t>
      </w:r>
      <w:r>
        <w:t xml:space="preserve"> have this experience</w:t>
      </w:r>
      <w:r w:rsidR="00430B64" w:rsidRPr="00430B64">
        <w:t xml:space="preserve">, as is evident in the interviews referred to previously. However, it is wrong that any girl is made to feel like a sexual object that is then shamed for participating in sexual acts too often. The fact that there are </w:t>
      </w:r>
      <w:r w:rsidR="003247A4">
        <w:t>Orthodox</w:t>
      </w:r>
      <w:r w:rsidR="00430B64" w:rsidRPr="00430B64">
        <w:t xml:space="preserve"> women who do feel that these laws suite them, shows that they can be used in a positive way. However, it seems that many women take issue with some aspect of the separation rule, and therefore it is imposing on these women’s lives.</w:t>
      </w:r>
    </w:p>
    <w:p w14:paraId="10F70806" w14:textId="1615479F" w:rsidR="00430B64" w:rsidRPr="00430B64" w:rsidRDefault="00430B64" w:rsidP="008E6429">
      <w:pPr>
        <w:pStyle w:val="Heading2"/>
        <w:spacing w:line="360" w:lineRule="auto"/>
      </w:pPr>
      <w:bookmarkStart w:id="91" w:name="_Toc40008556"/>
      <w:r w:rsidRPr="00430B64">
        <w:t>Conclusion</w:t>
      </w:r>
      <w:bookmarkEnd w:id="91"/>
      <w:r w:rsidRPr="00430B64">
        <w:t xml:space="preserve"> </w:t>
      </w:r>
    </w:p>
    <w:p w14:paraId="6FFB9565" w14:textId="212584E1" w:rsidR="00430B64" w:rsidRPr="00B34534" w:rsidRDefault="00430B64" w:rsidP="008E6429">
      <w:pPr>
        <w:spacing w:line="360" w:lineRule="auto"/>
        <w:ind w:firstLine="720"/>
      </w:pPr>
      <w:r w:rsidRPr="00B34534">
        <w:t>To conclude, there is empowerment to be found in the laws, though there are aspects of the Niddah laws that need to be altered. Women being able to control their sexuality through the Mikvah is</w:t>
      </w:r>
      <w:r w:rsidR="00466941" w:rsidRPr="00B34534">
        <w:t xml:space="preserve"> progressive</w:t>
      </w:r>
      <w:r w:rsidRPr="00B34534">
        <w:t xml:space="preserve">, as even outside of religion in our society women’s sexuality is constantly being manipulated and abused. However, the negative aspects of the laws shine through too. The separation that couples must follow is difficult, and the negative views of it outweigh the positive. Although the connection that the couples feel after the separation may be good for strengthening their relationship, it seems as though to allow them to be able to touch through hard times such as a miscarriage would be more empowering than keeping them a part.  The evidence in the various interviews seen throughout this section display this fully. </w:t>
      </w:r>
    </w:p>
    <w:p w14:paraId="219F49A1" w14:textId="21717C6A" w:rsidR="00430B64" w:rsidRPr="00B34534" w:rsidRDefault="00430B64" w:rsidP="0039500A">
      <w:pPr>
        <w:spacing w:line="360" w:lineRule="auto"/>
        <w:ind w:firstLine="720"/>
      </w:pPr>
      <w:r w:rsidRPr="00B34534">
        <w:t xml:space="preserve">Furthermore, the conclusion can be made that the most empowering part of the laws the is the Mikvah. The descriptions of it as a relaxing and spiritual place allows the women to reconnect with their religion and with themselves. Jewish women miss out on a lot of the connections that Jewish men have with their religion, and the fact that women </w:t>
      </w:r>
      <w:r w:rsidR="00A874B9" w:rsidRPr="00B34534">
        <w:t>can</w:t>
      </w:r>
      <w:r w:rsidRPr="00B34534">
        <w:t xml:space="preserve"> find this through the practice of the Mikvah is remarkable. However, the process in finding out if and when you should attend the Mikvah is unnecessarily difficult and uncomfortable for women. Inserting a cloth to check ones blood is a method that could easily be altered into something that it more comfortable for women, and the fact that it has not yet shows the lack of control that women have in their religion. Finally, the act of showing menstrual blood to a Rabbi or husband is astonishing, as many women themselves do not feel comfortable to examine their own </w:t>
      </w:r>
      <w:r w:rsidR="003B2CC9" w:rsidRPr="00B34534">
        <w:t xml:space="preserve">blood </w:t>
      </w:r>
      <w:r w:rsidRPr="00B34534">
        <w:t xml:space="preserve">let alone show it to someone else. Women should be trusted to know their own bodies and to know if there is an issue, and not have to show it to a man that does not menstruate himself. </w:t>
      </w:r>
    </w:p>
    <w:p w14:paraId="4057CB98" w14:textId="7CE82F9F" w:rsidR="00430B64" w:rsidRPr="00B34534" w:rsidRDefault="00430B64" w:rsidP="0039500A">
      <w:pPr>
        <w:spacing w:line="360" w:lineRule="auto"/>
        <w:ind w:firstLine="720"/>
      </w:pPr>
      <w:r w:rsidRPr="00B34534">
        <w:t xml:space="preserve">The view that the </w:t>
      </w:r>
      <w:r w:rsidR="003247A4" w:rsidRPr="00B34534">
        <w:t>Orthodox</w:t>
      </w:r>
      <w:r w:rsidRPr="00B34534">
        <w:t xml:space="preserve"> community has on abortion is a progressive one. The fact that there are religious texts that support the fact that a woman should be able to get an abortion if her life is at risk shows that Judaism does not dismiss women. However, the view of contraception is disappointing to see, as although they put a woman health above the foetus in the context of abortion, women have to ask for permission for the use of contraception along with many other aspects that make it difficult for this to happen. Regardless of any other aspects of the purity laws that empower women, contraception should be permitted for any woman to use, as this lets her keep control over her own body, which everyone should be allowed to have. </w:t>
      </w:r>
    </w:p>
    <w:p w14:paraId="032A6827" w14:textId="77777777" w:rsidR="00430B64" w:rsidRPr="00B34534" w:rsidRDefault="00430B64" w:rsidP="008E6429">
      <w:pPr>
        <w:spacing w:line="360" w:lineRule="auto"/>
      </w:pPr>
    </w:p>
    <w:p w14:paraId="0CEA6328" w14:textId="77777777" w:rsidR="00430B64" w:rsidRPr="00B34534" w:rsidRDefault="00430B64" w:rsidP="008E6429">
      <w:pPr>
        <w:spacing w:line="360" w:lineRule="auto"/>
      </w:pPr>
    </w:p>
    <w:p w14:paraId="00F6B09B" w14:textId="77777777" w:rsidR="00E86A24" w:rsidRPr="00B34534" w:rsidRDefault="00E86A24" w:rsidP="008E6429">
      <w:pPr>
        <w:spacing w:line="360" w:lineRule="auto"/>
      </w:pPr>
    </w:p>
    <w:p w14:paraId="7C234F6A" w14:textId="7A1BB746" w:rsidR="00E86A24" w:rsidRPr="00B34534" w:rsidRDefault="00E86A24" w:rsidP="008E6429">
      <w:pPr>
        <w:spacing w:line="360" w:lineRule="auto"/>
      </w:pPr>
    </w:p>
    <w:p w14:paraId="1452E95A" w14:textId="4BCECAFB" w:rsidR="00E86A24" w:rsidRPr="00B34534" w:rsidRDefault="00E86A24" w:rsidP="008E6429">
      <w:pPr>
        <w:spacing w:line="360" w:lineRule="auto"/>
      </w:pPr>
    </w:p>
    <w:p w14:paraId="574DDC3E" w14:textId="6107274A" w:rsidR="00E86A24" w:rsidRPr="00B34534" w:rsidRDefault="00E86A24" w:rsidP="008E6429">
      <w:pPr>
        <w:spacing w:line="360" w:lineRule="auto"/>
      </w:pPr>
    </w:p>
    <w:p w14:paraId="6A7B29E2" w14:textId="1202A170" w:rsidR="00E86A24" w:rsidRPr="00B34534" w:rsidRDefault="00E86A24" w:rsidP="008E6429">
      <w:pPr>
        <w:spacing w:line="360" w:lineRule="auto"/>
      </w:pPr>
    </w:p>
    <w:p w14:paraId="4DA81081" w14:textId="77777777" w:rsidR="00466941" w:rsidRPr="00E114A5" w:rsidRDefault="00466941" w:rsidP="008E6429">
      <w:pPr>
        <w:spacing w:line="360" w:lineRule="auto"/>
      </w:pPr>
      <w:bookmarkStart w:id="92" w:name="_Toc39585291"/>
      <w:bookmarkStart w:id="93" w:name="_Toc39585678"/>
      <w:bookmarkStart w:id="94" w:name="_Toc39585879"/>
    </w:p>
    <w:p w14:paraId="724F2414" w14:textId="4AAC8CAD" w:rsidR="004A44A9" w:rsidRDefault="00336FE2" w:rsidP="008E6429">
      <w:pPr>
        <w:pStyle w:val="Heading1"/>
        <w:spacing w:line="360" w:lineRule="auto"/>
      </w:pPr>
      <w:bookmarkStart w:id="95" w:name="_Toc40008557"/>
      <w:r w:rsidRPr="00E114A5">
        <w:t>Empowering or Imposing?</w:t>
      </w:r>
      <w:bookmarkEnd w:id="92"/>
      <w:bookmarkEnd w:id="93"/>
      <w:bookmarkEnd w:id="94"/>
      <w:bookmarkEnd w:id="95"/>
    </w:p>
    <w:p w14:paraId="589D9D24" w14:textId="77777777" w:rsidR="0039500A" w:rsidRPr="0039500A" w:rsidRDefault="0039500A" w:rsidP="0039500A"/>
    <w:p w14:paraId="0F742775" w14:textId="0999DE78" w:rsidR="00165B03" w:rsidRPr="00E114A5" w:rsidRDefault="00165B03" w:rsidP="008E6429">
      <w:pPr>
        <w:spacing w:line="360" w:lineRule="auto"/>
        <w:ind w:firstLine="720"/>
        <w:rPr>
          <w:szCs w:val="24"/>
        </w:rPr>
      </w:pPr>
      <w:bookmarkStart w:id="96" w:name="_Hlk39235529"/>
      <w:r w:rsidRPr="00E114A5">
        <w:rPr>
          <w:szCs w:val="24"/>
        </w:rPr>
        <w:t xml:space="preserve">Throughout this dissertation, the role of women in Judaism has been discussed, however, the question of whether the Niddah laws, or Judaism as a whole, is imposing or empowering still remains. In this final chapter, </w:t>
      </w:r>
      <w:r w:rsidR="003247A4">
        <w:rPr>
          <w:szCs w:val="24"/>
        </w:rPr>
        <w:t>Orthodox</w:t>
      </w:r>
      <w:r w:rsidRPr="00E114A5">
        <w:rPr>
          <w:szCs w:val="24"/>
        </w:rPr>
        <w:t xml:space="preserve"> and </w:t>
      </w:r>
      <w:r w:rsidR="003247A4">
        <w:rPr>
          <w:szCs w:val="24"/>
        </w:rPr>
        <w:t>Reform</w:t>
      </w:r>
      <w:r w:rsidRPr="00E114A5">
        <w:rPr>
          <w:szCs w:val="24"/>
        </w:rPr>
        <w:t xml:space="preserve"> Jewish women will be </w:t>
      </w:r>
      <w:r w:rsidR="003B2CC9">
        <w:rPr>
          <w:szCs w:val="24"/>
        </w:rPr>
        <w:t>examined</w:t>
      </w:r>
      <w:r w:rsidRPr="00E114A5">
        <w:rPr>
          <w:szCs w:val="24"/>
        </w:rPr>
        <w:t>, along with feminist from both denominations. Although not all Jewish women practice the Niddah laws, “the issue of menstruation captures the complex and intense contact between body, feminine identity, feminist discourse, Jewish law, and power in a unique way”</w:t>
      </w:r>
      <w:r w:rsidR="00FD5B00">
        <w:rPr>
          <w:szCs w:val="24"/>
        </w:rPr>
        <w:t>,</w:t>
      </w:r>
      <w:r w:rsidRPr="00E114A5">
        <w:rPr>
          <w:szCs w:val="24"/>
          <w:vertAlign w:val="superscript"/>
        </w:rPr>
        <w:footnoteReference w:id="63"/>
      </w:r>
      <w:r w:rsidRPr="00E114A5">
        <w:rPr>
          <w:szCs w:val="24"/>
        </w:rPr>
        <w:t xml:space="preserve"> which enables all Jewish women to be included in the discussion of the laws. The views of </w:t>
      </w:r>
      <w:r w:rsidR="003247A4">
        <w:rPr>
          <w:szCs w:val="24"/>
        </w:rPr>
        <w:t>Reform</w:t>
      </w:r>
      <w:r w:rsidRPr="00E114A5">
        <w:rPr>
          <w:szCs w:val="24"/>
        </w:rPr>
        <w:t xml:space="preserve"> Jewish women can be seen though the feminist </w:t>
      </w:r>
      <w:r w:rsidR="00A874B9" w:rsidRPr="00E114A5">
        <w:rPr>
          <w:szCs w:val="24"/>
        </w:rPr>
        <w:t>critiques</w:t>
      </w:r>
      <w:r w:rsidRPr="00E114A5">
        <w:rPr>
          <w:szCs w:val="24"/>
        </w:rPr>
        <w:t xml:space="preserve"> of the Niddah laws, as </w:t>
      </w:r>
      <w:r w:rsidR="003247A4">
        <w:rPr>
          <w:szCs w:val="24"/>
        </w:rPr>
        <w:t>Reform</w:t>
      </w:r>
      <w:r w:rsidRPr="00E114A5">
        <w:rPr>
          <w:szCs w:val="24"/>
        </w:rPr>
        <w:t xml:space="preserve"> Judaism commonly takes the most progressive stance on issues. This dissertation will discuss whether the Niddah laws are still seen as not only imposing, but also possibly as empowering. Some of these issues have been touched on in the previous sections, but they will be the main focus here, allowing a deeper understating to be reached. </w:t>
      </w:r>
    </w:p>
    <w:p w14:paraId="761A5CA3" w14:textId="56E16890" w:rsidR="00165B03" w:rsidRPr="00E114A5" w:rsidRDefault="00165B03" w:rsidP="0039500A">
      <w:pPr>
        <w:spacing w:line="360" w:lineRule="auto"/>
        <w:ind w:firstLine="720"/>
        <w:rPr>
          <w:szCs w:val="24"/>
        </w:rPr>
      </w:pPr>
      <w:r w:rsidRPr="00E114A5">
        <w:rPr>
          <w:szCs w:val="24"/>
        </w:rPr>
        <w:t>The Niddah laws can be seen to be very imposing from the outside as “menstruating women have been seen in rabbinic sources as dangerous, filthy, sinful, and profane”.</w:t>
      </w:r>
      <w:r w:rsidRPr="00E114A5">
        <w:rPr>
          <w:szCs w:val="24"/>
          <w:vertAlign w:val="superscript"/>
        </w:rPr>
        <w:footnoteReference w:id="64"/>
      </w:r>
      <w:r w:rsidRPr="00E114A5">
        <w:rPr>
          <w:szCs w:val="24"/>
        </w:rPr>
        <w:t xml:space="preserve"> There are also negative implications of practicing the laws, for example the seven days of separation can be seen to be harmful on an individual’s mental health. However, not all women view it this way. Many </w:t>
      </w:r>
      <w:r w:rsidR="00A874B9" w:rsidRPr="00E114A5">
        <w:rPr>
          <w:szCs w:val="24"/>
        </w:rPr>
        <w:t>feminists</w:t>
      </w:r>
      <w:r w:rsidRPr="00E114A5">
        <w:rPr>
          <w:szCs w:val="24"/>
        </w:rPr>
        <w:t xml:space="preserve"> have commented on the topic in recent years as the rise of the feminist movement has drawn more attention to it. Nevertheless, conflicting views seem to come from these </w:t>
      </w:r>
      <w:r w:rsidR="00A874B9" w:rsidRPr="00E114A5">
        <w:rPr>
          <w:szCs w:val="24"/>
        </w:rPr>
        <w:t>discussions,</w:t>
      </w:r>
      <w:r w:rsidRPr="00E114A5">
        <w:rPr>
          <w:szCs w:val="24"/>
        </w:rPr>
        <w:t xml:space="preserve"> and these will be explored</w:t>
      </w:r>
      <w:r w:rsidR="00BB463F">
        <w:rPr>
          <w:szCs w:val="24"/>
        </w:rPr>
        <w:t>.</w:t>
      </w:r>
    </w:p>
    <w:p w14:paraId="58E6A209" w14:textId="5D443144" w:rsidR="00165B03" w:rsidRPr="00E114A5" w:rsidRDefault="00165B03" w:rsidP="008E6429">
      <w:pPr>
        <w:pStyle w:val="Heading2"/>
        <w:spacing w:line="360" w:lineRule="auto"/>
      </w:pPr>
      <w:bookmarkStart w:id="98" w:name="_Toc40008558"/>
      <w:r w:rsidRPr="00E114A5">
        <w:t>Separation</w:t>
      </w:r>
      <w:bookmarkEnd w:id="98"/>
      <w:r w:rsidRPr="00E114A5">
        <w:t xml:space="preserve"> </w:t>
      </w:r>
    </w:p>
    <w:p w14:paraId="22E31A99" w14:textId="76E4A865" w:rsidR="00165B03" w:rsidRPr="00E114A5" w:rsidRDefault="00165B03" w:rsidP="008E6429">
      <w:pPr>
        <w:pStyle w:val="Heading3"/>
        <w:spacing w:line="360" w:lineRule="auto"/>
      </w:pPr>
      <w:bookmarkStart w:id="99" w:name="_Toc40008559"/>
      <w:r w:rsidRPr="00E114A5">
        <w:t xml:space="preserve">Separation: </w:t>
      </w:r>
      <w:r w:rsidR="00A01332">
        <w:t>T</w:t>
      </w:r>
      <w:r w:rsidRPr="00E114A5">
        <w:t xml:space="preserve">he </w:t>
      </w:r>
      <w:r w:rsidR="00A01332">
        <w:t>N</w:t>
      </w:r>
      <w:r w:rsidRPr="00E114A5">
        <w:t>egative</w:t>
      </w:r>
      <w:bookmarkEnd w:id="99"/>
    </w:p>
    <w:p w14:paraId="7D802590" w14:textId="554A1BB9" w:rsidR="00165B03" w:rsidRPr="00E114A5" w:rsidRDefault="00165B03" w:rsidP="008E6429">
      <w:pPr>
        <w:spacing w:line="360" w:lineRule="auto"/>
        <w:ind w:firstLine="720"/>
        <w:rPr>
          <w:szCs w:val="24"/>
        </w:rPr>
      </w:pPr>
      <w:r w:rsidRPr="00E114A5">
        <w:rPr>
          <w:szCs w:val="24"/>
        </w:rPr>
        <w:t xml:space="preserve">Separation is an aspect that Niddah practicing couples </w:t>
      </w:r>
      <w:r w:rsidR="00A874B9" w:rsidRPr="00E114A5">
        <w:rPr>
          <w:szCs w:val="24"/>
        </w:rPr>
        <w:t>must</w:t>
      </w:r>
      <w:r w:rsidRPr="00E114A5">
        <w:rPr>
          <w:szCs w:val="24"/>
        </w:rPr>
        <w:t xml:space="preserve"> comply with during </w:t>
      </w:r>
      <w:r w:rsidR="00E114A5" w:rsidRPr="00E114A5">
        <w:rPr>
          <w:szCs w:val="24"/>
        </w:rPr>
        <w:t>menstruation</w:t>
      </w:r>
      <w:r w:rsidRPr="00E114A5">
        <w:rPr>
          <w:szCs w:val="24"/>
        </w:rPr>
        <w:t>. As seen in the previous sections of this dissertation, many women are conflicted with the idea of separation during menstruation, with some arguing that not all “needs to be touched are (…) sexual: they’re human”.</w:t>
      </w:r>
      <w:r w:rsidRPr="00E114A5">
        <w:rPr>
          <w:szCs w:val="24"/>
          <w:vertAlign w:val="superscript"/>
        </w:rPr>
        <w:footnoteReference w:id="65"/>
      </w:r>
      <w:r w:rsidRPr="00E114A5">
        <w:rPr>
          <w:szCs w:val="24"/>
        </w:rPr>
        <w:t xml:space="preserve"> This sentiment is agreed with by T. Drorah Setel. She states that because “patriarchal boundary-making has always placed women in the role of "other," feminists are understandably reluctant to affirm separation as valuable in human life</w:t>
      </w:r>
      <w:r w:rsidR="00FD5B00">
        <w:rPr>
          <w:szCs w:val="24"/>
        </w:rPr>
        <w:t>”</w:t>
      </w:r>
      <w:r w:rsidRPr="00E114A5">
        <w:rPr>
          <w:szCs w:val="24"/>
        </w:rPr>
        <w:t>.</w:t>
      </w:r>
      <w:r w:rsidRPr="00E114A5">
        <w:rPr>
          <w:szCs w:val="24"/>
          <w:vertAlign w:val="superscript"/>
        </w:rPr>
        <w:footnoteReference w:id="66"/>
      </w:r>
      <w:r w:rsidRPr="00E114A5">
        <w:rPr>
          <w:szCs w:val="24"/>
        </w:rPr>
        <w:t xml:space="preserve"> In other words, the separation between a couple during bleeding cannot be deemed necessary due to the fact that it can be inhuman. These cases are more prevalent after a woman has miscarried or given birth as during this time a couple needs non-sexual touch to provide emotional support for </w:t>
      </w:r>
      <w:r w:rsidR="00A874B9" w:rsidRPr="00E114A5">
        <w:rPr>
          <w:szCs w:val="24"/>
        </w:rPr>
        <w:t>each other</w:t>
      </w:r>
      <w:r w:rsidRPr="00E114A5">
        <w:rPr>
          <w:szCs w:val="24"/>
        </w:rPr>
        <w:t>. This can lead to the Niddah laws having the opposite effect as intended by driving the couple further apart rather than bringing them together.</w:t>
      </w:r>
    </w:p>
    <w:p w14:paraId="382DF82E" w14:textId="2D9E6A61" w:rsidR="00165B03" w:rsidRPr="00E114A5" w:rsidRDefault="00165B03" w:rsidP="008E6429">
      <w:pPr>
        <w:pStyle w:val="Heading3"/>
        <w:spacing w:line="360" w:lineRule="auto"/>
      </w:pPr>
      <w:bookmarkStart w:id="100" w:name="_Toc40008560"/>
      <w:r w:rsidRPr="00E114A5">
        <w:t xml:space="preserve">Separation: </w:t>
      </w:r>
      <w:r w:rsidR="00A01332">
        <w:t>T</w:t>
      </w:r>
      <w:r w:rsidRPr="00E114A5">
        <w:t xml:space="preserve">he </w:t>
      </w:r>
      <w:r w:rsidR="00A01332">
        <w:t>P</w:t>
      </w:r>
      <w:r w:rsidRPr="00E114A5">
        <w:t>ositive</w:t>
      </w:r>
      <w:bookmarkEnd w:id="100"/>
      <w:r w:rsidRPr="00E114A5">
        <w:t xml:space="preserve"> </w:t>
      </w:r>
    </w:p>
    <w:p w14:paraId="5696C1B8" w14:textId="158ADCD8" w:rsidR="00165B03" w:rsidRPr="00E114A5" w:rsidRDefault="00165B03" w:rsidP="008E6429">
      <w:pPr>
        <w:spacing w:line="360" w:lineRule="auto"/>
        <w:ind w:firstLine="680"/>
        <w:rPr>
          <w:szCs w:val="24"/>
        </w:rPr>
      </w:pPr>
      <w:r w:rsidRPr="00E114A5">
        <w:rPr>
          <w:szCs w:val="24"/>
        </w:rPr>
        <w:t xml:space="preserve">However, as with most aspects of religion, there are women who embrace the separation. One </w:t>
      </w:r>
      <w:r w:rsidR="003247A4">
        <w:rPr>
          <w:szCs w:val="24"/>
        </w:rPr>
        <w:t>Orthodox</w:t>
      </w:r>
      <w:r w:rsidRPr="00E114A5">
        <w:rPr>
          <w:szCs w:val="24"/>
        </w:rPr>
        <w:t xml:space="preserve"> woman stated that </w:t>
      </w:r>
    </w:p>
    <w:p w14:paraId="709294D8" w14:textId="77777777" w:rsidR="00165B03" w:rsidRPr="00E114A5" w:rsidRDefault="00165B03" w:rsidP="008E6429">
      <w:pPr>
        <w:spacing w:line="360" w:lineRule="auto"/>
        <w:ind w:left="680" w:right="680"/>
        <w:rPr>
          <w:szCs w:val="24"/>
        </w:rPr>
      </w:pPr>
      <w:r w:rsidRPr="00E114A5">
        <w:rPr>
          <w:szCs w:val="24"/>
        </w:rPr>
        <w:t>“I find that the niddah has a strong element of re-joining the husband and wife. The distancing [that the laws of niddah enforce on the couple] creates closeness. This is something very positive. It depends a lot on how you look at every single Jewish Law. I believe that if you look for the deep meaning, then Jewish law strengthens the status of women</w:t>
      </w:r>
      <w:r w:rsidRPr="00E114A5">
        <w:rPr>
          <w:szCs w:val="24"/>
          <w:vertAlign w:val="superscript"/>
        </w:rPr>
        <w:footnoteReference w:id="67"/>
      </w:r>
      <w:r w:rsidRPr="00E114A5">
        <w:rPr>
          <w:szCs w:val="24"/>
        </w:rPr>
        <w:t>”</w:t>
      </w:r>
    </w:p>
    <w:p w14:paraId="5B1CC1CC" w14:textId="77777777" w:rsidR="0039500A" w:rsidRDefault="00165B03" w:rsidP="0039500A">
      <w:pPr>
        <w:spacing w:line="360" w:lineRule="auto"/>
        <w:rPr>
          <w:szCs w:val="24"/>
        </w:rPr>
      </w:pPr>
      <w:r w:rsidRPr="00E114A5">
        <w:rPr>
          <w:szCs w:val="24"/>
        </w:rPr>
        <w:t xml:space="preserve">The </w:t>
      </w:r>
      <w:r w:rsidR="003247A4">
        <w:rPr>
          <w:szCs w:val="24"/>
        </w:rPr>
        <w:t>Orthodox</w:t>
      </w:r>
      <w:r w:rsidRPr="00E114A5">
        <w:rPr>
          <w:szCs w:val="24"/>
        </w:rPr>
        <w:t xml:space="preserve"> woman giving this statement suggests that there is a deeper meaning through practicing the Niddah laws which allow women to be empowered. This can be said for many aspects of Judaism, however, the fact that there are some practices that are reserved for couples and specifically for women can be empowering. Through the separation, a couple is able to work on themselves as an individual</w:t>
      </w:r>
      <w:r w:rsidR="00A874B9">
        <w:rPr>
          <w:szCs w:val="24"/>
        </w:rPr>
        <w:t>’</w:t>
      </w:r>
      <w:r w:rsidRPr="00E114A5">
        <w:rPr>
          <w:szCs w:val="24"/>
        </w:rPr>
        <w:t>s, separate from the relationship and come together stronger. Haviva Ner-David states that “the side of me that sets boundaries is stronger”</w:t>
      </w:r>
      <w:r w:rsidR="00FD5B00">
        <w:rPr>
          <w:szCs w:val="24"/>
        </w:rPr>
        <w:t>,</w:t>
      </w:r>
      <w:r w:rsidRPr="00E114A5">
        <w:rPr>
          <w:szCs w:val="24"/>
          <w:vertAlign w:val="superscript"/>
        </w:rPr>
        <w:footnoteReference w:id="68"/>
      </w:r>
      <w:r w:rsidRPr="00E114A5">
        <w:rPr>
          <w:szCs w:val="24"/>
        </w:rPr>
        <w:t xml:space="preserve"> whilst she is menstruating and practicing Niddah. This, indications that the restrictions already in place can encourage women to be able to set their own boundaries within their relationship as there are already some in place to support her in doing so. </w:t>
      </w:r>
      <w:bookmarkStart w:id="103" w:name="_Toc40008561"/>
    </w:p>
    <w:p w14:paraId="2C66F4DD" w14:textId="1F9BD2AE" w:rsidR="0039500A" w:rsidRDefault="00165B03" w:rsidP="0039500A">
      <w:pPr>
        <w:pStyle w:val="Heading3"/>
      </w:pPr>
      <w:r w:rsidRPr="00E114A5">
        <w:t xml:space="preserve">A </w:t>
      </w:r>
      <w:r w:rsidR="00A01332">
        <w:t>F</w:t>
      </w:r>
      <w:r w:rsidRPr="00E114A5">
        <w:t>eminist Perspective</w:t>
      </w:r>
      <w:bookmarkEnd w:id="103"/>
      <w:r w:rsidRPr="00E114A5">
        <w:t xml:space="preserve"> </w:t>
      </w:r>
    </w:p>
    <w:p w14:paraId="37EE212C" w14:textId="77777777" w:rsidR="0039500A" w:rsidRPr="0039500A" w:rsidRDefault="0039500A" w:rsidP="0039500A"/>
    <w:p w14:paraId="1F45321A" w14:textId="31C6A2F9" w:rsidR="00165B03" w:rsidRPr="00E114A5" w:rsidRDefault="00165B03" w:rsidP="0039500A">
      <w:pPr>
        <w:spacing w:line="360" w:lineRule="auto"/>
        <w:ind w:firstLine="720"/>
        <w:rPr>
          <w:szCs w:val="24"/>
        </w:rPr>
      </w:pPr>
      <w:r w:rsidRPr="00E114A5">
        <w:rPr>
          <w:szCs w:val="24"/>
        </w:rPr>
        <w:t>Rachel Adler, a prominent Jewish feminist, supported the idea that “both menstrual separation and the return to sexual activity were holy phases of a woman’s lif</w:t>
      </w:r>
      <w:r w:rsidR="00BB463F">
        <w:rPr>
          <w:szCs w:val="24"/>
        </w:rPr>
        <w:t>e</w:t>
      </w:r>
      <w:r w:rsidR="00FD5B00">
        <w:rPr>
          <w:szCs w:val="24"/>
        </w:rPr>
        <w:t>”.</w:t>
      </w:r>
      <w:r w:rsidRPr="00E114A5">
        <w:rPr>
          <w:szCs w:val="24"/>
          <w:vertAlign w:val="superscript"/>
        </w:rPr>
        <w:footnoteReference w:id="69"/>
      </w:r>
      <w:r w:rsidRPr="00E114A5">
        <w:rPr>
          <w:szCs w:val="24"/>
        </w:rPr>
        <w:t xml:space="preserve"> However, she retracted her theories, as she came to the conclusion, that it was in fact just women who were associated with impurity and therefore death.</w:t>
      </w:r>
      <w:r w:rsidRPr="00E114A5">
        <w:rPr>
          <w:szCs w:val="24"/>
          <w:vertAlign w:val="superscript"/>
        </w:rPr>
        <w:footnoteReference w:id="70"/>
      </w:r>
      <w:r w:rsidRPr="00E114A5">
        <w:rPr>
          <w:szCs w:val="24"/>
        </w:rPr>
        <w:t xml:space="preserve"> She therefore “feared that her theology had provided an apologia for misogynistic practices and wished to replace it with a theology in which purity and bodily reality can co-exist</w:t>
      </w:r>
      <w:r w:rsidR="00FD5B00">
        <w:rPr>
          <w:szCs w:val="24"/>
        </w:rPr>
        <w:t>”</w:t>
      </w:r>
      <w:r w:rsidRPr="00E114A5">
        <w:rPr>
          <w:szCs w:val="24"/>
        </w:rPr>
        <w:t>.</w:t>
      </w:r>
      <w:r w:rsidRPr="00E114A5">
        <w:rPr>
          <w:szCs w:val="24"/>
          <w:vertAlign w:val="superscript"/>
        </w:rPr>
        <w:footnoteReference w:id="71"/>
      </w:r>
      <w:r w:rsidRPr="00E114A5">
        <w:rPr>
          <w:szCs w:val="24"/>
        </w:rPr>
        <w:t xml:space="preserve"> This example shows the development of feminist thought and how the Niddah laws may have been considered positive and empowering but can be understood as something that women find empowerment through by making it their own and not seeing purity or impurity. This is not to say that women who do find the Niddah laws empowering are wrong to do so but over time, they may find empowerment through the development of themselves and their religion.</w:t>
      </w:r>
    </w:p>
    <w:p w14:paraId="3C9FE371" w14:textId="360E9763" w:rsidR="00165B03" w:rsidRPr="00E114A5" w:rsidRDefault="00165B03" w:rsidP="008E6429">
      <w:pPr>
        <w:pStyle w:val="Heading2"/>
        <w:spacing w:line="360" w:lineRule="auto"/>
      </w:pPr>
      <w:bookmarkStart w:id="104" w:name="_Toc40008562"/>
      <w:r w:rsidRPr="00E114A5">
        <w:t xml:space="preserve">Spiritual </w:t>
      </w:r>
      <w:r w:rsidR="00A01332">
        <w:t>L</w:t>
      </w:r>
      <w:r w:rsidRPr="00E114A5">
        <w:t>imitations</w:t>
      </w:r>
      <w:bookmarkEnd w:id="104"/>
    </w:p>
    <w:p w14:paraId="5CE53147" w14:textId="5F5AC9D2" w:rsidR="00165B03" w:rsidRPr="00E114A5" w:rsidRDefault="00165B03" w:rsidP="0039500A">
      <w:pPr>
        <w:spacing w:line="360" w:lineRule="auto"/>
        <w:ind w:firstLine="720"/>
        <w:rPr>
          <w:szCs w:val="24"/>
        </w:rPr>
      </w:pPr>
      <w:r w:rsidRPr="00E114A5">
        <w:rPr>
          <w:szCs w:val="24"/>
        </w:rPr>
        <w:t>Limitations on women to express their bodies through their religion could be because “women whose religious lives are constructed within the context of a male-oriented culture that neither celebrates nor sacralises women’s bodies and concerns may lack the language (both verbal and ritual) to express that feeling”</w:t>
      </w:r>
      <w:r w:rsidR="00FD5B00">
        <w:rPr>
          <w:szCs w:val="24"/>
        </w:rPr>
        <w:t>.</w:t>
      </w:r>
      <w:r w:rsidRPr="00E114A5">
        <w:rPr>
          <w:szCs w:val="24"/>
          <w:vertAlign w:val="superscript"/>
        </w:rPr>
        <w:footnoteReference w:id="72"/>
      </w:r>
      <w:r w:rsidRPr="00E114A5">
        <w:rPr>
          <w:szCs w:val="24"/>
        </w:rPr>
        <w:t xml:space="preserve"> This then results in Jewish women feeling as though the Niddah laws are imposing on their lives. Some women have found empowerment in spiritual activities outside traditional Judaism. A good example of this is Jewish Yoga. This activity is reserved for Jewish women and allows them to connect with their body in a way that they have not been able to do through traditional religious means</w:t>
      </w:r>
      <w:r w:rsidR="00FD5B00">
        <w:rPr>
          <w:szCs w:val="24"/>
        </w:rPr>
        <w:t>.</w:t>
      </w:r>
      <w:r w:rsidRPr="00E114A5">
        <w:rPr>
          <w:szCs w:val="24"/>
          <w:vertAlign w:val="superscript"/>
        </w:rPr>
        <w:footnoteReference w:id="73"/>
      </w:r>
      <w:r w:rsidRPr="00E114A5">
        <w:rPr>
          <w:szCs w:val="24"/>
        </w:rPr>
        <w:t xml:space="preserve"> </w:t>
      </w:r>
    </w:p>
    <w:p w14:paraId="5FA058B8" w14:textId="25AFA8FB" w:rsidR="00165B03" w:rsidRPr="00E114A5" w:rsidRDefault="00165B03" w:rsidP="0039500A">
      <w:pPr>
        <w:spacing w:line="360" w:lineRule="auto"/>
        <w:ind w:firstLine="720"/>
        <w:rPr>
          <w:szCs w:val="24"/>
        </w:rPr>
      </w:pPr>
      <w:r w:rsidRPr="00E114A5">
        <w:rPr>
          <w:szCs w:val="24"/>
        </w:rPr>
        <w:t>An attendee of the Yoga classes states that the laws are ““insulting at worst, and highly irrelevant to their daily lives and values at best”</w:t>
      </w:r>
      <w:r w:rsidR="00FD5B00">
        <w:rPr>
          <w:szCs w:val="24"/>
        </w:rPr>
        <w:t>.</w:t>
      </w:r>
      <w:r w:rsidRPr="00E114A5">
        <w:rPr>
          <w:szCs w:val="24"/>
          <w:vertAlign w:val="superscript"/>
        </w:rPr>
        <w:footnoteReference w:id="74"/>
      </w:r>
      <w:r w:rsidRPr="00E114A5">
        <w:rPr>
          <w:szCs w:val="24"/>
        </w:rPr>
        <w:t xml:space="preserve"> This statement expresses that even at their best, the laws are of no help to the women, and therefore are very far away from bringing them any form of empowerment. </w:t>
      </w:r>
      <w:r w:rsidR="00A874B9" w:rsidRPr="00E114A5">
        <w:rPr>
          <w:szCs w:val="24"/>
        </w:rPr>
        <w:t>However,</w:t>
      </w:r>
      <w:r w:rsidRPr="00E114A5">
        <w:rPr>
          <w:szCs w:val="24"/>
        </w:rPr>
        <w:t xml:space="preserve"> they are able to find empowerment through spiritual activities, such as the yoga class, and allow them to feel as though they are connected with their religion. Women who attend the classes describe an “embodied feeling of sacredness they experience through Judaicized yoga and the religious experience many believe traditional Jewish men experience through their bodies”</w:t>
      </w:r>
      <w:r w:rsidR="00FD5B00">
        <w:rPr>
          <w:szCs w:val="24"/>
        </w:rPr>
        <w:t>.</w:t>
      </w:r>
      <w:r w:rsidRPr="00E114A5">
        <w:rPr>
          <w:szCs w:val="24"/>
          <w:vertAlign w:val="superscript"/>
        </w:rPr>
        <w:footnoteReference w:id="75"/>
      </w:r>
      <w:r w:rsidRPr="00E114A5">
        <w:rPr>
          <w:szCs w:val="24"/>
        </w:rPr>
        <w:t xml:space="preserve"> This displays that some Jewish women must seek out different ways to connect with their religion in a way that comes easy to men, despite following the same religion. </w:t>
      </w:r>
    </w:p>
    <w:p w14:paraId="25786236" w14:textId="254F3428" w:rsidR="00165B03" w:rsidRPr="00E114A5" w:rsidRDefault="00165B03" w:rsidP="0039500A">
      <w:pPr>
        <w:spacing w:line="360" w:lineRule="auto"/>
        <w:ind w:firstLine="720"/>
        <w:rPr>
          <w:szCs w:val="24"/>
        </w:rPr>
      </w:pPr>
      <w:r w:rsidRPr="00E114A5">
        <w:rPr>
          <w:szCs w:val="24"/>
        </w:rPr>
        <w:t>Nerveless, “in spite of their critiques and their rejection of a large portion of Jewish law, all of the women in the Judaicized yoga class firmly feel that they are part of the Jewish community</w:t>
      </w:r>
      <w:r w:rsidR="00FD5B00">
        <w:rPr>
          <w:szCs w:val="24"/>
        </w:rPr>
        <w:t>”.</w:t>
      </w:r>
      <w:r w:rsidRPr="00E114A5">
        <w:rPr>
          <w:szCs w:val="24"/>
          <w:vertAlign w:val="superscript"/>
        </w:rPr>
        <w:footnoteReference w:id="76"/>
      </w:r>
      <w:r w:rsidRPr="00E114A5">
        <w:rPr>
          <w:szCs w:val="24"/>
        </w:rPr>
        <w:t xml:space="preserve"> This therefore suggests that due to their religion not empowering them, they have then created their own method of empowerment through their own community within the wider Jewish one. A community of women is one that is extremely powerful. For example, “Seventy-seven percent of high-placing women have an inner circle of strong ties to two or three women who communicate intensely with one another</w:t>
      </w:r>
      <w:r w:rsidR="00FD5B00">
        <w:rPr>
          <w:szCs w:val="24"/>
        </w:rPr>
        <w:t>”.</w:t>
      </w:r>
      <w:r w:rsidRPr="00E114A5">
        <w:rPr>
          <w:szCs w:val="24"/>
          <w:vertAlign w:val="superscript"/>
        </w:rPr>
        <w:footnoteReference w:id="77"/>
      </w:r>
      <w:r w:rsidR="00FD5B00">
        <w:rPr>
          <w:szCs w:val="24"/>
        </w:rPr>
        <w:t xml:space="preserve"> </w:t>
      </w:r>
      <w:r w:rsidRPr="00E114A5">
        <w:rPr>
          <w:szCs w:val="24"/>
        </w:rPr>
        <w:t>It has been seen time and time again that women do better whilst among other women, and Judaism should be encompassing that. The lack of inclusion without in Judaism has led to groups such as the Jewish Yoga group, that allow women to have a free space to connect with their religion without boundaries.</w:t>
      </w:r>
    </w:p>
    <w:p w14:paraId="165C8384" w14:textId="77777777" w:rsidR="00165B03" w:rsidRPr="00E114A5" w:rsidRDefault="00165B03" w:rsidP="008E6429">
      <w:pPr>
        <w:pStyle w:val="Heading2"/>
        <w:spacing w:line="360" w:lineRule="auto"/>
      </w:pPr>
      <w:bookmarkStart w:id="105" w:name="_Toc40008563"/>
      <w:r w:rsidRPr="00E114A5">
        <w:t>Mikvah</w:t>
      </w:r>
      <w:bookmarkEnd w:id="105"/>
    </w:p>
    <w:p w14:paraId="762E26E2" w14:textId="47240CB3" w:rsidR="00165B03" w:rsidRPr="00E114A5" w:rsidRDefault="00165B03" w:rsidP="008E6429">
      <w:pPr>
        <w:spacing w:line="360" w:lineRule="auto"/>
        <w:ind w:firstLine="720"/>
        <w:rPr>
          <w:szCs w:val="24"/>
        </w:rPr>
      </w:pPr>
      <w:r w:rsidRPr="00E114A5">
        <w:rPr>
          <w:szCs w:val="24"/>
        </w:rPr>
        <w:t>Jewish woman have also found other ways to alter tradition to make it more accommodating and empowering for them. This is seen clearly by how Jewish women perceive the Mikvah. Blu Greenburg, a feminist scholar, believes that the idea of the Mikvah being linked to washing away impurity should be forgotten, and women should be encouraged to think “of the ritual bath as a return to the womb of nature and as an expression of care for a womb</w:t>
      </w:r>
      <w:r w:rsidR="00FD5B00">
        <w:rPr>
          <w:szCs w:val="24"/>
        </w:rPr>
        <w:t>”.</w:t>
      </w:r>
      <w:r w:rsidRPr="00E114A5">
        <w:rPr>
          <w:szCs w:val="24"/>
          <w:vertAlign w:val="superscript"/>
        </w:rPr>
        <w:footnoteReference w:id="78"/>
      </w:r>
      <w:r w:rsidRPr="00E114A5">
        <w:rPr>
          <w:szCs w:val="24"/>
        </w:rPr>
        <w:t xml:space="preserve"> This shows once again that the way in which women are told to think of rituals are negative, however, through their own actions and change of mindset, women can make them empowering. </w:t>
      </w:r>
    </w:p>
    <w:p w14:paraId="63969453" w14:textId="674FF414" w:rsidR="00165B03" w:rsidRPr="00E114A5" w:rsidRDefault="00165B03" w:rsidP="0039500A">
      <w:pPr>
        <w:spacing w:line="360" w:lineRule="auto"/>
        <w:ind w:firstLine="680"/>
        <w:rPr>
          <w:szCs w:val="24"/>
        </w:rPr>
      </w:pPr>
      <w:r w:rsidRPr="00E114A5">
        <w:rPr>
          <w:szCs w:val="24"/>
        </w:rPr>
        <w:t>Haviva Ner-David writes of her exp</w:t>
      </w:r>
      <w:r w:rsidR="0039500A">
        <w:rPr>
          <w:szCs w:val="24"/>
        </w:rPr>
        <w:t>eriences</w:t>
      </w:r>
      <w:r w:rsidRPr="00E114A5">
        <w:rPr>
          <w:szCs w:val="24"/>
        </w:rPr>
        <w:t xml:space="preserve"> with the Mikvah and how she was able to make it fit her</w:t>
      </w:r>
      <w:r w:rsidR="00FD5B00">
        <w:rPr>
          <w:szCs w:val="24"/>
        </w:rPr>
        <w:t>.</w:t>
      </w:r>
      <w:r w:rsidRPr="00E114A5">
        <w:rPr>
          <w:szCs w:val="24"/>
          <w:vertAlign w:val="superscript"/>
        </w:rPr>
        <w:footnoteReference w:id="79"/>
      </w:r>
      <w:r w:rsidRPr="00E114A5">
        <w:rPr>
          <w:szCs w:val="24"/>
        </w:rPr>
        <w:t xml:space="preserve"> After many struggles with being able to get pregnant and miscarriages, </w:t>
      </w:r>
      <w:proofErr w:type="spellStart"/>
      <w:r w:rsidRPr="00E114A5">
        <w:rPr>
          <w:szCs w:val="24"/>
        </w:rPr>
        <w:t>Ner</w:t>
      </w:r>
      <w:proofErr w:type="spellEnd"/>
      <w:r w:rsidRPr="00E114A5">
        <w:rPr>
          <w:szCs w:val="24"/>
        </w:rPr>
        <w:t>-David begun to view the Mikvah as something negative, as it was connected to her fertility struggles. She decided that something was missing form her experience and ask her husband to go into the Mikvah with her.  She states that “I was not looking to replace the ritual as a celebration and mark of my menstrual cycle</w:t>
      </w:r>
      <w:r w:rsidR="00FD5B00">
        <w:rPr>
          <w:szCs w:val="24"/>
        </w:rPr>
        <w:t>”,</w:t>
      </w:r>
      <w:r w:rsidRPr="00E114A5">
        <w:rPr>
          <w:szCs w:val="24"/>
          <w:vertAlign w:val="superscript"/>
        </w:rPr>
        <w:footnoteReference w:id="80"/>
      </w:r>
      <w:r w:rsidRPr="00E114A5">
        <w:rPr>
          <w:szCs w:val="24"/>
        </w:rPr>
        <w:t xml:space="preserve"> but to add something more to her experiences as she entered a new phase in her life. They were not able to Mikveh together in the Synagogue as the male and female Mikvah nights were on different days. Instead, they went to Mikvah in an open water spring. Ner-Daivd describes the experiences positively. Proposing that all couples should be encouraged to Mikveh together as,</w:t>
      </w:r>
    </w:p>
    <w:p w14:paraId="22C52778" w14:textId="389EBCD6" w:rsidR="00165B03" w:rsidRPr="00E114A5" w:rsidRDefault="00165B03" w:rsidP="008E6429">
      <w:pPr>
        <w:spacing w:line="360" w:lineRule="auto"/>
        <w:ind w:left="680" w:right="680"/>
        <w:rPr>
          <w:szCs w:val="24"/>
        </w:rPr>
      </w:pPr>
      <w:r w:rsidRPr="00E114A5">
        <w:rPr>
          <w:szCs w:val="24"/>
        </w:rPr>
        <w:t xml:space="preserve"> by insisting that men also immerse before a couple can sexually reunite — rather than suggesting that mikveh immersion be perceived as being only about the woman’s purification — it can become a ritual about the couple’s purification for each other, and the renewing of their romantic relationship</w:t>
      </w:r>
      <w:r w:rsidR="00FD5B00">
        <w:rPr>
          <w:szCs w:val="24"/>
        </w:rPr>
        <w:t>.</w:t>
      </w:r>
      <w:r w:rsidRPr="00E114A5">
        <w:rPr>
          <w:szCs w:val="24"/>
          <w:vertAlign w:val="superscript"/>
        </w:rPr>
        <w:footnoteReference w:id="81"/>
      </w:r>
    </w:p>
    <w:p w14:paraId="0087EEFB" w14:textId="77777777" w:rsidR="00165B03" w:rsidRPr="00E114A5" w:rsidRDefault="00165B03" w:rsidP="00475A9C">
      <w:pPr>
        <w:spacing w:line="360" w:lineRule="auto"/>
        <w:ind w:firstLine="680"/>
        <w:rPr>
          <w:szCs w:val="24"/>
        </w:rPr>
      </w:pPr>
      <w:r w:rsidRPr="00E114A5">
        <w:rPr>
          <w:szCs w:val="24"/>
        </w:rPr>
        <w:t xml:space="preserve">By allowing couples to reconnect through the Mikvah, it takes away any negativity that could be connected to the Mikvah. Furthermore, notions of impurity and infertility are replaced with love and happiness of experiencing the Mikvah as a couple and not alone. Women can be empowered by their partner, which is a factor that Judaism does not acknowledge often, as can be seen through various other aspects of Niddah. </w:t>
      </w:r>
    </w:p>
    <w:p w14:paraId="79E7B220" w14:textId="77777777" w:rsidR="00165B03" w:rsidRPr="00E114A5" w:rsidRDefault="00165B03" w:rsidP="008E6429">
      <w:pPr>
        <w:pStyle w:val="Heading2"/>
        <w:spacing w:line="360" w:lineRule="auto"/>
      </w:pPr>
      <w:bookmarkStart w:id="106" w:name="_Toc40008564"/>
      <w:r w:rsidRPr="00E114A5">
        <w:t>Feminism</w:t>
      </w:r>
      <w:bookmarkEnd w:id="106"/>
      <w:r w:rsidRPr="00E114A5">
        <w:t xml:space="preserve"> </w:t>
      </w:r>
    </w:p>
    <w:bookmarkEnd w:id="96"/>
    <w:p w14:paraId="48A97681" w14:textId="0929A313" w:rsidR="00165B03" w:rsidRPr="00E114A5" w:rsidRDefault="00165B03" w:rsidP="008E6429">
      <w:pPr>
        <w:spacing w:line="360" w:lineRule="auto"/>
        <w:ind w:firstLine="680"/>
        <w:rPr>
          <w:szCs w:val="24"/>
        </w:rPr>
      </w:pPr>
      <w:r w:rsidRPr="00E114A5">
        <w:rPr>
          <w:szCs w:val="24"/>
        </w:rPr>
        <w:t xml:space="preserve">Finally, the influence of feminism on Jewish practices and Jewish women’s thought has resulted in a mindset change for all Jewish women, regardless of their denomination. Some </w:t>
      </w:r>
      <w:r w:rsidR="003247A4">
        <w:rPr>
          <w:szCs w:val="24"/>
        </w:rPr>
        <w:t>Orthodox</w:t>
      </w:r>
      <w:r w:rsidRPr="00E114A5">
        <w:rPr>
          <w:szCs w:val="24"/>
        </w:rPr>
        <w:t xml:space="preserve"> women do not see the need for feminism, and have become “familiar with the discourse tactic of presenting the observance of laws of niddah as essentially feminist and sensitive to feminine identity”</w:t>
      </w:r>
      <w:r w:rsidR="00FD5B00">
        <w:rPr>
          <w:szCs w:val="24"/>
        </w:rPr>
        <w:t>,</w:t>
      </w:r>
      <w:r w:rsidRPr="00E114A5">
        <w:rPr>
          <w:szCs w:val="24"/>
          <w:vertAlign w:val="superscript"/>
        </w:rPr>
        <w:footnoteReference w:id="82"/>
      </w:r>
      <w:r w:rsidRPr="00E114A5">
        <w:rPr>
          <w:szCs w:val="24"/>
        </w:rPr>
        <w:t xml:space="preserve"> when perhaps they do not necessarily believe it. Regardless of this, feminism and </w:t>
      </w:r>
      <w:r w:rsidR="003247A4">
        <w:rPr>
          <w:szCs w:val="24"/>
        </w:rPr>
        <w:t>Orthodox</w:t>
      </w:r>
      <w:r w:rsidRPr="00E114A5">
        <w:rPr>
          <w:szCs w:val="24"/>
        </w:rPr>
        <w:t xml:space="preserve">y can work together despite there being some opposing views. For example, </w:t>
      </w:r>
    </w:p>
    <w:p w14:paraId="28340210" w14:textId="0575265C" w:rsidR="00165B03" w:rsidRPr="00E114A5" w:rsidRDefault="00165B03" w:rsidP="008E6429">
      <w:pPr>
        <w:spacing w:line="360" w:lineRule="auto"/>
        <w:ind w:left="680" w:right="680"/>
        <w:rPr>
          <w:szCs w:val="24"/>
        </w:rPr>
      </w:pPr>
      <w:r w:rsidRPr="00E114A5">
        <w:rPr>
          <w:szCs w:val="24"/>
        </w:rPr>
        <w:t xml:space="preserve">feminists exploring Jewish women’s spirituality and religious expression, together with well-educated younger generations of </w:t>
      </w:r>
      <w:r w:rsidR="003247A4">
        <w:rPr>
          <w:szCs w:val="24"/>
        </w:rPr>
        <w:t>Orthodox</w:t>
      </w:r>
      <w:r w:rsidRPr="00E114A5">
        <w:rPr>
          <w:szCs w:val="24"/>
        </w:rPr>
        <w:t xml:space="preserve"> women who take religious obligations seriously, and newly observant women who seek the structured environment and sexual limits of </w:t>
      </w:r>
      <w:r w:rsidR="003247A4">
        <w:rPr>
          <w:szCs w:val="24"/>
        </w:rPr>
        <w:t>Orthodox</w:t>
      </w:r>
      <w:r w:rsidRPr="00E114A5">
        <w:rPr>
          <w:szCs w:val="24"/>
        </w:rPr>
        <w:t>y, have revitalized Mikvahs in many communities</w:t>
      </w:r>
      <w:r w:rsidR="00FD5B00">
        <w:rPr>
          <w:szCs w:val="24"/>
        </w:rPr>
        <w:t>.</w:t>
      </w:r>
      <w:r w:rsidRPr="00E114A5">
        <w:rPr>
          <w:szCs w:val="24"/>
          <w:vertAlign w:val="superscript"/>
        </w:rPr>
        <w:footnoteReference w:id="83"/>
      </w:r>
    </w:p>
    <w:p w14:paraId="6E3FF96D" w14:textId="1EFCD165" w:rsidR="00165B03" w:rsidRPr="00E114A5" w:rsidRDefault="00165B03" w:rsidP="008E6429">
      <w:pPr>
        <w:spacing w:line="360" w:lineRule="auto"/>
        <w:rPr>
          <w:szCs w:val="24"/>
        </w:rPr>
      </w:pPr>
      <w:r w:rsidRPr="00E114A5">
        <w:rPr>
          <w:szCs w:val="24"/>
        </w:rPr>
        <w:t xml:space="preserve">This example shows that feminism can have an important impact on </w:t>
      </w:r>
      <w:r w:rsidR="003247A4">
        <w:rPr>
          <w:szCs w:val="24"/>
        </w:rPr>
        <w:t>Orthodox</w:t>
      </w:r>
      <w:r w:rsidRPr="00E114A5">
        <w:rPr>
          <w:szCs w:val="24"/>
        </w:rPr>
        <w:t xml:space="preserve"> communities, without the loss of tradition. This is important as this is the reason that many </w:t>
      </w:r>
      <w:r w:rsidR="003247A4">
        <w:rPr>
          <w:szCs w:val="24"/>
        </w:rPr>
        <w:t>Orthodox</w:t>
      </w:r>
      <w:r w:rsidRPr="00E114A5">
        <w:rPr>
          <w:szCs w:val="24"/>
        </w:rPr>
        <w:t xml:space="preserve"> women do not see themselves as feminists.</w:t>
      </w:r>
    </w:p>
    <w:p w14:paraId="2750ADBB" w14:textId="5ED640A4" w:rsidR="00165B03" w:rsidRPr="00E114A5" w:rsidRDefault="00165B03" w:rsidP="00475A9C">
      <w:pPr>
        <w:spacing w:line="360" w:lineRule="auto"/>
        <w:ind w:firstLine="680"/>
        <w:rPr>
          <w:szCs w:val="24"/>
        </w:rPr>
      </w:pPr>
      <w:r w:rsidRPr="00E114A5">
        <w:rPr>
          <w:szCs w:val="24"/>
        </w:rPr>
        <w:t xml:space="preserve">Although many aspects of feminism influence how </w:t>
      </w:r>
      <w:r w:rsidR="003247A4">
        <w:rPr>
          <w:szCs w:val="24"/>
        </w:rPr>
        <w:t>Reform</w:t>
      </w:r>
      <w:r w:rsidRPr="00E114A5">
        <w:rPr>
          <w:szCs w:val="24"/>
        </w:rPr>
        <w:t xml:space="preserve"> Judaism is today, some feminist </w:t>
      </w:r>
      <w:r w:rsidR="003247A4">
        <w:rPr>
          <w:szCs w:val="24"/>
        </w:rPr>
        <w:t>Orthodox</w:t>
      </w:r>
      <w:r w:rsidRPr="00E114A5">
        <w:rPr>
          <w:szCs w:val="24"/>
        </w:rPr>
        <w:t xml:space="preserve"> women choose to remain in that practice as they do not agree with the practices of the </w:t>
      </w:r>
      <w:r w:rsidR="003247A4">
        <w:rPr>
          <w:szCs w:val="24"/>
        </w:rPr>
        <w:t>Reform</w:t>
      </w:r>
      <w:r w:rsidRPr="00E114A5">
        <w:rPr>
          <w:szCs w:val="24"/>
        </w:rPr>
        <w:t xml:space="preserve"> denomination. One </w:t>
      </w:r>
      <w:r w:rsidR="003247A4">
        <w:rPr>
          <w:szCs w:val="24"/>
        </w:rPr>
        <w:t>Orthodox</w:t>
      </w:r>
      <w:r w:rsidRPr="00E114A5">
        <w:rPr>
          <w:szCs w:val="24"/>
        </w:rPr>
        <w:t xml:space="preserve"> women describes her first and last experience attending a </w:t>
      </w:r>
      <w:r w:rsidR="003247A4">
        <w:rPr>
          <w:szCs w:val="24"/>
        </w:rPr>
        <w:t>Reform</w:t>
      </w:r>
      <w:r w:rsidRPr="00E114A5">
        <w:rPr>
          <w:szCs w:val="24"/>
        </w:rPr>
        <w:t xml:space="preserve"> service. She states the following:</w:t>
      </w:r>
    </w:p>
    <w:p w14:paraId="5D259E65" w14:textId="0FD3DCFF" w:rsidR="00165B03" w:rsidRPr="00E114A5" w:rsidRDefault="00165B03" w:rsidP="008E6429">
      <w:pPr>
        <w:spacing w:line="360" w:lineRule="auto"/>
        <w:ind w:left="680" w:right="680"/>
        <w:rPr>
          <w:szCs w:val="24"/>
        </w:rPr>
      </w:pPr>
      <w:r w:rsidRPr="00E114A5">
        <w:rPr>
          <w:szCs w:val="24"/>
        </w:rPr>
        <w:t xml:space="preserve"> I saw a woman called to the Torah. I am a feminist woman, but I found it very hard to accept it. It bothered me. I accept the spiritual idea that there is purity and impurity. When a woman is menstruating, she is niddah and impure</w:t>
      </w:r>
      <w:r w:rsidR="00FD5B00">
        <w:rPr>
          <w:szCs w:val="24"/>
        </w:rPr>
        <w:t>.</w:t>
      </w:r>
      <w:r w:rsidRPr="00E114A5">
        <w:rPr>
          <w:szCs w:val="24"/>
          <w:vertAlign w:val="superscript"/>
        </w:rPr>
        <w:footnoteReference w:id="84"/>
      </w:r>
    </w:p>
    <w:p w14:paraId="073A8321" w14:textId="77777777" w:rsidR="00165B03" w:rsidRPr="00E114A5" w:rsidRDefault="00165B03" w:rsidP="008E6429">
      <w:pPr>
        <w:spacing w:line="360" w:lineRule="auto"/>
        <w:rPr>
          <w:szCs w:val="24"/>
        </w:rPr>
      </w:pPr>
      <w:r w:rsidRPr="00E114A5">
        <w:rPr>
          <w:szCs w:val="24"/>
        </w:rPr>
        <w:t xml:space="preserve">This suggests that feminism does not always influence religious beliefs, and that it supports the views already held by the individual. Feminism allows them to be empowered within their religion, and encourages them to make changes that they want, without compromising their religious integrity. </w:t>
      </w:r>
    </w:p>
    <w:p w14:paraId="6AC534D2" w14:textId="77777777" w:rsidR="00165B03" w:rsidRPr="00E114A5" w:rsidRDefault="00165B03" w:rsidP="008E6429">
      <w:pPr>
        <w:pStyle w:val="Heading2"/>
        <w:spacing w:line="360" w:lineRule="auto"/>
      </w:pPr>
      <w:bookmarkStart w:id="107" w:name="_Toc40008565"/>
      <w:r w:rsidRPr="00E114A5">
        <w:t>Conclusion</w:t>
      </w:r>
      <w:bookmarkEnd w:id="107"/>
    </w:p>
    <w:p w14:paraId="04C74456" w14:textId="00779B69" w:rsidR="00E114A5" w:rsidRDefault="00165B03" w:rsidP="00E114A5">
      <w:pPr>
        <w:spacing w:line="360" w:lineRule="auto"/>
        <w:ind w:firstLine="720"/>
        <w:rPr>
          <w:szCs w:val="24"/>
        </w:rPr>
      </w:pPr>
      <w:r w:rsidRPr="00E114A5">
        <w:rPr>
          <w:szCs w:val="24"/>
        </w:rPr>
        <w:t xml:space="preserve">From this, the conclusion </w:t>
      </w:r>
      <w:r w:rsidR="00475A9C">
        <w:rPr>
          <w:szCs w:val="24"/>
        </w:rPr>
        <w:t xml:space="preserve">can be made </w:t>
      </w:r>
      <w:r w:rsidRPr="00E114A5">
        <w:rPr>
          <w:szCs w:val="24"/>
        </w:rPr>
        <w:t xml:space="preserve">that Jewish women themselves are an integral part of making the Niddah laws and Judaism </w:t>
      </w:r>
      <w:r w:rsidR="00A874B9" w:rsidRPr="00E114A5">
        <w:rPr>
          <w:szCs w:val="24"/>
        </w:rPr>
        <w:t>more</w:t>
      </w:r>
      <w:r w:rsidRPr="00E114A5">
        <w:rPr>
          <w:szCs w:val="24"/>
        </w:rPr>
        <w:t xml:space="preserve"> empowering for women, and in some cases men too. All developments that have been made have been made by women who do n</w:t>
      </w:r>
      <w:r w:rsidR="003B2CC9">
        <w:rPr>
          <w:szCs w:val="24"/>
        </w:rPr>
        <w:t>ot agree with</w:t>
      </w:r>
      <w:r w:rsidRPr="00E114A5">
        <w:rPr>
          <w:szCs w:val="24"/>
        </w:rPr>
        <w:t xml:space="preserve"> the laws in their original state or feel that their religion no longer gives them what they need. As opposed to giving up their religion, they make strides to alter it to be what they need.</w:t>
      </w:r>
      <w:r w:rsidR="00E114A5">
        <w:rPr>
          <w:szCs w:val="24"/>
        </w:rPr>
        <w:t xml:space="preserve"> The example of the Jewish yoga class that allows women to feel a sense of spiritually that they are not able to feel through traditional religious practices is both empowering to see and saddening. Women should not have to seek out other methods of spiritually that they could not get from their own religion because they are not a man.</w:t>
      </w:r>
    </w:p>
    <w:p w14:paraId="2CE7F910" w14:textId="4DECA85F" w:rsidR="00E114A5" w:rsidRDefault="00E114A5" w:rsidP="00475A9C">
      <w:pPr>
        <w:spacing w:line="360" w:lineRule="auto"/>
        <w:ind w:firstLine="720"/>
        <w:rPr>
          <w:szCs w:val="24"/>
        </w:rPr>
      </w:pPr>
      <w:r>
        <w:rPr>
          <w:szCs w:val="24"/>
        </w:rPr>
        <w:t xml:space="preserve">However, the fact that women are able to alter the laws for them to be more meaningful for them is a positive. The example seen through Ner-David’s story of attending the Mikvah with her husband was both empowering to read and for her to be able to do. Judaism seems to fail the realize the power that a strong couple have to help each other, and that certain practise, such as the Mikveh, would have a greater effect if a couple attending together was commonplace. It is evident that improvements are being made, and that women are finding their place within Judaism through </w:t>
      </w:r>
      <w:r w:rsidR="009C1F5F">
        <w:rPr>
          <w:szCs w:val="24"/>
        </w:rPr>
        <w:t xml:space="preserve">being progressive themselves. </w:t>
      </w:r>
    </w:p>
    <w:p w14:paraId="11DC66BD" w14:textId="1698A236" w:rsidR="00FD3C47" w:rsidRPr="00E114A5" w:rsidRDefault="00165B03" w:rsidP="008E3CBA">
      <w:pPr>
        <w:spacing w:line="360" w:lineRule="auto"/>
        <w:ind w:firstLine="720"/>
        <w:rPr>
          <w:szCs w:val="24"/>
        </w:rPr>
      </w:pPr>
      <w:r w:rsidRPr="00E114A5">
        <w:rPr>
          <w:szCs w:val="24"/>
        </w:rPr>
        <w:t xml:space="preserve">Overall, </w:t>
      </w:r>
      <w:r w:rsidR="009C1F5F">
        <w:rPr>
          <w:szCs w:val="24"/>
        </w:rPr>
        <w:t>it is clear that the empowerment that women get from Judaism and the Niddah laws does not always come directly from the religion. It comes from the communities that they make to include themselves in spiritual acts when their religion does not allow them to do so. It also comes from their willingness to stick with their beli</w:t>
      </w:r>
      <w:r w:rsidR="003B2CC9">
        <w:rPr>
          <w:szCs w:val="24"/>
        </w:rPr>
        <w:t>efs</w:t>
      </w:r>
      <w:r w:rsidR="009C1F5F">
        <w:rPr>
          <w:szCs w:val="24"/>
        </w:rPr>
        <w:t xml:space="preserve"> and ensure that it continues to develop for future.</w:t>
      </w:r>
    </w:p>
    <w:p w14:paraId="1A2F825A" w14:textId="4DAD2D58" w:rsidR="008E6429" w:rsidRDefault="008E6429" w:rsidP="008E6429">
      <w:pPr>
        <w:spacing w:line="360" w:lineRule="auto"/>
        <w:rPr>
          <w:color w:val="7030A0"/>
          <w:szCs w:val="24"/>
        </w:rPr>
      </w:pPr>
    </w:p>
    <w:p w14:paraId="07B17997" w14:textId="3E92498E" w:rsidR="009C1F5F" w:rsidRDefault="009C1F5F" w:rsidP="008E6429">
      <w:pPr>
        <w:spacing w:line="360" w:lineRule="auto"/>
        <w:rPr>
          <w:color w:val="7030A0"/>
          <w:szCs w:val="24"/>
        </w:rPr>
      </w:pPr>
    </w:p>
    <w:p w14:paraId="0D1CB32B" w14:textId="7245E632" w:rsidR="009C1F5F" w:rsidRDefault="009C1F5F" w:rsidP="008E6429">
      <w:pPr>
        <w:spacing w:line="360" w:lineRule="auto"/>
        <w:rPr>
          <w:color w:val="7030A0"/>
          <w:szCs w:val="24"/>
        </w:rPr>
      </w:pPr>
    </w:p>
    <w:p w14:paraId="7E9D0D69" w14:textId="36D79609" w:rsidR="009C1F5F" w:rsidRDefault="009C1F5F" w:rsidP="008E6429">
      <w:pPr>
        <w:spacing w:line="360" w:lineRule="auto"/>
        <w:rPr>
          <w:color w:val="7030A0"/>
          <w:szCs w:val="24"/>
        </w:rPr>
      </w:pPr>
    </w:p>
    <w:p w14:paraId="07A3BAB4" w14:textId="68D28C27" w:rsidR="009C1F5F" w:rsidRDefault="009C1F5F" w:rsidP="008E6429">
      <w:pPr>
        <w:spacing w:line="360" w:lineRule="auto"/>
        <w:rPr>
          <w:color w:val="7030A0"/>
          <w:szCs w:val="24"/>
        </w:rPr>
      </w:pPr>
    </w:p>
    <w:p w14:paraId="7057902D" w14:textId="6A4310A5" w:rsidR="00A01332" w:rsidRDefault="00A01332" w:rsidP="008E6429">
      <w:pPr>
        <w:spacing w:line="360" w:lineRule="auto"/>
        <w:rPr>
          <w:color w:val="7030A0"/>
          <w:szCs w:val="24"/>
        </w:rPr>
      </w:pPr>
    </w:p>
    <w:p w14:paraId="29E2855A" w14:textId="68F1C96B" w:rsidR="00A01332" w:rsidRDefault="00A01332" w:rsidP="008E6429">
      <w:pPr>
        <w:spacing w:line="360" w:lineRule="auto"/>
        <w:rPr>
          <w:color w:val="7030A0"/>
          <w:szCs w:val="24"/>
        </w:rPr>
      </w:pPr>
    </w:p>
    <w:p w14:paraId="1EC9022A" w14:textId="745C89BA" w:rsidR="00A01332" w:rsidRDefault="00A01332" w:rsidP="008E6429">
      <w:pPr>
        <w:spacing w:line="360" w:lineRule="auto"/>
        <w:rPr>
          <w:color w:val="7030A0"/>
          <w:szCs w:val="24"/>
        </w:rPr>
      </w:pPr>
    </w:p>
    <w:p w14:paraId="1D1CAD8B" w14:textId="6189CB57" w:rsidR="00A01332" w:rsidRDefault="00A01332" w:rsidP="008E6429">
      <w:pPr>
        <w:spacing w:line="360" w:lineRule="auto"/>
        <w:rPr>
          <w:color w:val="7030A0"/>
          <w:szCs w:val="24"/>
        </w:rPr>
      </w:pPr>
    </w:p>
    <w:p w14:paraId="7E4AAC42" w14:textId="08916243" w:rsidR="00A01332" w:rsidRDefault="00A01332" w:rsidP="008E6429">
      <w:pPr>
        <w:spacing w:line="360" w:lineRule="auto"/>
        <w:rPr>
          <w:color w:val="7030A0"/>
          <w:szCs w:val="24"/>
        </w:rPr>
      </w:pPr>
    </w:p>
    <w:p w14:paraId="4C736AFF" w14:textId="6A9C6E97" w:rsidR="00A01332" w:rsidRDefault="00A01332" w:rsidP="008E6429">
      <w:pPr>
        <w:spacing w:line="360" w:lineRule="auto"/>
        <w:rPr>
          <w:color w:val="7030A0"/>
          <w:szCs w:val="24"/>
        </w:rPr>
      </w:pPr>
    </w:p>
    <w:p w14:paraId="0E4B8CCC" w14:textId="1D30FB1E" w:rsidR="00A01332" w:rsidRDefault="00A01332" w:rsidP="008E6429">
      <w:pPr>
        <w:spacing w:line="360" w:lineRule="auto"/>
        <w:rPr>
          <w:color w:val="7030A0"/>
          <w:szCs w:val="24"/>
        </w:rPr>
      </w:pPr>
    </w:p>
    <w:p w14:paraId="7B1E6963" w14:textId="1CE0880B" w:rsidR="00A01332" w:rsidRDefault="00A01332" w:rsidP="008E6429">
      <w:pPr>
        <w:spacing w:line="360" w:lineRule="auto"/>
        <w:rPr>
          <w:color w:val="7030A0"/>
          <w:szCs w:val="24"/>
        </w:rPr>
      </w:pPr>
    </w:p>
    <w:p w14:paraId="6CCFDC72" w14:textId="0B7413C7" w:rsidR="00A01332" w:rsidRDefault="00A01332" w:rsidP="008E6429">
      <w:pPr>
        <w:spacing w:line="360" w:lineRule="auto"/>
        <w:rPr>
          <w:color w:val="7030A0"/>
          <w:szCs w:val="24"/>
        </w:rPr>
      </w:pPr>
    </w:p>
    <w:p w14:paraId="7F27820B" w14:textId="29F9FCC7" w:rsidR="00A01332" w:rsidRDefault="00A01332" w:rsidP="008E6429">
      <w:pPr>
        <w:spacing w:line="360" w:lineRule="auto"/>
        <w:rPr>
          <w:color w:val="7030A0"/>
          <w:szCs w:val="24"/>
        </w:rPr>
      </w:pPr>
    </w:p>
    <w:p w14:paraId="76631F1A" w14:textId="386D408A" w:rsidR="00A01332" w:rsidRDefault="00A01332" w:rsidP="008E6429">
      <w:pPr>
        <w:spacing w:line="360" w:lineRule="auto"/>
        <w:rPr>
          <w:color w:val="7030A0"/>
          <w:szCs w:val="24"/>
        </w:rPr>
      </w:pPr>
    </w:p>
    <w:p w14:paraId="5251D336" w14:textId="42F2A9E1" w:rsidR="00A01332" w:rsidRDefault="00A01332" w:rsidP="008E6429">
      <w:pPr>
        <w:spacing w:line="360" w:lineRule="auto"/>
        <w:rPr>
          <w:color w:val="7030A0"/>
          <w:szCs w:val="24"/>
        </w:rPr>
      </w:pPr>
    </w:p>
    <w:p w14:paraId="726BF154" w14:textId="300ABE4C" w:rsidR="00A01332" w:rsidRDefault="00A01332" w:rsidP="008E6429">
      <w:pPr>
        <w:spacing w:line="360" w:lineRule="auto"/>
        <w:rPr>
          <w:color w:val="7030A0"/>
          <w:szCs w:val="24"/>
        </w:rPr>
      </w:pPr>
    </w:p>
    <w:p w14:paraId="780DC199" w14:textId="77777777" w:rsidR="00A01332" w:rsidRDefault="00A01332" w:rsidP="008E6429">
      <w:pPr>
        <w:spacing w:line="360" w:lineRule="auto"/>
        <w:rPr>
          <w:color w:val="7030A0"/>
          <w:szCs w:val="24"/>
        </w:rPr>
      </w:pPr>
    </w:p>
    <w:p w14:paraId="68D261E4" w14:textId="12B0DDFE" w:rsidR="00FD3C47" w:rsidRPr="00165B03" w:rsidRDefault="00FD3C47" w:rsidP="008E6429">
      <w:pPr>
        <w:pStyle w:val="Heading1"/>
        <w:spacing w:line="360" w:lineRule="auto"/>
      </w:pPr>
      <w:bookmarkStart w:id="108" w:name="_Toc40008566"/>
      <w:r>
        <w:t>Conclusion</w:t>
      </w:r>
      <w:bookmarkEnd w:id="108"/>
    </w:p>
    <w:p w14:paraId="62CF3EA3" w14:textId="23A7D6BD" w:rsidR="00E86A24" w:rsidRDefault="009C1F5F" w:rsidP="008E3CBA">
      <w:pPr>
        <w:spacing w:line="360" w:lineRule="auto"/>
        <w:ind w:firstLine="720"/>
      </w:pPr>
      <w:r>
        <w:t xml:space="preserve">This dissertation aimed to explore to what extent the Niddah laws were empowering or imposing on Jewish women. It did this firstly through the exploration of the ancient texts. The texts, mainly Lev 15, displayed how the stigma surround menstruation and menstrual blood occurred.  Due to the fear of menstruation that was present at the time, the texts reflect a point of view that is somewhat harmful for women today. The differences between how female and male impurity was inevitable due to </w:t>
      </w:r>
      <w:r w:rsidR="0080425B">
        <w:t xml:space="preserve">patriarchal society at the time, however, today has led to there being an inequality between men and women throughout Judaism. </w:t>
      </w:r>
    </w:p>
    <w:p w14:paraId="78E5C76E" w14:textId="1439A742" w:rsidR="00AF10FB" w:rsidRDefault="00AF10FB" w:rsidP="008E3CBA">
      <w:pPr>
        <w:spacing w:line="360" w:lineRule="auto"/>
        <w:ind w:firstLine="720"/>
      </w:pPr>
      <w:r>
        <w:t xml:space="preserve">This stigma surrounding women is reflected in the Niddah laws and how they are practiced today. </w:t>
      </w:r>
      <w:r w:rsidR="00BF5880">
        <w:t>How the laws are practiced</w:t>
      </w:r>
      <w:r>
        <w:t xml:space="preserve"> was </w:t>
      </w:r>
      <w:r w:rsidR="00BF5880">
        <w:t xml:space="preserve">and still is </w:t>
      </w:r>
      <w:r>
        <w:t xml:space="preserve">an important aspect </w:t>
      </w:r>
      <w:r w:rsidR="00BF5880">
        <w:t>of the laws to</w:t>
      </w:r>
      <w:r>
        <w:t xml:space="preserve"> look at, as it has frequently been looked past in many </w:t>
      </w:r>
      <w:r w:rsidR="00BF5880">
        <w:t xml:space="preserve">of the law’s critiques. </w:t>
      </w:r>
      <w:r>
        <w:t xml:space="preserve">The observance of how </w:t>
      </w:r>
      <w:r w:rsidR="003247A4">
        <w:t>Orthodox</w:t>
      </w:r>
      <w:r>
        <w:t xml:space="preserve"> women practice the laws has </w:t>
      </w:r>
      <w:r w:rsidR="008E3CBA">
        <w:t>given insight to their lives</w:t>
      </w:r>
      <w:r>
        <w:t>. Firstly,</w:t>
      </w:r>
      <w:r w:rsidR="008E3CBA">
        <w:t xml:space="preserve"> the Niddah laws</w:t>
      </w:r>
      <w:r>
        <w:t xml:space="preserve"> are considered </w:t>
      </w:r>
      <w:r w:rsidR="00BF5880">
        <w:t xml:space="preserve">by some women </w:t>
      </w:r>
      <w:r>
        <w:t xml:space="preserve">to be just a part of their </w:t>
      </w:r>
      <w:r w:rsidR="00B60DAA">
        <w:t>religion</w:t>
      </w:r>
      <w:r>
        <w:t xml:space="preserve"> and an aspect that they do not love but respect. This </w:t>
      </w:r>
      <w:r w:rsidR="00B869A4">
        <w:t>is</w:t>
      </w:r>
      <w:r>
        <w:t xml:space="preserve"> an interesting </w:t>
      </w:r>
      <w:r w:rsidR="00BF5880">
        <w:t xml:space="preserve">understanding of the laws </w:t>
      </w:r>
      <w:r>
        <w:t xml:space="preserve">as this is missing from a lot of the literature surrounding the Niddah laws. </w:t>
      </w:r>
      <w:r w:rsidRPr="00AC1096">
        <w:t xml:space="preserve">There are many </w:t>
      </w:r>
      <w:r w:rsidR="00AC1096" w:rsidRPr="00AC1096">
        <w:t xml:space="preserve">restricting aspects to Judaism and </w:t>
      </w:r>
      <w:r w:rsidRPr="00AC1096">
        <w:t xml:space="preserve">across many religions, however, the ones that get the most focus and </w:t>
      </w:r>
      <w:r w:rsidR="009E0F21" w:rsidRPr="00AC1096">
        <w:t>scrutiny are</w:t>
      </w:r>
      <w:r w:rsidRPr="00AC1096">
        <w:t xml:space="preserve"> the ones that tend to revolve around women.</w:t>
      </w:r>
      <w:r>
        <w:t xml:space="preserve"> Is this because most people assume that women following any</w:t>
      </w:r>
      <w:r w:rsidR="00B60DAA">
        <w:t xml:space="preserve"> religious rules</w:t>
      </w:r>
      <w:r w:rsidR="00B869A4">
        <w:t xml:space="preserve"> are being forced to do so</w:t>
      </w:r>
      <w:r w:rsidR="00B60DAA">
        <w:t xml:space="preserve">? Perhaps. </w:t>
      </w:r>
      <w:r w:rsidR="009E0F21">
        <w:t xml:space="preserve">Regardless of this, the Niddah laws can and should be seen as just another aspect to Judaism for those who wish to follow it. </w:t>
      </w:r>
    </w:p>
    <w:p w14:paraId="136480C6" w14:textId="1BDB6D51" w:rsidR="009E0F21" w:rsidRDefault="009E0F21" w:rsidP="008E3CBA">
      <w:pPr>
        <w:spacing w:line="360" w:lineRule="auto"/>
        <w:ind w:firstLine="720"/>
      </w:pPr>
      <w:r>
        <w:t xml:space="preserve">Secondly, the control that the women who practice the Niddah laws have over their bodies, their marriages and community is immense </w:t>
      </w:r>
      <w:r w:rsidR="00CB5A22">
        <w:t>and</w:t>
      </w:r>
      <w:r>
        <w:t xml:space="preserve"> </w:t>
      </w:r>
      <w:r w:rsidR="00BF5880">
        <w:t xml:space="preserve">is not discussed </w:t>
      </w:r>
      <w:r>
        <w:t xml:space="preserve">enough. Due to the stigma that women in an </w:t>
      </w:r>
      <w:r w:rsidR="003247A4">
        <w:t>Orthodox</w:t>
      </w:r>
      <w:r>
        <w:t xml:space="preserve"> religion must be repressed, the fact that they could be empowered by their faith is never considered. The examples seen throughout this dissertation as to how women use the Mikvah to control their marital relations, to help women in their own community and to reconnect and alter how they view their body are extremely powerful. </w:t>
      </w:r>
    </w:p>
    <w:p w14:paraId="34F4CC38" w14:textId="0E8CF590" w:rsidR="00CB5A22" w:rsidRDefault="00AC1096" w:rsidP="00B869A4">
      <w:pPr>
        <w:spacing w:line="360" w:lineRule="auto"/>
        <w:ind w:firstLine="720"/>
      </w:pPr>
      <w:r>
        <w:t>Nevertheless,</w:t>
      </w:r>
      <w:r w:rsidR="00CB5A22">
        <w:t xml:space="preserve"> this is not to say that the laws cannot be imposing onto women. There are many examples in this dissertation that show that the Niddah laws are not always helpful to women</w:t>
      </w:r>
      <w:r w:rsidR="00CB5A22" w:rsidRPr="00AC1096">
        <w:t>, however,</w:t>
      </w:r>
      <w:r w:rsidR="00CB5A22">
        <w:t xml:space="preserve"> this is most likely due to the laws being written by men in a time </w:t>
      </w:r>
      <w:r w:rsidR="00296B07">
        <w:t xml:space="preserve">in which </w:t>
      </w:r>
      <w:r w:rsidR="00CB5A22">
        <w:t>women were considered less</w:t>
      </w:r>
      <w:r w:rsidR="00296B07">
        <w:t>er</w:t>
      </w:r>
      <w:r w:rsidR="00CB5A22">
        <w:t xml:space="preserve">. The separation between a couple during menstruation as been a common aspect of </w:t>
      </w:r>
      <w:r w:rsidR="00BF5880">
        <w:t>Niddah</w:t>
      </w:r>
      <w:r w:rsidR="00CB5A22">
        <w:t xml:space="preserve"> that many women and couples have issue with. The realities of not being able to touch for a large period of the month, every month, is </w:t>
      </w:r>
      <w:r w:rsidR="004659DE">
        <w:t>undoubtedly</w:t>
      </w:r>
      <w:r w:rsidR="00CB5A22">
        <w:t xml:space="preserve"> going to be hard on a couple. This </w:t>
      </w:r>
      <w:r w:rsidR="00BF5880">
        <w:t xml:space="preserve">is </w:t>
      </w:r>
      <w:r w:rsidR="00CB5A22">
        <w:t>made worse</w:t>
      </w:r>
      <w:r w:rsidR="00BF5880">
        <w:t xml:space="preserve"> by the loss or birth of a child</w:t>
      </w:r>
      <w:r w:rsidR="00CB5A22">
        <w:t xml:space="preserve">, as these are the times that married </w:t>
      </w:r>
      <w:r w:rsidR="004659DE">
        <w:t>individuals</w:t>
      </w:r>
      <w:r w:rsidR="00CB5A22">
        <w:t xml:space="preserve"> should be able to touch and comfort each other</w:t>
      </w:r>
      <w:r w:rsidR="00BF5880">
        <w:t>, but instead are told to not</w:t>
      </w:r>
      <w:r w:rsidR="00CB5A22">
        <w:t>. It is aspects</w:t>
      </w:r>
      <w:r w:rsidR="004659DE">
        <w:t xml:space="preserve"> of the Niddah laws </w:t>
      </w:r>
      <w:r w:rsidR="00BF5880">
        <w:t>such as</w:t>
      </w:r>
      <w:r w:rsidR="004659DE">
        <w:t xml:space="preserve"> these that </w:t>
      </w:r>
      <w:r w:rsidR="00BF5880">
        <w:t>should</w:t>
      </w:r>
      <w:r w:rsidR="004659DE">
        <w:t xml:space="preserve"> be reconsidered and made more reasonable for the modern day. </w:t>
      </w:r>
    </w:p>
    <w:p w14:paraId="2FD6B398" w14:textId="4C886F4A" w:rsidR="009E0F21" w:rsidRDefault="00B869A4" w:rsidP="00B869A4">
      <w:pPr>
        <w:spacing w:line="360" w:lineRule="auto"/>
        <w:ind w:firstLine="720"/>
      </w:pPr>
      <w:proofErr w:type="gramStart"/>
      <w:r>
        <w:t>A final conclusion</w:t>
      </w:r>
      <w:proofErr w:type="gramEnd"/>
      <w:r>
        <w:t xml:space="preserve"> that can be made on Jewish women’s lives is that </w:t>
      </w:r>
      <w:r w:rsidR="004659DE">
        <w:t xml:space="preserve">both the indirect and direct impact that feminism has had on the practice </w:t>
      </w:r>
      <w:r w:rsidR="00D7663D">
        <w:t xml:space="preserve">and perception </w:t>
      </w:r>
      <w:r w:rsidR="004659DE">
        <w:t xml:space="preserve">of the Niddah laws is </w:t>
      </w:r>
      <w:r w:rsidRPr="00B869A4">
        <w:t>extensive</w:t>
      </w:r>
      <w:r w:rsidR="004659DE">
        <w:t xml:space="preserve">. </w:t>
      </w:r>
      <w:r w:rsidR="005A1F92">
        <w:t xml:space="preserve">This dissertation has barely </w:t>
      </w:r>
      <w:r w:rsidR="00D7663D">
        <w:t xml:space="preserve">scratched </w:t>
      </w:r>
      <w:r w:rsidR="005A1F92">
        <w:t xml:space="preserve">the surface of the impact that </w:t>
      </w:r>
      <w:r w:rsidR="00D7663D">
        <w:t>feminism has had</w:t>
      </w:r>
      <w:r w:rsidR="00296B07">
        <w:t>,</w:t>
      </w:r>
      <w:r w:rsidR="00D7663D">
        <w:t xml:space="preserve"> yet</w:t>
      </w:r>
      <w:r w:rsidR="005A1F92">
        <w:t xml:space="preserve"> has still shown progressive examples of its influence. </w:t>
      </w:r>
      <w:r w:rsidR="00354F04">
        <w:t xml:space="preserve">As a minimum, the rise of the feminist movement has given Jewish women the confidence to demand more from their religion, or to seek out </w:t>
      </w:r>
      <w:r w:rsidR="00D7663D">
        <w:t xml:space="preserve">spiritual enlightenment </w:t>
      </w:r>
      <w:r w:rsidR="00354F04">
        <w:t>in other places. The Jewish yoga group is a perfect example of women craving more spirituality in their li</w:t>
      </w:r>
      <w:r w:rsidR="00296B07">
        <w:t>f</w:t>
      </w:r>
      <w:r w:rsidR="00354F04">
        <w:t xml:space="preserve">e and finding a way for them to get it. </w:t>
      </w:r>
    </w:p>
    <w:p w14:paraId="54E57804" w14:textId="02C715EC" w:rsidR="00354F04" w:rsidRDefault="00354F04" w:rsidP="00B869A4">
      <w:pPr>
        <w:spacing w:line="360" w:lineRule="auto"/>
        <w:ind w:firstLine="720"/>
      </w:pPr>
      <w:r>
        <w:t>Overall, there are many reasons as to why the Niddah laws could be considered both empowering and imposing. This is the case for many aspects of a religion, and in some ways should only be seen as just that. However, the positive impact that the laws could have on an individual’s life if Jewish women continue to alter and demand more from their religion could be major.</w:t>
      </w:r>
      <w:r w:rsidR="000B01AB">
        <w:t xml:space="preserve"> The progress being made and that will </w:t>
      </w:r>
      <w:r w:rsidR="0091139B">
        <w:t xml:space="preserve">continue </w:t>
      </w:r>
      <w:r w:rsidR="000B01AB">
        <w:t>to be made is immense</w:t>
      </w:r>
      <w:r w:rsidR="0091139B">
        <w:t xml:space="preserve">, with Jewish women striving </w:t>
      </w:r>
      <w:r w:rsidR="00EB68CC">
        <w:t>bring equality and feminism to their males dominated religion</w:t>
      </w:r>
      <w:r w:rsidR="0091139B">
        <w:t>.</w:t>
      </w:r>
      <w:r>
        <w:t xml:space="preserve"> </w:t>
      </w:r>
    </w:p>
    <w:p w14:paraId="703AE6DF" w14:textId="1EB7DFAA" w:rsidR="00A874B9" w:rsidRDefault="00A874B9" w:rsidP="008E6429">
      <w:pPr>
        <w:spacing w:line="360" w:lineRule="auto"/>
      </w:pPr>
    </w:p>
    <w:p w14:paraId="0F0C50E8" w14:textId="66888715" w:rsidR="00A874B9" w:rsidRDefault="00A874B9" w:rsidP="008E6429">
      <w:pPr>
        <w:spacing w:line="360" w:lineRule="auto"/>
      </w:pPr>
    </w:p>
    <w:p w14:paraId="1EB31051" w14:textId="5685A52D" w:rsidR="00A874B9" w:rsidRDefault="00A874B9" w:rsidP="008E6429">
      <w:pPr>
        <w:spacing w:line="360" w:lineRule="auto"/>
      </w:pPr>
    </w:p>
    <w:p w14:paraId="601EA090" w14:textId="12029FC3" w:rsidR="00A874B9" w:rsidRDefault="00A874B9" w:rsidP="008E6429">
      <w:pPr>
        <w:spacing w:line="360" w:lineRule="auto"/>
      </w:pPr>
    </w:p>
    <w:p w14:paraId="657F9E1F" w14:textId="6BE1FE6D" w:rsidR="00A874B9" w:rsidRDefault="00A874B9" w:rsidP="008E6429">
      <w:pPr>
        <w:spacing w:line="360" w:lineRule="auto"/>
      </w:pPr>
    </w:p>
    <w:p w14:paraId="025DBC27" w14:textId="4662A801" w:rsidR="00BB463F" w:rsidRDefault="00A874B9" w:rsidP="00A01332">
      <w:pPr>
        <w:pStyle w:val="Heading1"/>
      </w:pPr>
      <w:bookmarkStart w:id="109" w:name="_Toc40008567"/>
      <w:r>
        <w:t>Bibliography</w:t>
      </w:r>
      <w:bookmarkEnd w:id="109"/>
    </w:p>
    <w:p w14:paraId="5F8CBC05" w14:textId="048EB98A" w:rsidR="008559E0" w:rsidRPr="00BA0CCD" w:rsidRDefault="008559E0" w:rsidP="00BA0CCD"/>
    <w:p w14:paraId="351607F9" w14:textId="77777777" w:rsidR="008559E0" w:rsidRDefault="008559E0" w:rsidP="00BA0CCD">
      <w:r w:rsidRPr="00BA0CCD">
        <w:t xml:space="preserve"> “Proud Jewish Woman Shares Tradition </w:t>
      </w:r>
      <w:proofErr w:type="gramStart"/>
      <w:r w:rsidRPr="00BA0CCD">
        <w:t>Of</w:t>
      </w:r>
      <w:proofErr w:type="gramEnd"/>
      <w:r w:rsidRPr="00BA0CCD">
        <w:t xml:space="preserve"> Mikvah On Tyra Banks Show!” </w:t>
      </w:r>
      <w:r w:rsidRPr="00BA0CCD">
        <w:rPr>
          <w:i/>
          <w:iCs/>
        </w:rPr>
        <w:t>Www.Youtube.Com</w:t>
      </w:r>
      <w:r w:rsidRPr="00BA0CCD">
        <w:t>, 2016, www.youtube.com/watch?v=LOM8h0DQ7kU. Accessed 25 Feb. 2020.</w:t>
      </w:r>
    </w:p>
    <w:p w14:paraId="293CB479" w14:textId="77777777" w:rsidR="008559E0" w:rsidRPr="00BA0CCD" w:rsidRDefault="008559E0" w:rsidP="00BA0CCD">
      <w:r w:rsidRPr="00BA0CCD">
        <w:t>Abramson, Henry. “The 14th Century Mikvah of the Carpentras Synagogue.” </w:t>
      </w:r>
      <w:r w:rsidRPr="00BA0CCD">
        <w:rPr>
          <w:i/>
          <w:iCs/>
        </w:rPr>
        <w:t>Www.Youtube.Com</w:t>
      </w:r>
      <w:r w:rsidRPr="00BA0CCD">
        <w:t>, 9 Nov. 2019, youtu.be/eHaz57ouMsw. Accessed 12 Feb. 2020.</w:t>
      </w:r>
    </w:p>
    <w:p w14:paraId="18E457B5" w14:textId="58C26190" w:rsidR="008559E0" w:rsidRPr="00BA0CCD" w:rsidRDefault="008559E0" w:rsidP="00BA0CCD">
      <w:r w:rsidRPr="00BA0CCD">
        <w:t>Aryeh</w:t>
      </w:r>
      <w:r>
        <w:t>, Katia</w:t>
      </w:r>
      <w:r w:rsidRPr="00BA0CCD">
        <w:t xml:space="preserve">. “I Had to Take My Dirty Panties to a Rabbi, and so Has Every </w:t>
      </w:r>
      <w:r w:rsidR="003247A4">
        <w:t>Orthodox</w:t>
      </w:r>
      <w:r w:rsidRPr="00BA0CCD">
        <w:t xml:space="preserve"> Jewish Woman | Richard Dawkins Foundation.” </w:t>
      </w:r>
      <w:r w:rsidRPr="00BA0CCD">
        <w:rPr>
          <w:i/>
          <w:iCs/>
        </w:rPr>
        <w:t>Richarddawkins.Net</w:t>
      </w:r>
      <w:r w:rsidRPr="00BA0CCD">
        <w:t>, 28 Nov. 2016, www.richarddawkins.net/2016/11/i-had-to-take-my-dirty-panties-to-a-rabbi-and-so-has-every-</w:t>
      </w:r>
      <w:r w:rsidR="003247A4">
        <w:t>Orthodox</w:t>
      </w:r>
      <w:r w:rsidRPr="00BA0CCD">
        <w:t>-jewish-woman/. Accessed 25 Feb. 2020.</w:t>
      </w:r>
    </w:p>
    <w:p w14:paraId="0B0574C1" w14:textId="77777777" w:rsidR="008559E0" w:rsidRPr="00BA0CCD" w:rsidRDefault="008559E0" w:rsidP="00BA0CCD">
      <w:proofErr w:type="spellStart"/>
      <w:r w:rsidRPr="00BA0CCD">
        <w:t>Balentine</w:t>
      </w:r>
      <w:proofErr w:type="spellEnd"/>
      <w:r>
        <w:t>, Samuel E</w:t>
      </w:r>
      <w:r w:rsidRPr="00BA0CCD">
        <w:t>. 2002. </w:t>
      </w:r>
      <w:r w:rsidRPr="00BA0CCD">
        <w:rPr>
          <w:i/>
          <w:iCs/>
        </w:rPr>
        <w:t>Leviticus</w:t>
      </w:r>
      <w:r w:rsidRPr="00BA0CCD">
        <w:t> (Kentucky: Westminster John Knox Pres), p. 122</w:t>
      </w:r>
    </w:p>
    <w:p w14:paraId="6B5CB3DA" w14:textId="77777777" w:rsidR="008559E0" w:rsidRPr="008559E0" w:rsidRDefault="008559E0" w:rsidP="008559E0">
      <w:r w:rsidRPr="008559E0">
        <w:t>Baskin, Judith R. 2002. </w:t>
      </w:r>
      <w:r w:rsidRPr="008559E0">
        <w:rPr>
          <w:i/>
          <w:iCs/>
        </w:rPr>
        <w:t xml:space="preserve">Midrashic </w:t>
      </w:r>
      <w:proofErr w:type="gramStart"/>
      <w:r w:rsidRPr="008559E0">
        <w:rPr>
          <w:i/>
          <w:iCs/>
        </w:rPr>
        <w:t>Women</w:t>
      </w:r>
      <w:r w:rsidRPr="008559E0">
        <w:rPr>
          <w:rFonts w:ascii="Arial" w:hAnsi="Arial" w:cs="Arial"/>
          <w:i/>
          <w:iCs/>
        </w:rPr>
        <w:t> </w:t>
      </w:r>
      <w:r w:rsidRPr="008559E0">
        <w:rPr>
          <w:i/>
          <w:iCs/>
        </w:rPr>
        <w:t>:</w:t>
      </w:r>
      <w:proofErr w:type="gramEnd"/>
      <w:r w:rsidRPr="008559E0">
        <w:rPr>
          <w:i/>
          <w:iCs/>
        </w:rPr>
        <w:t xml:space="preserve"> Formations of the Feminine in Rabbinic Literature</w:t>
      </w:r>
      <w:r w:rsidRPr="008559E0">
        <w:t> (Hannover, Nh Brandeis Univ. Press C), p. 141</w:t>
      </w:r>
    </w:p>
    <w:p w14:paraId="5E6CA4AF" w14:textId="77777777" w:rsidR="008559E0" w:rsidRPr="00BA0CCD" w:rsidRDefault="008559E0" w:rsidP="00BA0CCD">
      <w:r w:rsidRPr="00BA0CCD">
        <w:t>Berean Bridges: The Laws of Niddah - 119 Ministries. “Berean Bridges: The Laws of Niddah - 119 Ministries.” </w:t>
      </w:r>
      <w:r w:rsidRPr="00BA0CCD">
        <w:rPr>
          <w:i/>
          <w:iCs/>
        </w:rPr>
        <w:t>YouTube</w:t>
      </w:r>
      <w:r w:rsidRPr="00BA0CCD">
        <w:t>, 17 Feb. 2015, youtu.be/BqUHR8rM0qU. Accessed 10 Feb. 2020.</w:t>
      </w:r>
    </w:p>
    <w:p w14:paraId="08F6BC66" w14:textId="77777777" w:rsidR="008559E0" w:rsidRPr="00BA0CCD" w:rsidRDefault="008559E0" w:rsidP="0031608A">
      <w:proofErr w:type="spellStart"/>
      <w:r w:rsidRPr="00BA0CCD">
        <w:t>Biale</w:t>
      </w:r>
      <w:proofErr w:type="spellEnd"/>
      <w:r w:rsidRPr="00BA0CCD">
        <w:t>, Rachel. </w:t>
      </w:r>
      <w:r w:rsidRPr="00BA0CCD">
        <w:rPr>
          <w:i/>
          <w:iCs/>
        </w:rPr>
        <w:t>Women and Jewish Law</w:t>
      </w:r>
      <w:r w:rsidRPr="00BA0CCD">
        <w:rPr>
          <w:rFonts w:ascii="Arial" w:hAnsi="Arial" w:cs="Arial"/>
          <w:i/>
          <w:iCs/>
        </w:rPr>
        <w:t>:</w:t>
      </w:r>
      <w:r w:rsidRPr="00BA0CCD">
        <w:rPr>
          <w:i/>
          <w:iCs/>
        </w:rPr>
        <w:t xml:space="preserve"> The Essential Texts, Their History, and Their Relevance for Today</w:t>
      </w:r>
      <w:r w:rsidRPr="00BA0CCD">
        <w:t>. New York, Schocken Books, 1995</w:t>
      </w:r>
      <w:r>
        <w:t>.</w:t>
      </w:r>
    </w:p>
    <w:p w14:paraId="7CA63AF7" w14:textId="77777777" w:rsidR="008559E0" w:rsidRPr="00BA0CCD" w:rsidRDefault="008559E0" w:rsidP="00BA0CCD">
      <w:r w:rsidRPr="00BA0CCD">
        <w:t>Brooten</w:t>
      </w:r>
      <w:r>
        <w:t>, Bernadette</w:t>
      </w:r>
      <w:r w:rsidRPr="00BA0CCD">
        <w:t xml:space="preserve">, </w:t>
      </w:r>
      <w:r w:rsidRPr="00BA0CCD">
        <w:rPr>
          <w:i/>
          <w:iCs/>
        </w:rPr>
        <w:t>Women Leaders in the Ancient Synagogue</w:t>
      </w:r>
      <w:r w:rsidRPr="00BA0CCD">
        <w:t>, Brown Judaic Studies 36, Scholars’ Press, California 1982</w:t>
      </w:r>
    </w:p>
    <w:p w14:paraId="1031127D" w14:textId="77777777" w:rsidR="008559E0" w:rsidRPr="00BA0CCD" w:rsidRDefault="008559E0" w:rsidP="00BA0CCD">
      <w:proofErr w:type="spellStart"/>
      <w:r w:rsidRPr="00BA0CCD">
        <w:t>Bulkley</w:t>
      </w:r>
      <w:proofErr w:type="spellEnd"/>
      <w:r>
        <w:t>, Lucius D</w:t>
      </w:r>
      <w:r w:rsidRPr="00BA0CCD">
        <w:t xml:space="preserve">. “The Prevention of Cancer in Jewish Women,” </w:t>
      </w:r>
      <w:r w:rsidRPr="00BA0CCD">
        <w:rPr>
          <w:i/>
          <w:iCs/>
        </w:rPr>
        <w:t>The Jewish Forum</w:t>
      </w:r>
      <w:r w:rsidRPr="00BA0CCD">
        <w:t xml:space="preserve">, vol. 19 no. 6, June 1937:105 </w:t>
      </w:r>
    </w:p>
    <w:p w14:paraId="459F0985" w14:textId="77777777" w:rsidR="008559E0" w:rsidRPr="00BA0CCD" w:rsidRDefault="008559E0" w:rsidP="00BA0CCD">
      <w:r w:rsidRPr="00BA0CCD">
        <w:t>Celia Rothenberg</w:t>
      </w:r>
      <w:r>
        <w:t>, Celia</w:t>
      </w:r>
      <w:r w:rsidRPr="00BA0CCD">
        <w:t>. 2006. “Jewish Yoga: Experiencing Flexible, Sacred, and Jewish Bodies,” </w:t>
      </w:r>
      <w:r w:rsidRPr="00BA0CCD">
        <w:rPr>
          <w:i/>
          <w:iCs/>
        </w:rPr>
        <w:t>Nova Religio: The Journal of Alternative and Emergent Religions</w:t>
      </w:r>
      <w:r w:rsidRPr="00BA0CCD">
        <w:t>, 10.2: 57–74 &lt;https://doi.org/10.1525/nr.2006.10.2.57&gt;</w:t>
      </w:r>
    </w:p>
    <w:p w14:paraId="013D116E" w14:textId="77777777" w:rsidR="008559E0" w:rsidRPr="00BA0CCD" w:rsidRDefault="008559E0" w:rsidP="00BA0CCD">
      <w:r w:rsidRPr="009A4692">
        <w:t>Citron</w:t>
      </w:r>
      <w:r>
        <w:t>, Aryeh</w:t>
      </w:r>
      <w:r w:rsidRPr="009A4692">
        <w:t>. 2010. “Be Fruitful and Multiply - Parshat Bereishit,” </w:t>
      </w:r>
      <w:r w:rsidRPr="009A4692">
        <w:rPr>
          <w:i/>
          <w:iCs/>
        </w:rPr>
        <w:t>Www.Chabad.Org</w:t>
      </w:r>
      <w:r w:rsidRPr="009A4692">
        <w:t> &lt;https://www.chabad.org/library/article_cdo/aid/1005203/jewish/Be-Fruitful-and-Multiply.htm&gt; [accessed 3 March 2020]</w:t>
      </w:r>
    </w:p>
    <w:p w14:paraId="1ED261D5" w14:textId="77777777" w:rsidR="008559E0" w:rsidRPr="00BA0CCD" w:rsidRDefault="008559E0" w:rsidP="00BA0CCD">
      <w:r w:rsidRPr="00BA0CCD">
        <w:t>Correspondent</w:t>
      </w:r>
      <w:r>
        <w:t>, J</w:t>
      </w:r>
      <w:r w:rsidRPr="00BA0CCD">
        <w:t>. “Following Family Purity Laws Enhances Jewish Marriages.” </w:t>
      </w:r>
      <w:r w:rsidRPr="00BA0CCD">
        <w:rPr>
          <w:i/>
          <w:iCs/>
        </w:rPr>
        <w:t>J.- The Jewish News of North California</w:t>
      </w:r>
      <w:r w:rsidRPr="00BA0CCD">
        <w:t>, 28 Dec. 2016, www.jweekly.com/1996/11/08/following-family-purity-laws-enhances-jewish-marriages/.</w:t>
      </w:r>
    </w:p>
    <w:p w14:paraId="07FFFD0E" w14:textId="77777777" w:rsidR="008559E0" w:rsidRPr="00BA0CCD" w:rsidRDefault="008559E0" w:rsidP="00BA0CCD">
      <w:r w:rsidRPr="00BA0CCD">
        <w:t>Countryman</w:t>
      </w:r>
      <w:r>
        <w:t>, L. William, L W</w:t>
      </w:r>
      <w:r w:rsidRPr="00BA0CCD">
        <w:t>. </w:t>
      </w:r>
      <w:r w:rsidRPr="00BA0CCD">
        <w:rPr>
          <w:i/>
          <w:iCs/>
        </w:rPr>
        <w:t>Dirt, Greed and Sex</w:t>
      </w:r>
      <w:r w:rsidRPr="00BA0CCD">
        <w:t>. London, Scm, 2001, p. 10.</w:t>
      </w:r>
    </w:p>
    <w:p w14:paraId="029BA472" w14:textId="77777777" w:rsidR="008559E0" w:rsidRPr="00BA0CCD" w:rsidRDefault="008559E0" w:rsidP="00BA0CCD">
      <w:r w:rsidRPr="00BA0CCD">
        <w:t>Davey</w:t>
      </w:r>
      <w:r>
        <w:t>, Graham</w:t>
      </w:r>
      <w:r w:rsidRPr="00BA0CCD">
        <w:t>, et al. </w:t>
      </w:r>
      <w:proofErr w:type="gramStart"/>
      <w:r w:rsidRPr="00BA0CCD">
        <w:rPr>
          <w:i/>
          <w:iCs/>
        </w:rPr>
        <w:t>Obsessive Compulsive</w:t>
      </w:r>
      <w:proofErr w:type="gramEnd"/>
      <w:r w:rsidRPr="00BA0CCD">
        <w:rPr>
          <w:i/>
          <w:iCs/>
        </w:rPr>
        <w:t xml:space="preserve"> Disorder</w:t>
      </w:r>
      <w:r w:rsidRPr="00BA0CCD">
        <w:t>. Basingstoke</w:t>
      </w:r>
      <w:r w:rsidRPr="00BA0CCD">
        <w:rPr>
          <w:rFonts w:ascii="Arial" w:hAnsi="Arial" w:cs="Arial"/>
        </w:rPr>
        <w:t>;</w:t>
      </w:r>
      <w:r w:rsidRPr="00BA0CCD">
        <w:t xml:space="preserve"> New York, Palgrave Macmillan, 2014.</w:t>
      </w:r>
    </w:p>
    <w:p w14:paraId="28005489" w14:textId="77777777" w:rsidR="008559E0" w:rsidRPr="00BA0CCD" w:rsidRDefault="008559E0" w:rsidP="00BA0CCD">
      <w:r w:rsidRPr="00BA0CCD">
        <w:t>Fishman, Sylvia Barack. 1989. “The Impact of Feminism on American Jewish Life,” </w:t>
      </w:r>
      <w:r w:rsidRPr="00BA0CCD">
        <w:rPr>
          <w:i/>
          <w:iCs/>
        </w:rPr>
        <w:t>The American Jewish Year Book</w:t>
      </w:r>
      <w:r w:rsidRPr="00BA0CCD">
        <w:t>, 89: 3–62 [accessed 2 May 2020]</w:t>
      </w:r>
    </w:p>
    <w:p w14:paraId="2FB7E6EC" w14:textId="77777777" w:rsidR="008559E0" w:rsidRPr="00BA0CCD" w:rsidRDefault="008559E0" w:rsidP="00BA0CCD">
      <w:r w:rsidRPr="00BA0CCD">
        <w:t>Hammer</w:t>
      </w:r>
      <w:r>
        <w:t>, Jill</w:t>
      </w:r>
      <w:r w:rsidRPr="00BA0CCD">
        <w:t>. [n.d.]. “Feminist Perspectives on Niddah, the Laws of Separation,” </w:t>
      </w:r>
      <w:r w:rsidRPr="00BA0CCD">
        <w:rPr>
          <w:i/>
          <w:iCs/>
        </w:rPr>
        <w:t>My Jewish Learning</w:t>
      </w:r>
      <w:r w:rsidRPr="00BA0CCD">
        <w:t> &lt;https://www.myjewishlearning.com/article/rising-from-the-ritual-bath/&gt; [accessed 29 April 2020]</w:t>
      </w:r>
    </w:p>
    <w:p w14:paraId="3D22C816" w14:textId="2634B10C" w:rsidR="008559E0" w:rsidRPr="00BA0CCD" w:rsidRDefault="008559E0" w:rsidP="00BA0CCD">
      <w:r w:rsidRPr="00BA0CCD">
        <w:t>Hartman</w:t>
      </w:r>
      <w:r>
        <w:t>, Tova</w:t>
      </w:r>
      <w:r w:rsidRPr="00BA0CCD">
        <w:t xml:space="preserve">, and Naomi Marmon. “Lived Regulations, Systemic Attributions: Menstrual Separation and Ritual Immersion in the Experience of </w:t>
      </w:r>
      <w:r w:rsidR="003247A4">
        <w:t>Orthodox</w:t>
      </w:r>
      <w:r w:rsidRPr="00BA0CCD">
        <w:t xml:space="preserve"> Jewish Women.” </w:t>
      </w:r>
      <w:r w:rsidRPr="00BA0CCD">
        <w:rPr>
          <w:i/>
          <w:iCs/>
        </w:rPr>
        <w:t>Gender &amp; Society</w:t>
      </w:r>
      <w:r w:rsidRPr="00BA0CCD">
        <w:t>, vol. 18, no. 3, June 2004, pp. 389–408, 10.1177/0891243204264810. Accessed 17 Feb. 2020.</w:t>
      </w:r>
    </w:p>
    <w:p w14:paraId="7A62B5BD" w14:textId="77777777" w:rsidR="008559E0" w:rsidRPr="00BA0CCD" w:rsidRDefault="008559E0" w:rsidP="00BA0CCD">
      <w:r w:rsidRPr="00BA0CCD">
        <w:t>Hauptman, Judith. </w:t>
      </w:r>
      <w:r w:rsidRPr="00BA0CCD">
        <w:rPr>
          <w:i/>
          <w:iCs/>
        </w:rPr>
        <w:t>Rereading the Rabbis</w:t>
      </w:r>
      <w:r w:rsidRPr="00BA0CCD">
        <w:rPr>
          <w:rFonts w:ascii="Arial" w:hAnsi="Arial" w:cs="Arial"/>
          <w:i/>
          <w:iCs/>
        </w:rPr>
        <w:t>:</w:t>
      </w:r>
      <w:r w:rsidRPr="00BA0CCD">
        <w:rPr>
          <w:i/>
          <w:iCs/>
        </w:rPr>
        <w:t xml:space="preserve"> A Woman’s Voice</w:t>
      </w:r>
      <w:r w:rsidRPr="00BA0CCD">
        <w:t>. Oxford, Westview Press, 1998.</w:t>
      </w:r>
    </w:p>
    <w:p w14:paraId="37E30F98" w14:textId="0C9EB0AD" w:rsidR="008559E0" w:rsidRPr="00BA0CCD" w:rsidRDefault="008559E0" w:rsidP="00BA0CCD">
      <w:r w:rsidRPr="00BA0CCD">
        <w:t>Heilman</w:t>
      </w:r>
      <w:r>
        <w:t>, Samuel C</w:t>
      </w:r>
      <w:r w:rsidRPr="00BA0CCD">
        <w:t>, and Steven Martin Cohen. </w:t>
      </w:r>
      <w:r w:rsidRPr="00BA0CCD">
        <w:rPr>
          <w:i/>
          <w:iCs/>
        </w:rPr>
        <w:t xml:space="preserve">Cosmopolitans &amp; </w:t>
      </w:r>
      <w:proofErr w:type="spellStart"/>
      <w:r w:rsidRPr="00BA0CCD">
        <w:rPr>
          <w:i/>
          <w:iCs/>
        </w:rPr>
        <w:t>Parochials</w:t>
      </w:r>
      <w:proofErr w:type="spellEnd"/>
      <w:r w:rsidRPr="00BA0CCD">
        <w:rPr>
          <w:rFonts w:ascii="Arial" w:hAnsi="Arial" w:cs="Arial"/>
          <w:i/>
          <w:iCs/>
        </w:rPr>
        <w:t>:</w:t>
      </w:r>
      <w:r w:rsidRPr="00BA0CCD">
        <w:rPr>
          <w:i/>
          <w:iCs/>
        </w:rPr>
        <w:t xml:space="preserve"> Modern </w:t>
      </w:r>
      <w:r w:rsidR="003247A4">
        <w:rPr>
          <w:i/>
          <w:iCs/>
        </w:rPr>
        <w:t>Orthodox</w:t>
      </w:r>
      <w:r w:rsidRPr="00BA0CCD">
        <w:rPr>
          <w:i/>
          <w:iCs/>
        </w:rPr>
        <w:t xml:space="preserve"> Jews in America</w:t>
      </w:r>
      <w:r w:rsidRPr="00BA0CCD">
        <w:t>. Chicago (Ill.), University Of Chicago Press, 1989.</w:t>
      </w:r>
    </w:p>
    <w:p w14:paraId="1CD9FE7B" w14:textId="77777777" w:rsidR="008559E0" w:rsidRPr="00BA0CCD" w:rsidRDefault="008559E0" w:rsidP="00BA0CCD">
      <w:proofErr w:type="spellStart"/>
      <w:r w:rsidRPr="00BA0CCD">
        <w:t>Ilan</w:t>
      </w:r>
      <w:proofErr w:type="spellEnd"/>
      <w:r>
        <w:t>, Tal</w:t>
      </w:r>
      <w:r w:rsidRPr="00BA0CCD">
        <w:t>. </w:t>
      </w:r>
      <w:r w:rsidRPr="00BA0CCD">
        <w:rPr>
          <w:i/>
          <w:iCs/>
        </w:rPr>
        <w:t>Jewish Women in Greco-Roman Palestine</w:t>
      </w:r>
      <w:r w:rsidRPr="00BA0CCD">
        <w:t>. Peabody, Mass., Hendrickson Publishers, 1996.</w:t>
      </w:r>
    </w:p>
    <w:p w14:paraId="72047A5D" w14:textId="77777777" w:rsidR="008559E0" w:rsidRPr="00BA0CCD" w:rsidRDefault="008559E0" w:rsidP="00BA0CCD">
      <w:r w:rsidRPr="00BA0CCD">
        <w:t>Isaacs</w:t>
      </w:r>
      <w:r>
        <w:t>, Ronald H</w:t>
      </w:r>
      <w:r w:rsidRPr="00BA0CCD">
        <w:t>. </w:t>
      </w:r>
      <w:r w:rsidRPr="00BA0CCD">
        <w:rPr>
          <w:i/>
          <w:iCs/>
        </w:rPr>
        <w:t>Every Person’s Guide to Jewish Sexuality</w:t>
      </w:r>
      <w:r w:rsidRPr="00BA0CCD">
        <w:t>. Northvale, Nj, Jason Aronson, 2000.</w:t>
      </w:r>
    </w:p>
    <w:p w14:paraId="30D73F24" w14:textId="77777777" w:rsidR="008559E0" w:rsidRPr="00BA0CCD" w:rsidRDefault="008559E0" w:rsidP="00BA0CCD">
      <w:r w:rsidRPr="00BA0CCD">
        <w:t>Martin</w:t>
      </w:r>
      <w:r>
        <w:t>, Judith G</w:t>
      </w:r>
      <w:r w:rsidRPr="00BA0CCD">
        <w:t>. 1993. “Why Women Need a Feminist Spirituality,” </w:t>
      </w:r>
      <w:r w:rsidRPr="00BA0CCD">
        <w:rPr>
          <w:i/>
          <w:iCs/>
        </w:rPr>
        <w:t>Women’s Studies Quarterly</w:t>
      </w:r>
      <w:r w:rsidRPr="00BA0CCD">
        <w:t>, 21.1/2: 106–120 &lt;https://www.jstor.org/stable/pdf/40003877.pdf?ab_segments=0%252Fbasic_SYC-5152%252Ftest&amp;refreqid=excelsior%3A147b0db4b4a10beadcd4c01c1fc31423&gt; [accessed 1 May 2020]</w:t>
      </w:r>
    </w:p>
    <w:p w14:paraId="4C9E1D92" w14:textId="77777777" w:rsidR="008559E0" w:rsidRPr="00BA0CCD" w:rsidRDefault="008559E0" w:rsidP="00BA0CCD">
      <w:r w:rsidRPr="00BA0CCD">
        <w:t>Meacham</w:t>
      </w:r>
      <w:r>
        <w:t>, Tirzah</w:t>
      </w:r>
      <w:r w:rsidRPr="00BA0CCD">
        <w:t>. “Contraception | Jewish Women’s Archive.” </w:t>
      </w:r>
      <w:r w:rsidRPr="00BA0CCD">
        <w:rPr>
          <w:i/>
          <w:iCs/>
        </w:rPr>
        <w:t>Jwa.Org</w:t>
      </w:r>
      <w:r w:rsidRPr="00BA0CCD">
        <w:t>, 2009, jwa.org/encyclopedia/article/contraception.</w:t>
      </w:r>
    </w:p>
    <w:p w14:paraId="68E14D8B" w14:textId="77777777" w:rsidR="008559E0" w:rsidRPr="00BA0CCD" w:rsidRDefault="008559E0" w:rsidP="00BA0CCD">
      <w:proofErr w:type="spellStart"/>
      <w:r w:rsidRPr="00BA0CCD">
        <w:t>Ner</w:t>
      </w:r>
      <w:proofErr w:type="spellEnd"/>
      <w:r w:rsidRPr="00BA0CCD">
        <w:t>-David</w:t>
      </w:r>
      <w:r>
        <w:t xml:space="preserve">, </w:t>
      </w:r>
      <w:proofErr w:type="spellStart"/>
      <w:r>
        <w:t>Haviva</w:t>
      </w:r>
      <w:proofErr w:type="spellEnd"/>
      <w:r w:rsidRPr="00BA0CCD">
        <w:t>. 2009. </w:t>
      </w:r>
      <w:r w:rsidRPr="00BA0CCD">
        <w:rPr>
          <w:i/>
          <w:iCs/>
        </w:rPr>
        <w:t>The Passionate Torah: Sex and Judaism</w:t>
      </w:r>
      <w:r w:rsidRPr="00BA0CCD">
        <w:t>, ed. by Danya Ruttenberg (NYU Press)</w:t>
      </w:r>
      <w:r>
        <w:t>.</w:t>
      </w:r>
    </w:p>
    <w:p w14:paraId="2668AFBB" w14:textId="77777777" w:rsidR="008559E0" w:rsidRDefault="008559E0" w:rsidP="0031608A">
      <w:proofErr w:type="spellStart"/>
      <w:r w:rsidRPr="00BA0CCD">
        <w:t>O’Grandy</w:t>
      </w:r>
      <w:proofErr w:type="spellEnd"/>
      <w:r w:rsidRPr="00BA0CCD">
        <w:t>, Kathleen. </w:t>
      </w:r>
      <w:r w:rsidRPr="00BA0CCD">
        <w:rPr>
          <w:i/>
          <w:iCs/>
        </w:rPr>
        <w:t>Wholly Woman, Holy Blood: A Feminist Critique of Purity and Impurity</w:t>
      </w:r>
      <w:r w:rsidRPr="00BA0CCD">
        <w:t>. edited by Kristin De Troyer et al., Harrisburg, Pa, Trinity Press International, 2003</w:t>
      </w:r>
      <w:r>
        <w:t>.</w:t>
      </w:r>
    </w:p>
    <w:p w14:paraId="192A516F" w14:textId="77777777" w:rsidR="008559E0" w:rsidRPr="00BA0CCD" w:rsidRDefault="008559E0" w:rsidP="00BA0CCD">
      <w:proofErr w:type="spellStart"/>
      <w:r w:rsidRPr="00BA0CCD">
        <w:t>Remennick</w:t>
      </w:r>
      <w:proofErr w:type="spellEnd"/>
      <w:r>
        <w:t>, Larissa I</w:t>
      </w:r>
      <w:r w:rsidRPr="00BA0CCD">
        <w:t>., and Amir Hetsroni. “Public Attitudes toward Abortion in Israel: A Research Note.” </w:t>
      </w:r>
      <w:r w:rsidRPr="00BA0CCD">
        <w:rPr>
          <w:i/>
          <w:iCs/>
        </w:rPr>
        <w:t>Social Science Quarterly</w:t>
      </w:r>
      <w:r w:rsidRPr="00BA0CCD">
        <w:t xml:space="preserve">, vol. 82, no. 2, June 2001, pp. 420–431, 10.1111/0038-4941.00033. </w:t>
      </w:r>
      <w:r>
        <w:t>[a</w:t>
      </w:r>
      <w:r w:rsidRPr="00BA0CCD">
        <w:t>ccessed 26 Feb. 2020</w:t>
      </w:r>
      <w:r>
        <w:t>]</w:t>
      </w:r>
    </w:p>
    <w:p w14:paraId="0782C128" w14:textId="77777777" w:rsidR="008559E0" w:rsidRDefault="008559E0" w:rsidP="00BA0CCD">
      <w:r w:rsidRPr="00BA0CCD">
        <w:t>Selvidge, Marla J. “Mark 5:25-34 and Leviticus 15:19-20: A Reaction to Restrictive Purity Regulations.” </w:t>
      </w:r>
      <w:r w:rsidRPr="00BA0CCD">
        <w:rPr>
          <w:i/>
          <w:iCs/>
        </w:rPr>
        <w:t>Journal of Biblical Literature</w:t>
      </w:r>
      <w:r w:rsidRPr="00BA0CCD">
        <w:t>, vol. 103, no. 4, Dec. 1984, p. 619, 10.2307/3260473.</w:t>
      </w:r>
    </w:p>
    <w:p w14:paraId="3E38C6FD" w14:textId="77777777" w:rsidR="008559E0" w:rsidRPr="0031608A" w:rsidRDefault="008559E0" w:rsidP="0031608A">
      <w:proofErr w:type="spellStart"/>
      <w:r w:rsidRPr="0031608A">
        <w:t>Sered</w:t>
      </w:r>
      <w:proofErr w:type="spellEnd"/>
      <w:r w:rsidRPr="0031608A">
        <w:t>, Susan S. 1991. “Childbirth as a Religious Experience? Voices from an Israeli Hospital,” </w:t>
      </w:r>
      <w:r w:rsidRPr="0031608A">
        <w:rPr>
          <w:i/>
          <w:iCs/>
        </w:rPr>
        <w:t>Journal of Feminist Studies in Religion</w:t>
      </w:r>
      <w:r w:rsidRPr="0031608A">
        <w:t>, Vol: 7. Issue: 2: 7–18 &lt;www.jstor.org/stable/25002152&gt;</w:t>
      </w:r>
    </w:p>
    <w:p w14:paraId="2336BF3D" w14:textId="77777777" w:rsidR="008559E0" w:rsidRPr="00BA0CCD" w:rsidRDefault="008559E0" w:rsidP="00BA0CCD">
      <w:proofErr w:type="spellStart"/>
      <w:r w:rsidRPr="00BA0CCD">
        <w:t>Sered</w:t>
      </w:r>
      <w:proofErr w:type="spellEnd"/>
      <w:r>
        <w:t>, Susan S</w:t>
      </w:r>
      <w:r w:rsidRPr="00BA0CCD">
        <w:t>. </w:t>
      </w:r>
      <w:r w:rsidRPr="00BA0CCD">
        <w:rPr>
          <w:i/>
          <w:iCs/>
        </w:rPr>
        <w:t>Feminist Perspectives on Jewish Studies</w:t>
      </w:r>
      <w:r w:rsidRPr="00BA0CCD">
        <w:t>. edited by Lynn Davidman and Shelly Tenenbaum, New Haven, Yale University Press, 1994.</w:t>
      </w:r>
    </w:p>
    <w:p w14:paraId="06534D26" w14:textId="77777777" w:rsidR="008559E0" w:rsidRPr="00BA0CCD" w:rsidRDefault="008559E0" w:rsidP="00BA0CCD">
      <w:proofErr w:type="spellStart"/>
      <w:r w:rsidRPr="00BA0CCD">
        <w:t>Setel</w:t>
      </w:r>
      <w:proofErr w:type="spellEnd"/>
      <w:r>
        <w:t>, T. Drorah</w:t>
      </w:r>
      <w:r w:rsidRPr="00BA0CCD">
        <w:t>, Catherine Keller, Marcia Falk, Anne M. Solomon, and Rita M. Gross. 1986. “Roundtable Discussion: Feminist Reflections on Separation and Unity in Jewish Theology,” </w:t>
      </w:r>
      <w:r w:rsidRPr="00BA0CCD">
        <w:rPr>
          <w:i/>
          <w:iCs/>
        </w:rPr>
        <w:t>Journal of Feminist Studies in Religion</w:t>
      </w:r>
      <w:r w:rsidRPr="00BA0CCD">
        <w:t>, 2.1: 113–130 &lt;https://www.jstor.org/stable/pdf/25002032.pdf&gt; [accessed 27 April 2020]</w:t>
      </w:r>
    </w:p>
    <w:p w14:paraId="44C350F1" w14:textId="77777777" w:rsidR="008559E0" w:rsidRPr="00BA0CCD" w:rsidRDefault="008559E0" w:rsidP="00BA0CCD">
      <w:r w:rsidRPr="00BA0CCD">
        <w:t>Sheridan, Sybil. </w:t>
      </w:r>
      <w:r w:rsidRPr="00BA0CCD">
        <w:rPr>
          <w:i/>
          <w:iCs/>
        </w:rPr>
        <w:t>Hear Our Voice</w:t>
      </w:r>
      <w:r w:rsidRPr="00BA0CCD">
        <w:rPr>
          <w:rFonts w:ascii="Arial" w:hAnsi="Arial" w:cs="Arial"/>
          <w:i/>
          <w:iCs/>
        </w:rPr>
        <w:t>:</w:t>
      </w:r>
      <w:r w:rsidRPr="00BA0CCD">
        <w:rPr>
          <w:i/>
          <w:iCs/>
        </w:rPr>
        <w:t xml:space="preserve"> Women in the British Rabbinate</w:t>
      </w:r>
      <w:r w:rsidRPr="00BA0CCD">
        <w:t>. Columbia, S.C., University of South Carolina Press, 1998.</w:t>
      </w:r>
    </w:p>
    <w:p w14:paraId="140518DA" w14:textId="12EE22E6" w:rsidR="008559E0" w:rsidRPr="00BA0CCD" w:rsidRDefault="008559E0" w:rsidP="00BA0CCD">
      <w:r w:rsidRPr="00BA0CCD">
        <w:t>Tova Hartman</w:t>
      </w:r>
      <w:r>
        <w:t>, Tova</w:t>
      </w:r>
      <w:r w:rsidRPr="00BA0CCD">
        <w:t xml:space="preserve">, and Naomi Marmon. 2004. “Lived Regulations, Systemic Attributions: Menstrual Separation and Ritual Immersion in the Experience of </w:t>
      </w:r>
      <w:r w:rsidR="003247A4">
        <w:t>Orthodox</w:t>
      </w:r>
      <w:r w:rsidRPr="00BA0CCD">
        <w:t xml:space="preserve"> Jewish Women,” </w:t>
      </w:r>
      <w:r w:rsidRPr="00BA0CCD">
        <w:rPr>
          <w:i/>
          <w:iCs/>
        </w:rPr>
        <w:t>Gender &amp; Society</w:t>
      </w:r>
      <w:r w:rsidRPr="00BA0CCD">
        <w:t>, 18.3: 389–408 &lt;https://doi.org/10.1177/0891243204264810&gt;</w:t>
      </w:r>
    </w:p>
    <w:p w14:paraId="22971ADF" w14:textId="77777777" w:rsidR="008559E0" w:rsidRPr="00BA0CCD" w:rsidRDefault="008559E0" w:rsidP="00BA0CCD">
      <w:r w:rsidRPr="00BA0CCD">
        <w:t>Wenger</w:t>
      </w:r>
      <w:r>
        <w:t>, Beth S</w:t>
      </w:r>
      <w:r w:rsidRPr="00BA0CCD">
        <w:t>. </w:t>
      </w:r>
      <w:r w:rsidRPr="00BA0CCD">
        <w:rPr>
          <w:i/>
          <w:iCs/>
        </w:rPr>
        <w:t>Women and American Judaism</w:t>
      </w:r>
      <w:r w:rsidRPr="00BA0CCD">
        <w:rPr>
          <w:rFonts w:ascii="Arial" w:hAnsi="Arial" w:cs="Arial"/>
          <w:i/>
          <w:iCs/>
        </w:rPr>
        <w:t>:</w:t>
      </w:r>
      <w:r w:rsidRPr="00BA0CCD">
        <w:rPr>
          <w:i/>
          <w:iCs/>
        </w:rPr>
        <w:t xml:space="preserve"> Historical Perspectives</w:t>
      </w:r>
      <w:r w:rsidRPr="00BA0CCD">
        <w:t>. edited by Pamela Susan and Jonathan D Sarna, Hanover And London, University Press Of New England, 2001.</w:t>
      </w:r>
    </w:p>
    <w:p w14:paraId="19EE8EEB" w14:textId="77777777" w:rsidR="008559E0" w:rsidRPr="00BA0CCD" w:rsidRDefault="008559E0" w:rsidP="00BA0CCD">
      <w:r w:rsidRPr="00BA0CCD">
        <w:t>Wenger, Beth. “Mikveh | Jewish Women’s Archive.” </w:t>
      </w:r>
      <w:r w:rsidRPr="00BA0CCD">
        <w:rPr>
          <w:i/>
          <w:iCs/>
        </w:rPr>
        <w:t>Jwa.Org</w:t>
      </w:r>
      <w:r w:rsidRPr="00BA0CCD">
        <w:t>, 2009, jwa.org/encyclopedia/article/mikveh. Accessed 12 Feb. 2020.</w:t>
      </w:r>
    </w:p>
    <w:p w14:paraId="6FED7FCC" w14:textId="77777777" w:rsidR="008559E0" w:rsidRPr="00BA0CCD" w:rsidRDefault="008559E0" w:rsidP="00BA0CCD">
      <w:r w:rsidRPr="00BA0CCD">
        <w:t>Wenger</w:t>
      </w:r>
      <w:r>
        <w:t>, Beth.</w:t>
      </w:r>
      <w:r w:rsidRPr="00BA0CCD">
        <w:t xml:space="preserve"> 2009a. “Mikveh | Jewish Women’s Archive,” </w:t>
      </w:r>
      <w:r w:rsidRPr="00BA0CCD">
        <w:rPr>
          <w:i/>
          <w:iCs/>
        </w:rPr>
        <w:t>Jwa.Org</w:t>
      </w:r>
      <w:r w:rsidRPr="00BA0CCD">
        <w:t> &lt;https://jwa.org/encyclopedia/article/mikveh&gt; [accessed 12 February 2020]</w:t>
      </w:r>
    </w:p>
    <w:p w14:paraId="054C9851" w14:textId="77777777" w:rsidR="008559E0" w:rsidRPr="00BA0CCD" w:rsidRDefault="008559E0" w:rsidP="00BA0CCD">
      <w:proofErr w:type="spellStart"/>
      <w:r w:rsidRPr="00BA0CCD">
        <w:t>Yadgar</w:t>
      </w:r>
      <w:proofErr w:type="spellEnd"/>
      <w:r>
        <w:t>, Yaacov</w:t>
      </w:r>
      <w:r w:rsidRPr="00BA0CCD">
        <w:t>. 2006. “Gender, Religion, and Feminism: The Case of Jewish Israeli Traditionalists,” </w:t>
      </w:r>
      <w:r w:rsidRPr="00BA0CCD">
        <w:rPr>
          <w:i/>
          <w:iCs/>
        </w:rPr>
        <w:t>Journal for the Scientific Study of Religion</w:t>
      </w:r>
      <w:r w:rsidRPr="00BA0CCD">
        <w:t>, 45.3: 353–70 &lt;https://doi.org/10.1111/j.1468-5906.2006.00311.x&gt;</w:t>
      </w:r>
    </w:p>
    <w:p w14:paraId="667C21C8" w14:textId="77777777" w:rsidR="008559E0" w:rsidRDefault="008559E0" w:rsidP="00BA0CCD">
      <w:r w:rsidRPr="00BA0CCD">
        <w:t>Yang</w:t>
      </w:r>
      <w:r>
        <w:t>,</w:t>
      </w:r>
      <w:r w:rsidRPr="00BA0CCD">
        <w:t xml:space="preserve"> Yang, Nitesh V. Chawla, and Brian Uzzi. 2019. “A Network’s Gender Composition and Communication Pattern Predict Women’s Leadership Success,” </w:t>
      </w:r>
      <w:r w:rsidRPr="00BA0CCD">
        <w:rPr>
          <w:i/>
          <w:iCs/>
        </w:rPr>
        <w:t>Proceedings of the National Academy of Sciences</w:t>
      </w:r>
      <w:r w:rsidRPr="00BA0CCD">
        <w:t xml:space="preserve">, 116.6: 2033–38 </w:t>
      </w:r>
      <w:hyperlink r:id="rId16" w:history="1">
        <w:r w:rsidRPr="00CF606A">
          <w:rPr>
            <w:rStyle w:val="Hyperlink"/>
          </w:rPr>
          <w:t>https://doi.org/10.1073/pnas.1721438116</w:t>
        </w:r>
      </w:hyperlink>
    </w:p>
    <w:sectPr w:rsidR="008559E0" w:rsidSect="004A44A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8971F6" w14:textId="77777777" w:rsidR="00423D82" w:rsidRDefault="00423D82" w:rsidP="00E86A24">
      <w:pPr>
        <w:spacing w:after="0" w:line="240" w:lineRule="auto"/>
      </w:pPr>
      <w:r>
        <w:separator/>
      </w:r>
    </w:p>
  </w:endnote>
  <w:endnote w:type="continuationSeparator" w:id="0">
    <w:p w14:paraId="0A6B7984" w14:textId="77777777" w:rsidR="00423D82" w:rsidRDefault="00423D82" w:rsidP="00E86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4191557"/>
      <w:docPartObj>
        <w:docPartGallery w:val="Page Numbers (Bottom of Page)"/>
        <w:docPartUnique/>
      </w:docPartObj>
    </w:sdtPr>
    <w:sdtEndPr>
      <w:rPr>
        <w:color w:val="7F7F7F" w:themeColor="background1" w:themeShade="7F"/>
        <w:spacing w:val="60"/>
      </w:rPr>
    </w:sdtEndPr>
    <w:sdtContent>
      <w:p w14:paraId="69EBC136" w14:textId="48503F8D" w:rsidR="003247A4" w:rsidRDefault="003247A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6D7CE7" w14:textId="77777777" w:rsidR="003247A4" w:rsidRDefault="00324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F0847D" w14:textId="77777777" w:rsidR="00423D82" w:rsidRDefault="00423D82" w:rsidP="00E86A24">
      <w:pPr>
        <w:spacing w:after="0" w:line="240" w:lineRule="auto"/>
      </w:pPr>
      <w:r>
        <w:separator/>
      </w:r>
    </w:p>
  </w:footnote>
  <w:footnote w:type="continuationSeparator" w:id="0">
    <w:p w14:paraId="076C28C1" w14:textId="77777777" w:rsidR="00423D82" w:rsidRDefault="00423D82" w:rsidP="00E86A24">
      <w:pPr>
        <w:spacing w:after="0" w:line="240" w:lineRule="auto"/>
      </w:pPr>
      <w:r>
        <w:continuationSeparator/>
      </w:r>
    </w:p>
  </w:footnote>
  <w:footnote w:id="1">
    <w:p w14:paraId="1BAC8A39" w14:textId="004EC85F" w:rsidR="003247A4" w:rsidRDefault="003247A4" w:rsidP="009F5D7C">
      <w:pPr>
        <w:pStyle w:val="FootnoteText"/>
      </w:pPr>
      <w:r>
        <w:rPr>
          <w:rStyle w:val="FootnoteReference"/>
        </w:rPr>
        <w:footnoteRef/>
      </w:r>
      <w:r w:rsidRPr="00C87C31">
        <w:t>Beth</w:t>
      </w:r>
      <w:r>
        <w:t xml:space="preserve"> Wenger</w:t>
      </w:r>
      <w:r w:rsidRPr="00C87C31">
        <w:t>. 2009a. “Mikveh | Jewish Women’s Archive,” </w:t>
      </w:r>
      <w:r w:rsidRPr="00C87C31">
        <w:rPr>
          <w:i/>
          <w:iCs/>
        </w:rPr>
        <w:t>Jwa.Org</w:t>
      </w:r>
      <w:r w:rsidRPr="00C87C31">
        <w:t> &lt;https://jwa.org/encyclopedia/article/mikveh&gt; [accessed 12 February 2020]</w:t>
      </w:r>
    </w:p>
  </w:footnote>
  <w:footnote w:id="2">
    <w:p w14:paraId="453F6008" w14:textId="6589E8D8" w:rsidR="003247A4" w:rsidRDefault="003247A4" w:rsidP="009F5D7C">
      <w:pPr>
        <w:pStyle w:val="FootnoteText"/>
      </w:pPr>
      <w:r>
        <w:rPr>
          <w:rStyle w:val="FootnoteReference"/>
        </w:rPr>
        <w:footnoteRef/>
      </w:r>
      <w:r>
        <w:t xml:space="preserve"> </w:t>
      </w:r>
      <w:r w:rsidRPr="004B439E">
        <w:rPr>
          <w:i/>
          <w:iCs/>
        </w:rPr>
        <w:t> </w:t>
      </w:r>
      <w:hyperlink r:id="rId1" w:history="1">
        <w:r w:rsidRPr="004B439E">
          <w:t>Tirzah Meacham</w:t>
        </w:r>
      </w:hyperlink>
      <w:r>
        <w:t>.</w:t>
      </w:r>
      <w:r w:rsidRPr="004B439E">
        <w:t xml:space="preserve"> 2009. “Female Purity (Niddah) | Jewish Women’s Archive,” </w:t>
      </w:r>
      <w:r w:rsidRPr="004B439E">
        <w:rPr>
          <w:i/>
          <w:iCs/>
        </w:rPr>
        <w:t>Jwa.Org</w:t>
      </w:r>
      <w:r w:rsidRPr="004B439E">
        <w:t> &lt;https://jwa.org/encyclopedia/article/female-purity-niddah&gt; [accessed 3 May 2020]</w:t>
      </w:r>
    </w:p>
  </w:footnote>
  <w:footnote w:id="3">
    <w:p w14:paraId="2B53FD02" w14:textId="7D5CA098" w:rsidR="003247A4" w:rsidRPr="00882E87" w:rsidRDefault="003247A4" w:rsidP="009F5D7C">
      <w:pPr>
        <w:pStyle w:val="FootnoteText"/>
      </w:pPr>
      <w:r>
        <w:rPr>
          <w:rStyle w:val="FootnoteReference"/>
        </w:rPr>
        <w:footnoteRef/>
      </w:r>
      <w:r>
        <w:t xml:space="preserve"> </w:t>
      </w:r>
      <w:r w:rsidRPr="00882E87">
        <w:t>Samuel E</w:t>
      </w:r>
      <w:r>
        <w:t xml:space="preserve"> Balentine</w:t>
      </w:r>
      <w:r w:rsidRPr="00882E87">
        <w:t>. 2002. </w:t>
      </w:r>
      <w:r w:rsidRPr="00882E87">
        <w:rPr>
          <w:i/>
          <w:iCs/>
        </w:rPr>
        <w:t>Leviticus</w:t>
      </w:r>
      <w:r w:rsidRPr="00882E87">
        <w:t> (Kentucky: Westminster John Knox Pres), p. 122</w:t>
      </w:r>
      <w:r>
        <w:t>.</w:t>
      </w:r>
    </w:p>
    <w:p w14:paraId="501DF0FF" w14:textId="77777777" w:rsidR="003247A4" w:rsidRPr="00882E87" w:rsidRDefault="003247A4" w:rsidP="009F5D7C">
      <w:pPr>
        <w:pStyle w:val="FootnoteText"/>
      </w:pPr>
      <w:r w:rsidRPr="00882E87">
        <w:rPr>
          <w:rFonts w:ascii="Arial" w:hAnsi="Arial" w:cs="Arial"/>
        </w:rPr>
        <w:t>‌</w:t>
      </w:r>
    </w:p>
    <w:p w14:paraId="27B3341D" w14:textId="77777777" w:rsidR="003247A4" w:rsidRDefault="003247A4" w:rsidP="009F5D7C">
      <w:pPr>
        <w:pStyle w:val="FootnoteText"/>
      </w:pPr>
    </w:p>
  </w:footnote>
  <w:footnote w:id="4">
    <w:p w14:paraId="60B034BE" w14:textId="77777777" w:rsidR="003247A4" w:rsidRDefault="003247A4" w:rsidP="001961FF">
      <w:pPr>
        <w:pStyle w:val="FootnoteText"/>
      </w:pPr>
      <w:r>
        <w:rPr>
          <w:rStyle w:val="FootnoteReference"/>
        </w:rPr>
        <w:footnoteRef/>
      </w:r>
      <w:r>
        <w:t xml:space="preserve"> Here it is referring to the blood of an animal, that of the dead, and menstrual blood</w:t>
      </w:r>
    </w:p>
  </w:footnote>
  <w:footnote w:id="5">
    <w:p w14:paraId="62E450B6" w14:textId="76B68999" w:rsidR="003247A4" w:rsidRDefault="003247A4" w:rsidP="001961FF">
      <w:pPr>
        <w:pStyle w:val="FootnoteText"/>
      </w:pPr>
      <w:r>
        <w:rPr>
          <w:rStyle w:val="FootnoteReference"/>
        </w:rPr>
        <w:footnoteRef/>
      </w:r>
      <w:r>
        <w:t xml:space="preserve"> </w:t>
      </w:r>
      <w:r w:rsidRPr="00E7451F">
        <w:t>Judith</w:t>
      </w:r>
      <w:r>
        <w:t xml:space="preserve"> Hauptman</w:t>
      </w:r>
      <w:r w:rsidRPr="00E7451F">
        <w:t>. </w:t>
      </w:r>
      <w:r w:rsidRPr="00E7451F">
        <w:rPr>
          <w:i/>
          <w:iCs/>
        </w:rPr>
        <w:t>Rereading the Rabbis: A Woman</w:t>
      </w:r>
      <w:r w:rsidRPr="00E7451F">
        <w:rPr>
          <w:rFonts w:cs="Trebuchet MS"/>
          <w:i/>
          <w:iCs/>
        </w:rPr>
        <w:t>’</w:t>
      </w:r>
      <w:r w:rsidRPr="00E7451F">
        <w:rPr>
          <w:i/>
          <w:iCs/>
        </w:rPr>
        <w:t>s Voice</w:t>
      </w:r>
      <w:r w:rsidRPr="00E7451F">
        <w:t>. Oxford, Westview Press, 1998, p. 150</w:t>
      </w:r>
      <w:r>
        <w:t>.</w:t>
      </w:r>
    </w:p>
  </w:footnote>
  <w:footnote w:id="6">
    <w:p w14:paraId="157E0C06" w14:textId="6BF66882" w:rsidR="003247A4" w:rsidRDefault="003247A4" w:rsidP="001961FF">
      <w:pPr>
        <w:pStyle w:val="FootnoteText"/>
      </w:pPr>
      <w:r>
        <w:rPr>
          <w:rStyle w:val="FootnoteReference"/>
        </w:rPr>
        <w:footnoteRef/>
      </w:r>
      <w:r>
        <w:t xml:space="preserve"> </w:t>
      </w:r>
      <w:r w:rsidRPr="00E7451F">
        <w:t>L</w:t>
      </w:r>
      <w:r>
        <w:t>.</w:t>
      </w:r>
      <w:r w:rsidRPr="00E7451F">
        <w:t> William Countryman. </w:t>
      </w:r>
      <w:r w:rsidRPr="00E7451F">
        <w:rPr>
          <w:i/>
          <w:iCs/>
        </w:rPr>
        <w:t>Dirt, Greed and Sex</w:t>
      </w:r>
      <w:r w:rsidRPr="00E7451F">
        <w:t>. London, Scm, 2001, p. 10.</w:t>
      </w:r>
    </w:p>
  </w:footnote>
  <w:footnote w:id="7">
    <w:p w14:paraId="1FA0022C" w14:textId="29FDFD92" w:rsidR="003247A4" w:rsidRDefault="003247A4" w:rsidP="001961FF">
      <w:pPr>
        <w:pStyle w:val="FootnoteText"/>
      </w:pPr>
      <w:r>
        <w:rPr>
          <w:rStyle w:val="FootnoteReference"/>
        </w:rPr>
        <w:footnoteRef/>
      </w:r>
      <w:r>
        <w:t xml:space="preserve"> </w:t>
      </w:r>
      <w:r w:rsidRPr="00060AD7">
        <w:t>Berean Bridges: The Laws of Niddah - 119 Ministries. “Berean Bridges: The Laws of Niddah - 119 Ministries.” </w:t>
      </w:r>
      <w:r w:rsidRPr="00060AD7">
        <w:rPr>
          <w:i/>
          <w:iCs/>
        </w:rPr>
        <w:t>YouTube</w:t>
      </w:r>
      <w:r w:rsidRPr="00060AD7">
        <w:t xml:space="preserve">, 17 Feb. 2015, youtu.be/BqUHR8rM0qU. </w:t>
      </w:r>
      <w:r>
        <w:t>[a</w:t>
      </w:r>
      <w:r w:rsidRPr="00060AD7">
        <w:t>ccessed 10 Feb. 2020</w:t>
      </w:r>
      <w:r>
        <w:t>]</w:t>
      </w:r>
    </w:p>
  </w:footnote>
  <w:footnote w:id="8">
    <w:p w14:paraId="58800A1B" w14:textId="77777777" w:rsidR="003247A4" w:rsidRDefault="003247A4" w:rsidP="001961FF">
      <w:pPr>
        <w:pStyle w:val="FootnoteText"/>
      </w:pPr>
      <w:r>
        <w:rPr>
          <w:rStyle w:val="FootnoteReference"/>
        </w:rPr>
        <w:footnoteRef/>
      </w:r>
      <w:r>
        <w:t xml:space="preserve"> </w:t>
      </w:r>
      <w:r w:rsidRPr="007E5E93">
        <w:t>Ṭal Ilan. </w:t>
      </w:r>
      <w:r w:rsidRPr="007E5E93">
        <w:rPr>
          <w:i/>
          <w:iCs/>
        </w:rPr>
        <w:t>Jewish Women in Greco-Roman Palestine</w:t>
      </w:r>
      <w:r w:rsidRPr="007E5E93">
        <w:t>. Peabody, Mass., Hendrickson Publishers, 1996, p. 101.</w:t>
      </w:r>
    </w:p>
  </w:footnote>
  <w:footnote w:id="9">
    <w:p w14:paraId="43108985" w14:textId="351EA61A" w:rsidR="003247A4" w:rsidRDefault="003247A4" w:rsidP="001961FF">
      <w:pPr>
        <w:pStyle w:val="FootnoteText"/>
      </w:pPr>
      <w:r>
        <w:rPr>
          <w:rStyle w:val="FootnoteReference"/>
        </w:rPr>
        <w:footnoteRef/>
      </w:r>
      <w:r>
        <w:t xml:space="preserve"> The</w:t>
      </w:r>
      <w:r w:rsidR="00B3456A">
        <w:t xml:space="preserve"> seven day can</w:t>
      </w:r>
      <w:r>
        <w:t xml:space="preserve"> also be known as the </w:t>
      </w:r>
      <w:r w:rsidR="00B3456A">
        <w:t>‘</w:t>
      </w:r>
      <w:r>
        <w:t>white days</w:t>
      </w:r>
      <w:r w:rsidR="00B3456A">
        <w:t>’</w:t>
      </w:r>
      <w:r>
        <w:t xml:space="preserve"> as women would test for blood by inserting a white cloth into her</w:t>
      </w:r>
      <w:r w:rsidR="00B3456A">
        <w:t>self</w:t>
      </w:r>
      <w:r>
        <w:t xml:space="preserve"> and </w:t>
      </w:r>
      <w:r w:rsidR="00B3456A">
        <w:t>checking the cloth for any blood.</w:t>
      </w:r>
    </w:p>
  </w:footnote>
  <w:footnote w:id="10">
    <w:p w14:paraId="6C7899BE" w14:textId="77777777" w:rsidR="003247A4" w:rsidRDefault="003247A4" w:rsidP="001961FF">
      <w:pPr>
        <w:pStyle w:val="FootnoteText"/>
      </w:pPr>
      <w:r>
        <w:rPr>
          <w:rStyle w:val="FootnoteReference"/>
        </w:rPr>
        <w:footnoteRef/>
      </w:r>
      <w:r>
        <w:t xml:space="preserve"> </w:t>
      </w:r>
      <w:bookmarkStart w:id="64" w:name="_Hlk40012419"/>
      <w:r>
        <w:t>Lev 15:13-15</w:t>
      </w:r>
      <w:bookmarkEnd w:id="64"/>
      <w:r>
        <w:t xml:space="preserve">: </w:t>
      </w:r>
      <w:r>
        <w:rPr>
          <w:rStyle w:val="text"/>
          <w:rFonts w:ascii="Verdana" w:hAnsi="Verdana"/>
          <w:color w:val="000000"/>
          <w:shd w:val="clear" w:color="auto" w:fill="FFFFFF"/>
        </w:rPr>
        <w:t>When the one with a discharge is cleansed of his discharge, he shall count seven days for his cleansing; he shall wash his clothes and bathe his body in fresh water, and he shall be clean.</w:t>
      </w:r>
      <w:r>
        <w:rPr>
          <w:rStyle w:val="text"/>
          <w:rFonts w:ascii="Arial" w:hAnsi="Arial" w:cs="Arial"/>
          <w:b/>
          <w:bCs/>
          <w:color w:val="000000"/>
          <w:sz w:val="18"/>
          <w:szCs w:val="18"/>
          <w:shd w:val="clear" w:color="auto" w:fill="FFFFFF"/>
          <w:vertAlign w:val="superscript"/>
        </w:rPr>
        <w:t> </w:t>
      </w:r>
      <w:r>
        <w:rPr>
          <w:rStyle w:val="text"/>
          <w:rFonts w:ascii="Verdana" w:hAnsi="Verdana"/>
          <w:color w:val="000000"/>
          <w:shd w:val="clear" w:color="auto" w:fill="FFFFFF"/>
        </w:rPr>
        <w:t>On the eighth day he shall take two turtledoves or two pigeons and come before the </w:t>
      </w:r>
      <w:r>
        <w:rPr>
          <w:rStyle w:val="small-caps"/>
          <w:rFonts w:ascii="Verdana" w:hAnsi="Verdana"/>
          <w:smallCaps/>
          <w:color w:val="000000"/>
          <w:shd w:val="clear" w:color="auto" w:fill="FFFFFF"/>
        </w:rPr>
        <w:t>Lord</w:t>
      </w:r>
      <w:r>
        <w:rPr>
          <w:rStyle w:val="text"/>
          <w:rFonts w:ascii="Verdana" w:hAnsi="Verdana"/>
          <w:color w:val="000000"/>
          <w:shd w:val="clear" w:color="auto" w:fill="FFFFFF"/>
        </w:rPr>
        <w:t> to the entrance of the tent of meeting and give them to the priest. The priest shall offer them, one for a sin offering and the other for a burnt offering; and the priest shall make atonement on his behalf before the </w:t>
      </w:r>
      <w:r>
        <w:rPr>
          <w:rStyle w:val="small-caps"/>
          <w:rFonts w:ascii="Verdana" w:hAnsi="Verdana"/>
          <w:smallCaps/>
          <w:color w:val="000000"/>
          <w:shd w:val="clear" w:color="auto" w:fill="FFFFFF"/>
        </w:rPr>
        <w:t>Lord</w:t>
      </w:r>
      <w:r>
        <w:rPr>
          <w:rStyle w:val="text"/>
          <w:rFonts w:ascii="Verdana" w:hAnsi="Verdana"/>
          <w:color w:val="000000"/>
          <w:shd w:val="clear" w:color="auto" w:fill="FFFFFF"/>
        </w:rPr>
        <w:t> for his discharge.</w:t>
      </w:r>
    </w:p>
  </w:footnote>
  <w:footnote w:id="11">
    <w:p w14:paraId="69AEF379" w14:textId="0FF59C17" w:rsidR="003247A4" w:rsidRPr="000858AF" w:rsidRDefault="003247A4" w:rsidP="001961FF">
      <w:pPr>
        <w:pStyle w:val="FootnoteText"/>
      </w:pPr>
      <w:r>
        <w:rPr>
          <w:rStyle w:val="FootnoteReference"/>
        </w:rPr>
        <w:footnoteRef/>
      </w:r>
      <w:r>
        <w:t xml:space="preserve"> </w:t>
      </w:r>
      <w:r w:rsidRPr="000858AF">
        <w:t>Kathleen</w:t>
      </w:r>
      <w:r>
        <w:t xml:space="preserve"> </w:t>
      </w:r>
      <w:proofErr w:type="spellStart"/>
      <w:r>
        <w:t>O’Grandy</w:t>
      </w:r>
      <w:proofErr w:type="spellEnd"/>
      <w:r w:rsidRPr="000858AF">
        <w:t>. </w:t>
      </w:r>
      <w:r w:rsidRPr="000858AF">
        <w:rPr>
          <w:i/>
          <w:iCs/>
        </w:rPr>
        <w:t>Wholly Woman, Holy Blood: A Feminist Critique of Purity and Impurity</w:t>
      </w:r>
      <w:r w:rsidRPr="000858AF">
        <w:t xml:space="preserve">. edited by Kristin De Troyer et al., Harrisburg, Pa, Trinity Press International, 2003, p. </w:t>
      </w:r>
      <w:r>
        <w:t>5</w:t>
      </w:r>
      <w:r w:rsidRPr="000858AF">
        <w:t>.</w:t>
      </w:r>
    </w:p>
    <w:p w14:paraId="77BF670F" w14:textId="77777777" w:rsidR="003247A4" w:rsidRPr="000858AF" w:rsidRDefault="003247A4" w:rsidP="001961FF">
      <w:pPr>
        <w:pStyle w:val="FootnoteText"/>
      </w:pPr>
      <w:r w:rsidRPr="000858AF">
        <w:rPr>
          <w:rFonts w:ascii="Arial" w:hAnsi="Arial" w:cs="Arial"/>
        </w:rPr>
        <w:t>‌</w:t>
      </w:r>
    </w:p>
    <w:p w14:paraId="04E19F31" w14:textId="77777777" w:rsidR="003247A4" w:rsidRPr="00E51909" w:rsidRDefault="003247A4" w:rsidP="001961FF">
      <w:pPr>
        <w:pStyle w:val="FootnoteText"/>
      </w:pPr>
    </w:p>
    <w:p w14:paraId="5EA4CE46" w14:textId="77777777" w:rsidR="003247A4" w:rsidRPr="00E51909" w:rsidRDefault="003247A4" w:rsidP="001961FF">
      <w:pPr>
        <w:pStyle w:val="FootnoteText"/>
      </w:pPr>
      <w:r w:rsidRPr="00E51909">
        <w:rPr>
          <w:rFonts w:ascii="Arial" w:hAnsi="Arial" w:cs="Arial"/>
        </w:rPr>
        <w:t>‌</w:t>
      </w:r>
    </w:p>
    <w:p w14:paraId="738A4B76" w14:textId="77777777" w:rsidR="003247A4" w:rsidRDefault="003247A4" w:rsidP="001961FF">
      <w:pPr>
        <w:pStyle w:val="FootnoteText"/>
      </w:pPr>
    </w:p>
  </w:footnote>
  <w:footnote w:id="12">
    <w:p w14:paraId="1B7DED9F" w14:textId="77777777" w:rsidR="003247A4" w:rsidRDefault="003247A4" w:rsidP="001961FF">
      <w:pPr>
        <w:pStyle w:val="FootnoteText"/>
      </w:pPr>
      <w:r>
        <w:rPr>
          <w:rStyle w:val="FootnoteReference"/>
        </w:rPr>
        <w:footnoteRef/>
      </w:r>
      <w:r>
        <w:t xml:space="preserve"> IBID, p. 9-11.</w:t>
      </w:r>
    </w:p>
  </w:footnote>
  <w:footnote w:id="13">
    <w:p w14:paraId="4911BB10" w14:textId="77777777" w:rsidR="003247A4" w:rsidRDefault="003247A4" w:rsidP="001961FF">
      <w:pPr>
        <w:pStyle w:val="FootnoteText"/>
      </w:pPr>
      <w:r>
        <w:rPr>
          <w:rStyle w:val="FootnoteReference"/>
        </w:rPr>
        <w:footnoteRef/>
      </w:r>
      <w:r>
        <w:t xml:space="preserve"> IBID, p.10.</w:t>
      </w:r>
    </w:p>
  </w:footnote>
  <w:footnote w:id="14">
    <w:p w14:paraId="48422788" w14:textId="77777777" w:rsidR="003247A4" w:rsidRDefault="003247A4" w:rsidP="001961FF">
      <w:pPr>
        <w:pStyle w:val="FootnoteText"/>
      </w:pPr>
      <w:r>
        <w:rPr>
          <w:rStyle w:val="FootnoteReference"/>
        </w:rPr>
        <w:footnoteRef/>
      </w:r>
      <w:r>
        <w:t xml:space="preserve"> Lev 18:6-18</w:t>
      </w:r>
    </w:p>
  </w:footnote>
  <w:footnote w:id="15">
    <w:p w14:paraId="2CF37AA1" w14:textId="77777777" w:rsidR="003247A4" w:rsidRDefault="003247A4" w:rsidP="001961FF">
      <w:pPr>
        <w:pStyle w:val="FootnoteText"/>
      </w:pPr>
      <w:r>
        <w:rPr>
          <w:rStyle w:val="FootnoteReference"/>
        </w:rPr>
        <w:footnoteRef/>
      </w:r>
      <w:r>
        <w:t xml:space="preserve"> Lev 18:23</w:t>
      </w:r>
    </w:p>
  </w:footnote>
  <w:footnote w:id="16">
    <w:p w14:paraId="13B42D63" w14:textId="5C71CDDC" w:rsidR="003247A4" w:rsidRDefault="003247A4" w:rsidP="001961FF">
      <w:pPr>
        <w:pStyle w:val="FootnoteText"/>
      </w:pPr>
      <w:r>
        <w:rPr>
          <w:rStyle w:val="FootnoteReference"/>
        </w:rPr>
        <w:footnoteRef/>
      </w:r>
      <w:r>
        <w:t xml:space="preserve"> </w:t>
      </w:r>
      <w:r w:rsidRPr="00506331">
        <w:t>Judith</w:t>
      </w:r>
      <w:r>
        <w:t xml:space="preserve"> Hauptman</w:t>
      </w:r>
      <w:r w:rsidRPr="00506331">
        <w:t>. </w:t>
      </w:r>
      <w:r w:rsidRPr="00506331">
        <w:rPr>
          <w:i/>
          <w:iCs/>
        </w:rPr>
        <w:t>Rereading the Rabbis: A Woman</w:t>
      </w:r>
      <w:r w:rsidRPr="00506331">
        <w:rPr>
          <w:rFonts w:cs="Trebuchet MS"/>
          <w:i/>
          <w:iCs/>
        </w:rPr>
        <w:t>’</w:t>
      </w:r>
      <w:r w:rsidRPr="00506331">
        <w:rPr>
          <w:i/>
          <w:iCs/>
        </w:rPr>
        <w:t>s Voice</w:t>
      </w:r>
      <w:r w:rsidRPr="00506331">
        <w:t>. Oxford, Westview Press, 1998</w:t>
      </w:r>
      <w:r>
        <w:t>.</w:t>
      </w:r>
    </w:p>
  </w:footnote>
  <w:footnote w:id="17">
    <w:p w14:paraId="023DD99A" w14:textId="1B434A8E" w:rsidR="003247A4" w:rsidRDefault="003247A4" w:rsidP="001961FF">
      <w:pPr>
        <w:pStyle w:val="FootnoteText"/>
      </w:pPr>
      <w:r>
        <w:rPr>
          <w:rStyle w:val="FootnoteReference"/>
        </w:rPr>
        <w:footnoteRef/>
      </w:r>
      <w:r>
        <w:t xml:space="preserve"> </w:t>
      </w:r>
      <w:r w:rsidRPr="00386A9E">
        <w:t>Marla J</w:t>
      </w:r>
      <w:r>
        <w:t xml:space="preserve"> Selvidge</w:t>
      </w:r>
      <w:r w:rsidRPr="00386A9E">
        <w:t>. “Mark 5:25-34 and Leviticus 15:19-20: A Reaction to Restrictive Purity Regulations.” </w:t>
      </w:r>
      <w:r w:rsidRPr="00386A9E">
        <w:rPr>
          <w:i/>
          <w:iCs/>
        </w:rPr>
        <w:t>Journal of Biblical Literature</w:t>
      </w:r>
      <w:r w:rsidRPr="00386A9E">
        <w:t>, vol. 103, no. 4, Dec. 1984, p. 619, 10.2307/3260473.</w:t>
      </w:r>
    </w:p>
  </w:footnote>
  <w:footnote w:id="18">
    <w:p w14:paraId="19D1A9FC" w14:textId="14F350E8" w:rsidR="003247A4" w:rsidRDefault="003247A4" w:rsidP="001961FF">
      <w:pPr>
        <w:pStyle w:val="FootnoteText"/>
      </w:pPr>
      <w:r>
        <w:rPr>
          <w:rStyle w:val="FootnoteReference"/>
        </w:rPr>
        <w:footnoteRef/>
      </w:r>
      <w:r>
        <w:t xml:space="preserve"> </w:t>
      </w:r>
      <w:r w:rsidRPr="00851CD8">
        <w:t>Rachel</w:t>
      </w:r>
      <w:r>
        <w:t xml:space="preserve"> </w:t>
      </w:r>
      <w:proofErr w:type="spellStart"/>
      <w:r>
        <w:t>Biale</w:t>
      </w:r>
      <w:proofErr w:type="spellEnd"/>
      <w:r w:rsidRPr="00851CD8">
        <w:t>. </w:t>
      </w:r>
      <w:r w:rsidRPr="00851CD8">
        <w:rPr>
          <w:i/>
          <w:iCs/>
        </w:rPr>
        <w:t>Women and Jewish Law: The Essential Texts, Their History, and Their Relevance for Today</w:t>
      </w:r>
      <w:r w:rsidRPr="00851CD8">
        <w:t>. New York, Schocken Books, 1995, p. 147.</w:t>
      </w:r>
    </w:p>
  </w:footnote>
  <w:footnote w:id="19">
    <w:p w14:paraId="1B72F581" w14:textId="5573A1E8" w:rsidR="003247A4" w:rsidRDefault="003247A4" w:rsidP="001961FF">
      <w:pPr>
        <w:pStyle w:val="FootnoteText"/>
      </w:pPr>
      <w:r>
        <w:rPr>
          <w:rStyle w:val="FootnoteReference"/>
        </w:rPr>
        <w:footnoteRef/>
      </w:r>
      <w:r>
        <w:t xml:space="preserve"> </w:t>
      </w:r>
      <w:r w:rsidRPr="000858AF">
        <w:t>Kathleen</w:t>
      </w:r>
      <w:r>
        <w:t xml:space="preserve"> </w:t>
      </w:r>
      <w:proofErr w:type="spellStart"/>
      <w:r>
        <w:t>O’Grandy</w:t>
      </w:r>
      <w:proofErr w:type="spellEnd"/>
      <w:r w:rsidRPr="000858AF">
        <w:t>. </w:t>
      </w:r>
      <w:r w:rsidRPr="000858AF">
        <w:rPr>
          <w:i/>
          <w:iCs/>
        </w:rPr>
        <w:t>Wholly Woman, Holy Blood: A Feminist Critique of Purity and Impurity</w:t>
      </w:r>
      <w:r w:rsidRPr="000858AF">
        <w:t>. edited by Kristin De Troyer et al., Harrisburg, Pa, Trinity Press International, 2003, p. 12.</w:t>
      </w:r>
    </w:p>
  </w:footnote>
  <w:footnote w:id="20">
    <w:p w14:paraId="24410EE3" w14:textId="0C4851F5" w:rsidR="003247A4" w:rsidRDefault="003247A4" w:rsidP="001961FF">
      <w:pPr>
        <w:pStyle w:val="FootnoteText"/>
      </w:pPr>
      <w:r>
        <w:rPr>
          <w:rStyle w:val="FootnoteReference"/>
        </w:rPr>
        <w:footnoteRef/>
      </w:r>
      <w:r>
        <w:t xml:space="preserve"> </w:t>
      </w:r>
      <w:r w:rsidRPr="00820DC8">
        <w:t>Henry</w:t>
      </w:r>
      <w:r>
        <w:t xml:space="preserve"> Abramson</w:t>
      </w:r>
      <w:r w:rsidRPr="00820DC8">
        <w:t>. “The 14th Century Mikvah of the Carpentras Synagogue.” </w:t>
      </w:r>
      <w:proofErr w:type="gramStart"/>
      <w:r w:rsidRPr="00820DC8">
        <w:rPr>
          <w:i/>
          <w:iCs/>
        </w:rPr>
        <w:t>Www.Youtube.Com</w:t>
      </w:r>
      <w:proofErr w:type="gramEnd"/>
      <w:r w:rsidRPr="00820DC8">
        <w:t xml:space="preserve">, 9 Nov. 2019, youtu.be/eHaz57ouMsw. </w:t>
      </w:r>
      <w:r>
        <w:t>[a</w:t>
      </w:r>
      <w:r w:rsidRPr="00820DC8">
        <w:t>ccessed 12 Feb. 2020</w:t>
      </w:r>
      <w:r>
        <w:t>]</w:t>
      </w:r>
    </w:p>
  </w:footnote>
  <w:footnote w:id="21">
    <w:p w14:paraId="6EE4D6B4" w14:textId="77777777" w:rsidR="003247A4" w:rsidRDefault="003247A4" w:rsidP="001961FF">
      <w:pPr>
        <w:pStyle w:val="FootnoteText"/>
      </w:pPr>
      <w:r>
        <w:rPr>
          <w:rStyle w:val="FootnoteReference"/>
        </w:rPr>
        <w:footnoteRef/>
      </w:r>
      <w:r>
        <w:t xml:space="preserve"> IBID</w:t>
      </w:r>
    </w:p>
  </w:footnote>
  <w:footnote w:id="22">
    <w:p w14:paraId="5C0DB917" w14:textId="53B44DEB" w:rsidR="003247A4" w:rsidRDefault="003247A4" w:rsidP="001961FF">
      <w:pPr>
        <w:pStyle w:val="FootnoteText"/>
      </w:pPr>
      <w:r>
        <w:rPr>
          <w:rStyle w:val="FootnoteReference"/>
        </w:rPr>
        <w:footnoteRef/>
      </w:r>
      <w:r>
        <w:t xml:space="preserve"> </w:t>
      </w:r>
      <w:r w:rsidRPr="004C3777">
        <w:t>Beth</w:t>
      </w:r>
      <w:r>
        <w:t xml:space="preserve"> Wenger</w:t>
      </w:r>
      <w:r w:rsidRPr="004C3777">
        <w:t>. “Mikveh | Jewish Women’s Archive.” </w:t>
      </w:r>
      <w:r w:rsidRPr="004C3777">
        <w:rPr>
          <w:i/>
          <w:iCs/>
        </w:rPr>
        <w:t>Jwa.Org</w:t>
      </w:r>
      <w:r w:rsidRPr="004C3777">
        <w:t xml:space="preserve">, 2009, jwa.org/encyclopedia/article/mikveh. </w:t>
      </w:r>
      <w:r>
        <w:t>[a</w:t>
      </w:r>
      <w:r w:rsidRPr="004C3777">
        <w:t>ccessed 12 Feb. 2020</w:t>
      </w:r>
      <w:r>
        <w:t>]</w:t>
      </w:r>
    </w:p>
  </w:footnote>
  <w:footnote w:id="23">
    <w:p w14:paraId="15829162" w14:textId="77777777" w:rsidR="003247A4" w:rsidRDefault="003247A4" w:rsidP="001961FF">
      <w:pPr>
        <w:pStyle w:val="FootnoteText"/>
      </w:pPr>
      <w:r>
        <w:rPr>
          <w:rStyle w:val="FootnoteReference"/>
        </w:rPr>
        <w:footnoteRef/>
      </w:r>
      <w:r>
        <w:t xml:space="preserve"> IBID</w:t>
      </w:r>
    </w:p>
  </w:footnote>
  <w:footnote w:id="24">
    <w:p w14:paraId="4D1010E7" w14:textId="77777777" w:rsidR="003247A4" w:rsidRDefault="003247A4" w:rsidP="001961FF">
      <w:pPr>
        <w:pStyle w:val="FootnoteText"/>
      </w:pPr>
      <w:r>
        <w:rPr>
          <w:rStyle w:val="FootnoteReference"/>
        </w:rPr>
        <w:footnoteRef/>
      </w:r>
      <w:r>
        <w:t xml:space="preserve"> IBID</w:t>
      </w:r>
    </w:p>
  </w:footnote>
  <w:footnote w:id="25">
    <w:p w14:paraId="7C653F83" w14:textId="77777777" w:rsidR="003247A4" w:rsidRDefault="003247A4" w:rsidP="001961FF">
      <w:pPr>
        <w:pStyle w:val="FootnoteText"/>
      </w:pPr>
      <w:r>
        <w:rPr>
          <w:rStyle w:val="FootnoteReference"/>
        </w:rPr>
        <w:footnoteRef/>
      </w:r>
      <w:r>
        <w:t xml:space="preserve"> IBID</w:t>
      </w:r>
    </w:p>
  </w:footnote>
  <w:footnote w:id="26">
    <w:p w14:paraId="53427D60" w14:textId="471E1706" w:rsidR="003247A4" w:rsidRDefault="003247A4" w:rsidP="001961FF">
      <w:pPr>
        <w:pStyle w:val="FootnoteText"/>
      </w:pPr>
      <w:r>
        <w:rPr>
          <w:rStyle w:val="FootnoteReference"/>
        </w:rPr>
        <w:footnoteRef/>
      </w:r>
      <w:r>
        <w:t xml:space="preserve"> </w:t>
      </w:r>
      <w:r w:rsidRPr="00896742">
        <w:t>Rachel</w:t>
      </w:r>
      <w:r>
        <w:t xml:space="preserve"> </w:t>
      </w:r>
      <w:proofErr w:type="spellStart"/>
      <w:r>
        <w:t>Biale</w:t>
      </w:r>
      <w:proofErr w:type="spellEnd"/>
      <w:r w:rsidRPr="00896742">
        <w:t>. </w:t>
      </w:r>
      <w:r w:rsidRPr="00896742">
        <w:rPr>
          <w:i/>
          <w:iCs/>
        </w:rPr>
        <w:t>Women and Jewish Law: The Essential Texts, Their History, and Their Relevance for Today</w:t>
      </w:r>
      <w:r w:rsidRPr="00896742">
        <w:t>. New York, Schocken Books, 1995, p. 147.</w:t>
      </w:r>
    </w:p>
  </w:footnote>
  <w:footnote w:id="27">
    <w:p w14:paraId="38D09E39" w14:textId="6866152C" w:rsidR="003247A4" w:rsidRDefault="003247A4" w:rsidP="001961FF">
      <w:pPr>
        <w:pStyle w:val="FootnoteText"/>
      </w:pPr>
      <w:r>
        <w:rPr>
          <w:rStyle w:val="FootnoteReference"/>
        </w:rPr>
        <w:footnoteRef/>
      </w:r>
      <w:r>
        <w:t xml:space="preserve"> </w:t>
      </w:r>
      <w:r w:rsidRPr="00465B4C">
        <w:t>Sybil</w:t>
      </w:r>
      <w:r>
        <w:t xml:space="preserve"> Sheridan</w:t>
      </w:r>
      <w:r w:rsidRPr="00465B4C">
        <w:t>. </w:t>
      </w:r>
      <w:r w:rsidRPr="00465B4C">
        <w:rPr>
          <w:i/>
          <w:iCs/>
        </w:rPr>
        <w:t>Hear Our Voice: Women in the British Rabbinate</w:t>
      </w:r>
      <w:r w:rsidRPr="00465B4C">
        <w:t>. Columbia, S.C., University of South Carolina Press, 1998.</w:t>
      </w:r>
    </w:p>
  </w:footnote>
  <w:footnote w:id="28">
    <w:p w14:paraId="3652BC16" w14:textId="58393154" w:rsidR="003247A4" w:rsidRDefault="003247A4" w:rsidP="001961FF">
      <w:pPr>
        <w:pStyle w:val="FootnoteText"/>
      </w:pPr>
      <w:r>
        <w:rPr>
          <w:rStyle w:val="FootnoteReference"/>
        </w:rPr>
        <w:footnoteRef/>
      </w:r>
      <w:r>
        <w:t xml:space="preserve"> </w:t>
      </w:r>
      <w:r w:rsidRPr="0033045A">
        <w:t xml:space="preserve">Bernadette Brooten, </w:t>
      </w:r>
      <w:r w:rsidRPr="0033045A">
        <w:rPr>
          <w:i/>
          <w:iCs/>
        </w:rPr>
        <w:t>Women Leaders in the Ancient Synagogue</w:t>
      </w:r>
      <w:r w:rsidRPr="0033045A">
        <w:t>, Brown Judaic Studies 36, Scholars’ Press, California</w:t>
      </w:r>
      <w:r>
        <w:t>,</w:t>
      </w:r>
      <w:r w:rsidRPr="0033045A">
        <w:t xml:space="preserve"> 1982</w:t>
      </w:r>
      <w:r>
        <w:t>.</w:t>
      </w:r>
    </w:p>
  </w:footnote>
  <w:footnote w:id="29">
    <w:p w14:paraId="3223595B" w14:textId="22B643EA" w:rsidR="003247A4" w:rsidRDefault="003247A4">
      <w:pPr>
        <w:pStyle w:val="FootnoteText"/>
      </w:pPr>
      <w:r>
        <w:rPr>
          <w:rStyle w:val="FootnoteReference"/>
        </w:rPr>
        <w:footnoteRef/>
      </w:r>
      <w:r w:rsidRPr="008559E0">
        <w:t>Judith R</w:t>
      </w:r>
      <w:r>
        <w:t xml:space="preserve"> Baskin</w:t>
      </w:r>
      <w:r w:rsidRPr="008559E0">
        <w:t>. 2002. </w:t>
      </w:r>
      <w:r w:rsidRPr="008559E0">
        <w:rPr>
          <w:i/>
          <w:iCs/>
        </w:rPr>
        <w:t>Midrashic Women: Formations of the Feminine in Rabbinic Literature</w:t>
      </w:r>
      <w:r w:rsidRPr="008559E0">
        <w:t> (Hannover, Nh Brandeis Univ. Press C), p. 141</w:t>
      </w:r>
    </w:p>
  </w:footnote>
  <w:footnote w:id="30">
    <w:p w14:paraId="1F06677E" w14:textId="5D603FD0" w:rsidR="003247A4" w:rsidRPr="00CC274B" w:rsidRDefault="003247A4" w:rsidP="001961FF">
      <w:pPr>
        <w:pStyle w:val="FootnoteText"/>
      </w:pPr>
      <w:r>
        <w:rPr>
          <w:rStyle w:val="FootnoteReference"/>
        </w:rPr>
        <w:footnoteRef/>
      </w:r>
      <w:r>
        <w:t xml:space="preserve"> </w:t>
      </w:r>
      <w:r w:rsidRPr="00CC274B">
        <w:t>Beth</w:t>
      </w:r>
      <w:r>
        <w:t xml:space="preserve"> Wenger</w:t>
      </w:r>
      <w:r w:rsidRPr="00CC274B">
        <w:t>. “Mikveh | Jewish Women’s Archive.” </w:t>
      </w:r>
      <w:r w:rsidRPr="00CC274B">
        <w:rPr>
          <w:i/>
          <w:iCs/>
        </w:rPr>
        <w:t>Jwa.Org</w:t>
      </w:r>
      <w:r w:rsidRPr="00CC274B">
        <w:t xml:space="preserve">, 2009, jwa.org/encyclopedia/article/mikveh. </w:t>
      </w:r>
      <w:r>
        <w:t>[a</w:t>
      </w:r>
      <w:r w:rsidRPr="00CC274B">
        <w:t>ccessed 12 Feb. 2020</w:t>
      </w:r>
      <w:r>
        <w:t>]</w:t>
      </w:r>
    </w:p>
    <w:p w14:paraId="53BD1BE6" w14:textId="77777777" w:rsidR="003247A4" w:rsidRDefault="003247A4" w:rsidP="001961FF">
      <w:pPr>
        <w:pStyle w:val="FootnoteText"/>
      </w:pPr>
    </w:p>
  </w:footnote>
  <w:footnote w:id="31">
    <w:p w14:paraId="72AC680E" w14:textId="6834AA3F" w:rsidR="003247A4" w:rsidRDefault="003247A4">
      <w:pPr>
        <w:pStyle w:val="FootnoteText"/>
      </w:pPr>
      <w:r>
        <w:rPr>
          <w:rStyle w:val="FootnoteReference"/>
        </w:rPr>
        <w:footnoteRef/>
      </w:r>
      <w:r>
        <w:t xml:space="preserve"> </w:t>
      </w:r>
      <w:r w:rsidRPr="00DD0048">
        <w:t>Tova Hartman, and Naomi Marmon. 2004. “Lived Regulations, Systemic Attributions: Menstrual Separation and Ritual Immersion in the Experience of Orthodox Jewish Women,” </w:t>
      </w:r>
      <w:r w:rsidRPr="00DD0048">
        <w:rPr>
          <w:i/>
          <w:iCs/>
        </w:rPr>
        <w:t>Gender &amp; Society</w:t>
      </w:r>
      <w:r w:rsidRPr="00DD0048">
        <w:t>, 18.3: 389–408 &lt;https://doi.org/10.1177/0891243204264810&gt;</w:t>
      </w:r>
    </w:p>
  </w:footnote>
  <w:footnote w:id="32">
    <w:p w14:paraId="63738BCA" w14:textId="510BF66C" w:rsidR="003247A4" w:rsidRDefault="003247A4" w:rsidP="00430B64">
      <w:pPr>
        <w:pStyle w:val="FootnoteText"/>
      </w:pPr>
      <w:r>
        <w:rPr>
          <w:rStyle w:val="FootnoteReference"/>
        </w:rPr>
        <w:footnoteRef/>
      </w:r>
      <w:r>
        <w:t xml:space="preserve"> </w:t>
      </w:r>
      <w:r w:rsidRPr="00A66C52">
        <w:t>Katia Aryeh. “I Had to Take My Dirty Panties to a Rabbi, and so Has Every Orthodox Jewish Woman | Richard Dawkins Foundation.” </w:t>
      </w:r>
      <w:r w:rsidRPr="00A66C52">
        <w:rPr>
          <w:i/>
          <w:iCs/>
        </w:rPr>
        <w:t>Richarddawkins.Net</w:t>
      </w:r>
      <w:r w:rsidRPr="00A66C52">
        <w:t xml:space="preserve">, 28 Nov. 2016, www.richarddawkins.net/2016/11/i-had-to-take-my-dirty-panties-to-a-rabbi-and-so-has-every-orthodox-jewish-woman/. </w:t>
      </w:r>
      <w:r>
        <w:t>[a</w:t>
      </w:r>
      <w:r w:rsidRPr="00A66C52">
        <w:t>ccessed 25 Feb. 2020</w:t>
      </w:r>
      <w:r>
        <w:t>]</w:t>
      </w:r>
    </w:p>
  </w:footnote>
  <w:footnote w:id="33">
    <w:p w14:paraId="62C6A4AA" w14:textId="68FDCB98" w:rsidR="003247A4" w:rsidRDefault="003247A4" w:rsidP="00430B64">
      <w:pPr>
        <w:pStyle w:val="FootnoteText"/>
      </w:pPr>
      <w:r>
        <w:rPr>
          <w:rStyle w:val="FootnoteReference"/>
        </w:rPr>
        <w:footnoteRef/>
      </w:r>
      <w:r w:rsidRPr="00F205E9">
        <w:t xml:space="preserve"> </w:t>
      </w:r>
      <w:bookmarkStart w:id="78" w:name="_Hlk39845128"/>
      <w:r w:rsidRPr="00F205E9">
        <w:t>Aryeh</w:t>
      </w:r>
      <w:r>
        <w:t xml:space="preserve"> Citron</w:t>
      </w:r>
      <w:r w:rsidRPr="00F205E9">
        <w:t>. 2010. “Be Fruitful and Multiply - Parshat Bereishit,” </w:t>
      </w:r>
      <w:proofErr w:type="gramStart"/>
      <w:r w:rsidRPr="00F205E9">
        <w:rPr>
          <w:i/>
          <w:iCs/>
        </w:rPr>
        <w:t>Www.Chabad.Org</w:t>
      </w:r>
      <w:proofErr w:type="gramEnd"/>
      <w:r w:rsidRPr="00F205E9">
        <w:t> &lt;https://www.chabad.org/library/article_cdo/aid/1005203/jewish/Be-Fruitful-and-Multiply.htm&gt; [accessed 3 March 2020]</w:t>
      </w:r>
      <w:bookmarkEnd w:id="78"/>
    </w:p>
  </w:footnote>
  <w:footnote w:id="34">
    <w:p w14:paraId="79A7F741" w14:textId="77777777" w:rsidR="003247A4" w:rsidRDefault="003247A4" w:rsidP="00430B64">
      <w:pPr>
        <w:pStyle w:val="FootnoteText"/>
      </w:pPr>
      <w:r>
        <w:rPr>
          <w:rStyle w:val="FootnoteReference"/>
        </w:rPr>
        <w:footnoteRef/>
      </w:r>
      <w:r>
        <w:t xml:space="preserve"> Rachel Biale. </w:t>
      </w:r>
      <w:r>
        <w:rPr>
          <w:i/>
          <w:iCs/>
        </w:rPr>
        <w:t xml:space="preserve">Women and Jewish </w:t>
      </w:r>
      <w:proofErr w:type="gramStart"/>
      <w:r>
        <w:rPr>
          <w:i/>
          <w:iCs/>
        </w:rPr>
        <w:t>Law</w:t>
      </w:r>
      <w:r>
        <w:rPr>
          <w:rFonts w:ascii="Arial" w:hAnsi="Arial" w:cs="Arial"/>
          <w:i/>
          <w:iCs/>
        </w:rPr>
        <w:t> </w:t>
      </w:r>
      <w:r>
        <w:rPr>
          <w:i/>
          <w:iCs/>
        </w:rPr>
        <w:t>:</w:t>
      </w:r>
      <w:proofErr w:type="gramEnd"/>
      <w:r>
        <w:rPr>
          <w:i/>
          <w:iCs/>
        </w:rPr>
        <w:t xml:space="preserve"> The Essential Texts, Their History, and Their Relevance for Today</w:t>
      </w:r>
      <w:r>
        <w:t>. New York, Schocken Books, 1995, p. 207.</w:t>
      </w:r>
    </w:p>
  </w:footnote>
  <w:footnote w:id="35">
    <w:p w14:paraId="45BD61D1" w14:textId="2E08B153" w:rsidR="003247A4" w:rsidRDefault="003247A4" w:rsidP="008559E0">
      <w:pPr>
        <w:pStyle w:val="FootnoteText"/>
      </w:pPr>
      <w:r>
        <w:rPr>
          <w:rStyle w:val="FootnoteReference"/>
        </w:rPr>
        <w:footnoteRef/>
      </w:r>
      <w:r>
        <w:t xml:space="preserve"> </w:t>
      </w:r>
      <w:r w:rsidRPr="00A37DBB">
        <w:t>Tirzah</w:t>
      </w:r>
      <w:r>
        <w:t xml:space="preserve"> Meacham</w:t>
      </w:r>
      <w:r w:rsidRPr="00A37DBB">
        <w:t>. “Contraception | Jewish Women’s Archive.” </w:t>
      </w:r>
      <w:r w:rsidRPr="00A37DBB">
        <w:rPr>
          <w:i/>
          <w:iCs/>
        </w:rPr>
        <w:t>Jwa.Org</w:t>
      </w:r>
      <w:r w:rsidRPr="00A37DBB">
        <w:t>, 2009, jwa.org/</w:t>
      </w:r>
      <w:proofErr w:type="spellStart"/>
      <w:r w:rsidRPr="00A37DBB">
        <w:t>encyclopedia</w:t>
      </w:r>
      <w:proofErr w:type="spellEnd"/>
      <w:r w:rsidRPr="00A37DBB">
        <w:t>/article/contraception.</w:t>
      </w:r>
      <w:r>
        <w:t xml:space="preserve"> [ accessed 3 March 2020]</w:t>
      </w:r>
    </w:p>
  </w:footnote>
  <w:footnote w:id="36">
    <w:p w14:paraId="6FCD2F9E" w14:textId="77777777" w:rsidR="003247A4" w:rsidRDefault="003247A4" w:rsidP="00430B64">
      <w:pPr>
        <w:pStyle w:val="FootnoteText"/>
      </w:pPr>
      <w:r>
        <w:rPr>
          <w:rStyle w:val="FootnoteReference"/>
        </w:rPr>
        <w:footnoteRef/>
      </w:r>
      <w:r>
        <w:t xml:space="preserve"> </w:t>
      </w:r>
      <w:r w:rsidRPr="00A71B0A">
        <w:t>Ronald H</w:t>
      </w:r>
      <w:r>
        <w:t xml:space="preserve"> Isaacs</w:t>
      </w:r>
      <w:r w:rsidRPr="00A71B0A">
        <w:t>. </w:t>
      </w:r>
      <w:r w:rsidRPr="00A71B0A">
        <w:rPr>
          <w:i/>
          <w:iCs/>
        </w:rPr>
        <w:t>Every Person’s Guide to Jewish Sexuality</w:t>
      </w:r>
      <w:r w:rsidRPr="00A71B0A">
        <w:t>. Northvale, Nj, Jason Aronson, 2000, p. 100.</w:t>
      </w:r>
    </w:p>
  </w:footnote>
  <w:footnote w:id="37">
    <w:p w14:paraId="2DA8A94D" w14:textId="0DC0CE17" w:rsidR="003247A4" w:rsidRDefault="003247A4" w:rsidP="00430B64">
      <w:pPr>
        <w:pStyle w:val="FootnoteText"/>
      </w:pPr>
      <w:r>
        <w:rPr>
          <w:rStyle w:val="FootnoteReference"/>
        </w:rPr>
        <w:footnoteRef/>
      </w:r>
      <w:r>
        <w:t xml:space="preserve"> </w:t>
      </w:r>
      <w:bookmarkStart w:id="81" w:name="_Hlk33628910"/>
      <w:r w:rsidRPr="008130EC">
        <w:t>Rachel</w:t>
      </w:r>
      <w:r>
        <w:t xml:space="preserve"> Biale</w:t>
      </w:r>
      <w:r w:rsidRPr="008130EC">
        <w:t>. </w:t>
      </w:r>
      <w:r w:rsidRPr="008130EC">
        <w:rPr>
          <w:i/>
          <w:iCs/>
        </w:rPr>
        <w:t>Women and Jewish Law: The Essential Texts, Their History, and Their Relevance for Today</w:t>
      </w:r>
      <w:r w:rsidRPr="008130EC">
        <w:t xml:space="preserve">. New York, Schocken Books, 1995, p. </w:t>
      </w:r>
      <w:bookmarkEnd w:id="81"/>
      <w:r w:rsidRPr="008130EC">
        <w:t>147.</w:t>
      </w:r>
    </w:p>
  </w:footnote>
  <w:footnote w:id="38">
    <w:p w14:paraId="3A73ADD7" w14:textId="77777777" w:rsidR="003247A4" w:rsidRPr="008130EC" w:rsidRDefault="003247A4" w:rsidP="00430B64">
      <w:pPr>
        <w:pStyle w:val="FootnoteText"/>
      </w:pPr>
      <w:r>
        <w:rPr>
          <w:rStyle w:val="FootnoteReference"/>
        </w:rPr>
        <w:footnoteRef/>
      </w:r>
      <w:r>
        <w:t xml:space="preserve"> IBDI</w:t>
      </w:r>
    </w:p>
    <w:p w14:paraId="02E0D3CC" w14:textId="77777777" w:rsidR="003247A4" w:rsidRPr="008130EC" w:rsidRDefault="003247A4" w:rsidP="00430B64">
      <w:pPr>
        <w:pStyle w:val="FootnoteText"/>
      </w:pPr>
      <w:r w:rsidRPr="008130EC">
        <w:rPr>
          <w:rFonts w:ascii="Arial" w:hAnsi="Arial" w:cs="Arial"/>
        </w:rPr>
        <w:t>‌</w:t>
      </w:r>
    </w:p>
    <w:p w14:paraId="0629DF8D" w14:textId="77777777" w:rsidR="003247A4" w:rsidRDefault="003247A4" w:rsidP="00430B64">
      <w:pPr>
        <w:pStyle w:val="FootnoteText"/>
      </w:pPr>
    </w:p>
  </w:footnote>
  <w:footnote w:id="39">
    <w:p w14:paraId="0F71DEAC" w14:textId="77777777" w:rsidR="003247A4" w:rsidRDefault="003247A4" w:rsidP="00430B64">
      <w:pPr>
        <w:pStyle w:val="FootnoteText"/>
      </w:pPr>
      <w:r>
        <w:rPr>
          <w:rStyle w:val="FootnoteReference"/>
        </w:rPr>
        <w:footnoteRef/>
      </w:r>
      <w:r>
        <w:t xml:space="preserve"> IBID p. 237</w:t>
      </w:r>
    </w:p>
  </w:footnote>
  <w:footnote w:id="40">
    <w:p w14:paraId="1E782AAB" w14:textId="797784AE" w:rsidR="003247A4" w:rsidRDefault="003247A4" w:rsidP="00430B64">
      <w:pPr>
        <w:pStyle w:val="FootnoteText"/>
      </w:pPr>
      <w:r>
        <w:rPr>
          <w:rStyle w:val="FootnoteReference"/>
        </w:rPr>
        <w:footnoteRef/>
      </w:r>
      <w:r>
        <w:t xml:space="preserve"> </w:t>
      </w:r>
      <w:r w:rsidRPr="00E55F15">
        <w:t xml:space="preserve">Larissa </w:t>
      </w:r>
      <w:r>
        <w:t>I Remennick</w:t>
      </w:r>
      <w:r w:rsidRPr="00E55F15">
        <w:t>., and Amir Hetsroni. “Public Attitudes toward Abortion in Israel: A Research Note.” </w:t>
      </w:r>
      <w:r w:rsidRPr="00E55F15">
        <w:rPr>
          <w:i/>
          <w:iCs/>
        </w:rPr>
        <w:t>Social Science Quarterly</w:t>
      </w:r>
      <w:r w:rsidRPr="00E55F15">
        <w:t xml:space="preserve">, vol. 82, no. 2, June 2001, pp. 420–431, 10.1111/0038-4941.00033. </w:t>
      </w:r>
      <w:r>
        <w:t>[a</w:t>
      </w:r>
      <w:r w:rsidRPr="00E55F15">
        <w:t>ccessed 26 Feb. 2020</w:t>
      </w:r>
      <w:r>
        <w:t>]</w:t>
      </w:r>
    </w:p>
  </w:footnote>
  <w:footnote w:id="41">
    <w:p w14:paraId="0309A393" w14:textId="5C937D71" w:rsidR="003247A4" w:rsidRDefault="003247A4" w:rsidP="00430B64">
      <w:pPr>
        <w:pStyle w:val="FootnoteText"/>
      </w:pPr>
      <w:r>
        <w:rPr>
          <w:rStyle w:val="FootnoteReference"/>
        </w:rPr>
        <w:footnoteRef/>
      </w:r>
      <w:r>
        <w:t xml:space="preserve"> </w:t>
      </w:r>
      <w:r w:rsidRPr="008130EC">
        <w:t>Rache</w:t>
      </w:r>
      <w:r>
        <w:t>l Biale</w:t>
      </w:r>
      <w:r w:rsidRPr="008130EC">
        <w:t>. </w:t>
      </w:r>
      <w:r w:rsidRPr="008130EC">
        <w:rPr>
          <w:i/>
          <w:iCs/>
        </w:rPr>
        <w:t>Women and Jewish Law: The Essential Texts, Their History, and Their Relevance for Today</w:t>
      </w:r>
      <w:r w:rsidRPr="008130EC">
        <w:t>. New York, Schocken Books, 1995, p.</w:t>
      </w:r>
      <w:r>
        <w:t>237</w:t>
      </w:r>
    </w:p>
  </w:footnote>
  <w:footnote w:id="42">
    <w:p w14:paraId="3C401B9D" w14:textId="792A0876" w:rsidR="003247A4" w:rsidRDefault="003247A4" w:rsidP="00430B64">
      <w:pPr>
        <w:pStyle w:val="FootnoteText"/>
      </w:pPr>
      <w:r>
        <w:rPr>
          <w:rStyle w:val="FootnoteReference"/>
        </w:rPr>
        <w:footnoteRef/>
      </w:r>
      <w:r>
        <w:t xml:space="preserve"> </w:t>
      </w:r>
      <w:r w:rsidRPr="00207EF2">
        <w:t>Beth S</w:t>
      </w:r>
      <w:r>
        <w:t xml:space="preserve"> Wenger</w:t>
      </w:r>
      <w:r w:rsidRPr="00207EF2">
        <w:t>. </w:t>
      </w:r>
      <w:r w:rsidRPr="00207EF2">
        <w:rPr>
          <w:i/>
          <w:iCs/>
        </w:rPr>
        <w:t>Women and American Judaism: Historical Perspectives</w:t>
      </w:r>
      <w:r w:rsidRPr="00207EF2">
        <w:t xml:space="preserve">. edited by Pamela Susan and Jonathan D Sarna, Hanover And London, University Press </w:t>
      </w:r>
      <w:proofErr w:type="gramStart"/>
      <w:r w:rsidRPr="00207EF2">
        <w:t>Of</w:t>
      </w:r>
      <w:proofErr w:type="gramEnd"/>
      <w:r w:rsidRPr="00207EF2">
        <w:t xml:space="preserve"> New England, 2001, p. 210.</w:t>
      </w:r>
    </w:p>
  </w:footnote>
  <w:footnote w:id="43">
    <w:p w14:paraId="02703469" w14:textId="77777777" w:rsidR="003247A4" w:rsidRDefault="003247A4" w:rsidP="00430B64">
      <w:pPr>
        <w:pStyle w:val="FootnoteText"/>
      </w:pPr>
      <w:r>
        <w:rPr>
          <w:rStyle w:val="FootnoteReference"/>
        </w:rPr>
        <w:footnoteRef/>
      </w:r>
      <w:r>
        <w:t xml:space="preserve"> Lucius D Bulkley.</w:t>
      </w:r>
      <w:r w:rsidRPr="00B84BE1">
        <w:t xml:space="preserve"> “</w:t>
      </w:r>
      <w:r>
        <w:t>T</w:t>
      </w:r>
      <w:r w:rsidRPr="00B84BE1">
        <w:t xml:space="preserve">he </w:t>
      </w:r>
      <w:r>
        <w:t>P</w:t>
      </w:r>
      <w:r w:rsidRPr="00B84BE1">
        <w:t xml:space="preserve">revention of </w:t>
      </w:r>
      <w:r>
        <w:t>C</w:t>
      </w:r>
      <w:r w:rsidRPr="00B84BE1">
        <w:t xml:space="preserve">ancer in Jewish </w:t>
      </w:r>
      <w:r>
        <w:t>W</w:t>
      </w:r>
      <w:r w:rsidRPr="00B84BE1">
        <w:t xml:space="preserve">omen,” </w:t>
      </w:r>
      <w:r w:rsidRPr="00621938">
        <w:rPr>
          <w:i/>
          <w:iCs/>
        </w:rPr>
        <w:t>The Jewish Forum</w:t>
      </w:r>
      <w:r>
        <w:t xml:space="preserve">, vol. </w:t>
      </w:r>
      <w:r w:rsidRPr="00B84BE1">
        <w:t>19 no. 6</w:t>
      </w:r>
      <w:r>
        <w:t>,</w:t>
      </w:r>
      <w:r w:rsidRPr="00B84BE1">
        <w:t xml:space="preserve"> June 1937:105</w:t>
      </w:r>
      <w:r>
        <w:t xml:space="preserve"> </w:t>
      </w:r>
    </w:p>
  </w:footnote>
  <w:footnote w:id="44">
    <w:p w14:paraId="25975E30" w14:textId="77777777" w:rsidR="003247A4" w:rsidRDefault="003247A4" w:rsidP="00430B64">
      <w:pPr>
        <w:pStyle w:val="FootnoteText"/>
      </w:pPr>
      <w:r>
        <w:rPr>
          <w:rStyle w:val="FootnoteReference"/>
        </w:rPr>
        <w:footnoteRef/>
      </w:r>
      <w:r>
        <w:t xml:space="preserve"> </w:t>
      </w:r>
      <w:r w:rsidRPr="00DD0048">
        <w:t>Tova Hartman, and Naomi Marmon. 2004. “Lived Regulations, Systemic Attributions: Menstrual Separation and Ritual Immersion in the Experience of Orthodox Jewish Women,” </w:t>
      </w:r>
      <w:r w:rsidRPr="00DD0048">
        <w:rPr>
          <w:i/>
          <w:iCs/>
        </w:rPr>
        <w:t>Gender &amp; Society</w:t>
      </w:r>
      <w:r w:rsidRPr="00DD0048">
        <w:t>, 18.3: 389–408 &lt;https://doi.org/10.1177/0891243204264810&gt;</w:t>
      </w:r>
    </w:p>
  </w:footnote>
  <w:footnote w:id="45">
    <w:p w14:paraId="3B051A34" w14:textId="77777777" w:rsidR="003247A4" w:rsidRDefault="003247A4" w:rsidP="00430B64">
      <w:pPr>
        <w:pStyle w:val="FootnoteText"/>
      </w:pPr>
      <w:r>
        <w:rPr>
          <w:rStyle w:val="FootnoteReference"/>
        </w:rPr>
        <w:footnoteRef/>
      </w:r>
      <w:r>
        <w:t xml:space="preserve"> IBID</w:t>
      </w:r>
    </w:p>
  </w:footnote>
  <w:footnote w:id="46">
    <w:p w14:paraId="4DCB014D" w14:textId="77777777" w:rsidR="003247A4" w:rsidRDefault="003247A4" w:rsidP="00430B64">
      <w:pPr>
        <w:pStyle w:val="FootnoteText"/>
      </w:pPr>
      <w:r>
        <w:rPr>
          <w:rStyle w:val="FootnoteReference"/>
        </w:rPr>
        <w:footnoteRef/>
      </w:r>
      <w:r>
        <w:t xml:space="preserve"> IBID</w:t>
      </w:r>
      <w:r w:rsidRPr="00301E1E">
        <w:t>.</w:t>
      </w:r>
    </w:p>
  </w:footnote>
  <w:footnote w:id="47">
    <w:p w14:paraId="7FFDBA97" w14:textId="77777777" w:rsidR="003247A4" w:rsidRDefault="003247A4" w:rsidP="00430B64">
      <w:pPr>
        <w:pStyle w:val="FootnoteText"/>
      </w:pPr>
      <w:r>
        <w:rPr>
          <w:rStyle w:val="FootnoteReference"/>
        </w:rPr>
        <w:footnoteRef/>
      </w:r>
      <w:r>
        <w:t xml:space="preserve"> IBID</w:t>
      </w:r>
    </w:p>
  </w:footnote>
  <w:footnote w:id="48">
    <w:p w14:paraId="7E835CC6" w14:textId="77777777" w:rsidR="003247A4" w:rsidRDefault="003247A4" w:rsidP="00B14A43">
      <w:pPr>
        <w:pStyle w:val="FootnoteText"/>
      </w:pPr>
      <w:r>
        <w:rPr>
          <w:rStyle w:val="FootnoteReference"/>
        </w:rPr>
        <w:footnoteRef/>
      </w:r>
      <w:r>
        <w:t xml:space="preserve"> </w:t>
      </w:r>
      <w:r w:rsidRPr="000969BC">
        <w:t>J</w:t>
      </w:r>
      <w:r>
        <w:t>. Correspondent</w:t>
      </w:r>
      <w:r w:rsidRPr="000969BC">
        <w:t>. “Following Family Purity Laws Enhances Jewish Marriages.” </w:t>
      </w:r>
      <w:r w:rsidRPr="000969BC">
        <w:rPr>
          <w:i/>
          <w:iCs/>
        </w:rPr>
        <w:t>J.- The Jewish News of North California</w:t>
      </w:r>
      <w:r w:rsidRPr="000969BC">
        <w:t>, 28 Dec. 2016, www.jweekly.com/1996/11/08/following-family-purity-laws-enhances-jewish-marriages/.</w:t>
      </w:r>
    </w:p>
  </w:footnote>
  <w:footnote w:id="49">
    <w:p w14:paraId="43EC27F8" w14:textId="032F7E0A" w:rsidR="003247A4" w:rsidRDefault="003247A4" w:rsidP="00430B64">
      <w:pPr>
        <w:pStyle w:val="FootnoteText"/>
      </w:pPr>
      <w:r>
        <w:rPr>
          <w:rStyle w:val="FootnoteReference"/>
        </w:rPr>
        <w:footnoteRef/>
      </w:r>
      <w:r>
        <w:t xml:space="preserve"> </w:t>
      </w:r>
      <w:r w:rsidRPr="00301E1E">
        <w:t>Tova</w:t>
      </w:r>
      <w:r>
        <w:t xml:space="preserve"> Hartman</w:t>
      </w:r>
      <w:r w:rsidRPr="00301E1E">
        <w:t>, and Naomi Marmon. “Lived Regulations, Systemic Attributions: Menstrual Separation and Ritual Immersion in the Experience of Orthodox Jewish Women.” </w:t>
      </w:r>
      <w:r w:rsidRPr="00301E1E">
        <w:rPr>
          <w:i/>
          <w:iCs/>
        </w:rPr>
        <w:t>Gender &amp; Society</w:t>
      </w:r>
      <w:r w:rsidRPr="00301E1E">
        <w:t xml:space="preserve">, vol. 18, no. 3, June 2004, pp. 389–408, 10.1177/0891243204264810. </w:t>
      </w:r>
      <w:r>
        <w:t>[a</w:t>
      </w:r>
      <w:r w:rsidRPr="00301E1E">
        <w:t>ccessed 17 Feb. 2020</w:t>
      </w:r>
      <w:r>
        <w:t>]</w:t>
      </w:r>
    </w:p>
  </w:footnote>
  <w:footnote w:id="50">
    <w:p w14:paraId="55C62B56" w14:textId="77777777" w:rsidR="003247A4" w:rsidRDefault="003247A4" w:rsidP="00430B64">
      <w:pPr>
        <w:pStyle w:val="FootnoteText"/>
      </w:pPr>
      <w:r>
        <w:rPr>
          <w:rStyle w:val="FootnoteReference"/>
        </w:rPr>
        <w:footnoteRef/>
      </w:r>
      <w:r>
        <w:t xml:space="preserve"> IBID</w:t>
      </w:r>
    </w:p>
  </w:footnote>
  <w:footnote w:id="51">
    <w:p w14:paraId="2E795EB5" w14:textId="77777777" w:rsidR="003247A4" w:rsidRDefault="003247A4" w:rsidP="00430B64">
      <w:pPr>
        <w:pStyle w:val="FootnoteText"/>
      </w:pPr>
      <w:r>
        <w:rPr>
          <w:rStyle w:val="FootnoteReference"/>
        </w:rPr>
        <w:footnoteRef/>
      </w:r>
      <w:r>
        <w:t xml:space="preserve"> </w:t>
      </w:r>
      <w:r w:rsidRPr="00DD44AB">
        <w:t>Susan S</w:t>
      </w:r>
      <w:r>
        <w:t xml:space="preserve"> Sered</w:t>
      </w:r>
      <w:r w:rsidRPr="00DD44AB">
        <w:t>. </w:t>
      </w:r>
      <w:r w:rsidRPr="00DD44AB">
        <w:rPr>
          <w:i/>
          <w:iCs/>
        </w:rPr>
        <w:t>Feminist Perspectives on Jewish Studies</w:t>
      </w:r>
      <w:r w:rsidRPr="00DD44AB">
        <w:t>. edited by Lynn Davidman and Shelly Tenenbaum, New Haven, Yale University Press, 1994, p. 179.</w:t>
      </w:r>
    </w:p>
  </w:footnote>
  <w:footnote w:id="52">
    <w:p w14:paraId="0132FEC7" w14:textId="5002F716" w:rsidR="003247A4" w:rsidRDefault="003247A4" w:rsidP="00430B64">
      <w:pPr>
        <w:pStyle w:val="FootnoteText"/>
      </w:pPr>
      <w:r>
        <w:rPr>
          <w:rStyle w:val="FootnoteReference"/>
        </w:rPr>
        <w:footnoteRef/>
      </w:r>
      <w:r w:rsidRPr="00902782">
        <w:t xml:space="preserve"> Samuel C</w:t>
      </w:r>
      <w:r>
        <w:t xml:space="preserve"> Heilman</w:t>
      </w:r>
      <w:r w:rsidRPr="00902782">
        <w:t>, and Steven Martin Cohen. </w:t>
      </w:r>
      <w:r w:rsidRPr="00902782">
        <w:rPr>
          <w:i/>
          <w:iCs/>
        </w:rPr>
        <w:t xml:space="preserve">Cosmopolitans &amp; </w:t>
      </w:r>
      <w:proofErr w:type="spellStart"/>
      <w:r w:rsidRPr="00902782">
        <w:rPr>
          <w:i/>
          <w:iCs/>
        </w:rPr>
        <w:t>Parochials</w:t>
      </w:r>
      <w:proofErr w:type="spellEnd"/>
      <w:r w:rsidRPr="00902782">
        <w:rPr>
          <w:i/>
          <w:iCs/>
        </w:rPr>
        <w:t>: Modern Orthodox Jews in America</w:t>
      </w:r>
      <w:r w:rsidRPr="00902782">
        <w:t xml:space="preserve">. Chicago (Ill.), University </w:t>
      </w:r>
      <w:proofErr w:type="gramStart"/>
      <w:r w:rsidRPr="00902782">
        <w:t>Of</w:t>
      </w:r>
      <w:proofErr w:type="gramEnd"/>
      <w:r w:rsidRPr="00902782">
        <w:t xml:space="preserve"> Chicago Press, 1989, p. 76.</w:t>
      </w:r>
    </w:p>
  </w:footnote>
  <w:footnote w:id="53">
    <w:p w14:paraId="1C64D48A" w14:textId="77777777" w:rsidR="003247A4" w:rsidRDefault="003247A4" w:rsidP="00430B64">
      <w:pPr>
        <w:pStyle w:val="FootnoteText"/>
      </w:pPr>
      <w:r>
        <w:rPr>
          <w:rStyle w:val="FootnoteReference"/>
        </w:rPr>
        <w:footnoteRef/>
      </w:r>
      <w:r>
        <w:t xml:space="preserve"> IBID</w:t>
      </w:r>
    </w:p>
  </w:footnote>
  <w:footnote w:id="54">
    <w:p w14:paraId="633A671B" w14:textId="19C21E19" w:rsidR="003247A4" w:rsidRDefault="003247A4" w:rsidP="00430B64">
      <w:pPr>
        <w:pStyle w:val="FootnoteText"/>
      </w:pPr>
      <w:r>
        <w:rPr>
          <w:rStyle w:val="FootnoteReference"/>
        </w:rPr>
        <w:footnoteRef/>
      </w:r>
      <w:r>
        <w:t xml:space="preserve"> </w:t>
      </w:r>
      <w:r w:rsidRPr="00902782">
        <w:t xml:space="preserve">“Proud Jewish Woman Shares Tradition </w:t>
      </w:r>
      <w:proofErr w:type="gramStart"/>
      <w:r w:rsidRPr="00902782">
        <w:t>Of</w:t>
      </w:r>
      <w:proofErr w:type="gramEnd"/>
      <w:r w:rsidRPr="00902782">
        <w:t xml:space="preserve"> Mikvah On Tyra Banks Show!” </w:t>
      </w:r>
      <w:proofErr w:type="gramStart"/>
      <w:r w:rsidRPr="00902782">
        <w:rPr>
          <w:i/>
          <w:iCs/>
        </w:rPr>
        <w:t>Www.Youtube.Com</w:t>
      </w:r>
      <w:proofErr w:type="gramEnd"/>
      <w:r w:rsidRPr="00902782">
        <w:t xml:space="preserve">, 2016, www.youtube.com/watch?v=LOM8h0DQ7kU. </w:t>
      </w:r>
      <w:r>
        <w:t>[a</w:t>
      </w:r>
      <w:r w:rsidRPr="00902782">
        <w:t>ccessed 25 Feb. 2020</w:t>
      </w:r>
      <w:r>
        <w:t>]</w:t>
      </w:r>
    </w:p>
  </w:footnote>
  <w:footnote w:id="55">
    <w:p w14:paraId="52926C42" w14:textId="1E665111" w:rsidR="003247A4" w:rsidRDefault="003247A4" w:rsidP="00430B64">
      <w:pPr>
        <w:pStyle w:val="FootnoteText"/>
      </w:pPr>
      <w:r>
        <w:rPr>
          <w:rStyle w:val="FootnoteReference"/>
        </w:rPr>
        <w:footnoteRef/>
      </w:r>
      <w:r>
        <w:t xml:space="preserve"> </w:t>
      </w:r>
      <w:r w:rsidRPr="00DB34C0">
        <w:t>Tova</w:t>
      </w:r>
      <w:r>
        <w:t xml:space="preserve"> Hartman</w:t>
      </w:r>
      <w:r w:rsidRPr="00DB34C0">
        <w:t>, and Naomi Marmon. “Lived Regulations, Systemic Attributions: Menstrual Separation and Ritual Immersion in the Experience of Orthodox Jewish Women.” </w:t>
      </w:r>
      <w:r w:rsidRPr="00DB34C0">
        <w:rPr>
          <w:i/>
          <w:iCs/>
        </w:rPr>
        <w:t>Gender &amp; Society</w:t>
      </w:r>
      <w:r w:rsidRPr="00DB34C0">
        <w:t xml:space="preserve">, vol. 18, no. 3, June 2004, pp. 389–408, 10.1177/0891243204264810. </w:t>
      </w:r>
      <w:r>
        <w:t>[a</w:t>
      </w:r>
      <w:r w:rsidRPr="00DB34C0">
        <w:t>ccessed 17 Feb. 2020</w:t>
      </w:r>
      <w:r>
        <w:t>]</w:t>
      </w:r>
    </w:p>
  </w:footnote>
  <w:footnote w:id="56">
    <w:p w14:paraId="56500248" w14:textId="1CCDDC57" w:rsidR="003247A4" w:rsidRDefault="003247A4" w:rsidP="00430B64">
      <w:pPr>
        <w:pStyle w:val="FootnoteText"/>
      </w:pPr>
      <w:r>
        <w:rPr>
          <w:rStyle w:val="FootnoteReference"/>
        </w:rPr>
        <w:footnoteRef/>
      </w:r>
      <w:r>
        <w:t xml:space="preserve"> </w:t>
      </w:r>
      <w:r w:rsidRPr="00710DDF">
        <w:t>Graham</w:t>
      </w:r>
      <w:r>
        <w:t xml:space="preserve"> Davey</w:t>
      </w:r>
      <w:r w:rsidRPr="00710DDF">
        <w:t>, et al. </w:t>
      </w:r>
      <w:proofErr w:type="gramStart"/>
      <w:r w:rsidRPr="00710DDF">
        <w:rPr>
          <w:i/>
          <w:iCs/>
        </w:rPr>
        <w:t>Obsessive Compulsive</w:t>
      </w:r>
      <w:proofErr w:type="gramEnd"/>
      <w:r w:rsidRPr="00710DDF">
        <w:rPr>
          <w:i/>
          <w:iCs/>
        </w:rPr>
        <w:t xml:space="preserve"> Disorder</w:t>
      </w:r>
      <w:r w:rsidRPr="00710DDF">
        <w:t>. Basingstoke; New York, Palgrave Macmillan, 2014.</w:t>
      </w:r>
    </w:p>
  </w:footnote>
  <w:footnote w:id="57">
    <w:p w14:paraId="567469FC" w14:textId="341D585D" w:rsidR="003247A4" w:rsidRDefault="003247A4" w:rsidP="00430B64">
      <w:pPr>
        <w:pStyle w:val="FootnoteText"/>
      </w:pPr>
      <w:r>
        <w:rPr>
          <w:rStyle w:val="FootnoteReference"/>
        </w:rPr>
        <w:footnoteRef/>
      </w:r>
      <w:r>
        <w:t xml:space="preserve"> </w:t>
      </w:r>
      <w:bookmarkStart w:id="88" w:name="_Hlk39666237"/>
      <w:r w:rsidRPr="00710DDF">
        <w:t>Katia</w:t>
      </w:r>
      <w:r>
        <w:t xml:space="preserve"> Aryeh</w:t>
      </w:r>
      <w:r w:rsidRPr="00710DDF">
        <w:t>. “I Had to Take My Dirty Panties to a Rabbi, and so Has Every Orthodox Jewish Woman | Richard Dawkins Foundation.” </w:t>
      </w:r>
      <w:r w:rsidRPr="00710DDF">
        <w:rPr>
          <w:i/>
          <w:iCs/>
        </w:rPr>
        <w:t>Richarddawkins.Net</w:t>
      </w:r>
      <w:r w:rsidRPr="00710DDF">
        <w:t xml:space="preserve">, 28 Nov. 2016, www.richarddawkins.net/2016/11/i-had-to-take-my-dirty-panties-to-a-rabbi-and-so-has-every-orthodox-jewish-woman/. </w:t>
      </w:r>
      <w:r>
        <w:t>[a</w:t>
      </w:r>
      <w:r w:rsidRPr="00710DDF">
        <w:t>ccessed 25 Feb. 2020</w:t>
      </w:r>
      <w:bookmarkEnd w:id="88"/>
      <w:r>
        <w:t>]</w:t>
      </w:r>
    </w:p>
  </w:footnote>
  <w:footnote w:id="58">
    <w:p w14:paraId="4B12BC9E" w14:textId="3DEB5779" w:rsidR="003247A4" w:rsidRDefault="003247A4" w:rsidP="00430B64">
      <w:pPr>
        <w:pStyle w:val="FootnoteText"/>
      </w:pPr>
      <w:r>
        <w:rPr>
          <w:rStyle w:val="FootnoteReference"/>
        </w:rPr>
        <w:footnoteRef/>
      </w:r>
      <w:r>
        <w:t xml:space="preserve"> </w:t>
      </w:r>
      <w:r w:rsidRPr="0029526D">
        <w:t>Tova</w:t>
      </w:r>
      <w:r>
        <w:t xml:space="preserve"> Hartman</w:t>
      </w:r>
      <w:r w:rsidRPr="0029526D">
        <w:t>, and Naomi Marmon. “Lived Regulations, Systemic Attributions: Menstrual Separation and Ritual Immersion in the Experience of Orthodox Jewish Women.” </w:t>
      </w:r>
      <w:r w:rsidRPr="0029526D">
        <w:rPr>
          <w:i/>
          <w:iCs/>
        </w:rPr>
        <w:t>Gender &amp; Society</w:t>
      </w:r>
      <w:r w:rsidRPr="0029526D">
        <w:t xml:space="preserve">, vol. 18, no. 3, June 2004, pp. 389–408, 10.1177/0891243204264810. </w:t>
      </w:r>
      <w:r>
        <w:t>[a</w:t>
      </w:r>
      <w:r w:rsidRPr="0029526D">
        <w:t>ccessed 17 Feb. 2020</w:t>
      </w:r>
      <w:r>
        <w:t>]</w:t>
      </w:r>
    </w:p>
  </w:footnote>
  <w:footnote w:id="59">
    <w:p w14:paraId="28DACB99" w14:textId="77777777" w:rsidR="003247A4" w:rsidRDefault="003247A4" w:rsidP="00430B64">
      <w:pPr>
        <w:pStyle w:val="FootnoteText"/>
      </w:pPr>
      <w:r>
        <w:rPr>
          <w:rStyle w:val="FootnoteReference"/>
        </w:rPr>
        <w:footnoteRef/>
      </w:r>
      <w:r>
        <w:t xml:space="preserve"> IBID</w:t>
      </w:r>
    </w:p>
  </w:footnote>
  <w:footnote w:id="60">
    <w:p w14:paraId="6CC16A05" w14:textId="77777777" w:rsidR="003247A4" w:rsidRDefault="003247A4" w:rsidP="00430B64">
      <w:pPr>
        <w:pStyle w:val="FootnoteText"/>
      </w:pPr>
      <w:r>
        <w:rPr>
          <w:rStyle w:val="FootnoteReference"/>
        </w:rPr>
        <w:footnoteRef/>
      </w:r>
      <w:r>
        <w:t xml:space="preserve"> </w:t>
      </w:r>
      <w:r w:rsidRPr="008123C3">
        <w:t>Katia</w:t>
      </w:r>
      <w:r>
        <w:t xml:space="preserve"> Aryeh</w:t>
      </w:r>
      <w:r w:rsidRPr="008123C3">
        <w:t>. “I Had to Take My Dirty Panties to a Rabbi, and so Has Every Orthodox Jewish Woman | Richard Dawkins Foundation.” </w:t>
      </w:r>
      <w:r w:rsidRPr="008123C3">
        <w:rPr>
          <w:i/>
          <w:iCs/>
        </w:rPr>
        <w:t>Richarddawkins.Net</w:t>
      </w:r>
      <w:r w:rsidRPr="008123C3">
        <w:t xml:space="preserve">, 28 Nov. 2016, </w:t>
      </w:r>
    </w:p>
  </w:footnote>
  <w:footnote w:id="61">
    <w:p w14:paraId="530D3FEB" w14:textId="77777777" w:rsidR="003247A4" w:rsidRDefault="003247A4" w:rsidP="00430B64">
      <w:pPr>
        <w:pStyle w:val="FootnoteText"/>
      </w:pPr>
      <w:r>
        <w:rPr>
          <w:rStyle w:val="FootnoteReference"/>
        </w:rPr>
        <w:footnoteRef/>
      </w:r>
      <w:r>
        <w:t xml:space="preserve"> IBID</w:t>
      </w:r>
    </w:p>
  </w:footnote>
  <w:footnote w:id="62">
    <w:p w14:paraId="3E5A0F2F" w14:textId="77777777" w:rsidR="003247A4" w:rsidRDefault="003247A4" w:rsidP="00430B64">
      <w:pPr>
        <w:pStyle w:val="FootnoteText"/>
      </w:pPr>
      <w:r>
        <w:rPr>
          <w:rStyle w:val="FootnoteReference"/>
        </w:rPr>
        <w:footnoteRef/>
      </w:r>
      <w:r>
        <w:t xml:space="preserve"> IBID</w:t>
      </w:r>
    </w:p>
  </w:footnote>
  <w:footnote w:id="63">
    <w:p w14:paraId="74F8BD36" w14:textId="77777777" w:rsidR="003247A4" w:rsidRDefault="003247A4" w:rsidP="00165B03">
      <w:pPr>
        <w:pStyle w:val="FootnoteText"/>
      </w:pPr>
      <w:r>
        <w:rPr>
          <w:rStyle w:val="FootnoteReference"/>
        </w:rPr>
        <w:footnoteRef/>
      </w:r>
      <w:r>
        <w:t xml:space="preserve"> </w:t>
      </w:r>
      <w:r w:rsidRPr="00064299">
        <w:t>Yaacov</w:t>
      </w:r>
      <w:r>
        <w:t xml:space="preserve"> Yadger</w:t>
      </w:r>
      <w:r w:rsidRPr="00064299">
        <w:t>. 2006. “Gender, Religion, and Feminism: The Case of Jewish Israeli Traditionalists,” </w:t>
      </w:r>
      <w:r w:rsidRPr="00064299">
        <w:rPr>
          <w:i/>
          <w:iCs/>
        </w:rPr>
        <w:t>Journal for the Scientific Study of Religion</w:t>
      </w:r>
      <w:r w:rsidRPr="00064299">
        <w:t>, 45.3: 353–70 &lt;https://doi.org/10.1111/j.1468-5906.2006.00311.x&gt;</w:t>
      </w:r>
    </w:p>
  </w:footnote>
  <w:footnote w:id="64">
    <w:p w14:paraId="057FAAB8" w14:textId="77777777" w:rsidR="003247A4" w:rsidRPr="00987256" w:rsidRDefault="003247A4" w:rsidP="00165B03">
      <w:pPr>
        <w:pStyle w:val="FootnoteText"/>
      </w:pPr>
      <w:r w:rsidRPr="00987256">
        <w:rPr>
          <w:rStyle w:val="FootnoteReference"/>
        </w:rPr>
        <w:footnoteRef/>
      </w:r>
      <w:r w:rsidRPr="00987256">
        <w:t xml:space="preserve"> </w:t>
      </w:r>
      <w:bookmarkStart w:id="97" w:name="_Hlk38988667"/>
      <w:r w:rsidRPr="00987256">
        <w:t>Haviva Ner-David. 2009. </w:t>
      </w:r>
      <w:r w:rsidRPr="00987256">
        <w:rPr>
          <w:i/>
          <w:iCs/>
        </w:rPr>
        <w:t>The Passionate Torah: Sex and Judaism</w:t>
      </w:r>
      <w:r w:rsidRPr="00987256">
        <w:t>, ed. by Danya Ruttenberg (NYU Press), p. 122</w:t>
      </w:r>
      <w:bookmarkEnd w:id="97"/>
    </w:p>
  </w:footnote>
  <w:footnote w:id="65">
    <w:p w14:paraId="0DC5101E" w14:textId="77777777" w:rsidR="003247A4" w:rsidRPr="00987256" w:rsidRDefault="003247A4" w:rsidP="00165B03">
      <w:pPr>
        <w:pStyle w:val="FootnoteText"/>
      </w:pPr>
      <w:r w:rsidRPr="00987256">
        <w:rPr>
          <w:rStyle w:val="FootnoteReference"/>
        </w:rPr>
        <w:footnoteRef/>
      </w:r>
      <w:r w:rsidRPr="00987256">
        <w:t xml:space="preserve"> Tova Hartman, and Naomi Marmon. 2004. “Lived Regulations, Systemic Attributions: Menstrual Separation and Ritual Immersion in the Experience of Orthodox Jewish Women,” </w:t>
      </w:r>
      <w:r w:rsidRPr="00987256">
        <w:rPr>
          <w:i/>
          <w:iCs/>
        </w:rPr>
        <w:t>Gender &amp; Society</w:t>
      </w:r>
      <w:r w:rsidRPr="00987256">
        <w:t>, 18.3: 389–408 &lt;https://doi.org/10.1177/0891243204264810&gt;</w:t>
      </w:r>
    </w:p>
  </w:footnote>
  <w:footnote w:id="66">
    <w:p w14:paraId="141D0A4B" w14:textId="6128D3EE" w:rsidR="003247A4" w:rsidRDefault="003247A4" w:rsidP="00165B03">
      <w:pPr>
        <w:pStyle w:val="FootnoteText"/>
      </w:pPr>
      <w:r w:rsidRPr="00987256">
        <w:rPr>
          <w:rStyle w:val="FootnoteReference"/>
        </w:rPr>
        <w:footnoteRef/>
      </w:r>
      <w:r w:rsidRPr="00987256">
        <w:t xml:space="preserve"> T. Drorah Setel, Catherine Keller, Marcia Falk, Anne M. Solomon, and Rita M. Gross. 1986. “Roundtable Discussion: Feminist Reflections on Separation and Unity in Jewish Theology,” </w:t>
      </w:r>
      <w:r w:rsidRPr="00987256">
        <w:rPr>
          <w:i/>
          <w:iCs/>
        </w:rPr>
        <w:t>Journal of Feminist Studies in Religion</w:t>
      </w:r>
      <w:r w:rsidRPr="00987256">
        <w:t>, 2.1: 113–130 &lt;https://www.jstor.org/stable/pdf/25002032.pdf&gt; [accessed 27 April 2020]</w:t>
      </w:r>
    </w:p>
  </w:footnote>
  <w:footnote w:id="67">
    <w:p w14:paraId="39209605" w14:textId="77777777" w:rsidR="003247A4" w:rsidRDefault="003247A4" w:rsidP="00165B03">
      <w:pPr>
        <w:pStyle w:val="FootnoteText"/>
      </w:pPr>
      <w:r>
        <w:rPr>
          <w:rStyle w:val="FootnoteReference"/>
        </w:rPr>
        <w:footnoteRef/>
      </w:r>
      <w:r>
        <w:t xml:space="preserve"> </w:t>
      </w:r>
      <w:r w:rsidRPr="00AD0835">
        <w:t>Yaacov</w:t>
      </w:r>
      <w:r>
        <w:t xml:space="preserve"> Yadgar</w:t>
      </w:r>
      <w:r w:rsidRPr="00AD0835">
        <w:t>. 2006. “Gender, Religion, and Feminism: The Case of Jewish Israeli Traditionalists,” </w:t>
      </w:r>
      <w:r w:rsidRPr="00AD0835">
        <w:rPr>
          <w:i/>
          <w:iCs/>
        </w:rPr>
        <w:t>Journal for the Scientific Study of Religion</w:t>
      </w:r>
      <w:r w:rsidRPr="00AD0835">
        <w:t>, 45.3: 353–70 &lt;https://doi.org/10.1111/j.1468-5906.2006.00311.x&gt;</w:t>
      </w:r>
    </w:p>
  </w:footnote>
  <w:footnote w:id="68">
    <w:p w14:paraId="32280F31" w14:textId="77777777" w:rsidR="003247A4" w:rsidRDefault="003247A4" w:rsidP="00165B03">
      <w:pPr>
        <w:pStyle w:val="FootnoteText"/>
      </w:pPr>
      <w:r>
        <w:rPr>
          <w:rStyle w:val="FootnoteReference"/>
        </w:rPr>
        <w:footnoteRef/>
      </w:r>
      <w:r>
        <w:t xml:space="preserve"> </w:t>
      </w:r>
      <w:bookmarkStart w:id="101" w:name="_Hlk39236649"/>
      <w:bookmarkStart w:id="102" w:name="_Hlk39676047"/>
      <w:proofErr w:type="spellStart"/>
      <w:r w:rsidRPr="00584FE5">
        <w:t>Haviva</w:t>
      </w:r>
      <w:proofErr w:type="spellEnd"/>
      <w:r w:rsidRPr="00584FE5">
        <w:t xml:space="preserve"> </w:t>
      </w:r>
      <w:proofErr w:type="spellStart"/>
      <w:r w:rsidRPr="00584FE5">
        <w:t>Ner</w:t>
      </w:r>
      <w:proofErr w:type="spellEnd"/>
      <w:r w:rsidRPr="00584FE5">
        <w:t>-David</w:t>
      </w:r>
      <w:bookmarkEnd w:id="102"/>
      <w:r w:rsidRPr="00584FE5">
        <w:t>. 2009. </w:t>
      </w:r>
      <w:r w:rsidRPr="00584FE5">
        <w:rPr>
          <w:i/>
          <w:iCs/>
        </w:rPr>
        <w:t>The Passionate Torah: Sex and Judaism</w:t>
      </w:r>
      <w:r w:rsidRPr="00584FE5">
        <w:t>, ed. by Danya Ruttenberg (NYU Press)</w:t>
      </w:r>
      <w:bookmarkEnd w:id="101"/>
      <w:r w:rsidRPr="00584FE5">
        <w:t>, p. 122</w:t>
      </w:r>
    </w:p>
  </w:footnote>
  <w:footnote w:id="69">
    <w:p w14:paraId="45DB8851" w14:textId="77777777" w:rsidR="003247A4" w:rsidRDefault="003247A4" w:rsidP="00165B03">
      <w:pPr>
        <w:pStyle w:val="FootnoteText"/>
      </w:pPr>
      <w:r>
        <w:rPr>
          <w:rStyle w:val="FootnoteReference"/>
        </w:rPr>
        <w:footnoteRef/>
      </w:r>
      <w:r>
        <w:t xml:space="preserve"> </w:t>
      </w:r>
      <w:r w:rsidRPr="005B73F7">
        <w:t xml:space="preserve"> Rabbi Jill</w:t>
      </w:r>
      <w:r>
        <w:t xml:space="preserve"> Hammer</w:t>
      </w:r>
      <w:r w:rsidRPr="005B73F7">
        <w:t>. [n.d.]. “Feminist Perspectives on Niddah, the Laws of Separation,” </w:t>
      </w:r>
      <w:r w:rsidRPr="005B73F7">
        <w:rPr>
          <w:i/>
          <w:iCs/>
        </w:rPr>
        <w:t>My Jewish Learning</w:t>
      </w:r>
      <w:r w:rsidRPr="005B73F7">
        <w:t> &lt;https://www.myjewishlearning.com/article/rising-from-the-ritual-bath/&gt; [accessed 29 April 2020]</w:t>
      </w:r>
    </w:p>
  </w:footnote>
  <w:footnote w:id="70">
    <w:p w14:paraId="12096A23" w14:textId="77777777" w:rsidR="003247A4" w:rsidRDefault="003247A4" w:rsidP="00165B03">
      <w:pPr>
        <w:pStyle w:val="FootnoteText"/>
      </w:pPr>
      <w:r>
        <w:rPr>
          <w:rStyle w:val="FootnoteReference"/>
        </w:rPr>
        <w:footnoteRef/>
      </w:r>
      <w:r>
        <w:t xml:space="preserve"> IBID</w:t>
      </w:r>
    </w:p>
  </w:footnote>
  <w:footnote w:id="71">
    <w:p w14:paraId="0E398AF9" w14:textId="77777777" w:rsidR="003247A4" w:rsidRDefault="003247A4" w:rsidP="00165B03">
      <w:pPr>
        <w:pStyle w:val="FootnoteText"/>
      </w:pPr>
      <w:r>
        <w:rPr>
          <w:rStyle w:val="FootnoteReference"/>
        </w:rPr>
        <w:footnoteRef/>
      </w:r>
      <w:r>
        <w:t xml:space="preserve"> IBID</w:t>
      </w:r>
    </w:p>
  </w:footnote>
  <w:footnote w:id="72">
    <w:p w14:paraId="50952628" w14:textId="36732AB6" w:rsidR="003247A4" w:rsidRDefault="003247A4" w:rsidP="00165B03">
      <w:pPr>
        <w:pStyle w:val="FootnoteText"/>
      </w:pPr>
      <w:r>
        <w:rPr>
          <w:rStyle w:val="FootnoteReference"/>
        </w:rPr>
        <w:footnoteRef/>
      </w:r>
      <w:r>
        <w:t xml:space="preserve"> </w:t>
      </w:r>
      <w:r w:rsidRPr="00E83E7C">
        <w:t>Susan S</w:t>
      </w:r>
      <w:r>
        <w:t xml:space="preserve"> </w:t>
      </w:r>
      <w:proofErr w:type="spellStart"/>
      <w:r>
        <w:t>Sered</w:t>
      </w:r>
      <w:proofErr w:type="spellEnd"/>
      <w:r w:rsidRPr="00E83E7C">
        <w:t>. 1991. “Childbirth as a Religious Experience? Voices from an Israeli Hospital,” </w:t>
      </w:r>
      <w:r w:rsidRPr="00E83E7C">
        <w:rPr>
          <w:i/>
          <w:iCs/>
        </w:rPr>
        <w:t>Journal of Feminist Studies in Religion</w:t>
      </w:r>
      <w:r w:rsidRPr="00E83E7C">
        <w:t>, Vol: 7. Issue: 2: 7–18 &lt;www.jstor.org/stable/25002152&gt;</w:t>
      </w:r>
    </w:p>
  </w:footnote>
  <w:footnote w:id="73">
    <w:p w14:paraId="04E5B31D" w14:textId="77777777" w:rsidR="003247A4" w:rsidRDefault="003247A4" w:rsidP="00165B03">
      <w:pPr>
        <w:pStyle w:val="FootnoteText"/>
      </w:pPr>
      <w:r w:rsidRPr="5EB3044B">
        <w:rPr>
          <w:rStyle w:val="FootnoteReference"/>
        </w:rPr>
        <w:footnoteRef/>
      </w:r>
      <w:r>
        <w:t xml:space="preserve"> Celia Rothenberg. 2006. “Jewish Yoga: Experiencing Flexible, Sacred, and Jewish Bodies,” </w:t>
      </w:r>
      <w:r w:rsidRPr="5EB3044B">
        <w:rPr>
          <w:i/>
          <w:iCs/>
        </w:rPr>
        <w:t>Nova Religio: The Journal of Alternative and Emergent Religions</w:t>
      </w:r>
      <w:r>
        <w:t>, 10.2: 57–74 &lt;https://doi.org/10.1525/nr.2006.10.2.57&gt;</w:t>
      </w:r>
    </w:p>
  </w:footnote>
  <w:footnote w:id="74">
    <w:p w14:paraId="7B150632" w14:textId="77777777" w:rsidR="003247A4" w:rsidRDefault="003247A4" w:rsidP="00165B03">
      <w:pPr>
        <w:pStyle w:val="FootnoteText"/>
      </w:pPr>
      <w:r>
        <w:rPr>
          <w:rStyle w:val="FootnoteReference"/>
        </w:rPr>
        <w:footnoteRef/>
      </w:r>
      <w:r>
        <w:t xml:space="preserve"> IBID</w:t>
      </w:r>
    </w:p>
  </w:footnote>
  <w:footnote w:id="75">
    <w:p w14:paraId="709BA1E0" w14:textId="77777777" w:rsidR="003247A4" w:rsidRDefault="003247A4" w:rsidP="00165B03">
      <w:pPr>
        <w:pStyle w:val="FootnoteText"/>
      </w:pPr>
      <w:r>
        <w:rPr>
          <w:rStyle w:val="FootnoteReference"/>
        </w:rPr>
        <w:footnoteRef/>
      </w:r>
      <w:r>
        <w:t xml:space="preserve"> IBID</w:t>
      </w:r>
    </w:p>
  </w:footnote>
  <w:footnote w:id="76">
    <w:p w14:paraId="1D9DF601" w14:textId="77777777" w:rsidR="003247A4" w:rsidRDefault="003247A4" w:rsidP="00165B03">
      <w:pPr>
        <w:pStyle w:val="FootnoteText"/>
      </w:pPr>
      <w:r>
        <w:rPr>
          <w:rStyle w:val="FootnoteReference"/>
        </w:rPr>
        <w:footnoteRef/>
      </w:r>
      <w:r>
        <w:t xml:space="preserve"> IBID</w:t>
      </w:r>
    </w:p>
  </w:footnote>
  <w:footnote w:id="77">
    <w:p w14:paraId="0E22CBE1" w14:textId="12BC737B" w:rsidR="003247A4" w:rsidRDefault="003247A4" w:rsidP="00165B03">
      <w:pPr>
        <w:pStyle w:val="FootnoteText"/>
      </w:pPr>
      <w:r>
        <w:rPr>
          <w:rStyle w:val="FootnoteReference"/>
        </w:rPr>
        <w:footnoteRef/>
      </w:r>
      <w:r>
        <w:t xml:space="preserve"> </w:t>
      </w:r>
      <w:r w:rsidRPr="004E0390">
        <w:t>Yang</w:t>
      </w:r>
      <w:r>
        <w:t xml:space="preserve"> Yang</w:t>
      </w:r>
      <w:r w:rsidRPr="004E0390">
        <w:t>, Nitesh V. Chawla, and Brian Uzzi. 2019. “A Network’s Gender Composition and Communication Pattern Predict Women’s Leadership Success,” </w:t>
      </w:r>
      <w:r w:rsidRPr="004E0390">
        <w:rPr>
          <w:i/>
          <w:iCs/>
        </w:rPr>
        <w:t>Proceedings of the National Academy of Sciences</w:t>
      </w:r>
      <w:r w:rsidRPr="004E0390">
        <w:t>, 116.6: 2033–38 &lt;https://doi.org/10.1073/pnas.1721438116&gt;</w:t>
      </w:r>
    </w:p>
  </w:footnote>
  <w:footnote w:id="78">
    <w:p w14:paraId="67F420B2" w14:textId="77777777" w:rsidR="003247A4" w:rsidRDefault="003247A4" w:rsidP="00165B03">
      <w:pPr>
        <w:pStyle w:val="FootnoteText"/>
      </w:pPr>
      <w:r>
        <w:rPr>
          <w:rStyle w:val="FootnoteReference"/>
        </w:rPr>
        <w:footnoteRef/>
      </w:r>
      <w:r>
        <w:t xml:space="preserve"> </w:t>
      </w:r>
      <w:r w:rsidRPr="00F15A1B">
        <w:t>Judith G</w:t>
      </w:r>
      <w:r>
        <w:t xml:space="preserve"> Martin</w:t>
      </w:r>
      <w:r w:rsidRPr="00F15A1B">
        <w:t>. 1993. “Why Women Need a Feminist Spirituality,” </w:t>
      </w:r>
      <w:r w:rsidRPr="00F15A1B">
        <w:rPr>
          <w:i/>
          <w:iCs/>
        </w:rPr>
        <w:t>Women’s Studies Quarterly</w:t>
      </w:r>
      <w:r w:rsidRPr="00F15A1B">
        <w:t>, 21.1/2: 106–120 &lt;https://www.jstor.org/stable/pdf/40003877.pdf?ab_segments=0%252Fbasic_SYC-5152%252Ftest&amp;refreqid=excelsior%3A147b0db4b4a10beadcd4c01c1fc31423&gt; [accessed 1 May 2020]</w:t>
      </w:r>
    </w:p>
  </w:footnote>
  <w:footnote w:id="79">
    <w:p w14:paraId="1B974214" w14:textId="4BE7A520" w:rsidR="003247A4" w:rsidRDefault="003247A4" w:rsidP="00165B03">
      <w:pPr>
        <w:pStyle w:val="FootnoteText"/>
      </w:pPr>
      <w:r>
        <w:rPr>
          <w:rStyle w:val="FootnoteReference"/>
        </w:rPr>
        <w:footnoteRef/>
      </w:r>
      <w:r>
        <w:t xml:space="preserve"> </w:t>
      </w:r>
      <w:r w:rsidRPr="00876E2B">
        <w:t>Haviva Ner-David. 2009. </w:t>
      </w:r>
      <w:r w:rsidRPr="00876E2B">
        <w:rPr>
          <w:i/>
          <w:iCs/>
        </w:rPr>
        <w:t>The Passionate Torah: Sex and Judaism</w:t>
      </w:r>
      <w:r w:rsidRPr="00876E2B">
        <w:t>, ed. by Danya Ruttenberg (NYU Press)</w:t>
      </w:r>
      <w:r>
        <w:t>.</w:t>
      </w:r>
    </w:p>
  </w:footnote>
  <w:footnote w:id="80">
    <w:p w14:paraId="14CEC4F2" w14:textId="77777777" w:rsidR="003247A4" w:rsidRDefault="003247A4" w:rsidP="00165B03">
      <w:pPr>
        <w:pStyle w:val="FootnoteText"/>
      </w:pPr>
      <w:r>
        <w:rPr>
          <w:rStyle w:val="FootnoteReference"/>
        </w:rPr>
        <w:footnoteRef/>
      </w:r>
      <w:r>
        <w:t xml:space="preserve"> IBID, p. 132</w:t>
      </w:r>
    </w:p>
  </w:footnote>
  <w:footnote w:id="81">
    <w:p w14:paraId="5B663CEC" w14:textId="77777777" w:rsidR="003247A4" w:rsidRDefault="003247A4" w:rsidP="00165B03">
      <w:pPr>
        <w:pStyle w:val="FootnoteText"/>
      </w:pPr>
      <w:r>
        <w:rPr>
          <w:rStyle w:val="FootnoteReference"/>
        </w:rPr>
        <w:footnoteRef/>
      </w:r>
      <w:r>
        <w:t xml:space="preserve"> IBID, p.133</w:t>
      </w:r>
    </w:p>
  </w:footnote>
  <w:footnote w:id="82">
    <w:p w14:paraId="7C3C0EBC" w14:textId="77777777" w:rsidR="003247A4" w:rsidRDefault="003247A4" w:rsidP="00165B03">
      <w:pPr>
        <w:pStyle w:val="FootnoteText"/>
      </w:pPr>
      <w:r>
        <w:rPr>
          <w:rStyle w:val="FootnoteReference"/>
        </w:rPr>
        <w:footnoteRef/>
      </w:r>
      <w:r>
        <w:t xml:space="preserve"> </w:t>
      </w:r>
      <w:r w:rsidRPr="00C13640">
        <w:t>Yadgar, Yaacov. 2006. “Gender, Religion, and Feminism: The Case of Jewish Israeli Traditionalists,” </w:t>
      </w:r>
      <w:r w:rsidRPr="00C13640">
        <w:rPr>
          <w:i/>
          <w:iCs/>
        </w:rPr>
        <w:t>Journal for the Scientific Study of Religion</w:t>
      </w:r>
      <w:r w:rsidRPr="00C13640">
        <w:t>, 45.3: 353–70 &lt;https://doi.org/10.1111/j.1468-5906.2006.00311.x&gt;</w:t>
      </w:r>
    </w:p>
  </w:footnote>
  <w:footnote w:id="83">
    <w:p w14:paraId="270E3CCE" w14:textId="77777777" w:rsidR="003247A4" w:rsidRDefault="003247A4" w:rsidP="00165B03">
      <w:pPr>
        <w:pStyle w:val="FootnoteText"/>
      </w:pPr>
      <w:r>
        <w:rPr>
          <w:rStyle w:val="FootnoteReference"/>
        </w:rPr>
        <w:footnoteRef/>
      </w:r>
      <w:r>
        <w:t xml:space="preserve"> </w:t>
      </w:r>
      <w:r w:rsidRPr="004169F6">
        <w:t>Fishman, Sylvia Barack</w:t>
      </w:r>
      <w:r>
        <w:t xml:space="preserve"> Fishman</w:t>
      </w:r>
      <w:r w:rsidRPr="004169F6">
        <w:t>. 1989. “The Impact of Feminism on American Jewish Life,” </w:t>
      </w:r>
      <w:r w:rsidRPr="004169F6">
        <w:rPr>
          <w:i/>
          <w:iCs/>
        </w:rPr>
        <w:t xml:space="preserve">The American Jewish </w:t>
      </w:r>
      <w:proofErr w:type="gramStart"/>
      <w:r w:rsidRPr="004169F6">
        <w:rPr>
          <w:i/>
          <w:iCs/>
        </w:rPr>
        <w:t>Year Book</w:t>
      </w:r>
      <w:proofErr w:type="gramEnd"/>
      <w:r w:rsidRPr="004169F6">
        <w:t>, 89: 3–62 [accessed 2 May 2020]</w:t>
      </w:r>
    </w:p>
  </w:footnote>
  <w:footnote w:id="84">
    <w:p w14:paraId="683F8413" w14:textId="77777777" w:rsidR="003247A4" w:rsidRPr="008228DF" w:rsidRDefault="003247A4" w:rsidP="00165B03">
      <w:pPr>
        <w:pStyle w:val="FootnoteText"/>
      </w:pPr>
      <w:r>
        <w:rPr>
          <w:rStyle w:val="FootnoteReference"/>
        </w:rPr>
        <w:footnoteRef/>
      </w:r>
      <w:r>
        <w:t xml:space="preserve"> </w:t>
      </w:r>
      <w:r w:rsidRPr="008228DF">
        <w:t>Yadgar, Yaacov. 2006. “Gender, Religion, and Feminism: The Case of Jewish Israeli Traditionalists,” </w:t>
      </w:r>
      <w:r w:rsidRPr="008228DF">
        <w:rPr>
          <w:i/>
          <w:iCs/>
        </w:rPr>
        <w:t>Journal for the Scientific Study of Religion</w:t>
      </w:r>
      <w:r w:rsidRPr="008228DF">
        <w:t>, 45.3: 353–70 &lt;https://doi.org/10.1111/j.1468-5906.2006.00311.x&gt;</w:t>
      </w:r>
    </w:p>
    <w:p w14:paraId="67BAB38D" w14:textId="77777777" w:rsidR="003247A4" w:rsidRDefault="003247A4" w:rsidP="00165B0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A24"/>
    <w:rsid w:val="00003DA7"/>
    <w:rsid w:val="0009567B"/>
    <w:rsid w:val="000B01AB"/>
    <w:rsid w:val="000C6EDC"/>
    <w:rsid w:val="000D76EF"/>
    <w:rsid w:val="001551F3"/>
    <w:rsid w:val="00165B03"/>
    <w:rsid w:val="001665FA"/>
    <w:rsid w:val="001961FF"/>
    <w:rsid w:val="001A0E75"/>
    <w:rsid w:val="001B6C68"/>
    <w:rsid w:val="00271FC1"/>
    <w:rsid w:val="00296B07"/>
    <w:rsid w:val="002A0324"/>
    <w:rsid w:val="002A3F3A"/>
    <w:rsid w:val="002E53C6"/>
    <w:rsid w:val="0031608A"/>
    <w:rsid w:val="003247A4"/>
    <w:rsid w:val="00330CA6"/>
    <w:rsid w:val="00336FE2"/>
    <w:rsid w:val="00354F04"/>
    <w:rsid w:val="0039345F"/>
    <w:rsid w:val="0039500A"/>
    <w:rsid w:val="003A462B"/>
    <w:rsid w:val="003B2CC9"/>
    <w:rsid w:val="003E4BCC"/>
    <w:rsid w:val="004176FB"/>
    <w:rsid w:val="00423D82"/>
    <w:rsid w:val="00430B64"/>
    <w:rsid w:val="00454A51"/>
    <w:rsid w:val="004659DE"/>
    <w:rsid w:val="00466941"/>
    <w:rsid w:val="00475A9C"/>
    <w:rsid w:val="004A0B96"/>
    <w:rsid w:val="004A44A9"/>
    <w:rsid w:val="004B4756"/>
    <w:rsid w:val="004D6187"/>
    <w:rsid w:val="004E00D0"/>
    <w:rsid w:val="005A1F92"/>
    <w:rsid w:val="00612069"/>
    <w:rsid w:val="00636212"/>
    <w:rsid w:val="00690694"/>
    <w:rsid w:val="007743F5"/>
    <w:rsid w:val="0080425B"/>
    <w:rsid w:val="008559E0"/>
    <w:rsid w:val="0089090E"/>
    <w:rsid w:val="008A6447"/>
    <w:rsid w:val="008E2E5A"/>
    <w:rsid w:val="008E3CBA"/>
    <w:rsid w:val="008E5550"/>
    <w:rsid w:val="008E6429"/>
    <w:rsid w:val="0091139B"/>
    <w:rsid w:val="00922D0D"/>
    <w:rsid w:val="009275E8"/>
    <w:rsid w:val="0093604C"/>
    <w:rsid w:val="00955769"/>
    <w:rsid w:val="00976073"/>
    <w:rsid w:val="00991343"/>
    <w:rsid w:val="009A4692"/>
    <w:rsid w:val="009B0E79"/>
    <w:rsid w:val="009B613D"/>
    <w:rsid w:val="009C1F5F"/>
    <w:rsid w:val="009E0F21"/>
    <w:rsid w:val="009F5D7C"/>
    <w:rsid w:val="00A01332"/>
    <w:rsid w:val="00A07B06"/>
    <w:rsid w:val="00A1414A"/>
    <w:rsid w:val="00A347A3"/>
    <w:rsid w:val="00A83266"/>
    <w:rsid w:val="00A874B9"/>
    <w:rsid w:val="00AB6AB7"/>
    <w:rsid w:val="00AC1096"/>
    <w:rsid w:val="00AF10FB"/>
    <w:rsid w:val="00B14A43"/>
    <w:rsid w:val="00B34534"/>
    <w:rsid w:val="00B3456A"/>
    <w:rsid w:val="00B60DAA"/>
    <w:rsid w:val="00B66004"/>
    <w:rsid w:val="00B859CE"/>
    <w:rsid w:val="00B869A4"/>
    <w:rsid w:val="00BA0CCD"/>
    <w:rsid w:val="00BB463F"/>
    <w:rsid w:val="00BF5880"/>
    <w:rsid w:val="00CB56CB"/>
    <w:rsid w:val="00CB5A22"/>
    <w:rsid w:val="00CC2BC6"/>
    <w:rsid w:val="00CF6347"/>
    <w:rsid w:val="00D21A9A"/>
    <w:rsid w:val="00D669C5"/>
    <w:rsid w:val="00D7663D"/>
    <w:rsid w:val="00DF313E"/>
    <w:rsid w:val="00DF7664"/>
    <w:rsid w:val="00E114A5"/>
    <w:rsid w:val="00E23CFF"/>
    <w:rsid w:val="00E43F87"/>
    <w:rsid w:val="00E83E7C"/>
    <w:rsid w:val="00E85EFD"/>
    <w:rsid w:val="00E86A24"/>
    <w:rsid w:val="00E9651D"/>
    <w:rsid w:val="00EB68CC"/>
    <w:rsid w:val="00EF5078"/>
    <w:rsid w:val="00F17795"/>
    <w:rsid w:val="00F17DAE"/>
    <w:rsid w:val="00F27E95"/>
    <w:rsid w:val="00FA08E2"/>
    <w:rsid w:val="00FD3C47"/>
    <w:rsid w:val="00FD5B00"/>
    <w:rsid w:val="00FF4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E4172"/>
  <w15:chartTrackingRefBased/>
  <w15:docId w15:val="{2FCB6896-FCAD-4D6B-8DC5-14534219A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DA7"/>
    <w:rPr>
      <w:rFonts w:ascii="Trebuchet MS" w:hAnsi="Trebuchet MS"/>
      <w:sz w:val="24"/>
    </w:rPr>
  </w:style>
  <w:style w:type="paragraph" w:styleId="Heading1">
    <w:name w:val="heading 1"/>
    <w:basedOn w:val="Normal"/>
    <w:next w:val="Normal"/>
    <w:link w:val="Heading1Char"/>
    <w:autoRedefine/>
    <w:uiPriority w:val="9"/>
    <w:qFormat/>
    <w:rsid w:val="008E6429"/>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93604C"/>
    <w:pPr>
      <w:keepNext/>
      <w:keepLines/>
      <w:spacing w:before="40" w:after="0"/>
      <w:outlineLvl w:val="1"/>
    </w:pPr>
    <w:rPr>
      <w:rFonts w:eastAsiaTheme="majorEastAsia" w:cstheme="majorBidi"/>
      <w:sz w:val="28"/>
      <w:szCs w:val="26"/>
      <w:shd w:val="clear" w:color="auto" w:fill="FFFFFF"/>
    </w:rPr>
  </w:style>
  <w:style w:type="paragraph" w:styleId="Heading3">
    <w:name w:val="heading 3"/>
    <w:basedOn w:val="Normal"/>
    <w:next w:val="Normal"/>
    <w:link w:val="Heading3Char"/>
    <w:autoRedefine/>
    <w:uiPriority w:val="9"/>
    <w:unhideWhenUsed/>
    <w:qFormat/>
    <w:rsid w:val="00430B64"/>
    <w:pPr>
      <w:keepNext/>
      <w:keepLines/>
      <w:spacing w:before="40" w:after="0"/>
      <w:outlineLvl w:val="2"/>
    </w:pPr>
    <w:rPr>
      <w:rFonts w:eastAsiaTheme="majorEastAsia" w:cstheme="majorBidi"/>
      <w:b/>
      <w:sz w:val="26"/>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6A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6A24"/>
    <w:rPr>
      <w:rFonts w:ascii="Segoe UI" w:hAnsi="Segoe UI" w:cs="Segoe UI"/>
      <w:sz w:val="18"/>
      <w:szCs w:val="18"/>
    </w:rPr>
  </w:style>
  <w:style w:type="character" w:customStyle="1" w:styleId="text">
    <w:name w:val="text"/>
    <w:basedOn w:val="DefaultParagraphFont"/>
    <w:rsid w:val="00E86A24"/>
  </w:style>
  <w:style w:type="paragraph" w:styleId="FootnoteText">
    <w:name w:val="footnote text"/>
    <w:basedOn w:val="Normal"/>
    <w:link w:val="FootnoteTextChar"/>
    <w:uiPriority w:val="99"/>
    <w:semiHidden/>
    <w:unhideWhenUsed/>
    <w:rsid w:val="00E86A2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86A24"/>
    <w:rPr>
      <w:rFonts w:ascii="Trebuchet MS" w:hAnsi="Trebuchet MS"/>
      <w:sz w:val="20"/>
      <w:szCs w:val="20"/>
    </w:rPr>
  </w:style>
  <w:style w:type="character" w:styleId="FootnoteReference">
    <w:name w:val="footnote reference"/>
    <w:basedOn w:val="DefaultParagraphFont"/>
    <w:uiPriority w:val="99"/>
    <w:semiHidden/>
    <w:unhideWhenUsed/>
    <w:rsid w:val="00E86A24"/>
    <w:rPr>
      <w:vertAlign w:val="superscript"/>
    </w:rPr>
  </w:style>
  <w:style w:type="character" w:customStyle="1" w:styleId="small-caps">
    <w:name w:val="small-caps"/>
    <w:basedOn w:val="DefaultParagraphFont"/>
    <w:rsid w:val="00E86A24"/>
  </w:style>
  <w:style w:type="character" w:styleId="CommentReference">
    <w:name w:val="annotation reference"/>
    <w:basedOn w:val="DefaultParagraphFont"/>
    <w:uiPriority w:val="99"/>
    <w:semiHidden/>
    <w:unhideWhenUsed/>
    <w:rsid w:val="00E86A24"/>
    <w:rPr>
      <w:sz w:val="16"/>
      <w:szCs w:val="16"/>
    </w:rPr>
  </w:style>
  <w:style w:type="paragraph" w:styleId="CommentText">
    <w:name w:val="annotation text"/>
    <w:basedOn w:val="Normal"/>
    <w:link w:val="CommentTextChar"/>
    <w:uiPriority w:val="99"/>
    <w:semiHidden/>
    <w:unhideWhenUsed/>
    <w:rsid w:val="00E86A24"/>
    <w:pPr>
      <w:spacing w:line="240" w:lineRule="auto"/>
    </w:pPr>
    <w:rPr>
      <w:sz w:val="20"/>
      <w:szCs w:val="20"/>
    </w:rPr>
  </w:style>
  <w:style w:type="character" w:customStyle="1" w:styleId="CommentTextChar">
    <w:name w:val="Comment Text Char"/>
    <w:basedOn w:val="DefaultParagraphFont"/>
    <w:link w:val="CommentText"/>
    <w:uiPriority w:val="99"/>
    <w:semiHidden/>
    <w:rsid w:val="00E86A24"/>
    <w:rPr>
      <w:rFonts w:ascii="Trebuchet MS" w:hAnsi="Trebuchet MS"/>
      <w:sz w:val="20"/>
      <w:szCs w:val="20"/>
    </w:rPr>
  </w:style>
  <w:style w:type="character" w:customStyle="1" w:styleId="Heading1Char">
    <w:name w:val="Heading 1 Char"/>
    <w:basedOn w:val="DefaultParagraphFont"/>
    <w:link w:val="Heading1"/>
    <w:uiPriority w:val="9"/>
    <w:rsid w:val="008E6429"/>
    <w:rPr>
      <w:rFonts w:ascii="Trebuchet MS" w:eastAsiaTheme="majorEastAsia" w:hAnsi="Trebuchet MS" w:cstheme="majorBidi"/>
      <w:sz w:val="32"/>
      <w:szCs w:val="32"/>
    </w:rPr>
  </w:style>
  <w:style w:type="paragraph" w:styleId="TOCHeading">
    <w:name w:val="TOC Heading"/>
    <w:basedOn w:val="Heading1"/>
    <w:next w:val="Normal"/>
    <w:uiPriority w:val="39"/>
    <w:unhideWhenUsed/>
    <w:qFormat/>
    <w:rsid w:val="00CB56CB"/>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B56CB"/>
    <w:pPr>
      <w:spacing w:before="120" w:after="120"/>
    </w:pPr>
    <w:rPr>
      <w:rFonts w:cstheme="minorHAnsi"/>
      <w:b/>
      <w:bCs/>
      <w:caps/>
      <w:sz w:val="20"/>
      <w:szCs w:val="20"/>
    </w:rPr>
  </w:style>
  <w:style w:type="character" w:styleId="Hyperlink">
    <w:name w:val="Hyperlink"/>
    <w:basedOn w:val="DefaultParagraphFont"/>
    <w:uiPriority w:val="99"/>
    <w:unhideWhenUsed/>
    <w:rsid w:val="00CB56CB"/>
    <w:rPr>
      <w:color w:val="0563C1" w:themeColor="hyperlink"/>
      <w:u w:val="single"/>
    </w:rPr>
  </w:style>
  <w:style w:type="paragraph" w:styleId="Header">
    <w:name w:val="header"/>
    <w:basedOn w:val="Normal"/>
    <w:link w:val="HeaderChar"/>
    <w:uiPriority w:val="99"/>
    <w:unhideWhenUsed/>
    <w:rsid w:val="00E23C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CFF"/>
  </w:style>
  <w:style w:type="paragraph" w:styleId="Footer">
    <w:name w:val="footer"/>
    <w:basedOn w:val="Normal"/>
    <w:link w:val="FooterChar"/>
    <w:uiPriority w:val="99"/>
    <w:unhideWhenUsed/>
    <w:rsid w:val="00E23C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CFF"/>
  </w:style>
  <w:style w:type="character" w:customStyle="1" w:styleId="Heading2Char">
    <w:name w:val="Heading 2 Char"/>
    <w:basedOn w:val="DefaultParagraphFont"/>
    <w:link w:val="Heading2"/>
    <w:uiPriority w:val="9"/>
    <w:rsid w:val="0093604C"/>
    <w:rPr>
      <w:rFonts w:ascii="Trebuchet MS" w:eastAsiaTheme="majorEastAsia" w:hAnsi="Trebuchet MS" w:cstheme="majorBidi"/>
      <w:sz w:val="28"/>
      <w:szCs w:val="26"/>
    </w:rPr>
  </w:style>
  <w:style w:type="paragraph" w:styleId="TOC2">
    <w:name w:val="toc 2"/>
    <w:basedOn w:val="Normal"/>
    <w:next w:val="Normal"/>
    <w:autoRedefine/>
    <w:uiPriority w:val="39"/>
    <w:unhideWhenUsed/>
    <w:rsid w:val="002A3F3A"/>
    <w:pPr>
      <w:spacing w:after="0"/>
      <w:ind w:left="220"/>
    </w:pPr>
    <w:rPr>
      <w:rFonts w:cstheme="minorHAnsi"/>
      <w:smallCaps/>
      <w:sz w:val="20"/>
      <w:szCs w:val="20"/>
    </w:rPr>
  </w:style>
  <w:style w:type="paragraph" w:styleId="TOC3">
    <w:name w:val="toc 3"/>
    <w:basedOn w:val="Normal"/>
    <w:next w:val="Normal"/>
    <w:autoRedefine/>
    <w:uiPriority w:val="39"/>
    <w:unhideWhenUsed/>
    <w:rsid w:val="002A3F3A"/>
    <w:pPr>
      <w:spacing w:after="0"/>
      <w:ind w:left="440"/>
    </w:pPr>
    <w:rPr>
      <w:rFonts w:cstheme="minorHAnsi"/>
      <w:i/>
      <w:iCs/>
      <w:sz w:val="20"/>
      <w:szCs w:val="20"/>
    </w:rPr>
  </w:style>
  <w:style w:type="character" w:customStyle="1" w:styleId="Heading3Char">
    <w:name w:val="Heading 3 Char"/>
    <w:basedOn w:val="DefaultParagraphFont"/>
    <w:link w:val="Heading3"/>
    <w:uiPriority w:val="9"/>
    <w:rsid w:val="00430B64"/>
    <w:rPr>
      <w:rFonts w:ascii="Trebuchet MS" w:eastAsiaTheme="majorEastAsia" w:hAnsi="Trebuchet MS" w:cstheme="majorBidi"/>
      <w:b/>
      <w:sz w:val="26"/>
      <w:szCs w:val="24"/>
      <w:u w:val="single"/>
    </w:rPr>
  </w:style>
  <w:style w:type="paragraph" w:styleId="TOC4">
    <w:name w:val="toc 4"/>
    <w:basedOn w:val="Normal"/>
    <w:next w:val="Normal"/>
    <w:autoRedefine/>
    <w:uiPriority w:val="39"/>
    <w:unhideWhenUsed/>
    <w:rsid w:val="002A3F3A"/>
    <w:pPr>
      <w:spacing w:after="0"/>
      <w:ind w:left="660"/>
    </w:pPr>
    <w:rPr>
      <w:rFonts w:cstheme="minorHAnsi"/>
      <w:sz w:val="18"/>
      <w:szCs w:val="18"/>
    </w:rPr>
  </w:style>
  <w:style w:type="paragraph" w:styleId="TOC5">
    <w:name w:val="toc 5"/>
    <w:basedOn w:val="Normal"/>
    <w:next w:val="Normal"/>
    <w:autoRedefine/>
    <w:uiPriority w:val="39"/>
    <w:unhideWhenUsed/>
    <w:rsid w:val="002A3F3A"/>
    <w:pPr>
      <w:spacing w:after="0"/>
      <w:ind w:left="880"/>
    </w:pPr>
    <w:rPr>
      <w:rFonts w:cstheme="minorHAnsi"/>
      <w:sz w:val="18"/>
      <w:szCs w:val="18"/>
    </w:rPr>
  </w:style>
  <w:style w:type="paragraph" w:styleId="TOC6">
    <w:name w:val="toc 6"/>
    <w:basedOn w:val="Normal"/>
    <w:next w:val="Normal"/>
    <w:autoRedefine/>
    <w:uiPriority w:val="39"/>
    <w:unhideWhenUsed/>
    <w:rsid w:val="002A3F3A"/>
    <w:pPr>
      <w:spacing w:after="0"/>
      <w:ind w:left="1100"/>
    </w:pPr>
    <w:rPr>
      <w:rFonts w:cstheme="minorHAnsi"/>
      <w:sz w:val="18"/>
      <w:szCs w:val="18"/>
    </w:rPr>
  </w:style>
  <w:style w:type="paragraph" w:styleId="TOC7">
    <w:name w:val="toc 7"/>
    <w:basedOn w:val="Normal"/>
    <w:next w:val="Normal"/>
    <w:autoRedefine/>
    <w:uiPriority w:val="39"/>
    <w:unhideWhenUsed/>
    <w:rsid w:val="002A3F3A"/>
    <w:pPr>
      <w:spacing w:after="0"/>
      <w:ind w:left="1320"/>
    </w:pPr>
    <w:rPr>
      <w:rFonts w:cstheme="minorHAnsi"/>
      <w:sz w:val="18"/>
      <w:szCs w:val="18"/>
    </w:rPr>
  </w:style>
  <w:style w:type="paragraph" w:styleId="TOC8">
    <w:name w:val="toc 8"/>
    <w:basedOn w:val="Normal"/>
    <w:next w:val="Normal"/>
    <w:autoRedefine/>
    <w:uiPriority w:val="39"/>
    <w:unhideWhenUsed/>
    <w:rsid w:val="002A3F3A"/>
    <w:pPr>
      <w:spacing w:after="0"/>
      <w:ind w:left="1540"/>
    </w:pPr>
    <w:rPr>
      <w:rFonts w:cstheme="minorHAnsi"/>
      <w:sz w:val="18"/>
      <w:szCs w:val="18"/>
    </w:rPr>
  </w:style>
  <w:style w:type="paragraph" w:styleId="TOC9">
    <w:name w:val="toc 9"/>
    <w:basedOn w:val="Normal"/>
    <w:next w:val="Normal"/>
    <w:autoRedefine/>
    <w:uiPriority w:val="39"/>
    <w:unhideWhenUsed/>
    <w:rsid w:val="002A3F3A"/>
    <w:pPr>
      <w:spacing w:after="0"/>
      <w:ind w:left="1760"/>
    </w:pPr>
    <w:rPr>
      <w:rFonts w:cstheme="minorHAnsi"/>
      <w:sz w:val="18"/>
      <w:szCs w:val="18"/>
    </w:rPr>
  </w:style>
  <w:style w:type="paragraph" w:styleId="NoSpacing">
    <w:name w:val="No Spacing"/>
    <w:link w:val="NoSpacingChar"/>
    <w:uiPriority w:val="1"/>
    <w:qFormat/>
    <w:rsid w:val="004A44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44A9"/>
    <w:rPr>
      <w:rFonts w:eastAsiaTheme="minorEastAsia"/>
      <w:lang w:val="en-US"/>
    </w:rPr>
  </w:style>
  <w:style w:type="character" w:styleId="UnresolvedMention">
    <w:name w:val="Unresolved Mention"/>
    <w:basedOn w:val="DefaultParagraphFont"/>
    <w:uiPriority w:val="99"/>
    <w:semiHidden/>
    <w:unhideWhenUsed/>
    <w:rsid w:val="00BA0CCD"/>
    <w:rPr>
      <w:color w:val="605E5C"/>
      <w:shd w:val="clear" w:color="auto" w:fill="E1DFDD"/>
    </w:rPr>
  </w:style>
  <w:style w:type="paragraph" w:styleId="NormalWeb">
    <w:name w:val="Normal (Web)"/>
    <w:basedOn w:val="Normal"/>
    <w:uiPriority w:val="99"/>
    <w:semiHidden/>
    <w:unhideWhenUsed/>
    <w:rsid w:val="00E83E7C"/>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40211">
      <w:bodyDiv w:val="1"/>
      <w:marLeft w:val="0"/>
      <w:marRight w:val="0"/>
      <w:marTop w:val="0"/>
      <w:marBottom w:val="0"/>
      <w:divBdr>
        <w:top w:val="none" w:sz="0" w:space="0" w:color="auto"/>
        <w:left w:val="none" w:sz="0" w:space="0" w:color="auto"/>
        <w:bottom w:val="none" w:sz="0" w:space="0" w:color="auto"/>
        <w:right w:val="none" w:sz="0" w:space="0" w:color="auto"/>
      </w:divBdr>
    </w:div>
    <w:div w:id="211430510">
      <w:bodyDiv w:val="1"/>
      <w:marLeft w:val="0"/>
      <w:marRight w:val="0"/>
      <w:marTop w:val="0"/>
      <w:marBottom w:val="0"/>
      <w:divBdr>
        <w:top w:val="none" w:sz="0" w:space="0" w:color="auto"/>
        <w:left w:val="none" w:sz="0" w:space="0" w:color="auto"/>
        <w:bottom w:val="none" w:sz="0" w:space="0" w:color="auto"/>
        <w:right w:val="none" w:sz="0" w:space="0" w:color="auto"/>
      </w:divBdr>
    </w:div>
    <w:div w:id="1618949595">
      <w:bodyDiv w:val="1"/>
      <w:marLeft w:val="0"/>
      <w:marRight w:val="0"/>
      <w:marTop w:val="0"/>
      <w:marBottom w:val="0"/>
      <w:divBdr>
        <w:top w:val="none" w:sz="0" w:space="0" w:color="auto"/>
        <w:left w:val="none" w:sz="0" w:space="0" w:color="auto"/>
        <w:bottom w:val="none" w:sz="0" w:space="0" w:color="auto"/>
        <w:right w:val="none" w:sz="0" w:space="0" w:color="auto"/>
      </w:divBdr>
    </w:div>
    <w:div w:id="174260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Emily\Documents\Dis\Full%20Thing%20-%2029.04.20.doc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Emily\Documents\Dis\Full%20Thing%20-%2029.04.20.docx"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73/pnas.17214381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Emily\Documents\Dis\Full%20Thing%20-%2029.04.20.docx" TargetMode="External"/><Relationship Id="rId5" Type="http://schemas.openxmlformats.org/officeDocument/2006/relationships/webSettings" Target="webSettings.xml"/><Relationship Id="rId15" Type="http://schemas.openxmlformats.org/officeDocument/2006/relationships/hyperlink" Target="https://en.wikipedia.org/wiki/Talmud" TargetMode="External"/><Relationship Id="rId10" Type="http://schemas.openxmlformats.org/officeDocument/2006/relationships/hyperlink" Target="file:///C:\Users\Emily\Documents\Dis\Full%20Thing%20-%2029.04.20.doc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Emily\Documents\Dis\Full%20Thing%20-%2029.04.20.docx" TargetMode="External"/><Relationship Id="rId14" Type="http://schemas.openxmlformats.org/officeDocument/2006/relationships/hyperlink" Target="file:///C:\Users\Emily\Documents\Dis\Full%20Thing%20-%2029.04.20.docx"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jwa.org/encyclopedia/author/meacham-tirz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D7869A-AFDC-4EAE-9174-F972EA322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7957</TotalTime>
  <Pages>39</Pages>
  <Words>12048</Words>
  <Characters>59639</Characters>
  <Application>Microsoft Office Word</Application>
  <DocSecurity>0</DocSecurity>
  <Lines>1146</Lines>
  <Paragraphs>269</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
      <vt:lpstr>Abstract</vt:lpstr>
      <vt:lpstr>Acknowledgements </vt:lpstr>
      <vt:lpstr/>
      <vt:lpstr/>
      <vt:lpstr>    &lt;Contents</vt:lpstr>
      <vt:lpstr>Introduction </vt:lpstr>
      <vt:lpstr>Ancient Texts</vt:lpstr>
      <vt:lpstr>    Purity in Leviticus </vt:lpstr>
      <vt:lpstr>        Purity and Impurity </vt:lpstr>
      <vt:lpstr>        Impurity Through Intercourse </vt:lpstr>
      <vt:lpstr>        Separation</vt:lpstr>
      <vt:lpstr>    Removing Impurity</vt:lpstr>
      <vt:lpstr>    The Effect on Women</vt:lpstr>
      <vt:lpstr>    Conclusion</vt:lpstr>
      <vt:lpstr>Orthodox</vt:lpstr>
      <vt:lpstr>    Contraception</vt:lpstr>
      <vt:lpstr>    Abortion</vt:lpstr>
      <vt:lpstr>    Medical Persuasion </vt:lpstr>
      <vt:lpstr>    Real Life Examples of Women Following the Laws </vt:lpstr>
      <vt:lpstr>    Mikvah</vt:lpstr>
      <vt:lpstr>        Control</vt:lpstr>
      <vt:lpstr>        Practicing </vt:lpstr>
      <vt:lpstr>    Sexual Objectification</vt:lpstr>
      <vt:lpstr>    Conclusion </vt:lpstr>
      <vt:lpstr>Empowering or Imposing?</vt:lpstr>
      <vt:lpstr>    Separation </vt:lpstr>
      <vt:lpstr>        Separation: The Negative</vt:lpstr>
      <vt:lpstr>        Separation: The Positive </vt:lpstr>
      <vt:lpstr>        A Feminist Perspective </vt:lpstr>
      <vt:lpstr>    Spiritual Limitations</vt:lpstr>
      <vt:lpstr>    Mikvah</vt:lpstr>
      <vt:lpstr>    Feminism </vt:lpstr>
      <vt:lpstr>    Conclusion</vt:lpstr>
      <vt:lpstr>Conclusion</vt:lpstr>
      <vt:lpstr>Bibliography</vt:lpstr>
    </vt:vector>
  </TitlesOfParts>
  <Company/>
  <LinksUpToDate>false</LinksUpToDate>
  <CharactersWithSpaces>71418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Religious Studies:</dc:subject>
  <dc:creator>Emily Howell (1700912)</dc:creator>
  <cp:keywords/>
  <dc:description/>
  <cp:lastModifiedBy>Emily Howell (1700912)</cp:lastModifiedBy>
  <cp:revision>58</cp:revision>
  <dcterms:created xsi:type="dcterms:W3CDTF">2020-04-29T12:25:00Z</dcterms:created>
  <dcterms:modified xsi:type="dcterms:W3CDTF">2020-05-10T14:29:00Z</dcterms:modified>
</cp:coreProperties>
</file>