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13B83" w14:textId="4127E858" w:rsidR="008D1E7D" w:rsidRDefault="00B0007E">
      <w:pPr>
        <w:pStyle w:val="cvgsua"/>
        <w:spacing w:line="360" w:lineRule="auto"/>
      </w:pPr>
      <w:r>
        <w:rPr>
          <w:rFonts w:ascii="Arial" w:hAnsi="Arial" w:cs="Arial"/>
          <w:noProof/>
          <w:sz w:val="22"/>
          <w:szCs w:val="22"/>
        </w:rPr>
        <w:drawing>
          <wp:inline distT="0" distB="0" distL="0" distR="0" wp14:anchorId="50E618EC" wp14:editId="14A982FC">
            <wp:extent cx="3977640" cy="2369820"/>
            <wp:effectExtent l="0" t="0" r="3810" b="0"/>
            <wp:docPr id="2125467494" name="Picture 1" descr="A white background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5440" t="3040" r="52960" b="73120"/>
                    <a:stretch>
                      <a:fillRect/>
                    </a:stretch>
                  </pic:blipFill>
                  <pic:spPr>
                    <a:xfrm>
                      <a:off x="0" y="0"/>
                      <a:ext cx="3978538" cy="2370355"/>
                    </a:xfrm>
                    <a:prstGeom prst="rect">
                      <a:avLst/>
                    </a:prstGeom>
                    <a:noFill/>
                    <a:ln>
                      <a:noFill/>
                      <a:prstDash/>
                    </a:ln>
                  </pic:spPr>
                </pic:pic>
              </a:graphicData>
            </a:graphic>
          </wp:inline>
        </w:drawing>
      </w:r>
    </w:p>
    <w:p w14:paraId="7A658CAC" w14:textId="77777777" w:rsidR="008D1E7D" w:rsidRDefault="008D1E7D">
      <w:pPr>
        <w:pStyle w:val="cvgsua"/>
        <w:spacing w:line="360" w:lineRule="auto"/>
      </w:pPr>
    </w:p>
    <w:p w14:paraId="518453CE" w14:textId="77777777" w:rsidR="008D1E7D" w:rsidRDefault="008D1E7D">
      <w:pPr>
        <w:pStyle w:val="cvgsua"/>
        <w:spacing w:line="360" w:lineRule="auto"/>
      </w:pPr>
    </w:p>
    <w:p w14:paraId="50E618EF" w14:textId="77777777" w:rsidR="00080B44" w:rsidRDefault="00080B44">
      <w:pPr>
        <w:pStyle w:val="cvgsua"/>
        <w:spacing w:line="360" w:lineRule="auto"/>
      </w:pPr>
    </w:p>
    <w:p w14:paraId="50E618F0" w14:textId="77777777" w:rsidR="00080B44" w:rsidRDefault="00B0007E">
      <w:pPr>
        <w:pStyle w:val="cvgsua"/>
        <w:spacing w:line="360" w:lineRule="auto"/>
      </w:pPr>
      <w:r>
        <w:rPr>
          <w:rStyle w:val="oypena"/>
          <w:rFonts w:ascii="Arial" w:hAnsi="Arial" w:cs="Arial"/>
          <w:b/>
          <w:bCs/>
          <w:color w:val="000000"/>
        </w:rPr>
        <w:t>Student name: Katarina Dydnanska</w:t>
      </w:r>
    </w:p>
    <w:p w14:paraId="50E618F1" w14:textId="77777777" w:rsidR="00080B44" w:rsidRDefault="00B0007E">
      <w:pPr>
        <w:pStyle w:val="cvgsua"/>
        <w:spacing w:line="360" w:lineRule="auto"/>
      </w:pPr>
      <w:r>
        <w:rPr>
          <w:rStyle w:val="oypena"/>
          <w:rFonts w:ascii="Arial" w:hAnsi="Arial" w:cs="Arial"/>
          <w:b/>
          <w:bCs/>
          <w:color w:val="000000"/>
        </w:rPr>
        <w:t>Student ID: 2247512</w:t>
      </w:r>
    </w:p>
    <w:p w14:paraId="50E618F2" w14:textId="329F288C" w:rsidR="00080B44" w:rsidRDefault="00B0007E">
      <w:pPr>
        <w:pStyle w:val="cvgsua"/>
        <w:spacing w:line="360" w:lineRule="auto"/>
      </w:pPr>
      <w:r>
        <w:rPr>
          <w:rStyle w:val="oypena"/>
          <w:rFonts w:ascii="Arial" w:hAnsi="Arial" w:cs="Arial"/>
          <w:b/>
          <w:bCs/>
          <w:color w:val="000000"/>
        </w:rPr>
        <w:t xml:space="preserve">Module code: </w:t>
      </w:r>
      <w:r w:rsidR="000D0F75" w:rsidRPr="000D0F75">
        <w:rPr>
          <w:rFonts w:ascii="Arial" w:hAnsi="Arial" w:cs="Arial"/>
          <w:b/>
          <w:bCs/>
          <w:color w:val="000000"/>
        </w:rPr>
        <w:t>LCBB5012</w:t>
      </w:r>
    </w:p>
    <w:p w14:paraId="50E618F3" w14:textId="56BFB263" w:rsidR="00080B44" w:rsidRDefault="00B0007E">
      <w:pPr>
        <w:pStyle w:val="cvgsua"/>
        <w:spacing w:line="360" w:lineRule="auto"/>
      </w:pPr>
      <w:r>
        <w:rPr>
          <w:rStyle w:val="oypena"/>
          <w:rFonts w:ascii="Arial" w:hAnsi="Arial" w:cs="Arial"/>
          <w:b/>
          <w:bCs/>
          <w:color w:val="000000"/>
        </w:rPr>
        <w:t xml:space="preserve">Module name: </w:t>
      </w:r>
      <w:r w:rsidR="004D2564" w:rsidRPr="004D2564">
        <w:rPr>
          <w:rFonts w:ascii="Arial" w:hAnsi="Arial" w:cs="Arial"/>
          <w:b/>
          <w:bCs/>
          <w:color w:val="000000"/>
        </w:rPr>
        <w:t>Principles of Human Resource Management</w:t>
      </w:r>
    </w:p>
    <w:p w14:paraId="50E618F4" w14:textId="6C3E52AB" w:rsidR="00080B44" w:rsidRDefault="00B0007E">
      <w:pPr>
        <w:rPr>
          <w:rFonts w:ascii="Arial" w:hAnsi="Arial" w:cs="Arial"/>
          <w:b/>
          <w:bCs/>
          <w:color w:val="000000"/>
        </w:rPr>
      </w:pPr>
      <w:r>
        <w:rPr>
          <w:rStyle w:val="oypena"/>
          <w:rFonts w:ascii="Arial" w:hAnsi="Arial" w:cs="Arial"/>
          <w:b/>
          <w:bCs/>
          <w:color w:val="000000"/>
        </w:rPr>
        <w:t xml:space="preserve">Lecture: </w:t>
      </w:r>
      <w:r w:rsidR="00FA120C" w:rsidRPr="00FA120C">
        <w:rPr>
          <w:rFonts w:ascii="Arial" w:hAnsi="Arial" w:cs="Arial"/>
          <w:b/>
          <w:bCs/>
          <w:color w:val="000000"/>
        </w:rPr>
        <w:t>Mr Nadeem Mirza</w:t>
      </w:r>
    </w:p>
    <w:p w14:paraId="59865D1C" w14:textId="77777777" w:rsidR="00B0007E" w:rsidRDefault="00B0007E">
      <w:pPr>
        <w:rPr>
          <w:rFonts w:ascii="Arial" w:hAnsi="Arial" w:cs="Arial"/>
          <w:b/>
          <w:bCs/>
          <w:color w:val="000000"/>
        </w:rPr>
      </w:pPr>
    </w:p>
    <w:p w14:paraId="50E618F5" w14:textId="5DC6863B" w:rsidR="00080B44" w:rsidRDefault="00080B44">
      <w:pPr>
        <w:rPr>
          <w:rFonts w:ascii="Arial" w:hAnsi="Arial" w:cs="Arial"/>
          <w:b/>
          <w:bCs/>
          <w:color w:val="000000"/>
        </w:rPr>
      </w:pPr>
    </w:p>
    <w:p w14:paraId="50E618F6" w14:textId="77777777" w:rsidR="00080B44" w:rsidRDefault="00080B44">
      <w:pPr>
        <w:rPr>
          <w:rFonts w:ascii="Arial" w:hAnsi="Arial" w:cs="Arial"/>
          <w:b/>
          <w:bCs/>
          <w:color w:val="000000"/>
        </w:rPr>
      </w:pPr>
    </w:p>
    <w:p w14:paraId="50E618F7" w14:textId="77777777" w:rsidR="00080B44" w:rsidRDefault="00080B44">
      <w:pPr>
        <w:rPr>
          <w:rFonts w:ascii="Arial" w:hAnsi="Arial" w:cs="Arial"/>
          <w:b/>
          <w:bCs/>
          <w:color w:val="000000"/>
        </w:rPr>
      </w:pPr>
    </w:p>
    <w:p w14:paraId="50E618F8" w14:textId="77777777" w:rsidR="00080B44" w:rsidRDefault="00080B44">
      <w:pPr>
        <w:rPr>
          <w:rFonts w:ascii="Arial" w:hAnsi="Arial" w:cs="Arial"/>
          <w:b/>
          <w:bCs/>
          <w:color w:val="000000"/>
        </w:rPr>
      </w:pPr>
    </w:p>
    <w:p w14:paraId="50E618F9" w14:textId="77777777" w:rsidR="00080B44" w:rsidRDefault="00080B44">
      <w:pPr>
        <w:rPr>
          <w:rFonts w:ascii="Arial" w:hAnsi="Arial" w:cs="Arial"/>
          <w:b/>
          <w:bCs/>
          <w:color w:val="000000"/>
        </w:rPr>
      </w:pPr>
    </w:p>
    <w:p w14:paraId="50E61900" w14:textId="77777777" w:rsidR="00080B44" w:rsidRDefault="00080B44">
      <w:pPr>
        <w:rPr>
          <w:rFonts w:ascii="Arial" w:hAnsi="Arial" w:cs="Arial"/>
          <w:b/>
          <w:bCs/>
          <w:color w:val="000000"/>
        </w:rPr>
      </w:pPr>
    </w:p>
    <w:p w14:paraId="5B86C998" w14:textId="77777777" w:rsidR="00BC177E" w:rsidRDefault="00BC177E" w:rsidP="00BC177E">
      <w:pPr>
        <w:rPr>
          <w:rFonts w:ascii="Arial" w:hAnsi="Arial" w:cs="Arial"/>
          <w:b/>
          <w:bCs/>
          <w:color w:val="000000"/>
        </w:rPr>
      </w:pPr>
    </w:p>
    <w:p w14:paraId="187056DF" w14:textId="77777777" w:rsidR="008D1E7D" w:rsidRDefault="008D1E7D" w:rsidP="00BC177E">
      <w:pPr>
        <w:rPr>
          <w:rFonts w:ascii="Arial" w:hAnsi="Arial" w:cs="Arial"/>
          <w:b/>
          <w:bCs/>
          <w:color w:val="000000"/>
        </w:rPr>
      </w:pPr>
    </w:p>
    <w:p w14:paraId="1F619DED" w14:textId="77777777" w:rsidR="008D1E7D" w:rsidRDefault="008D1E7D" w:rsidP="00BC177E">
      <w:pPr>
        <w:rPr>
          <w:rFonts w:ascii="Arial" w:hAnsi="Arial" w:cs="Arial"/>
          <w:b/>
          <w:bCs/>
          <w:color w:val="000000"/>
        </w:rPr>
      </w:pPr>
    </w:p>
    <w:p w14:paraId="7DD67C9E" w14:textId="77777777" w:rsidR="008D1E7D" w:rsidRDefault="008D1E7D" w:rsidP="00BC177E">
      <w:pPr>
        <w:rPr>
          <w:rFonts w:ascii="Arial" w:hAnsi="Arial" w:cs="Arial"/>
          <w:b/>
          <w:bCs/>
          <w:color w:val="000000"/>
        </w:rPr>
      </w:pPr>
    </w:p>
    <w:p w14:paraId="5EAE296F" w14:textId="77777777" w:rsidR="00B13482" w:rsidRDefault="00B13482" w:rsidP="0068548F">
      <w:pPr>
        <w:rPr>
          <w:rFonts w:ascii="Times New Roman" w:hAnsi="Times New Roman"/>
          <w:sz w:val="22"/>
          <w:szCs w:val="22"/>
        </w:rPr>
      </w:pPr>
    </w:p>
    <w:p w14:paraId="71F59EA9" w14:textId="77777777" w:rsidR="00B31091" w:rsidRPr="00E11C84" w:rsidRDefault="00B31091" w:rsidP="00E11C84">
      <w:pPr>
        <w:jc w:val="center"/>
        <w:rPr>
          <w:rFonts w:ascii="Times New Roman" w:hAnsi="Times New Roman"/>
          <w:b/>
          <w:bCs/>
          <w:u w:val="single"/>
        </w:rPr>
      </w:pPr>
      <w:r w:rsidRPr="00B31091">
        <w:rPr>
          <w:rFonts w:ascii="Times New Roman" w:hAnsi="Times New Roman"/>
          <w:b/>
          <w:bCs/>
          <w:u w:val="single"/>
        </w:rPr>
        <w:lastRenderedPageBreak/>
        <w:t>Environmental factors and the effectiveness of human resource managers in global organisations</w:t>
      </w:r>
    </w:p>
    <w:p w14:paraId="2B8CB8B3" w14:textId="77777777" w:rsidR="00E11C84" w:rsidRPr="00B31091" w:rsidRDefault="00E11C84" w:rsidP="00B31091">
      <w:pPr>
        <w:rPr>
          <w:rFonts w:ascii="Times New Roman" w:hAnsi="Times New Roman"/>
          <w:b/>
          <w:bCs/>
          <w:i/>
          <w:iCs/>
          <w:sz w:val="22"/>
          <w:szCs w:val="22"/>
        </w:rPr>
      </w:pPr>
    </w:p>
    <w:p w14:paraId="76D4AE5B"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Introduction</w:t>
      </w:r>
    </w:p>
    <w:p w14:paraId="5831C7BA"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Globalisation poses significant challenges for organizations, affecting managers, employees, and nations. It boosts trade and policy influenced by cultural and political elements. Governance impacts societal well-being and complicates stakeholder demands. Human resources are crucial in assisting firms to tackle these globalisation issues through comparative analyses. (Vahdati &amp; Vahdati, 2018) </w:t>
      </w:r>
    </w:p>
    <w:p w14:paraId="08C80F5A"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HR Functions</w:t>
      </w:r>
    </w:p>
    <w:p w14:paraId="7E01AEEE"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Effective human resource management (HRM) is vital for competitive advantage. Functions such as recruitment, training, performance management, and employee relations are key for talent acquisition, motivation, and retention, enhancing organizational effectiveness. Global challenges influencing workforce skills and behavior heighten the significance of these functions, as technological change, globalization, and climate change demand focused HRM efforts. (Dissanayake, 2012)(FITA, 2017) </w:t>
      </w:r>
    </w:p>
    <w:p w14:paraId="21A0EC5B"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Recruitment aims to attract individuals whose behaviors and skills align with organizational needs. Training and development improve job-related competencies. Performance management entails goal-setting, assessment, and feedback, clarifying expectations and supporting growth, essential for performance-driven promotions and rewards. Employee relations encompass the employee-employer relationship and management of organizations like trade unions, influencing daily interactions, commitment, collective bargaining, and grievances. Strong relations enhance commitment and reduce disruption, increasing productivity.</w:t>
      </w:r>
    </w:p>
    <w:p w14:paraId="35981755"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Report Structure</w:t>
      </w:r>
    </w:p>
    <w:p w14:paraId="26C3DB2B" w14:textId="77777777" w:rsidR="00B31091" w:rsidRDefault="00B31091" w:rsidP="00B31091">
      <w:pPr>
        <w:rPr>
          <w:rFonts w:ascii="Times New Roman" w:hAnsi="Times New Roman"/>
          <w:sz w:val="22"/>
          <w:szCs w:val="22"/>
        </w:rPr>
      </w:pPr>
      <w:r w:rsidRPr="00B31091">
        <w:rPr>
          <w:rFonts w:ascii="Times New Roman" w:hAnsi="Times New Roman"/>
          <w:sz w:val="22"/>
          <w:szCs w:val="22"/>
        </w:rPr>
        <w:t>The report starts with an Introduction that defines environmental factors and HR effectiveness, outlining its scope and objectives. The Internal and External Environment section covers the Business Environment Model, relating its components to HR functions such as recruitment, training, and performance management, and their impact on HR decisions. The Organisation Application examines a global entity with multi-country operations, emphasizing the need for coordination in recruitment and employee relations. The Conclusion considers the global impact of environmental factors on HR management and strategic organizational considerations.</w:t>
      </w:r>
    </w:p>
    <w:p w14:paraId="75D430AB" w14:textId="77777777" w:rsidR="00E11C84" w:rsidRPr="00B31091" w:rsidRDefault="00E11C84" w:rsidP="00B31091">
      <w:pPr>
        <w:rPr>
          <w:rFonts w:ascii="Times New Roman" w:hAnsi="Times New Roman"/>
          <w:sz w:val="22"/>
          <w:szCs w:val="22"/>
        </w:rPr>
      </w:pPr>
    </w:p>
    <w:p w14:paraId="42BBB871"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Internal and External Environment</w:t>
      </w:r>
    </w:p>
    <w:p w14:paraId="369FAD41"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The external context, shaped by political, economic, social, technological, legal, and environmental factors, along with sustainable operations, impacts HR managers' human capital choices. Emerging economies face complexities, prompting financial firms to use the PESTLE model. Recruitment and training constraints may limit organizations' capacity to fulfill global expertise needs. (Vahdati &amp; Vahdati, 2018) </w:t>
      </w:r>
    </w:p>
    <w:p w14:paraId="26C6672A"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Business Environment Model</w:t>
      </w:r>
    </w:p>
    <w:p w14:paraId="247073DA"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The business environment model is essential for analyzing factors impacting multinational operations and local HR practices. It outlines how organizations create and deliver value while navigating unpredictable conditions that limit operational choices. Environmental pressures guide which HR </w:t>
      </w:r>
      <w:r w:rsidRPr="00B31091">
        <w:rPr>
          <w:rFonts w:ascii="Times New Roman" w:hAnsi="Times New Roman"/>
          <w:sz w:val="22"/>
          <w:szCs w:val="22"/>
        </w:rPr>
        <w:lastRenderedPageBreak/>
        <w:t xml:space="preserve">practices are utilized and adapted to local contexts. A comprehensive model aids in conducting thorough environmental analyses, determining suitable HR practices, and identifying conditions that affect HR managers' effectiveness. The PESTLE framework—Political, Economic, Social, Technological, Legal, and Environmental factors—captures external conditions influencing decision-making in international organizations. These factors significantly affect HR functions like recruitment, training, performance management, and employee relations, shaping organizational strategic goals and work arrangements. The framework allows for robust evaluation of HR practices and highlights their impacts on various HR initiatives. Analyzing cultural, legal, and economic differences reveals how these factors influence HR functions across regions. Understanding these distinctions is vital for managers implementing HR policies in diverse environments, enabling tailored HR efforts that align local needs with international standards. By considering varying circumstances, organizations can remain competitive and foster an inclusive corporate culture that meets the diverse needs of their global workforce. (Aithal, 2017)(Lüttgens &amp; Diener, 2017) </w:t>
      </w:r>
    </w:p>
    <w:p w14:paraId="09193183"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Link to HR Functions</w:t>
      </w:r>
    </w:p>
    <w:p w14:paraId="268D34B9" w14:textId="77777777" w:rsidR="00B31091" w:rsidRDefault="00B31091" w:rsidP="00B31091">
      <w:pPr>
        <w:rPr>
          <w:rFonts w:ascii="Times New Roman" w:hAnsi="Times New Roman"/>
          <w:sz w:val="22"/>
          <w:szCs w:val="22"/>
        </w:rPr>
      </w:pPr>
      <w:r w:rsidRPr="00B31091">
        <w:rPr>
          <w:rFonts w:ascii="Times New Roman" w:hAnsi="Times New Roman"/>
          <w:sz w:val="22"/>
          <w:szCs w:val="22"/>
        </w:rPr>
        <w:t xml:space="preserve">A comprehensive business environment model, such as PESTLE, which stands for Political, Economic, Sociocultural, Technological, Legal, and Environmental factors, provides a structured approach for the systematic assessment of various external pressures and internal capabilities. This systematic evaluation enhances the ability to conduct evidence-based causal analysis within organizations. The external pressures identified through the PESTLE framework play a significant role in shaping the overall effectiveness of HR managers and their strategies. Every single component of the PESTLE model has a direct correlation to essential HR functions that are critical to an organization's success. The key practices within human resources, including recruitment, training and development, performance management, as well as employee relations—encompassing aspects like remuneration, benefits, and the overall balance between work and life—are considered vital for the health of the organization. Each of these PESTLE factors is likely to have an influence, directly or indirectly, on at least one of these four core HR functions. Moreover, elements such as workplace culture, relevant legal considerations, and prevailing economic conditions— which are central components within the PESTLE framework—serve not only to shape these vital HR practices, but they also have a fundamental impact on how effective HR managers can be in their roles. Understanding this interconnectedness allows organizations to navigate the complexities of the business environment more effectively and to align their HR strategies with both external influences and internal capabilities. Consequently, HR practices must be continuously refined and adapted in response to the pervasive impacts of the PESTLE factors to achieve optimal effectiveness and organizational success. (Warda Andalib et al., 2019)(Neal et al., 2005) </w:t>
      </w:r>
    </w:p>
    <w:p w14:paraId="18C5CDFE" w14:textId="77777777" w:rsidR="00E11C84" w:rsidRPr="00B31091" w:rsidRDefault="00E11C84" w:rsidP="00B31091">
      <w:pPr>
        <w:rPr>
          <w:rFonts w:ascii="Times New Roman" w:hAnsi="Times New Roman"/>
          <w:sz w:val="22"/>
          <w:szCs w:val="22"/>
        </w:rPr>
      </w:pPr>
    </w:p>
    <w:p w14:paraId="122C77A6"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Organisation Application</w:t>
      </w:r>
    </w:p>
    <w:p w14:paraId="4EF6D7FF" w14:textId="77777777" w:rsidR="00B31091" w:rsidRDefault="00B31091" w:rsidP="00B31091">
      <w:pPr>
        <w:rPr>
          <w:rFonts w:ascii="Times New Roman" w:hAnsi="Times New Roman"/>
          <w:sz w:val="22"/>
          <w:szCs w:val="22"/>
        </w:rPr>
      </w:pPr>
      <w:r w:rsidRPr="00B31091">
        <w:rPr>
          <w:rFonts w:ascii="Times New Roman" w:hAnsi="Times New Roman"/>
          <w:sz w:val="22"/>
          <w:szCs w:val="22"/>
        </w:rPr>
        <w:t xml:space="preserve">Vodafone functions in more than twenty countries, using local staff and standardized HR practices for recruitment, training, and employee relations. Recruitment emphasizes local talent and evaluates traits and salaries. The Young Talent Programme trains graduates for nine to eighteen months and offers leadership courses at Vodafone University. Performance tools are uniform but honor local values, ensuring compliance with local laws as Vodafone navigates global policies and national regulations. (N. Mtembu, 2018)(Vahdati &amp; Vahdati, 2018) </w:t>
      </w:r>
    </w:p>
    <w:p w14:paraId="2A7263CA" w14:textId="77777777" w:rsidR="00E11C84" w:rsidRDefault="00E11C84" w:rsidP="00B31091">
      <w:pPr>
        <w:rPr>
          <w:rFonts w:ascii="Times New Roman" w:hAnsi="Times New Roman"/>
          <w:sz w:val="22"/>
          <w:szCs w:val="22"/>
        </w:rPr>
      </w:pPr>
    </w:p>
    <w:p w14:paraId="03772370" w14:textId="77777777" w:rsidR="00E11C84" w:rsidRPr="00B31091" w:rsidRDefault="00E11C84" w:rsidP="00B31091">
      <w:pPr>
        <w:rPr>
          <w:rFonts w:ascii="Times New Roman" w:hAnsi="Times New Roman"/>
          <w:sz w:val="22"/>
          <w:szCs w:val="22"/>
        </w:rPr>
      </w:pPr>
    </w:p>
    <w:p w14:paraId="6EC9306B"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lastRenderedPageBreak/>
        <w:t>• Organisation Introduction</w:t>
      </w:r>
    </w:p>
    <w:p w14:paraId="37537075"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Apple Inc. is a global company focused on computer hardware and services, emphasizing design, advertising, and retail. Its major products include Macintosh computers, Apple Network Server, iPod, iTunes, and the iTunes Store. The company operates in key markets like the Americas, Europe, Japan, and Asia Pacific, positioning Macintosh as an alternative to other platforms. With significant investment in retail through Apple Stores, it aims to make Macintosh the top choice for digital photography, music, and video editing, while leading the music market with the iPod and iTunes Store.</w:t>
      </w:r>
    </w:p>
    <w:p w14:paraId="170E0E73"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HR Practices</w:t>
      </w:r>
    </w:p>
    <w:p w14:paraId="114D125E" w14:textId="77777777" w:rsidR="00B31091" w:rsidRDefault="00B31091" w:rsidP="00B31091">
      <w:pPr>
        <w:rPr>
          <w:rFonts w:ascii="Times New Roman" w:hAnsi="Times New Roman"/>
          <w:sz w:val="22"/>
          <w:szCs w:val="22"/>
        </w:rPr>
      </w:pPr>
      <w:r w:rsidRPr="00B31091">
        <w:rPr>
          <w:rFonts w:ascii="Times New Roman" w:hAnsi="Times New Roman"/>
          <w:sz w:val="22"/>
          <w:szCs w:val="22"/>
        </w:rPr>
        <w:t xml:space="preserve">Environmental factors significantly impact HR managers in global organizations facing rapid change. The Business Environment Model outlines external pressures—political, economic, socio-cultural, technological, and environmental (PESTE)—alongside internal capabilities like organizational strategy and resources. This helps HR managers make decisions on recruitment, training, performance management, and employee relations, fostering a high-performance work system (HPWS). In Turkey, internal recruitment is preferred due to limited external candidates. Training methods vary by country, with peer coaching in Turkey, in-house seminars in France, and off-the-job training in India. Performance management preferences differ, complicating the alignment of an international strategy. (B. Minbaeva, 2007) </w:t>
      </w:r>
    </w:p>
    <w:p w14:paraId="48AA4944" w14:textId="77777777" w:rsidR="00E11C84" w:rsidRPr="00B31091" w:rsidRDefault="00E11C84" w:rsidP="00B31091">
      <w:pPr>
        <w:rPr>
          <w:rFonts w:ascii="Times New Roman" w:hAnsi="Times New Roman"/>
          <w:sz w:val="22"/>
          <w:szCs w:val="22"/>
        </w:rPr>
      </w:pPr>
    </w:p>
    <w:p w14:paraId="54C669A7"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Application of Model</w:t>
      </w:r>
    </w:p>
    <w:p w14:paraId="5AD00CC6"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Academics recognize that business practices vary with geographical and environmental contexts. For global organizations like Coca-Cola and Unilever, developing worldwide strategies while seizing local opportunities is crucial. The role of institutional, political, and macroeconomic contexts in recruitment, training, performance appraisal, and employee relations is significant. Evidence-based analysis clarifies how country-specific settings impact HR management effectiveness, aligns with business differences, and supports comparative studies of global operations. (Vahdati &amp; Vahdati, 2018)(Fang et al., 2022) </w:t>
      </w:r>
    </w:p>
    <w:p w14:paraId="7A86F15A"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Impact on Organisation</w:t>
      </w:r>
    </w:p>
    <w:p w14:paraId="25E5F957"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Environmental factors play a pivotal and integral role in shaping the effectiveness of HR managers across various organizational landscapes and sectors. These factors significantly influence the design and delivery of essential functions that are core to Human Resources, including but not limited to recruitment, training and development, performance management, and employee relations. To comprehensively outline these critical and multifaceted influences, the PESTLE framework serves as an invaluable tool for understanding. This strategic framework identifies and categorizes six key external forces — Political, Economic, Social, Technological, Legal, and Environmental conditions — that each play a significant role in shaping an organization's strategic direction, overall capability, and performance metrics. Political influences, in particular, broaden and expand the HR planning horizon by broadening the channels of learning and development that HR professionals can utilize in their decision-making processes. In nations where democracy is limited or restricted, for instance, policy frameworks may impose various restrictions that prevent comprehensive data collection, allowing access only to Public Sector statistics. Such limitations can severely hinder the ability of HR managers to obtain necessary external benchmarks that are crucial for the Financial Services sector, where data-driven decisions are essential. Moreover, the integration of country-specific law, industry-</w:t>
      </w:r>
      <w:r w:rsidRPr="00B31091">
        <w:rPr>
          <w:rFonts w:ascii="Times New Roman" w:hAnsi="Times New Roman"/>
          <w:sz w:val="22"/>
          <w:szCs w:val="22"/>
        </w:rPr>
        <w:lastRenderedPageBreak/>
        <w:t xml:space="preserve">specific regulations, and company-specific requirements distinctly specifies the obligations and rights surrounding payroll and correspondent services when dealing with intricate off-shore monetary transactions. This complex legal landscape becomes particularly important as it provides the necessary guidelines that HR managers must navigate skillfully to ensure compliance and effective operational functionality. In this context, the significance of country-specific regulations serves as the backbone for the transferability of skill sets, especially important within the vital Banking function. It is essential for HR managers to be acutely aware of how these regulations impact their workforce planning strategies and development initiatives on an ongoing basis. Furthermore, comprehensive Issue Risk assessments must take into account fluctuations in exchange control policies and the potential impact of Capital Repayment Schemes that are enacted through specific legislative Acts of Parliament. Such thorough assessments are critical for identifying potential risks and strategizing effectively to mitigate them, thereby enhancing the overall effectiveness and efficiency of HR management within the organization as a whole. By addressing these factors proactively, HR managers can foster a more adaptable and responsive organizational culture that is better equipped to meet the challenges of the modern business environment. (L. (Vasantha) R &amp; (Hanuman) Kennedy, 2017)(Campos e Cunha et al., 2002) </w:t>
      </w:r>
    </w:p>
    <w:p w14:paraId="029B4AF6"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Country Differences</w:t>
      </w:r>
    </w:p>
    <w:p w14:paraId="1A97765E" w14:textId="77777777" w:rsidR="00B31091" w:rsidRDefault="00B31091" w:rsidP="00B31091">
      <w:pPr>
        <w:rPr>
          <w:rFonts w:ascii="Times New Roman" w:hAnsi="Times New Roman"/>
          <w:sz w:val="22"/>
          <w:szCs w:val="22"/>
        </w:rPr>
      </w:pPr>
      <w:r w:rsidRPr="00B31091">
        <w:rPr>
          <w:rFonts w:ascii="Times New Roman" w:hAnsi="Times New Roman"/>
          <w:sz w:val="22"/>
          <w:szCs w:val="22"/>
        </w:rPr>
        <w:t xml:space="preserve">Differences within the socio-cultural context and the surrounding legal and economic structures can significantly shape how environmental factors impact the effectiveness of Human Resource Managers in various countries across the globe. Several scholarly sources meticulously examine Human Resource Management (HRM) through a more focused lens of policy, culture, and practice, or even delve into specific policies that are intricately linked to core workplace HRM arrangements. In this intricate landscape, differences in a multitude of relevant factors come into play, creating a complex tapestry of interactions. However, the effect that a particular country has on the HRM policies implemented in a multinational organization can be effectively reflected through a few key layers. Countries that exhibit more rigid legal structures, such as those that strongly emphasize employee placement and protection, tend to react differently when it comes to placement and recruitment policies, particularly in response to fluctuating coincidence variables such as the unemployment rate. This response contrasts sharply with those countries that operate under fewer legal constraints, highlighting how legal frameworks can influence HR practices. Furthermore, a country’s position within the economic cycle can dramatically modify performance management systems in significant ways, tailoring them to better fit the economic realities faced by organizations. Cultural dimensions, which vary widely across different regions, play a critical role in shaping HRM practices and are reflected in the types of employees recruited, the methodologies employed for training, and the various organizational functions that are adopted. The intertwining of these factors illustrates the complexity and nuance of HRM on a global scale. (Consuelo Pucheta-Martínez &amp; Gallego-Alvarez, 2019) </w:t>
      </w:r>
    </w:p>
    <w:p w14:paraId="1AFE1AAD" w14:textId="77777777" w:rsidR="007415F6" w:rsidRDefault="007415F6" w:rsidP="00B31091">
      <w:pPr>
        <w:rPr>
          <w:rFonts w:ascii="Times New Roman" w:hAnsi="Times New Roman"/>
          <w:sz w:val="22"/>
          <w:szCs w:val="22"/>
        </w:rPr>
      </w:pPr>
    </w:p>
    <w:p w14:paraId="1CBE5005" w14:textId="77777777" w:rsidR="00E11C84" w:rsidRDefault="00E11C84" w:rsidP="00B31091">
      <w:pPr>
        <w:rPr>
          <w:rFonts w:ascii="Times New Roman" w:hAnsi="Times New Roman"/>
          <w:sz w:val="22"/>
          <w:szCs w:val="22"/>
        </w:rPr>
      </w:pPr>
    </w:p>
    <w:p w14:paraId="31ED5DEF" w14:textId="77777777" w:rsidR="00E11C84" w:rsidRDefault="00E11C84" w:rsidP="00B31091">
      <w:pPr>
        <w:rPr>
          <w:rFonts w:ascii="Times New Roman" w:hAnsi="Times New Roman"/>
          <w:sz w:val="22"/>
          <w:szCs w:val="22"/>
        </w:rPr>
      </w:pPr>
    </w:p>
    <w:p w14:paraId="0798C3A2" w14:textId="77777777" w:rsidR="00E11C84" w:rsidRDefault="00E11C84" w:rsidP="00B31091">
      <w:pPr>
        <w:rPr>
          <w:rFonts w:ascii="Times New Roman" w:hAnsi="Times New Roman"/>
          <w:sz w:val="22"/>
          <w:szCs w:val="22"/>
        </w:rPr>
      </w:pPr>
    </w:p>
    <w:p w14:paraId="322482D3" w14:textId="77777777" w:rsidR="00E11C84" w:rsidRDefault="00E11C84" w:rsidP="00B31091">
      <w:pPr>
        <w:rPr>
          <w:rFonts w:ascii="Times New Roman" w:hAnsi="Times New Roman"/>
          <w:sz w:val="22"/>
          <w:szCs w:val="22"/>
        </w:rPr>
      </w:pPr>
    </w:p>
    <w:p w14:paraId="73998C7B" w14:textId="77777777" w:rsidR="00E11C84" w:rsidRPr="00B31091" w:rsidRDefault="00E11C84" w:rsidP="00B31091">
      <w:pPr>
        <w:rPr>
          <w:rFonts w:ascii="Times New Roman" w:hAnsi="Times New Roman"/>
          <w:sz w:val="22"/>
          <w:szCs w:val="22"/>
        </w:rPr>
      </w:pPr>
    </w:p>
    <w:p w14:paraId="3FA4B411"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lastRenderedPageBreak/>
        <w:t>Conclusion</w:t>
      </w:r>
    </w:p>
    <w:p w14:paraId="2C9CB855"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Summary</w:t>
      </w:r>
    </w:p>
    <w:p w14:paraId="13586BA6"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Organisations operating internationally must consider environmental factors affecting HR management. The PESTLE framework identifies external pressures from Political, Economic, Socio-Cultural, Technological, Legal, and Environmental influences, shaping HR functions and decisions. An analysis of 3M shows how varying influences from different countries affect HR practices. By aligning HR strategies with country pressures, organisations can adapt their corporate strategy. Understanding environmental factors in global HR management is crucial. Despite the utility of frameworks like PESTLE, they remain underutilized by HR managers. Emerging audit frameworks offer country-specific HR knowledge but often overlook direct influences. Historical examples show leaders maintaining power through informal participation, emphasizing the lack of recognition of these dynamics in HR frameworks. By focusing on country-specific impacts, such as technological capabilities in Performance Management, HR professionals can enhance coordination, essential for strategic adaptability globally. (Sujatha &amp; Basu, 2013) </w:t>
      </w:r>
    </w:p>
    <w:p w14:paraId="42267FD1" w14:textId="77777777" w:rsidR="00B31091" w:rsidRPr="00B31091" w:rsidRDefault="00B31091" w:rsidP="00B31091">
      <w:pPr>
        <w:rPr>
          <w:rFonts w:ascii="Times New Roman" w:hAnsi="Times New Roman"/>
          <w:b/>
          <w:bCs/>
          <w:sz w:val="22"/>
          <w:szCs w:val="22"/>
        </w:rPr>
      </w:pPr>
      <w:r w:rsidRPr="00B31091">
        <w:rPr>
          <w:rFonts w:ascii="Times New Roman" w:hAnsi="Times New Roman"/>
          <w:b/>
          <w:bCs/>
          <w:sz w:val="22"/>
          <w:szCs w:val="22"/>
        </w:rPr>
        <w:t>• Future Implications</w:t>
      </w:r>
    </w:p>
    <w:p w14:paraId="5A025DD3" w14:textId="77777777" w:rsidR="00B31091" w:rsidRDefault="00B31091" w:rsidP="00B31091">
      <w:pPr>
        <w:rPr>
          <w:rFonts w:ascii="Times New Roman" w:hAnsi="Times New Roman"/>
          <w:sz w:val="22"/>
          <w:szCs w:val="22"/>
        </w:rPr>
      </w:pPr>
      <w:r w:rsidRPr="00B31091">
        <w:rPr>
          <w:rFonts w:ascii="Times New Roman" w:hAnsi="Times New Roman"/>
          <w:sz w:val="22"/>
          <w:szCs w:val="22"/>
        </w:rPr>
        <w:t xml:space="preserve">Large global organisations face various environmental pressures that affect their human resource practices and the effectiveness of HR managers. Key challenges include impending climate change regulations and the need to attract, develop, and retain skilled talent in a competitive job market. To navigate these shifts, a strategic HR approach is essential, focusing on global needs while coordinating practices internationally. Additionally, a comprehensive analysis of individual countries is crucial to evaluate specific HR priorities, considering cultural, economic, and legislative differences to effectively adapt HR strategies to diverse environments and workforce dynamics. (Ananthan, 2019)(Omar Mahamoud, 2007) </w:t>
      </w:r>
    </w:p>
    <w:p w14:paraId="56D78FD3" w14:textId="77777777" w:rsidR="00F062D0" w:rsidRDefault="00F062D0" w:rsidP="00B31091">
      <w:pPr>
        <w:rPr>
          <w:rFonts w:ascii="Times New Roman" w:hAnsi="Times New Roman"/>
          <w:sz w:val="22"/>
          <w:szCs w:val="22"/>
        </w:rPr>
      </w:pPr>
    </w:p>
    <w:p w14:paraId="1A67E13F" w14:textId="77777777" w:rsidR="00F062D0" w:rsidRDefault="00F062D0" w:rsidP="00B31091">
      <w:pPr>
        <w:rPr>
          <w:rFonts w:ascii="Times New Roman" w:hAnsi="Times New Roman"/>
          <w:sz w:val="22"/>
          <w:szCs w:val="22"/>
        </w:rPr>
      </w:pPr>
    </w:p>
    <w:p w14:paraId="0B327008" w14:textId="77777777" w:rsidR="00F062D0" w:rsidRDefault="00F062D0" w:rsidP="00B31091">
      <w:pPr>
        <w:rPr>
          <w:rFonts w:ascii="Times New Roman" w:hAnsi="Times New Roman"/>
          <w:sz w:val="22"/>
          <w:szCs w:val="22"/>
        </w:rPr>
      </w:pPr>
    </w:p>
    <w:p w14:paraId="1905C336" w14:textId="77777777" w:rsidR="00F062D0" w:rsidRDefault="00F062D0" w:rsidP="00B31091">
      <w:pPr>
        <w:rPr>
          <w:rFonts w:ascii="Times New Roman" w:hAnsi="Times New Roman"/>
          <w:sz w:val="22"/>
          <w:szCs w:val="22"/>
        </w:rPr>
      </w:pPr>
    </w:p>
    <w:p w14:paraId="6F22B783" w14:textId="77777777" w:rsidR="00F062D0" w:rsidRDefault="00F062D0" w:rsidP="00B31091">
      <w:pPr>
        <w:rPr>
          <w:rFonts w:ascii="Times New Roman" w:hAnsi="Times New Roman"/>
          <w:sz w:val="22"/>
          <w:szCs w:val="22"/>
        </w:rPr>
      </w:pPr>
    </w:p>
    <w:p w14:paraId="38A1DC6E" w14:textId="77777777" w:rsidR="00F062D0" w:rsidRDefault="00F062D0" w:rsidP="00B31091">
      <w:pPr>
        <w:rPr>
          <w:rFonts w:ascii="Times New Roman" w:hAnsi="Times New Roman"/>
          <w:sz w:val="22"/>
          <w:szCs w:val="22"/>
        </w:rPr>
      </w:pPr>
    </w:p>
    <w:p w14:paraId="68AE55C2" w14:textId="77777777" w:rsidR="00F062D0" w:rsidRDefault="00F062D0" w:rsidP="00B31091">
      <w:pPr>
        <w:rPr>
          <w:rFonts w:ascii="Times New Roman" w:hAnsi="Times New Roman"/>
          <w:sz w:val="22"/>
          <w:szCs w:val="22"/>
        </w:rPr>
      </w:pPr>
    </w:p>
    <w:p w14:paraId="03B845B2" w14:textId="77777777" w:rsidR="00F062D0" w:rsidRDefault="00F062D0" w:rsidP="00B31091">
      <w:pPr>
        <w:rPr>
          <w:rFonts w:ascii="Times New Roman" w:hAnsi="Times New Roman"/>
          <w:sz w:val="22"/>
          <w:szCs w:val="22"/>
        </w:rPr>
      </w:pPr>
    </w:p>
    <w:p w14:paraId="4247FA5B" w14:textId="77777777" w:rsidR="00F062D0" w:rsidRDefault="00F062D0" w:rsidP="00B31091">
      <w:pPr>
        <w:rPr>
          <w:rFonts w:ascii="Times New Roman" w:hAnsi="Times New Roman"/>
          <w:sz w:val="22"/>
          <w:szCs w:val="22"/>
        </w:rPr>
      </w:pPr>
    </w:p>
    <w:p w14:paraId="6F1D1FD1" w14:textId="77777777" w:rsidR="00F062D0" w:rsidRDefault="00F062D0" w:rsidP="00B31091">
      <w:pPr>
        <w:rPr>
          <w:rFonts w:ascii="Times New Roman" w:hAnsi="Times New Roman"/>
          <w:sz w:val="22"/>
          <w:szCs w:val="22"/>
        </w:rPr>
      </w:pPr>
    </w:p>
    <w:p w14:paraId="3A060342" w14:textId="77777777" w:rsidR="00A30A0B" w:rsidRDefault="00A30A0B" w:rsidP="00B31091">
      <w:pPr>
        <w:rPr>
          <w:rFonts w:ascii="Times New Roman" w:hAnsi="Times New Roman"/>
          <w:sz w:val="22"/>
          <w:szCs w:val="22"/>
        </w:rPr>
      </w:pPr>
    </w:p>
    <w:p w14:paraId="6B62F864" w14:textId="77777777" w:rsidR="00F062D0" w:rsidRDefault="00F062D0" w:rsidP="00B31091">
      <w:pPr>
        <w:rPr>
          <w:rFonts w:ascii="Times New Roman" w:hAnsi="Times New Roman"/>
          <w:sz w:val="22"/>
          <w:szCs w:val="22"/>
        </w:rPr>
      </w:pPr>
    </w:p>
    <w:p w14:paraId="029DB878" w14:textId="77777777" w:rsidR="00F062D0" w:rsidRDefault="00F062D0" w:rsidP="00B31091">
      <w:pPr>
        <w:rPr>
          <w:rFonts w:ascii="Times New Roman" w:hAnsi="Times New Roman"/>
          <w:sz w:val="22"/>
          <w:szCs w:val="22"/>
        </w:rPr>
      </w:pPr>
    </w:p>
    <w:p w14:paraId="75F2D93D" w14:textId="77777777" w:rsidR="00F062D0" w:rsidRPr="00B31091" w:rsidRDefault="00F062D0" w:rsidP="00B31091">
      <w:pPr>
        <w:rPr>
          <w:rFonts w:ascii="Times New Roman" w:hAnsi="Times New Roman"/>
          <w:sz w:val="22"/>
          <w:szCs w:val="22"/>
        </w:rPr>
      </w:pPr>
    </w:p>
    <w:p w14:paraId="27D64CE2"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lastRenderedPageBreak/>
        <w:t>References:</w:t>
      </w:r>
    </w:p>
    <w:p w14:paraId="63503CC9"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Vahdati, S. &amp; Vahdati, S., 2018. Identifying the obstacles to green human resource management practices in Iran. </w:t>
      </w:r>
      <w:hyperlink r:id="rId9" w:tgtFrame="_blank" w:tooltip="https://core.ac.uk/download/201458687.pdf" w:history="1">
        <w:r w:rsidRPr="00B31091">
          <w:rPr>
            <w:rStyle w:val="Hyperlink"/>
            <w:rFonts w:ascii="Times New Roman" w:hAnsi="Times New Roman"/>
            <w:sz w:val="22"/>
            <w:szCs w:val="22"/>
          </w:rPr>
          <w:t>[PDF]</w:t>
        </w:r>
      </w:hyperlink>
    </w:p>
    <w:p w14:paraId="1838DE30"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Dissanayake, D. M. N. S. W., 2012. Managing People in Organizations: Perspectives of Creativity, Innovation and Entrepreneurship. </w:t>
      </w:r>
      <w:hyperlink r:id="rId10" w:tgtFrame="_blank" w:tooltip="https://core.ac.uk/download/213938719.pdf" w:history="1">
        <w:r w:rsidRPr="00B31091">
          <w:rPr>
            <w:rStyle w:val="Hyperlink"/>
            <w:rFonts w:ascii="Times New Roman" w:hAnsi="Times New Roman"/>
            <w:sz w:val="22"/>
            <w:szCs w:val="22"/>
          </w:rPr>
          <w:t>[PDF]</w:t>
        </w:r>
      </w:hyperlink>
    </w:p>
    <w:p w14:paraId="58B091E1"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FITA, E., 2017. Human Resource Management and Its Role in Today Organizations. </w:t>
      </w:r>
      <w:hyperlink r:id="rId11" w:tgtFrame="_blank" w:tooltip="https://core.ac.uk/download/234627823.pdf" w:history="1">
        <w:r w:rsidRPr="00B31091">
          <w:rPr>
            <w:rStyle w:val="Hyperlink"/>
            <w:rFonts w:ascii="Times New Roman" w:hAnsi="Times New Roman"/>
            <w:sz w:val="22"/>
            <w:szCs w:val="22"/>
          </w:rPr>
          <w:t>[PDF]</w:t>
        </w:r>
      </w:hyperlink>
    </w:p>
    <w:p w14:paraId="08D958A8"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Aithal, S., 2017. A critical study on Various Frameworks used to analyse International Business and its Environment. </w:t>
      </w:r>
      <w:hyperlink r:id="rId12" w:tgtFrame="_blank" w:tooltip="https://core.ac.uk/download/pdf/144872874.pdf" w:history="1">
        <w:r w:rsidRPr="00B31091">
          <w:rPr>
            <w:rStyle w:val="Hyperlink"/>
            <w:rFonts w:ascii="Times New Roman" w:hAnsi="Times New Roman"/>
            <w:sz w:val="22"/>
            <w:szCs w:val="22"/>
          </w:rPr>
          <w:t>[PDF]</w:t>
        </w:r>
      </w:hyperlink>
    </w:p>
    <w:p w14:paraId="152AD86F"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Lüttgens, D. &amp; Diener, K., 2017. Business Model Patterns Used as a Tool for Creating (new) Innovative Business Models. </w:t>
      </w:r>
      <w:hyperlink r:id="rId13" w:tgtFrame="_blank" w:tooltip="https://core.ac.uk/download/229011872.pdf" w:history="1">
        <w:r w:rsidRPr="00B31091">
          <w:rPr>
            <w:rStyle w:val="Hyperlink"/>
            <w:rFonts w:ascii="Times New Roman" w:hAnsi="Times New Roman"/>
            <w:sz w:val="22"/>
            <w:szCs w:val="22"/>
          </w:rPr>
          <w:t>[PDF]</w:t>
        </w:r>
      </w:hyperlink>
    </w:p>
    <w:p w14:paraId="27BDE508"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Warda Andalib, T., Mohd Ridzuan, D., &amp; Noor Azlinna, A., 2019. East Asian trends of human resource management: theories and practices. </w:t>
      </w:r>
      <w:hyperlink r:id="rId14" w:tgtFrame="_blank" w:tooltip="https://core.ac.uk/download/220098751.pdf" w:history="1">
        <w:r w:rsidRPr="00B31091">
          <w:rPr>
            <w:rStyle w:val="Hyperlink"/>
            <w:rFonts w:ascii="Times New Roman" w:hAnsi="Times New Roman"/>
            <w:sz w:val="22"/>
            <w:szCs w:val="22"/>
          </w:rPr>
          <w:t>[PDF]</w:t>
        </w:r>
      </w:hyperlink>
    </w:p>
    <w:p w14:paraId="3B081B0E"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Neal, A., A. West, M., &amp; G. Patterson, M., 2005. Do organizational climate and competitive strategy moderate the relationship between human resource management and productivity?. </w:t>
      </w:r>
      <w:hyperlink r:id="rId15" w:tgtFrame="_blank" w:tooltip="https://core.ac.uk/download/15010835.pdf" w:history="1">
        <w:r w:rsidRPr="00B31091">
          <w:rPr>
            <w:rStyle w:val="Hyperlink"/>
            <w:rFonts w:ascii="Times New Roman" w:hAnsi="Times New Roman"/>
            <w:sz w:val="22"/>
            <w:szCs w:val="22"/>
          </w:rPr>
          <w:t>[PDF]</w:t>
        </w:r>
      </w:hyperlink>
    </w:p>
    <w:p w14:paraId="4102B5F0"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N. Mtembu, V., 2018. Greening is not a priority for human resource: Insights from human resource practitioners. </w:t>
      </w:r>
      <w:hyperlink r:id="rId16" w:tgtFrame="_blank" w:tooltip="https://core.ac.uk/download/201567002.pdf" w:history="1">
        <w:r w:rsidRPr="00B31091">
          <w:rPr>
            <w:rStyle w:val="Hyperlink"/>
            <w:rFonts w:ascii="Times New Roman" w:hAnsi="Times New Roman"/>
            <w:sz w:val="22"/>
            <w:szCs w:val="22"/>
          </w:rPr>
          <w:t>[PDF]</w:t>
        </w:r>
      </w:hyperlink>
    </w:p>
    <w:p w14:paraId="200A8777"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B. Minbaeva, D., 2007. HRM practices and knowledge transfer in MNCS. </w:t>
      </w:r>
      <w:hyperlink r:id="rId17" w:tgtFrame="_blank" w:tooltip="https://core.ac.uk/download/pdf/17277905.pdf" w:history="1">
        <w:r w:rsidRPr="00B31091">
          <w:rPr>
            <w:rStyle w:val="Hyperlink"/>
            <w:rFonts w:ascii="Times New Roman" w:hAnsi="Times New Roman"/>
            <w:sz w:val="22"/>
            <w:szCs w:val="22"/>
          </w:rPr>
          <w:t>[PDF]</w:t>
        </w:r>
      </w:hyperlink>
    </w:p>
    <w:p w14:paraId="4EFB9A73"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Fang, L., Shi, S., Gao, J., &amp; Li, X., 2022. The mediating role of green innovation and green culture in the relationship between green human resource management and environmental performance. </w:t>
      </w:r>
      <w:hyperlink r:id="rId18" w:tgtFrame="_blank" w:tooltip="https://www.ncbi.nlm.nih.gov/pmc/articles/PMC9521903/" w:history="1">
        <w:r w:rsidRPr="00B31091">
          <w:rPr>
            <w:rStyle w:val="Hyperlink"/>
            <w:rFonts w:ascii="Times New Roman" w:hAnsi="Times New Roman"/>
            <w:sz w:val="22"/>
            <w:szCs w:val="22"/>
          </w:rPr>
          <w:t>ncbi.nlm.nih.gov</w:t>
        </w:r>
      </w:hyperlink>
    </w:p>
    <w:p w14:paraId="25610CCA"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L. (Vasantha) R, V. &amp; (Hanuman) Kennedy, H., 2017. The Role of Business Sustainability in Human Resource Management: a Study on Indian Manufacturing Companies. </w:t>
      </w:r>
      <w:hyperlink r:id="rId19" w:tgtFrame="_blank" w:tooltip="https://media.neliti.com/media/publications/181165-EN-the-role-of-business-sustainability-in-h.pdf" w:history="1">
        <w:r w:rsidRPr="00B31091">
          <w:rPr>
            <w:rStyle w:val="Hyperlink"/>
            <w:rFonts w:ascii="Times New Roman" w:hAnsi="Times New Roman"/>
            <w:sz w:val="22"/>
            <w:szCs w:val="22"/>
          </w:rPr>
          <w:t>[PDF]</w:t>
        </w:r>
      </w:hyperlink>
    </w:p>
    <w:p w14:paraId="17346126"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Campos e Cunha, R., Pina e Cunha, M., Morgado, A., &amp; Brewster, C., 2002. Market forces, Strategic Management, HRM Practices and Organizational Performance, a Model Based in a European Sample. </w:t>
      </w:r>
      <w:hyperlink r:id="rId20" w:tgtFrame="_blank" w:tooltip="https://core.ac.uk/download/232115419.pdf" w:history="1">
        <w:r w:rsidRPr="00B31091">
          <w:rPr>
            <w:rStyle w:val="Hyperlink"/>
            <w:rFonts w:ascii="Times New Roman" w:hAnsi="Times New Roman"/>
            <w:sz w:val="22"/>
            <w:szCs w:val="22"/>
          </w:rPr>
          <w:t>[PDF]</w:t>
        </w:r>
      </w:hyperlink>
    </w:p>
    <w:p w14:paraId="4F7FB862" w14:textId="110AFB59"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Consuelo Pucheta-Martínez, M. &amp; Gallego-Alvarez, I., 2019. Corporate Environmental Disclosure </w:t>
      </w:r>
      <w:r w:rsidR="005B730D">
        <w:rPr>
          <w:rFonts w:ascii="Times New Roman" w:hAnsi="Times New Roman"/>
          <w:sz w:val="22"/>
          <w:szCs w:val="22"/>
        </w:rPr>
        <w:t>5</w:t>
      </w:r>
    </w:p>
    <w:p w14:paraId="71D16FAD"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Sujatha, R. &amp; Basu, S., 2013. Human Resource Dimensions for Environment Management System: Evidence from Two Indian Fertilizer Firms. </w:t>
      </w:r>
      <w:hyperlink r:id="rId21" w:tgtFrame="_blank" w:tooltip="https://core.ac.uk/download/234624685.pdf" w:history="1">
        <w:r w:rsidRPr="00B31091">
          <w:rPr>
            <w:rStyle w:val="Hyperlink"/>
            <w:rFonts w:ascii="Times New Roman" w:hAnsi="Times New Roman"/>
            <w:sz w:val="22"/>
            <w:szCs w:val="22"/>
          </w:rPr>
          <w:t>[PDF]</w:t>
        </w:r>
      </w:hyperlink>
    </w:p>
    <w:p w14:paraId="0AB62527"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Ananthan, K., 2019. A Study on Impact of Globalization on Human Resources Management. </w:t>
      </w:r>
      <w:hyperlink r:id="rId22" w:tgtFrame="_blank" w:tooltip="https://core.ac.uk/download/pdf/211976939.pdf" w:history="1">
        <w:r w:rsidRPr="00B31091">
          <w:rPr>
            <w:rStyle w:val="Hyperlink"/>
            <w:rFonts w:ascii="Times New Roman" w:hAnsi="Times New Roman"/>
            <w:sz w:val="22"/>
            <w:szCs w:val="22"/>
          </w:rPr>
          <w:t>[PDF]</w:t>
        </w:r>
      </w:hyperlink>
    </w:p>
    <w:p w14:paraId="08BC12D4" w14:textId="77777777" w:rsidR="00B31091" w:rsidRPr="00B31091" w:rsidRDefault="00B31091" w:rsidP="00B31091">
      <w:pPr>
        <w:rPr>
          <w:rFonts w:ascii="Times New Roman" w:hAnsi="Times New Roman"/>
          <w:sz w:val="22"/>
          <w:szCs w:val="22"/>
        </w:rPr>
      </w:pPr>
      <w:r w:rsidRPr="00B31091">
        <w:rPr>
          <w:rFonts w:ascii="Times New Roman" w:hAnsi="Times New Roman"/>
          <w:sz w:val="22"/>
          <w:szCs w:val="22"/>
        </w:rPr>
        <w:t xml:space="preserve">Omar Mahamoud, A., 2007. Globalization and strategic importance of human resource management (HRM): Activities for the organization's development and economy. </w:t>
      </w:r>
      <w:hyperlink r:id="rId23" w:tgtFrame="_blank" w:tooltip="https://core.ac.uk/download/12117828.pdf" w:history="1">
        <w:r w:rsidRPr="00B31091">
          <w:rPr>
            <w:rStyle w:val="Hyperlink"/>
            <w:rFonts w:ascii="Times New Roman" w:hAnsi="Times New Roman"/>
            <w:sz w:val="22"/>
            <w:szCs w:val="22"/>
          </w:rPr>
          <w:t>[PDF]</w:t>
        </w:r>
      </w:hyperlink>
    </w:p>
    <w:p w14:paraId="079F5349" w14:textId="77777777" w:rsidR="00C33491" w:rsidRPr="00FB0A61" w:rsidRDefault="00C33491" w:rsidP="00C33491">
      <w:pPr>
        <w:rPr>
          <w:rFonts w:ascii="Times New Roman" w:hAnsi="Times New Roman"/>
          <w:sz w:val="22"/>
          <w:szCs w:val="22"/>
        </w:rPr>
      </w:pPr>
    </w:p>
    <w:sectPr w:rsidR="00C33491" w:rsidRPr="00FB0A61">
      <w:headerReference w:type="default" r:id="rId24"/>
      <w:footerReference w:type="default" r:id="rId25"/>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E5A5B" w14:textId="77777777" w:rsidR="00B004EC" w:rsidRDefault="00B004EC">
      <w:pPr>
        <w:spacing w:after="0" w:line="240" w:lineRule="auto"/>
      </w:pPr>
      <w:r>
        <w:separator/>
      </w:r>
    </w:p>
  </w:endnote>
  <w:endnote w:type="continuationSeparator" w:id="0">
    <w:p w14:paraId="5F816089" w14:textId="77777777" w:rsidR="00B004EC" w:rsidRDefault="00B0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18F8" w14:textId="77777777" w:rsidR="00B0007E" w:rsidRDefault="00B0007E">
    <w:pPr>
      <w:pStyle w:val="Footer"/>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50E618F9" w14:textId="77777777" w:rsidR="00B0007E" w:rsidRDefault="00B00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42F88" w14:textId="77777777" w:rsidR="00B004EC" w:rsidRDefault="00B004EC">
      <w:pPr>
        <w:spacing w:after="0" w:line="240" w:lineRule="auto"/>
      </w:pPr>
      <w:r>
        <w:rPr>
          <w:color w:val="000000"/>
        </w:rPr>
        <w:separator/>
      </w:r>
    </w:p>
  </w:footnote>
  <w:footnote w:type="continuationSeparator" w:id="0">
    <w:p w14:paraId="74382A8C" w14:textId="77777777" w:rsidR="00B004EC" w:rsidRDefault="00B00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18F6" w14:textId="77777777" w:rsidR="00B0007E" w:rsidRDefault="00B0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046"/>
    <w:multiLevelType w:val="multilevel"/>
    <w:tmpl w:val="63AC4D3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AB35E8"/>
    <w:multiLevelType w:val="multilevel"/>
    <w:tmpl w:val="6F2421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E0710"/>
    <w:multiLevelType w:val="multilevel"/>
    <w:tmpl w:val="55FC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B38EE"/>
    <w:multiLevelType w:val="multilevel"/>
    <w:tmpl w:val="A6F4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320D0"/>
    <w:multiLevelType w:val="multilevel"/>
    <w:tmpl w:val="165AC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2C5B9E"/>
    <w:multiLevelType w:val="multilevel"/>
    <w:tmpl w:val="04C2F5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DC395E"/>
    <w:multiLevelType w:val="multilevel"/>
    <w:tmpl w:val="2C24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2320E"/>
    <w:multiLevelType w:val="multilevel"/>
    <w:tmpl w:val="F67A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37BC0"/>
    <w:multiLevelType w:val="hybridMultilevel"/>
    <w:tmpl w:val="995031F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15:restartNumberingAfterBreak="0">
    <w:nsid w:val="1C5C3C0A"/>
    <w:multiLevelType w:val="multilevel"/>
    <w:tmpl w:val="3B00B7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982565"/>
    <w:multiLevelType w:val="multilevel"/>
    <w:tmpl w:val="8D9C1CE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 w15:restartNumberingAfterBreak="0">
    <w:nsid w:val="20CD1713"/>
    <w:multiLevelType w:val="multilevel"/>
    <w:tmpl w:val="F50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2C2766"/>
    <w:multiLevelType w:val="multilevel"/>
    <w:tmpl w:val="38C6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882AA8"/>
    <w:multiLevelType w:val="multilevel"/>
    <w:tmpl w:val="7992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BF76CB"/>
    <w:multiLevelType w:val="multilevel"/>
    <w:tmpl w:val="5566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34444F"/>
    <w:multiLevelType w:val="hybridMultilevel"/>
    <w:tmpl w:val="4B5213DA"/>
    <w:lvl w:ilvl="0" w:tplc="BC189936">
      <w:numFmt w:val="bullet"/>
      <w:lvlText w:val="-"/>
      <w:lvlJc w:val="left"/>
      <w:pPr>
        <w:ind w:left="720" w:hanging="360"/>
      </w:pPr>
      <w:rPr>
        <w:rFonts w:ascii="Times New Roman" w:eastAsia="Apto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50822"/>
    <w:multiLevelType w:val="hybridMultilevel"/>
    <w:tmpl w:val="4F863D5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4F709DD"/>
    <w:multiLevelType w:val="multilevel"/>
    <w:tmpl w:val="40BCF4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5D372F"/>
    <w:multiLevelType w:val="multilevel"/>
    <w:tmpl w:val="686697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A52D69"/>
    <w:multiLevelType w:val="multilevel"/>
    <w:tmpl w:val="7ECA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6565B2"/>
    <w:multiLevelType w:val="multilevel"/>
    <w:tmpl w:val="381883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464120"/>
    <w:multiLevelType w:val="multilevel"/>
    <w:tmpl w:val="4C467E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D75027D"/>
    <w:multiLevelType w:val="multilevel"/>
    <w:tmpl w:val="65E0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15D7F"/>
    <w:multiLevelType w:val="multilevel"/>
    <w:tmpl w:val="1E46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451764"/>
    <w:multiLevelType w:val="multilevel"/>
    <w:tmpl w:val="01E28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7B7586"/>
    <w:multiLevelType w:val="hybridMultilevel"/>
    <w:tmpl w:val="F13064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145460268">
    <w:abstractNumId w:val="10"/>
  </w:num>
  <w:num w:numId="2" w16cid:durableId="939142208">
    <w:abstractNumId w:val="22"/>
  </w:num>
  <w:num w:numId="3" w16cid:durableId="841552940">
    <w:abstractNumId w:val="14"/>
  </w:num>
  <w:num w:numId="4" w16cid:durableId="1404336609">
    <w:abstractNumId w:val="3"/>
  </w:num>
  <w:num w:numId="5" w16cid:durableId="725955217">
    <w:abstractNumId w:val="2"/>
  </w:num>
  <w:num w:numId="6" w16cid:durableId="871042732">
    <w:abstractNumId w:val="11"/>
  </w:num>
  <w:num w:numId="7" w16cid:durableId="516238392">
    <w:abstractNumId w:val="6"/>
  </w:num>
  <w:num w:numId="8" w16cid:durableId="1774664202">
    <w:abstractNumId w:val="12"/>
  </w:num>
  <w:num w:numId="9" w16cid:durableId="1284265279">
    <w:abstractNumId w:val="19"/>
  </w:num>
  <w:num w:numId="10" w16cid:durableId="1745564837">
    <w:abstractNumId w:val="7"/>
  </w:num>
  <w:num w:numId="11" w16cid:durableId="911155723">
    <w:abstractNumId w:val="23"/>
  </w:num>
  <w:num w:numId="12" w16cid:durableId="521741987">
    <w:abstractNumId w:val="13"/>
  </w:num>
  <w:num w:numId="13" w16cid:durableId="1701055160">
    <w:abstractNumId w:val="15"/>
  </w:num>
  <w:num w:numId="14" w16cid:durableId="95563985">
    <w:abstractNumId w:val="25"/>
  </w:num>
  <w:num w:numId="15" w16cid:durableId="647902718">
    <w:abstractNumId w:val="8"/>
  </w:num>
  <w:num w:numId="16" w16cid:durableId="1820805126">
    <w:abstractNumId w:val="16"/>
  </w:num>
  <w:num w:numId="17" w16cid:durableId="1230847770">
    <w:abstractNumId w:val="0"/>
    <w:lvlOverride w:ilvl="0">
      <w:startOverride w:val="1"/>
    </w:lvlOverride>
  </w:num>
  <w:num w:numId="18" w16cid:durableId="2048991497">
    <w:abstractNumId w:val="21"/>
    <w:lvlOverride w:ilvl="0">
      <w:startOverride w:val="2"/>
    </w:lvlOverride>
  </w:num>
  <w:num w:numId="19" w16cid:durableId="501050190">
    <w:abstractNumId w:val="5"/>
    <w:lvlOverride w:ilvl="0">
      <w:startOverride w:val="3"/>
    </w:lvlOverride>
  </w:num>
  <w:num w:numId="20" w16cid:durableId="1499343508">
    <w:abstractNumId w:val="20"/>
    <w:lvlOverride w:ilvl="0">
      <w:startOverride w:val="4"/>
    </w:lvlOverride>
  </w:num>
  <w:num w:numId="21" w16cid:durableId="1750342876">
    <w:abstractNumId w:val="9"/>
    <w:lvlOverride w:ilvl="0">
      <w:startOverride w:val="5"/>
    </w:lvlOverride>
  </w:num>
  <w:num w:numId="22" w16cid:durableId="546184603">
    <w:abstractNumId w:val="4"/>
    <w:lvlOverride w:ilvl="0">
      <w:startOverride w:val="1"/>
    </w:lvlOverride>
  </w:num>
  <w:num w:numId="23" w16cid:durableId="392244283">
    <w:abstractNumId w:val="1"/>
    <w:lvlOverride w:ilvl="0">
      <w:startOverride w:val="2"/>
    </w:lvlOverride>
  </w:num>
  <w:num w:numId="24" w16cid:durableId="2050257793">
    <w:abstractNumId w:val="24"/>
    <w:lvlOverride w:ilvl="0">
      <w:startOverride w:val="3"/>
    </w:lvlOverride>
  </w:num>
  <w:num w:numId="25" w16cid:durableId="1488395779">
    <w:abstractNumId w:val="17"/>
    <w:lvlOverride w:ilvl="0">
      <w:startOverride w:val="4"/>
    </w:lvlOverride>
  </w:num>
  <w:num w:numId="26" w16cid:durableId="1364406900">
    <w:abstractNumId w:val="18"/>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44"/>
    <w:rsid w:val="00011813"/>
    <w:rsid w:val="0006018F"/>
    <w:rsid w:val="000624CC"/>
    <w:rsid w:val="0006472D"/>
    <w:rsid w:val="00080B44"/>
    <w:rsid w:val="000871F5"/>
    <w:rsid w:val="000A2CF0"/>
    <w:rsid w:val="000C48C2"/>
    <w:rsid w:val="000D0F75"/>
    <w:rsid w:val="000E1C73"/>
    <w:rsid w:val="000E243E"/>
    <w:rsid w:val="000F02C2"/>
    <w:rsid w:val="00101B7A"/>
    <w:rsid w:val="00123B61"/>
    <w:rsid w:val="00152665"/>
    <w:rsid w:val="00152C79"/>
    <w:rsid w:val="0016168E"/>
    <w:rsid w:val="001C2B36"/>
    <w:rsid w:val="001E2684"/>
    <w:rsid w:val="001F50F9"/>
    <w:rsid w:val="0022506D"/>
    <w:rsid w:val="0022771F"/>
    <w:rsid w:val="00232073"/>
    <w:rsid w:val="002616B6"/>
    <w:rsid w:val="002B4FB0"/>
    <w:rsid w:val="0034536A"/>
    <w:rsid w:val="00355D4E"/>
    <w:rsid w:val="00382499"/>
    <w:rsid w:val="00393F8A"/>
    <w:rsid w:val="003A2A53"/>
    <w:rsid w:val="003D5FDB"/>
    <w:rsid w:val="003F03A7"/>
    <w:rsid w:val="00433699"/>
    <w:rsid w:val="00467CD8"/>
    <w:rsid w:val="0049564F"/>
    <w:rsid w:val="004D0488"/>
    <w:rsid w:val="004D2564"/>
    <w:rsid w:val="004D64CA"/>
    <w:rsid w:val="005236B7"/>
    <w:rsid w:val="00532F7C"/>
    <w:rsid w:val="0054368A"/>
    <w:rsid w:val="005A3DE2"/>
    <w:rsid w:val="005B170D"/>
    <w:rsid w:val="005B730D"/>
    <w:rsid w:val="005C24D2"/>
    <w:rsid w:val="005F7E3A"/>
    <w:rsid w:val="00602898"/>
    <w:rsid w:val="00611666"/>
    <w:rsid w:val="0062770F"/>
    <w:rsid w:val="006473D8"/>
    <w:rsid w:val="00654D7F"/>
    <w:rsid w:val="00677F1B"/>
    <w:rsid w:val="00680AC3"/>
    <w:rsid w:val="0068548F"/>
    <w:rsid w:val="00685FF1"/>
    <w:rsid w:val="00691A33"/>
    <w:rsid w:val="006D568A"/>
    <w:rsid w:val="006F17CC"/>
    <w:rsid w:val="00727289"/>
    <w:rsid w:val="00735314"/>
    <w:rsid w:val="00737951"/>
    <w:rsid w:val="007407EA"/>
    <w:rsid w:val="007415F6"/>
    <w:rsid w:val="007646DF"/>
    <w:rsid w:val="0079345C"/>
    <w:rsid w:val="007B5D26"/>
    <w:rsid w:val="00846870"/>
    <w:rsid w:val="00884340"/>
    <w:rsid w:val="008A0BA4"/>
    <w:rsid w:val="008A3868"/>
    <w:rsid w:val="008D1E7D"/>
    <w:rsid w:val="008E23E8"/>
    <w:rsid w:val="008E7558"/>
    <w:rsid w:val="0094012C"/>
    <w:rsid w:val="00950A83"/>
    <w:rsid w:val="0096537D"/>
    <w:rsid w:val="009703F2"/>
    <w:rsid w:val="00976390"/>
    <w:rsid w:val="009822E7"/>
    <w:rsid w:val="009909D7"/>
    <w:rsid w:val="009D55A4"/>
    <w:rsid w:val="009E06EA"/>
    <w:rsid w:val="00A04B7C"/>
    <w:rsid w:val="00A26BBD"/>
    <w:rsid w:val="00A30A0B"/>
    <w:rsid w:val="00A46DB1"/>
    <w:rsid w:val="00A57F43"/>
    <w:rsid w:val="00A671F7"/>
    <w:rsid w:val="00A739EF"/>
    <w:rsid w:val="00AE67F2"/>
    <w:rsid w:val="00B0007E"/>
    <w:rsid w:val="00B004EC"/>
    <w:rsid w:val="00B13482"/>
    <w:rsid w:val="00B15C85"/>
    <w:rsid w:val="00B31091"/>
    <w:rsid w:val="00B412FD"/>
    <w:rsid w:val="00B43854"/>
    <w:rsid w:val="00B5313C"/>
    <w:rsid w:val="00B636B3"/>
    <w:rsid w:val="00B800FB"/>
    <w:rsid w:val="00BC177E"/>
    <w:rsid w:val="00BF5088"/>
    <w:rsid w:val="00C00AF5"/>
    <w:rsid w:val="00C2772C"/>
    <w:rsid w:val="00C33491"/>
    <w:rsid w:val="00C719C5"/>
    <w:rsid w:val="00C81C62"/>
    <w:rsid w:val="00D94BEC"/>
    <w:rsid w:val="00DA742D"/>
    <w:rsid w:val="00DB5AF6"/>
    <w:rsid w:val="00DC71DD"/>
    <w:rsid w:val="00DD7660"/>
    <w:rsid w:val="00E04530"/>
    <w:rsid w:val="00E11C84"/>
    <w:rsid w:val="00E14B8A"/>
    <w:rsid w:val="00E3110A"/>
    <w:rsid w:val="00E76D7B"/>
    <w:rsid w:val="00EB3F1A"/>
    <w:rsid w:val="00EB69AB"/>
    <w:rsid w:val="00F062D0"/>
    <w:rsid w:val="00F15F6E"/>
    <w:rsid w:val="00F377FE"/>
    <w:rsid w:val="00F51430"/>
    <w:rsid w:val="00F9313D"/>
    <w:rsid w:val="00FA120C"/>
    <w:rsid w:val="00FB0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618EC"/>
  <w15:docId w15:val="{3F29AB1B-D7BF-4C27-86FC-A259B331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BBD"/>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cvgsua">
    <w:name w:val="cvgsua"/>
    <w:basedOn w:val="Normal"/>
    <w:pPr>
      <w:spacing w:before="100" w:after="100" w:line="240" w:lineRule="auto"/>
    </w:pPr>
    <w:rPr>
      <w:rFonts w:ascii="Times New Roman" w:eastAsia="Times New Roman" w:hAnsi="Times New Roman"/>
      <w:kern w:val="0"/>
      <w:lang w:eastAsia="en-GB"/>
    </w:rPr>
  </w:style>
  <w:style w:type="character" w:customStyle="1" w:styleId="oypena">
    <w:name w:val="oypena"/>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09456">
      <w:bodyDiv w:val="1"/>
      <w:marLeft w:val="0"/>
      <w:marRight w:val="0"/>
      <w:marTop w:val="0"/>
      <w:marBottom w:val="0"/>
      <w:divBdr>
        <w:top w:val="none" w:sz="0" w:space="0" w:color="auto"/>
        <w:left w:val="none" w:sz="0" w:space="0" w:color="auto"/>
        <w:bottom w:val="none" w:sz="0" w:space="0" w:color="auto"/>
        <w:right w:val="none" w:sz="0" w:space="0" w:color="auto"/>
      </w:divBdr>
    </w:div>
    <w:div w:id="209877837">
      <w:bodyDiv w:val="1"/>
      <w:marLeft w:val="0"/>
      <w:marRight w:val="0"/>
      <w:marTop w:val="0"/>
      <w:marBottom w:val="0"/>
      <w:divBdr>
        <w:top w:val="none" w:sz="0" w:space="0" w:color="auto"/>
        <w:left w:val="none" w:sz="0" w:space="0" w:color="auto"/>
        <w:bottom w:val="none" w:sz="0" w:space="0" w:color="auto"/>
        <w:right w:val="none" w:sz="0" w:space="0" w:color="auto"/>
      </w:divBdr>
    </w:div>
    <w:div w:id="244194359">
      <w:bodyDiv w:val="1"/>
      <w:marLeft w:val="0"/>
      <w:marRight w:val="0"/>
      <w:marTop w:val="0"/>
      <w:marBottom w:val="0"/>
      <w:divBdr>
        <w:top w:val="none" w:sz="0" w:space="0" w:color="auto"/>
        <w:left w:val="none" w:sz="0" w:space="0" w:color="auto"/>
        <w:bottom w:val="none" w:sz="0" w:space="0" w:color="auto"/>
        <w:right w:val="none" w:sz="0" w:space="0" w:color="auto"/>
      </w:divBdr>
    </w:div>
    <w:div w:id="498077675">
      <w:bodyDiv w:val="1"/>
      <w:marLeft w:val="0"/>
      <w:marRight w:val="0"/>
      <w:marTop w:val="0"/>
      <w:marBottom w:val="0"/>
      <w:divBdr>
        <w:top w:val="none" w:sz="0" w:space="0" w:color="auto"/>
        <w:left w:val="none" w:sz="0" w:space="0" w:color="auto"/>
        <w:bottom w:val="none" w:sz="0" w:space="0" w:color="auto"/>
        <w:right w:val="none" w:sz="0" w:space="0" w:color="auto"/>
      </w:divBdr>
    </w:div>
    <w:div w:id="891815190">
      <w:bodyDiv w:val="1"/>
      <w:marLeft w:val="0"/>
      <w:marRight w:val="0"/>
      <w:marTop w:val="0"/>
      <w:marBottom w:val="0"/>
      <w:divBdr>
        <w:top w:val="none" w:sz="0" w:space="0" w:color="auto"/>
        <w:left w:val="none" w:sz="0" w:space="0" w:color="auto"/>
        <w:bottom w:val="none" w:sz="0" w:space="0" w:color="auto"/>
        <w:right w:val="none" w:sz="0" w:space="0" w:color="auto"/>
      </w:divBdr>
    </w:div>
    <w:div w:id="987513752">
      <w:bodyDiv w:val="1"/>
      <w:marLeft w:val="0"/>
      <w:marRight w:val="0"/>
      <w:marTop w:val="0"/>
      <w:marBottom w:val="0"/>
      <w:divBdr>
        <w:top w:val="none" w:sz="0" w:space="0" w:color="auto"/>
        <w:left w:val="none" w:sz="0" w:space="0" w:color="auto"/>
        <w:bottom w:val="none" w:sz="0" w:space="0" w:color="auto"/>
        <w:right w:val="none" w:sz="0" w:space="0" w:color="auto"/>
      </w:divBdr>
    </w:div>
    <w:div w:id="1243029442">
      <w:bodyDiv w:val="1"/>
      <w:marLeft w:val="0"/>
      <w:marRight w:val="0"/>
      <w:marTop w:val="0"/>
      <w:marBottom w:val="0"/>
      <w:divBdr>
        <w:top w:val="none" w:sz="0" w:space="0" w:color="auto"/>
        <w:left w:val="none" w:sz="0" w:space="0" w:color="auto"/>
        <w:bottom w:val="none" w:sz="0" w:space="0" w:color="auto"/>
        <w:right w:val="none" w:sz="0" w:space="0" w:color="auto"/>
      </w:divBdr>
    </w:div>
    <w:div w:id="1282767140">
      <w:bodyDiv w:val="1"/>
      <w:marLeft w:val="0"/>
      <w:marRight w:val="0"/>
      <w:marTop w:val="0"/>
      <w:marBottom w:val="0"/>
      <w:divBdr>
        <w:top w:val="none" w:sz="0" w:space="0" w:color="auto"/>
        <w:left w:val="none" w:sz="0" w:space="0" w:color="auto"/>
        <w:bottom w:val="none" w:sz="0" w:space="0" w:color="auto"/>
        <w:right w:val="none" w:sz="0" w:space="0" w:color="auto"/>
      </w:divBdr>
    </w:div>
    <w:div w:id="1350568022">
      <w:bodyDiv w:val="1"/>
      <w:marLeft w:val="0"/>
      <w:marRight w:val="0"/>
      <w:marTop w:val="0"/>
      <w:marBottom w:val="0"/>
      <w:divBdr>
        <w:top w:val="none" w:sz="0" w:space="0" w:color="auto"/>
        <w:left w:val="none" w:sz="0" w:space="0" w:color="auto"/>
        <w:bottom w:val="none" w:sz="0" w:space="0" w:color="auto"/>
        <w:right w:val="none" w:sz="0" w:space="0" w:color="auto"/>
      </w:divBdr>
    </w:div>
    <w:div w:id="1358702131">
      <w:bodyDiv w:val="1"/>
      <w:marLeft w:val="0"/>
      <w:marRight w:val="0"/>
      <w:marTop w:val="0"/>
      <w:marBottom w:val="0"/>
      <w:divBdr>
        <w:top w:val="none" w:sz="0" w:space="0" w:color="auto"/>
        <w:left w:val="none" w:sz="0" w:space="0" w:color="auto"/>
        <w:bottom w:val="none" w:sz="0" w:space="0" w:color="auto"/>
        <w:right w:val="none" w:sz="0" w:space="0" w:color="auto"/>
      </w:divBdr>
    </w:div>
    <w:div w:id="1597443743">
      <w:bodyDiv w:val="1"/>
      <w:marLeft w:val="0"/>
      <w:marRight w:val="0"/>
      <w:marTop w:val="0"/>
      <w:marBottom w:val="0"/>
      <w:divBdr>
        <w:top w:val="none" w:sz="0" w:space="0" w:color="auto"/>
        <w:left w:val="none" w:sz="0" w:space="0" w:color="auto"/>
        <w:bottom w:val="none" w:sz="0" w:space="0" w:color="auto"/>
        <w:right w:val="none" w:sz="0" w:space="0" w:color="auto"/>
      </w:divBdr>
    </w:div>
    <w:div w:id="1675300874">
      <w:bodyDiv w:val="1"/>
      <w:marLeft w:val="0"/>
      <w:marRight w:val="0"/>
      <w:marTop w:val="0"/>
      <w:marBottom w:val="0"/>
      <w:divBdr>
        <w:top w:val="none" w:sz="0" w:space="0" w:color="auto"/>
        <w:left w:val="none" w:sz="0" w:space="0" w:color="auto"/>
        <w:bottom w:val="none" w:sz="0" w:space="0" w:color="auto"/>
        <w:right w:val="none" w:sz="0" w:space="0" w:color="auto"/>
      </w:divBdr>
    </w:div>
    <w:div w:id="1884826358">
      <w:bodyDiv w:val="1"/>
      <w:marLeft w:val="0"/>
      <w:marRight w:val="0"/>
      <w:marTop w:val="0"/>
      <w:marBottom w:val="0"/>
      <w:divBdr>
        <w:top w:val="none" w:sz="0" w:space="0" w:color="auto"/>
        <w:left w:val="none" w:sz="0" w:space="0" w:color="auto"/>
        <w:bottom w:val="none" w:sz="0" w:space="0" w:color="auto"/>
        <w:right w:val="none" w:sz="0" w:space="0" w:color="auto"/>
      </w:divBdr>
    </w:div>
    <w:div w:id="1998456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oogle.com/search?q=L%C3%BCttgens%2C%20D.%20%26%20Diener%2C%20K.%2C%202017.%20Business%20Model%20Patterns%20Used%20as%20a%20Tool%20for%20Creating%20(new)%20Innovative%20Business%20Models." TargetMode="External"/><Relationship Id="rId18" Type="http://schemas.openxmlformats.org/officeDocument/2006/relationships/hyperlink" Target="https://www.ncbi.nlm.nih.gov/pmc/articles/PMC95219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oogle.com/search?q=Sujatha%2C%20R.%20%26%20Basu%2C%20S.%2C%202013.%20Human%20Resource%20Dimensions%20for%20Environment%20Management%20System%3A%20Evidence%20from%20Two%20Indian%20Fertilizer%20Firms." TargetMode="External"/><Relationship Id="rId7" Type="http://schemas.openxmlformats.org/officeDocument/2006/relationships/endnotes" Target="endnotes.xml"/><Relationship Id="rId12" Type="http://schemas.openxmlformats.org/officeDocument/2006/relationships/hyperlink" Target="https://google.com/search?q=Aithal%2C%20S.%2C%202017.%20A%20critical%20study%20on%20Various%20Frameworks%20used%20to%20analyse%20International%20Business%20and%20its%20Environment." TargetMode="External"/><Relationship Id="rId17" Type="http://schemas.openxmlformats.org/officeDocument/2006/relationships/hyperlink" Target="https://google.com/search?q=B.%20Minbaeva%2C%20D.%2C%202007.%20HRM%20practices%20and%20knowledge%20transfer%20in%20MNC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oogle.com/search?q=N.%20Mtembu%2C%20V.%2C%202018.%20Greening%20is%20not%20a%20priority%20for%20human%20resource%3A%20Insights%20from%20human%20resource%20practitioners." TargetMode="External"/><Relationship Id="rId20" Type="http://schemas.openxmlformats.org/officeDocument/2006/relationships/hyperlink" Target="https://google.com/search?q=Campos%20e%20Cunha%2C%20R.%2C%20Pina%20e%20Cunha%2C%20M.%2C%20Morgado%2C%20A.%2C%20%26%20Brewster%2C%20C.%2C%202002.%20Market%20forces%2C%20Strategic%20Management%2C%20HRM%20Practices%20and%20Organizational%20Performance%2C%20a%20Model%20Based%20in%20a%20European%20Samp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ogle.com/search?q=FITA%2C%20E.%2C%202017.%20Human%20Resource%20Management%20and%20Its%20Role%20in%20Today%20Organization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google.com/search?q=Neal%2C%20A.%2C%20A.%20West%2C%20M.%2C%20%26%20G.%20Patterson%2C%20M.%2C%202005.%20Do%20organizational%20climate%20and%20competitive%20strategy%20moderate%20the%20relationship%20between%20human%20resource%20management%20and%20productivity%3F." TargetMode="External"/><Relationship Id="rId23" Type="http://schemas.openxmlformats.org/officeDocument/2006/relationships/hyperlink" Target="https://google.com/search?q=Omar%20Mahamoud%2C%20A.%2C%202007.%20Globalization%20and%20strategic%20importance%20of%20human%20resource%20management%20(HRM)%3A%20Activities%20for%20the%20organization's%20development%20and%20economy." TargetMode="External"/><Relationship Id="rId10" Type="http://schemas.openxmlformats.org/officeDocument/2006/relationships/hyperlink" Target="https://google.com/search?q=Dissanayake%2C%20D.%20M.%20N.%20S.%20W.%2C%202012.%20Managing%20People%20in%20Organizations%3A%20Perspectives%20of%20Creativity%2C%20Innovation%20and%20Entrepreneurship." TargetMode="External"/><Relationship Id="rId19" Type="http://schemas.openxmlformats.org/officeDocument/2006/relationships/hyperlink" Target="https://media.neliti.com/media/publications/181165-EN-the-role-of-business-sustainability-in-h.pdf" TargetMode="External"/><Relationship Id="rId4" Type="http://schemas.openxmlformats.org/officeDocument/2006/relationships/settings" Target="settings.xml"/><Relationship Id="rId9" Type="http://schemas.openxmlformats.org/officeDocument/2006/relationships/hyperlink" Target="https://google.com/search?q=Vahdati%2C%20S.%20%26%20Vahdati%2C%20S.%2C%202018.%20Identifying%20the%20obstacles%20to%20green%20human%20resource%20management%20practices%20in%20Iran." TargetMode="External"/><Relationship Id="rId14" Type="http://schemas.openxmlformats.org/officeDocument/2006/relationships/hyperlink" Target="https://google.com/search?q=Warda%20Andalib%2C%20T.%2C%20Mohd%20Ridzuan%2C%20D.%2C%20%26%20Noor%20Azlinna%2C%20A.%2C%202019.%20East%20Asian%20trends%20of%20human%20resource%20management%3A%20theories%20and%20practices." TargetMode="External"/><Relationship Id="rId22" Type="http://schemas.openxmlformats.org/officeDocument/2006/relationships/hyperlink" Target="https://google.com/search?q=Ananthan%2C%20K.%2C%202019.%20A%20Study%20on%20Impact%20of%20Globalization%20on%20Human%20Resources%20Managemen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E90E0-A91D-4CC6-B95D-E42DC309B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2896</Words>
  <Characters>19032</Characters>
  <Application>Microsoft Office Word</Application>
  <DocSecurity>0</DocSecurity>
  <Lines>475</Lines>
  <Paragraphs>137</Paragraphs>
  <ScaleCrop>false</ScaleCrop>
  <Company/>
  <LinksUpToDate>false</LinksUpToDate>
  <CharactersWithSpaces>21791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Katarína Dydňanská</dc:creator>
  <dc:description/>
  <cp:lastModifiedBy>Katarína Dydňanská</cp:lastModifiedBy>
  <cp:revision>3</cp:revision>
  <dcterms:created xsi:type="dcterms:W3CDTF">2025-12-19T18:32:00Z</dcterms:created>
  <dcterms:modified xsi:type="dcterms:W3CDTF">2025-12-19T18:33:00Z</dcterms:modified>
</cp:coreProperties>
</file>