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755DB" w:rsidRDefault="003755DB"/>
    <w:p w:rsidR="00703687" w:rsidRDefault="003E39EE">
      <w:pPr>
        <w:rPr>
          <w:sz w:val="32"/>
          <w:szCs w:val="32"/>
        </w:rPr>
      </w:pPr>
      <w:r>
        <w:rPr>
          <w:sz w:val="32"/>
          <w:szCs w:val="32"/>
        </w:rPr>
        <w:t xml:space="preserve">                          </w:t>
      </w:r>
      <w:r w:rsidRPr="003E39EE">
        <w:rPr>
          <w:sz w:val="32"/>
          <w:szCs w:val="32"/>
        </w:rPr>
        <w:t>Literature Review</w:t>
      </w:r>
      <w:r>
        <w:rPr>
          <w:sz w:val="32"/>
          <w:szCs w:val="32"/>
        </w:rPr>
        <w:t xml:space="preserve"> – Secondary Sources</w:t>
      </w:r>
    </w:p>
    <w:p w:rsidR="00100607" w:rsidRDefault="00100607">
      <w:pPr>
        <w:rPr>
          <w:sz w:val="32"/>
          <w:szCs w:val="32"/>
        </w:rPr>
      </w:pPr>
      <w:r>
        <w:rPr>
          <w:sz w:val="32"/>
          <w:szCs w:val="32"/>
        </w:rPr>
        <w:t xml:space="preserve">Eric D </w:t>
      </w:r>
      <w:proofErr w:type="spellStart"/>
      <w:r>
        <w:rPr>
          <w:sz w:val="32"/>
          <w:szCs w:val="32"/>
        </w:rPr>
        <w:t>Weitz</w:t>
      </w:r>
      <w:proofErr w:type="spellEnd"/>
      <w:r>
        <w:rPr>
          <w:sz w:val="32"/>
          <w:szCs w:val="32"/>
        </w:rPr>
        <w:t xml:space="preserve"> – National Communism: Serbia and the Bosnian war</w:t>
      </w:r>
    </w:p>
    <w:p w:rsidR="00623715" w:rsidRDefault="00833334">
      <w:pPr>
        <w:rPr>
          <w:sz w:val="32"/>
          <w:szCs w:val="32"/>
        </w:rPr>
      </w:pPr>
      <w:r>
        <w:rPr>
          <w:sz w:val="32"/>
          <w:szCs w:val="32"/>
        </w:rPr>
        <w:t xml:space="preserve">Eric D </w:t>
      </w:r>
      <w:proofErr w:type="spellStart"/>
      <w:r>
        <w:rPr>
          <w:sz w:val="32"/>
          <w:szCs w:val="32"/>
        </w:rPr>
        <w:t>Weitz</w:t>
      </w:r>
      <w:proofErr w:type="spellEnd"/>
      <w:r>
        <w:rPr>
          <w:sz w:val="32"/>
          <w:szCs w:val="32"/>
        </w:rPr>
        <w:t>, authors ‘A century of Genocide: Utopias of Race and Nation’, a concise historical account and collection of the major genocides that have taken place in the 20</w:t>
      </w:r>
      <w:r w:rsidRPr="00833334">
        <w:rPr>
          <w:sz w:val="32"/>
          <w:szCs w:val="32"/>
          <w:vertAlign w:val="superscript"/>
        </w:rPr>
        <w:t>th</w:t>
      </w:r>
      <w:r>
        <w:rPr>
          <w:sz w:val="32"/>
          <w:szCs w:val="32"/>
        </w:rPr>
        <w:t xml:space="preserve"> century. It was written in 2003 at the close of the century and </w:t>
      </w:r>
      <w:r w:rsidR="003D7AE8">
        <w:rPr>
          <w:sz w:val="32"/>
          <w:szCs w:val="32"/>
        </w:rPr>
        <w:t>when</w:t>
      </w:r>
      <w:r>
        <w:rPr>
          <w:sz w:val="32"/>
          <w:szCs w:val="32"/>
        </w:rPr>
        <w:t xml:space="preserve"> the Bosnian genocide was a prominent news story given the verdict by the Human Rights Court against the Serb perpetrators. </w:t>
      </w:r>
      <w:r w:rsidR="000939DE">
        <w:rPr>
          <w:sz w:val="32"/>
          <w:szCs w:val="32"/>
        </w:rPr>
        <w:t xml:space="preserve">The author outlines based on respectable primary and secondary sources, the commonly accepted consensus of events that occurred with detailed statistics and factual evidence based in internationally accepted organisations. The author argues that Serbs were the driving force behind the genocide and used communism and then Serb nationalism to empower and brainwash the Serb populations to commit the crimes they did and to become directly involved from previously mere bystanders. The book corroborates other factual evidence from other sources and is presented in a very reader friendly and easy to digest manner. The author recognises that crimes were committed by the other side’s but as responses to Serb actions. This is a reliable source which can be used to formulate </w:t>
      </w:r>
      <w:r w:rsidR="003D7AE8">
        <w:rPr>
          <w:sz w:val="32"/>
          <w:szCs w:val="32"/>
        </w:rPr>
        <w:t xml:space="preserve">arguments and debates on the topic but also is like an encyclopaedia of factual evidence and knowledge based on the sheer size of the book and chapter in question. The book corroborates many of the ideas of homogenization and ethnic engineering prevalent and enacted at the time to create the perfect and idealised utopia that the Serb and to a lesser extent Croats dreamed of. </w:t>
      </w:r>
    </w:p>
    <w:p w:rsidR="00623715" w:rsidRDefault="00623715">
      <w:pPr>
        <w:rPr>
          <w:sz w:val="32"/>
          <w:szCs w:val="32"/>
        </w:rPr>
      </w:pPr>
    </w:p>
    <w:p w:rsidR="00623715" w:rsidRDefault="00623715">
      <w:pPr>
        <w:rPr>
          <w:sz w:val="32"/>
          <w:szCs w:val="32"/>
        </w:rPr>
      </w:pPr>
    </w:p>
    <w:p w:rsidR="00B04B60" w:rsidRDefault="00B04B60">
      <w:pPr>
        <w:rPr>
          <w:sz w:val="32"/>
          <w:szCs w:val="32"/>
        </w:rPr>
      </w:pPr>
      <w:r>
        <w:rPr>
          <w:sz w:val="32"/>
          <w:szCs w:val="32"/>
        </w:rPr>
        <w:lastRenderedPageBreak/>
        <w:t>Marko Attila Hoare – Genocide in the former Yugoslavia: a critique of left revisionism’s denial</w:t>
      </w:r>
    </w:p>
    <w:p w:rsidR="00B04B60" w:rsidRDefault="000E3A52">
      <w:pPr>
        <w:rPr>
          <w:sz w:val="32"/>
          <w:szCs w:val="32"/>
        </w:rPr>
      </w:pPr>
      <w:r>
        <w:rPr>
          <w:sz w:val="32"/>
          <w:szCs w:val="32"/>
        </w:rPr>
        <w:t xml:space="preserve">This article is written by Marko Attila Hoare for the Journal of Genocide Research titled ‘a critique of left revisionism’s denial’ on the genocide in </w:t>
      </w:r>
      <w:r w:rsidR="006418B0">
        <w:rPr>
          <w:sz w:val="32"/>
          <w:szCs w:val="32"/>
        </w:rPr>
        <w:t xml:space="preserve">Yugoslavia. </w:t>
      </w:r>
      <w:r w:rsidR="006C0EA5">
        <w:rPr>
          <w:sz w:val="32"/>
          <w:szCs w:val="32"/>
        </w:rPr>
        <w:t>This critique was written back in 2003 not long after the war ended and im</w:t>
      </w:r>
      <w:r w:rsidR="00D26BFC">
        <w:rPr>
          <w:sz w:val="32"/>
          <w:szCs w:val="32"/>
        </w:rPr>
        <w:t>mediately after 2001 when the ICTY ‘put the subject of genocide in Yugoslavia’ on the international agenda again.’</w:t>
      </w:r>
      <w:r w:rsidR="00D26BFC">
        <w:rPr>
          <w:rStyle w:val="FootnoteReference"/>
          <w:sz w:val="32"/>
          <w:szCs w:val="32"/>
        </w:rPr>
        <w:footnoteReference w:id="1"/>
      </w:r>
      <w:r w:rsidR="006C0EA5">
        <w:rPr>
          <w:sz w:val="32"/>
          <w:szCs w:val="32"/>
        </w:rPr>
        <w:t xml:space="preserve"> </w:t>
      </w:r>
      <w:r w:rsidR="00611CA5">
        <w:rPr>
          <w:sz w:val="32"/>
          <w:szCs w:val="32"/>
        </w:rPr>
        <w:t xml:space="preserve">The author argues that </w:t>
      </w:r>
      <w:r w:rsidR="00376000">
        <w:rPr>
          <w:sz w:val="32"/>
          <w:szCs w:val="32"/>
        </w:rPr>
        <w:t>scholars and people in general on the lef</w:t>
      </w:r>
      <w:r w:rsidR="00611CA5">
        <w:rPr>
          <w:sz w:val="32"/>
          <w:szCs w:val="32"/>
        </w:rPr>
        <w:t xml:space="preserve">t commit an injustice when they, for the sake of being loyal to the left, communism and socialism, ignore, downplay or overlook the crimes and wrongs committed by the Serbs, but when it suits them, they will very easily talk about the plight of the Palestinians and Kurds. It is a damning critique and goes to the extent of even challenging scholars such as Noam Chomsky. </w:t>
      </w:r>
      <w:r w:rsidR="00813CAF">
        <w:rPr>
          <w:sz w:val="32"/>
          <w:szCs w:val="32"/>
        </w:rPr>
        <w:t xml:space="preserve">The author focuses primarily on left leaning secondary source scholarship to set out the arguments and challenge them. The strengths of the article are the excellent points </w:t>
      </w:r>
      <w:r w:rsidR="005348E0">
        <w:rPr>
          <w:sz w:val="32"/>
          <w:szCs w:val="32"/>
        </w:rPr>
        <w:t xml:space="preserve">raised which critique the left and the sheer number of scholarship it confronts, but the weakness is that the sole focus is on the left with very little reference to the right. </w:t>
      </w:r>
      <w:r w:rsidR="00623715">
        <w:rPr>
          <w:sz w:val="32"/>
          <w:szCs w:val="32"/>
        </w:rPr>
        <w:t xml:space="preserve">This article challenges the typical view that some left leaning scholars tend to recognise genocide perpetrators in other genocides, but in the case of the Bosnian Genocide, seem to overlook the crimes of the perpetrators. </w:t>
      </w:r>
    </w:p>
    <w:p w:rsidR="00B04B60" w:rsidRDefault="00B04B60">
      <w:pPr>
        <w:rPr>
          <w:sz w:val="32"/>
          <w:szCs w:val="32"/>
        </w:rPr>
      </w:pPr>
    </w:p>
    <w:p w:rsidR="00623715" w:rsidRDefault="00623715">
      <w:pPr>
        <w:rPr>
          <w:sz w:val="32"/>
          <w:szCs w:val="32"/>
        </w:rPr>
      </w:pPr>
    </w:p>
    <w:p w:rsidR="00623715" w:rsidRDefault="00623715">
      <w:pPr>
        <w:rPr>
          <w:sz w:val="32"/>
          <w:szCs w:val="32"/>
        </w:rPr>
      </w:pPr>
    </w:p>
    <w:p w:rsidR="00481316" w:rsidRDefault="00481316">
      <w:pPr>
        <w:rPr>
          <w:sz w:val="32"/>
          <w:szCs w:val="32"/>
        </w:rPr>
      </w:pPr>
      <w:proofErr w:type="gramStart"/>
      <w:r>
        <w:rPr>
          <w:sz w:val="32"/>
          <w:szCs w:val="32"/>
        </w:rPr>
        <w:lastRenderedPageBreak/>
        <w:t xml:space="preserve">Jessie Barton </w:t>
      </w:r>
      <w:proofErr w:type="spellStart"/>
      <w:r>
        <w:rPr>
          <w:sz w:val="32"/>
          <w:szCs w:val="32"/>
        </w:rPr>
        <w:t>Hronesova</w:t>
      </w:r>
      <w:proofErr w:type="spellEnd"/>
      <w:r>
        <w:rPr>
          <w:sz w:val="32"/>
          <w:szCs w:val="32"/>
        </w:rPr>
        <w:t xml:space="preserve"> and Jasmine </w:t>
      </w:r>
      <w:proofErr w:type="spellStart"/>
      <w:r>
        <w:rPr>
          <w:sz w:val="32"/>
          <w:szCs w:val="32"/>
        </w:rPr>
        <w:t>Hasic</w:t>
      </w:r>
      <w:proofErr w:type="spellEnd"/>
      <w:r>
        <w:rPr>
          <w:sz w:val="32"/>
          <w:szCs w:val="32"/>
        </w:rPr>
        <w:t xml:space="preserve"> - The 2021 Memory Law in Bosnia and Herzegovina – Reconciliation or </w:t>
      </w:r>
      <w:proofErr w:type="spellStart"/>
      <w:r>
        <w:rPr>
          <w:sz w:val="32"/>
          <w:szCs w:val="32"/>
        </w:rPr>
        <w:t>Polariszation</w:t>
      </w:r>
      <w:proofErr w:type="spellEnd"/>
      <w:r>
        <w:rPr>
          <w:sz w:val="32"/>
          <w:szCs w:val="32"/>
        </w:rPr>
        <w:t>?</w:t>
      </w:r>
      <w:proofErr w:type="gramEnd"/>
    </w:p>
    <w:p w:rsidR="009C64A0" w:rsidRDefault="00481316">
      <w:pPr>
        <w:rPr>
          <w:sz w:val="32"/>
          <w:szCs w:val="32"/>
        </w:rPr>
      </w:pPr>
      <w:r>
        <w:rPr>
          <w:sz w:val="32"/>
          <w:szCs w:val="32"/>
        </w:rPr>
        <w:t>The article on th</w:t>
      </w:r>
      <w:r w:rsidR="00F60EE8">
        <w:rPr>
          <w:sz w:val="32"/>
          <w:szCs w:val="32"/>
        </w:rPr>
        <w:t>e 2021 Memory Law in Bosnia Herzegovina</w:t>
      </w:r>
      <w:r>
        <w:rPr>
          <w:sz w:val="32"/>
          <w:szCs w:val="32"/>
        </w:rPr>
        <w:t xml:space="preserve"> is written by Jessie Barton </w:t>
      </w:r>
      <w:proofErr w:type="spellStart"/>
      <w:r>
        <w:rPr>
          <w:sz w:val="32"/>
          <w:szCs w:val="32"/>
        </w:rPr>
        <w:t>Hronesova</w:t>
      </w:r>
      <w:proofErr w:type="spellEnd"/>
      <w:r>
        <w:rPr>
          <w:sz w:val="32"/>
          <w:szCs w:val="32"/>
        </w:rPr>
        <w:t xml:space="preserve"> and </w:t>
      </w:r>
      <w:proofErr w:type="spellStart"/>
      <w:r>
        <w:rPr>
          <w:sz w:val="32"/>
          <w:szCs w:val="32"/>
        </w:rPr>
        <w:t>Jasmin</w:t>
      </w:r>
      <w:proofErr w:type="spellEnd"/>
      <w:r>
        <w:rPr>
          <w:sz w:val="32"/>
          <w:szCs w:val="32"/>
        </w:rPr>
        <w:t xml:space="preserve"> </w:t>
      </w:r>
      <w:proofErr w:type="spellStart"/>
      <w:r>
        <w:rPr>
          <w:sz w:val="32"/>
          <w:szCs w:val="32"/>
        </w:rPr>
        <w:t>Hasic</w:t>
      </w:r>
      <w:proofErr w:type="spellEnd"/>
      <w:r>
        <w:rPr>
          <w:sz w:val="32"/>
          <w:szCs w:val="32"/>
        </w:rPr>
        <w:t xml:space="preserve"> for the Journal of Genocide Research. It is written in June 2023 and is funded by the European Union. It is essentially a research paper that argues whether the Memory Law reconciles or polarises existing communities in Bosnia and Herzegovina. </w:t>
      </w:r>
      <w:r w:rsidR="00A41234">
        <w:rPr>
          <w:sz w:val="32"/>
          <w:szCs w:val="32"/>
        </w:rPr>
        <w:t>The article has two main arguments: the first being that the law can ‘hardly contribute to reconciliation’ since it is not inclusive and is pro-</w:t>
      </w:r>
      <w:proofErr w:type="spellStart"/>
      <w:r w:rsidR="00A41234">
        <w:rPr>
          <w:sz w:val="32"/>
          <w:szCs w:val="32"/>
        </w:rPr>
        <w:t>Bosniak</w:t>
      </w:r>
      <w:proofErr w:type="spellEnd"/>
      <w:r w:rsidR="00A41234">
        <w:rPr>
          <w:sz w:val="32"/>
          <w:szCs w:val="32"/>
        </w:rPr>
        <w:t>, and secondly that the law has ‘mixed results’ even in the very basic achievable objective of ‘curbing hate speech and incitement of hatred.’</w:t>
      </w:r>
      <w:r w:rsidR="00AE77A9">
        <w:rPr>
          <w:rStyle w:val="FootnoteReference"/>
          <w:sz w:val="32"/>
          <w:szCs w:val="32"/>
        </w:rPr>
        <w:footnoteReference w:id="2"/>
      </w:r>
      <w:r w:rsidR="00A41234">
        <w:rPr>
          <w:sz w:val="32"/>
          <w:szCs w:val="32"/>
        </w:rPr>
        <w:t xml:space="preserve"> In addi</w:t>
      </w:r>
      <w:r w:rsidR="00F60EE8">
        <w:rPr>
          <w:sz w:val="32"/>
          <w:szCs w:val="32"/>
        </w:rPr>
        <w:t xml:space="preserve">tion, the article suggests, </w:t>
      </w:r>
      <w:r w:rsidR="00A41234">
        <w:rPr>
          <w:sz w:val="32"/>
          <w:szCs w:val="32"/>
        </w:rPr>
        <w:t xml:space="preserve">the Memory Law in fact is counter-productive as it results in the other side, i.e. the Serbs or other denialists being aggravated and polarising them further. </w:t>
      </w:r>
      <w:r w:rsidR="00FF375E">
        <w:rPr>
          <w:sz w:val="32"/>
          <w:szCs w:val="32"/>
        </w:rPr>
        <w:t xml:space="preserve">The </w:t>
      </w:r>
      <w:r w:rsidR="00556367">
        <w:rPr>
          <w:sz w:val="32"/>
          <w:szCs w:val="32"/>
        </w:rPr>
        <w:t xml:space="preserve">authors try to be balanced by being critical of both sides and base the article mainly on secondary sources. It was written two years after the Memory Law was passed. It is a useful article when in so far as it gives a balanced view and draws parallels to times in history when Memory Laws were not impactful and also by highlighting the limitations of the Memory Law in the Bosnian context. It is also useful </w:t>
      </w:r>
      <w:r w:rsidR="00B04B60">
        <w:rPr>
          <w:sz w:val="32"/>
          <w:szCs w:val="32"/>
        </w:rPr>
        <w:t>by focussing on the background and lead-up to the Bosnian Genocide.</w:t>
      </w:r>
    </w:p>
    <w:p w:rsidR="00B04B60" w:rsidRDefault="00B04B60">
      <w:pPr>
        <w:rPr>
          <w:sz w:val="32"/>
          <w:szCs w:val="32"/>
        </w:rPr>
      </w:pPr>
    </w:p>
    <w:p w:rsidR="00623715" w:rsidRDefault="00623715">
      <w:pPr>
        <w:rPr>
          <w:sz w:val="32"/>
          <w:szCs w:val="32"/>
        </w:rPr>
      </w:pPr>
    </w:p>
    <w:p w:rsidR="00623715" w:rsidRDefault="00623715">
      <w:pPr>
        <w:rPr>
          <w:sz w:val="32"/>
          <w:szCs w:val="32"/>
        </w:rPr>
      </w:pPr>
    </w:p>
    <w:p w:rsidR="00623715" w:rsidRDefault="00623715">
      <w:pPr>
        <w:rPr>
          <w:sz w:val="32"/>
          <w:szCs w:val="32"/>
        </w:rPr>
      </w:pPr>
    </w:p>
    <w:p w:rsidR="00703687" w:rsidRDefault="00DB7E9B">
      <w:pPr>
        <w:rPr>
          <w:sz w:val="32"/>
          <w:szCs w:val="32"/>
        </w:rPr>
      </w:pPr>
      <w:r>
        <w:rPr>
          <w:sz w:val="32"/>
          <w:szCs w:val="32"/>
        </w:rPr>
        <w:lastRenderedPageBreak/>
        <w:t xml:space="preserve">Alexander </w:t>
      </w:r>
      <w:proofErr w:type="spellStart"/>
      <w:r>
        <w:rPr>
          <w:sz w:val="32"/>
          <w:szCs w:val="32"/>
        </w:rPr>
        <w:t>Korb</w:t>
      </w:r>
      <w:proofErr w:type="spellEnd"/>
      <w:r>
        <w:rPr>
          <w:sz w:val="32"/>
          <w:szCs w:val="32"/>
        </w:rPr>
        <w:t xml:space="preserve"> – Homogenizing south-eastern Europe</w:t>
      </w:r>
    </w:p>
    <w:p w:rsidR="00DB7E9B" w:rsidRDefault="00DB7E9B">
      <w:pPr>
        <w:rPr>
          <w:sz w:val="32"/>
          <w:szCs w:val="32"/>
        </w:rPr>
      </w:pPr>
      <w:r>
        <w:rPr>
          <w:sz w:val="32"/>
          <w:szCs w:val="32"/>
        </w:rPr>
        <w:t xml:space="preserve">Alexander </w:t>
      </w:r>
      <w:proofErr w:type="spellStart"/>
      <w:r>
        <w:rPr>
          <w:sz w:val="32"/>
          <w:szCs w:val="32"/>
        </w:rPr>
        <w:t>Korb</w:t>
      </w:r>
      <w:proofErr w:type="spellEnd"/>
      <w:r>
        <w:rPr>
          <w:sz w:val="32"/>
          <w:szCs w:val="32"/>
        </w:rPr>
        <w:t xml:space="preserve">, a leading expert in the modern history of the Balkans has authored this academic journal on the homogenizing of South-eastern Europe in 2016 for the Journal of Genocide Research. The text outlines the process of homogenizing the Balkans from the period of 1912 to 1999, so across the span of the two world wars and the period of the Bosnian war in the 1990’s. The author outlines the problems </w:t>
      </w:r>
      <w:r w:rsidR="0097031D">
        <w:rPr>
          <w:sz w:val="32"/>
          <w:szCs w:val="32"/>
        </w:rPr>
        <w:t xml:space="preserve">with current historiography and specifically outlines where the historians fall short in their interpretations of the history of the period. The theoretical perspective is essentially a revisionist approach that seeks to </w:t>
      </w:r>
      <w:r w:rsidR="00772E53">
        <w:rPr>
          <w:sz w:val="32"/>
          <w:szCs w:val="32"/>
        </w:rPr>
        <w:t xml:space="preserve">revisit and re-evaluate other perspectives and potentialities for scholars to look at again. The author uses a wide range of transnational sources, both primary and secondary, from countries ranging from Turkey, Italy, Germany and more. </w:t>
      </w:r>
      <w:r w:rsidR="00714059">
        <w:rPr>
          <w:sz w:val="32"/>
          <w:szCs w:val="32"/>
        </w:rPr>
        <w:t>The text was written in 2016 against the backdrop of Bosnia wanting to join the EU and Bosnian Serb leader Radovan Karadzic found guilty of genocide and crimes against humanity.</w:t>
      </w:r>
      <w:r w:rsidR="009C64A0">
        <w:rPr>
          <w:rStyle w:val="FootnoteReference"/>
          <w:sz w:val="32"/>
          <w:szCs w:val="32"/>
        </w:rPr>
        <w:footnoteReference w:id="3"/>
      </w:r>
      <w:r w:rsidR="00714059">
        <w:rPr>
          <w:sz w:val="32"/>
          <w:szCs w:val="32"/>
        </w:rPr>
        <w:t xml:space="preserve"> The text however was based on the panel discussion at the University of Leicester in 2012 when the arrests of Serb leaders and perpetrators had taken place.  The text focuses mainly on critiquing other scholar’s works though it proves enlightening since it does cover a range of scholarship and corroborates ideas of homogenization found in other scholarly works and journals. </w:t>
      </w:r>
      <w:r w:rsidR="009C64A0">
        <w:rPr>
          <w:sz w:val="32"/>
          <w:szCs w:val="32"/>
        </w:rPr>
        <w:t>It can prove useful especially when corroborating facts and other scholar’s perspectives on ethnic engineering and homogenising in the Balkans at the time</w:t>
      </w:r>
    </w:p>
    <w:p w:rsidR="00A85125" w:rsidRDefault="00A85125">
      <w:pPr>
        <w:rPr>
          <w:sz w:val="32"/>
          <w:szCs w:val="32"/>
        </w:rPr>
      </w:pPr>
    </w:p>
    <w:p w:rsidR="00A85125" w:rsidRDefault="00A85125">
      <w:pPr>
        <w:rPr>
          <w:sz w:val="32"/>
          <w:szCs w:val="32"/>
        </w:rPr>
      </w:pPr>
    </w:p>
    <w:p w:rsidR="00A85125" w:rsidRDefault="00A85125">
      <w:pPr>
        <w:rPr>
          <w:sz w:val="32"/>
          <w:szCs w:val="32"/>
        </w:rPr>
      </w:pPr>
      <w:r>
        <w:rPr>
          <w:sz w:val="32"/>
          <w:szCs w:val="32"/>
        </w:rPr>
        <w:lastRenderedPageBreak/>
        <w:t>Bibliography</w:t>
      </w:r>
    </w:p>
    <w:p w:rsidR="00A85125" w:rsidRDefault="00A85125" w:rsidP="00A85125">
      <w:pPr>
        <w:pStyle w:val="FootnoteText"/>
      </w:pPr>
      <w:r>
        <w:rPr>
          <w:rStyle w:val="FootnoteReference"/>
        </w:rPr>
        <w:footnoteRef/>
      </w:r>
      <w:r>
        <w:t xml:space="preserve"> Marko </w:t>
      </w:r>
      <w:proofErr w:type="spellStart"/>
      <w:r>
        <w:t>Atilla</w:t>
      </w:r>
      <w:proofErr w:type="spellEnd"/>
      <w:r>
        <w:t xml:space="preserve"> Hoare, ‘Genocide in the Former Yugoslavia: A Critique of Left Revisionism’s Denial’, Journal of Genocide Research, 5:4 (2003), last visited [20/07/2024]</w:t>
      </w:r>
    </w:p>
    <w:p w:rsidR="00A85125" w:rsidRDefault="00A85125" w:rsidP="00A85125">
      <w:pPr>
        <w:pStyle w:val="FootnoteText"/>
      </w:pPr>
    </w:p>
    <w:p w:rsidR="00A85125" w:rsidRDefault="00A85125" w:rsidP="00A85125">
      <w:pPr>
        <w:pStyle w:val="FootnoteText"/>
      </w:pPr>
    </w:p>
    <w:p w:rsidR="00A85125" w:rsidRDefault="00A85125" w:rsidP="00A85125">
      <w:pPr>
        <w:pStyle w:val="FootnoteText"/>
      </w:pPr>
      <w:r>
        <w:rPr>
          <w:rStyle w:val="FootnoteReference"/>
        </w:rPr>
        <w:t>2</w:t>
      </w:r>
      <w:r>
        <w:t xml:space="preserve"> </w:t>
      </w:r>
      <w:proofErr w:type="spellStart"/>
      <w:r>
        <w:t>Hronesove</w:t>
      </w:r>
      <w:proofErr w:type="spellEnd"/>
      <w:r>
        <w:t xml:space="preserve">, Jessie Barton &amp; </w:t>
      </w:r>
      <w:proofErr w:type="spellStart"/>
      <w:r>
        <w:t>Hasić</w:t>
      </w:r>
      <w:proofErr w:type="spellEnd"/>
      <w:r>
        <w:t xml:space="preserve">, </w:t>
      </w:r>
      <w:proofErr w:type="spellStart"/>
      <w:r>
        <w:t>Jasmin</w:t>
      </w:r>
      <w:proofErr w:type="spellEnd"/>
      <w:r>
        <w:t>, (14 Jun 2023): The 2021 Memory Law in Bosnia and Herzegovina – Reconciliation or Polarization</w:t>
      </w:r>
      <w:proofErr w:type="gramStart"/>
      <w:r>
        <w:t>?,</w:t>
      </w:r>
      <w:proofErr w:type="gramEnd"/>
      <w:r>
        <w:t xml:space="preserve"> Journal of Genocide Research, last visited {20/07/2024}</w:t>
      </w:r>
    </w:p>
    <w:p w:rsidR="00A85125" w:rsidRDefault="00A85125" w:rsidP="00A85125">
      <w:pPr>
        <w:pStyle w:val="FootnoteText"/>
      </w:pPr>
    </w:p>
    <w:p w:rsidR="00A85125" w:rsidRDefault="00A85125" w:rsidP="00A85125">
      <w:pPr>
        <w:pStyle w:val="FootnoteText"/>
      </w:pPr>
    </w:p>
    <w:p w:rsidR="00A85125" w:rsidRDefault="00A85125" w:rsidP="00A85125">
      <w:pPr>
        <w:pStyle w:val="FootnoteText"/>
      </w:pPr>
      <w:r>
        <w:rPr>
          <w:rStyle w:val="FootnoteReference"/>
        </w:rPr>
        <w:t>3</w:t>
      </w:r>
      <w:r>
        <w:t xml:space="preserve"> BBC News, Bosnia-Herzegovina profile – Timeline, 29 November 2022, </w:t>
      </w:r>
      <w:r w:rsidRPr="009C64A0">
        <w:t>https://www.bbc.co.uk/news/world-europe-17212376</w:t>
      </w:r>
      <w:proofErr w:type="gramStart"/>
      <w:r>
        <w:t>,  last</w:t>
      </w:r>
      <w:proofErr w:type="gramEnd"/>
      <w:r>
        <w:t xml:space="preserve"> visited {20/07/2024]</w:t>
      </w:r>
    </w:p>
    <w:p w:rsidR="00A85125" w:rsidRDefault="00A85125">
      <w:pPr>
        <w:rPr>
          <w:sz w:val="24"/>
          <w:szCs w:val="24"/>
        </w:rPr>
      </w:pPr>
    </w:p>
    <w:p w:rsidR="00A85125" w:rsidRPr="00703687" w:rsidRDefault="00A85125">
      <w:pPr>
        <w:rPr>
          <w:sz w:val="24"/>
          <w:szCs w:val="24"/>
        </w:rPr>
      </w:pPr>
    </w:p>
    <w:sectPr w:rsidR="00A85125" w:rsidRPr="00703687" w:rsidSect="003755DB">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F34B6" w:rsidRDefault="00DF34B6" w:rsidP="009C64A0">
      <w:pPr>
        <w:spacing w:after="0" w:line="240" w:lineRule="auto"/>
      </w:pPr>
      <w:r>
        <w:separator/>
      </w:r>
    </w:p>
  </w:endnote>
  <w:endnote w:type="continuationSeparator" w:id="0">
    <w:p w:rsidR="00DF34B6" w:rsidRDefault="00DF34B6" w:rsidP="009C64A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F34B6" w:rsidRDefault="00DF34B6" w:rsidP="009C64A0">
      <w:pPr>
        <w:spacing w:after="0" w:line="240" w:lineRule="auto"/>
      </w:pPr>
      <w:r>
        <w:separator/>
      </w:r>
    </w:p>
  </w:footnote>
  <w:footnote w:type="continuationSeparator" w:id="0">
    <w:p w:rsidR="00DF34B6" w:rsidRDefault="00DF34B6" w:rsidP="009C64A0">
      <w:pPr>
        <w:spacing w:after="0" w:line="240" w:lineRule="auto"/>
      </w:pPr>
      <w:r>
        <w:continuationSeparator/>
      </w:r>
    </w:p>
  </w:footnote>
  <w:footnote w:id="1">
    <w:p w:rsidR="00D26BFC" w:rsidRDefault="00D26BFC">
      <w:pPr>
        <w:pStyle w:val="FootnoteText"/>
      </w:pPr>
      <w:r>
        <w:rPr>
          <w:rStyle w:val="FootnoteReference"/>
        </w:rPr>
        <w:footnoteRef/>
      </w:r>
      <w:r>
        <w:t xml:space="preserve"> Marko </w:t>
      </w:r>
      <w:proofErr w:type="spellStart"/>
      <w:r>
        <w:t>Atilla</w:t>
      </w:r>
      <w:proofErr w:type="spellEnd"/>
      <w:r>
        <w:t xml:space="preserve"> Hoare, ‘Genocide in the Former Yugoslavia: A Critique of Left Revisionism’s Denial’, Journal of Genoci</w:t>
      </w:r>
      <w:r w:rsidR="00F120C9">
        <w:t>de Research, 5:4 (2003), last visited [20/07/2024]</w:t>
      </w:r>
    </w:p>
  </w:footnote>
  <w:footnote w:id="2">
    <w:p w:rsidR="00AE77A9" w:rsidRDefault="00AE77A9">
      <w:pPr>
        <w:pStyle w:val="FootnoteText"/>
      </w:pPr>
      <w:r>
        <w:rPr>
          <w:rStyle w:val="FootnoteReference"/>
        </w:rPr>
        <w:footnoteRef/>
      </w:r>
      <w:r>
        <w:t xml:space="preserve"> Jessie Barton </w:t>
      </w:r>
      <w:proofErr w:type="spellStart"/>
      <w:r>
        <w:t>Hronešová</w:t>
      </w:r>
      <w:proofErr w:type="spellEnd"/>
      <w:r>
        <w:t xml:space="preserve"> &amp; </w:t>
      </w:r>
      <w:proofErr w:type="spellStart"/>
      <w:r>
        <w:t>Jasmin</w:t>
      </w:r>
      <w:proofErr w:type="spellEnd"/>
      <w:r>
        <w:t xml:space="preserve"> </w:t>
      </w:r>
      <w:proofErr w:type="spellStart"/>
      <w:r>
        <w:t>Hasić</w:t>
      </w:r>
      <w:proofErr w:type="spellEnd"/>
      <w:r>
        <w:t xml:space="preserve"> (14 Jun 2023): The 2021 Memory Law in Bosnia and Herzegovina – Reconciliation or Polarization?, Journal of Genocide Research</w:t>
      </w:r>
      <w:r w:rsidR="00F120C9">
        <w:t>, last visited {20/07/2024}</w:t>
      </w:r>
    </w:p>
  </w:footnote>
  <w:footnote w:id="3">
    <w:p w:rsidR="009C64A0" w:rsidRDefault="009C64A0">
      <w:pPr>
        <w:pStyle w:val="FootnoteText"/>
      </w:pPr>
      <w:r>
        <w:rPr>
          <w:rStyle w:val="FootnoteReference"/>
        </w:rPr>
        <w:footnoteRef/>
      </w:r>
      <w:r>
        <w:t xml:space="preserve"> </w:t>
      </w:r>
      <w:r w:rsidR="009511D4">
        <w:t xml:space="preserve">BBC News, Bosnia-Herzegovina profile – Timeline, 29 November 2022, </w:t>
      </w:r>
      <w:r w:rsidRPr="009C64A0">
        <w:t>https://www.bbc.co.uk/news/world-europe-17212376</w:t>
      </w:r>
      <w:r w:rsidR="009511D4">
        <w:t>,  last visited {20/07/2024]</w:t>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F064060"/>
    <w:multiLevelType w:val="hybridMultilevel"/>
    <w:tmpl w:val="B4F48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characterSpacingControl w:val="doNotCompress"/>
  <w:footnotePr>
    <w:footnote w:id="-1"/>
    <w:footnote w:id="0"/>
  </w:footnotePr>
  <w:endnotePr>
    <w:endnote w:id="-1"/>
    <w:endnote w:id="0"/>
  </w:endnotePr>
  <w:compat/>
  <w:rsids>
    <w:rsidRoot w:val="003E39EE"/>
    <w:rsid w:val="000939DE"/>
    <w:rsid w:val="000E3A52"/>
    <w:rsid w:val="00100607"/>
    <w:rsid w:val="003755DB"/>
    <w:rsid w:val="00376000"/>
    <w:rsid w:val="003A547A"/>
    <w:rsid w:val="003D7AE8"/>
    <w:rsid w:val="003E39EE"/>
    <w:rsid w:val="00466B3D"/>
    <w:rsid w:val="00481316"/>
    <w:rsid w:val="005348E0"/>
    <w:rsid w:val="00556367"/>
    <w:rsid w:val="00611CA5"/>
    <w:rsid w:val="00623715"/>
    <w:rsid w:val="006418B0"/>
    <w:rsid w:val="006C0EA5"/>
    <w:rsid w:val="00703687"/>
    <w:rsid w:val="00714059"/>
    <w:rsid w:val="00772E53"/>
    <w:rsid w:val="00813CAF"/>
    <w:rsid w:val="00833334"/>
    <w:rsid w:val="009511D4"/>
    <w:rsid w:val="00956845"/>
    <w:rsid w:val="0097031D"/>
    <w:rsid w:val="009C64A0"/>
    <w:rsid w:val="00A41234"/>
    <w:rsid w:val="00A85125"/>
    <w:rsid w:val="00AE77A9"/>
    <w:rsid w:val="00B04B60"/>
    <w:rsid w:val="00D26BFC"/>
    <w:rsid w:val="00DB7E9B"/>
    <w:rsid w:val="00DF34B6"/>
    <w:rsid w:val="00F120C9"/>
    <w:rsid w:val="00F60EE8"/>
    <w:rsid w:val="00FD750F"/>
    <w:rsid w:val="00FF375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755D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39EE"/>
    <w:pPr>
      <w:spacing w:after="160" w:line="278" w:lineRule="auto"/>
      <w:ind w:left="720"/>
      <w:contextualSpacing/>
    </w:pPr>
    <w:rPr>
      <w:rFonts w:eastAsiaTheme="minorEastAsia"/>
      <w:kern w:val="2"/>
      <w:sz w:val="24"/>
      <w:szCs w:val="24"/>
      <w:lang w:eastAsia="zh-CN"/>
    </w:rPr>
  </w:style>
  <w:style w:type="paragraph" w:styleId="FootnoteText">
    <w:name w:val="footnote text"/>
    <w:basedOn w:val="Normal"/>
    <w:link w:val="FootnoteTextChar"/>
    <w:uiPriority w:val="99"/>
    <w:semiHidden/>
    <w:unhideWhenUsed/>
    <w:rsid w:val="009C64A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C64A0"/>
    <w:rPr>
      <w:sz w:val="20"/>
      <w:szCs w:val="20"/>
    </w:rPr>
  </w:style>
  <w:style w:type="character" w:styleId="FootnoteReference">
    <w:name w:val="footnote reference"/>
    <w:basedOn w:val="DefaultParagraphFont"/>
    <w:uiPriority w:val="99"/>
    <w:semiHidden/>
    <w:unhideWhenUsed/>
    <w:rsid w:val="009C64A0"/>
    <w:rPr>
      <w:vertAlign w:val="superscript"/>
    </w:rPr>
  </w:style>
  <w:style w:type="character" w:styleId="Hyperlink">
    <w:name w:val="Hyperlink"/>
    <w:basedOn w:val="DefaultParagraphFont"/>
    <w:uiPriority w:val="99"/>
    <w:unhideWhenUsed/>
    <w:rsid w:val="009511D4"/>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C2DFC30-4BB1-49D1-BB53-F0F35F81CF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418</TotalTime>
  <Pages>5</Pages>
  <Words>1004</Words>
  <Characters>5725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6716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17</cp:revision>
  <dcterms:created xsi:type="dcterms:W3CDTF">2024-07-21T12:37:00Z</dcterms:created>
  <dcterms:modified xsi:type="dcterms:W3CDTF">2024-07-21T22:34:00Z</dcterms:modified>
</cp:coreProperties>
</file>