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1BAC" w:rsidRDefault="00215E2B" w:rsidP="00215E2B">
      <w:pPr>
        <w:pStyle w:val="Title"/>
        <w:jc w:val="center"/>
        <w:rPr>
          <w:rFonts w:ascii="Times New Roman" w:hAnsi="Times New Roman" w:cs="Times New Roman"/>
          <w:b/>
          <w:sz w:val="36"/>
          <w:u w:val="single"/>
        </w:rPr>
      </w:pPr>
      <w:r w:rsidRPr="00215E2B">
        <w:rPr>
          <w:rFonts w:ascii="Times New Roman" w:hAnsi="Times New Roman" w:cs="Times New Roman"/>
          <w:b/>
          <w:sz w:val="36"/>
          <w:u w:val="single"/>
        </w:rPr>
        <w:t>Do our sources allow us to understand whether Alexander the Great had any coherent strategies and objectives in mind while campaigning in Bactria and India?</w:t>
      </w:r>
    </w:p>
    <w:p w:rsidR="00215E2B" w:rsidRDefault="00215E2B" w:rsidP="00215E2B"/>
    <w:p w:rsidR="00955C51" w:rsidRDefault="00955C51" w:rsidP="00F10E81">
      <w:pPr>
        <w:spacing w:line="480" w:lineRule="auto"/>
      </w:pPr>
      <w:r>
        <w:t xml:space="preserve">The Campaigns </w:t>
      </w:r>
      <w:r w:rsidR="00C167F4">
        <w:t>of Alexander the G</w:t>
      </w:r>
      <w:r w:rsidR="00B526A4">
        <w:t>reat in India and Bactria are</w:t>
      </w:r>
      <w:r w:rsidR="00C167F4">
        <w:t xml:space="preserve"> interesting to examine</w:t>
      </w:r>
      <w:r w:rsidR="00B526A4">
        <w:t>,</w:t>
      </w:r>
      <w:r w:rsidR="00C167F4">
        <w:t xml:space="preserve"> especially with regards to the ancient sources and modern scholarship pertaining to Alexander</w:t>
      </w:r>
      <w:r w:rsidR="00B526A4">
        <w:t>’</w:t>
      </w:r>
      <w:r w:rsidR="00C167F4">
        <w:t xml:space="preserve">s reasons and objectives within the area. </w:t>
      </w:r>
      <w:r w:rsidR="008D531C">
        <w:t>The ancient sources will be examined regarding their opinions and statements as to the aims of Alexander during his campaigns in Bactria and India. There will also be a comparison bet</w:t>
      </w:r>
      <w:r w:rsidR="00B526A4">
        <w:t>ween the ancient sources to analyse,</w:t>
      </w:r>
      <w:r w:rsidR="008D531C">
        <w:t xml:space="preserve"> to what degree they are in agreement or conflict over the </w:t>
      </w:r>
      <w:r w:rsidR="00B663C3">
        <w:t>objectives of Alexander in his campaigns.</w:t>
      </w:r>
      <w:r w:rsidR="00B92197">
        <w:t xml:space="preserve"> The examination of </w:t>
      </w:r>
      <w:r w:rsidR="00B526A4">
        <w:t>different theories</w:t>
      </w:r>
      <w:r w:rsidR="00B92197">
        <w:t xml:space="preserve"> and ideas of Aristotle will also be conducted as </w:t>
      </w:r>
      <w:r w:rsidR="002B4A73">
        <w:t>Aristotle was Alexander</w:t>
      </w:r>
      <w:r w:rsidR="00B526A4">
        <w:t>’</w:t>
      </w:r>
      <w:r w:rsidR="002B4A73">
        <w:t>s tutor</w:t>
      </w:r>
      <w:r w:rsidR="00B526A4">
        <w:t>,</w:t>
      </w:r>
      <w:r w:rsidR="002B4A73">
        <w:t xml:space="preserve"> and apparently continued conversing</w:t>
      </w:r>
      <w:r w:rsidR="00B526A4">
        <w:t xml:space="preserve"> with Alexander whilst he</w:t>
      </w:r>
      <w:r w:rsidR="002B4A73">
        <w:t xml:space="preserve"> was campaigning in the Persian Empire</w:t>
      </w:r>
      <w:r w:rsidR="00FA3D5D">
        <w:rPr>
          <w:rStyle w:val="FootnoteReference"/>
        </w:rPr>
        <w:footnoteReference w:id="1"/>
      </w:r>
      <w:r w:rsidR="002B4A73">
        <w:t xml:space="preserve">. </w:t>
      </w:r>
      <w:r w:rsidR="00DF2F03">
        <w:t>Modern scholarship wil</w:t>
      </w:r>
      <w:r w:rsidR="00A60C2F">
        <w:t xml:space="preserve">l also be examined and analysed, regarding their views on the ancient sources and the campaigns of Alexander the Great in Bactria and India. </w:t>
      </w:r>
      <w:r w:rsidR="00571329">
        <w:t xml:space="preserve">The </w:t>
      </w:r>
      <w:r w:rsidR="00693B6A">
        <w:t>first area</w:t>
      </w:r>
      <w:r w:rsidR="00571329">
        <w:t xml:space="preserve"> of study that will be examined is the view that Alexander</w:t>
      </w:r>
      <w:r w:rsidR="00B526A4">
        <w:t>’</w:t>
      </w:r>
      <w:r w:rsidR="00571329">
        <w:t xml:space="preserve">s campaigns were aimed towards reaching the outer ocean of the world, giving him domain over the entire world. </w:t>
      </w:r>
      <w:r w:rsidR="00A16E4C">
        <w:t>The second area of study</w:t>
      </w:r>
      <w:r w:rsidR="00DB1FF7">
        <w:t xml:space="preserve"> will be </w:t>
      </w:r>
      <w:r w:rsidR="00A16E4C">
        <w:t>to analyse the</w:t>
      </w:r>
      <w:r w:rsidR="00DB1FF7">
        <w:t xml:space="preserve"> campaigns </w:t>
      </w:r>
      <w:r w:rsidR="00A16E4C">
        <w:t xml:space="preserve">of Alexander </w:t>
      </w:r>
      <w:r w:rsidR="00DB1FF7">
        <w:t>in India</w:t>
      </w:r>
      <w:r w:rsidR="00B526A4">
        <w:t xml:space="preserve"> and to determine, by comparing sources as to whether Alexander </w:t>
      </w:r>
      <w:r w:rsidR="00A16E4C">
        <w:t>is attempting to reach the outer ocean at all or his objective his something else entirely</w:t>
      </w:r>
      <w:r w:rsidR="00DB1FF7">
        <w:t xml:space="preserve">.  </w:t>
      </w:r>
    </w:p>
    <w:p w:rsidR="00E53F83" w:rsidRDefault="00CE2F2E" w:rsidP="00F10E81">
      <w:pPr>
        <w:spacing w:line="480" w:lineRule="auto"/>
      </w:pPr>
      <w:r>
        <w:t>The first area</w:t>
      </w:r>
      <w:r w:rsidR="00480914">
        <w:t xml:space="preserve"> I wil</w:t>
      </w:r>
      <w:r w:rsidR="00B526A4">
        <w:t>l be examining is</w:t>
      </w:r>
      <w:r w:rsidR="00480914">
        <w:t xml:space="preserve"> the view that Alexander</w:t>
      </w:r>
      <w:r w:rsidR="00B526A4">
        <w:t>’</w:t>
      </w:r>
      <w:r w:rsidR="00480914">
        <w:t xml:space="preserve">s campaigns in Bactria and India were aimed towards reaching the supposed outer ocean of the world, giving him domain to the edge of the world. </w:t>
      </w:r>
      <w:r w:rsidR="002B5AE2">
        <w:t>The first source that will be analysed regarding this view of Alexander’s campaigns objective</w:t>
      </w:r>
      <w:r w:rsidR="00573555">
        <w:t>,</w:t>
      </w:r>
      <w:r w:rsidR="002B5AE2">
        <w:t xml:space="preserve"> to reach this outer ocean</w:t>
      </w:r>
      <w:r w:rsidR="00573555">
        <w:t>,</w:t>
      </w:r>
      <w:r w:rsidR="002B5AE2">
        <w:t xml:space="preserve"> will be that of </w:t>
      </w:r>
      <w:r w:rsidR="006D3CA9">
        <w:t xml:space="preserve">the ancient historian Arrian. The narrative given by Arrian is that, Alexander gives a speech to his men </w:t>
      </w:r>
      <w:r w:rsidR="006D3CA9">
        <w:lastRenderedPageBreak/>
        <w:t>whilst in India t</w:t>
      </w:r>
      <w:r w:rsidR="00573555">
        <w:t>o convince them to campaign further</w:t>
      </w:r>
      <w:r w:rsidR="006D3CA9">
        <w:t xml:space="preserve"> in India, the reason he gives is that they are close to reaching the outer ocean that encompasses the world</w:t>
      </w:r>
      <w:r w:rsidR="006D3CA9">
        <w:rPr>
          <w:rStyle w:val="FootnoteReference"/>
        </w:rPr>
        <w:footnoteReference w:id="2"/>
      </w:r>
      <w:r w:rsidR="006D3CA9">
        <w:t>.</w:t>
      </w:r>
      <w:r w:rsidR="00573555">
        <w:t xml:space="preserve"> </w:t>
      </w:r>
      <w:r w:rsidR="002E7BED">
        <w:t>A</w:t>
      </w:r>
      <w:r w:rsidR="006D3CA9">
        <w:t>ccording to this speech</w:t>
      </w:r>
      <w:r w:rsidR="002E7BED">
        <w:t xml:space="preserve"> given to us by Arrian,</w:t>
      </w:r>
      <w:r w:rsidR="006D3CA9">
        <w:t xml:space="preserve"> Alexander is convinced that</w:t>
      </w:r>
      <w:r w:rsidR="002E7BED">
        <w:t xml:space="preserve"> the o</w:t>
      </w:r>
      <w:r w:rsidR="000E08DE">
        <w:t xml:space="preserve">uter ocean is only a relatively short distance away and that he can reach it with one more campaign. </w:t>
      </w:r>
      <w:r w:rsidR="001B3DEF">
        <w:t>Green, in his work on Alexander’s campaigns e</w:t>
      </w:r>
      <w:r w:rsidR="00573555">
        <w:t>xam</w:t>
      </w:r>
      <w:r w:rsidR="006A0AD1">
        <w:t>ines this passage, stating that</w:t>
      </w:r>
      <w:r w:rsidR="00573555">
        <w:t xml:space="preserve"> his</w:t>
      </w:r>
      <w:r w:rsidR="001B3DEF">
        <w:t xml:space="preserve"> strategy is clearly according to this account to conquer the little that remains of India and reach the outer of ocean of the world</w:t>
      </w:r>
      <w:r w:rsidR="001B3DEF">
        <w:rPr>
          <w:rStyle w:val="FootnoteReference"/>
        </w:rPr>
        <w:footnoteReference w:id="3"/>
      </w:r>
      <w:r w:rsidR="001B3DEF">
        <w:t xml:space="preserve">. </w:t>
      </w:r>
      <w:r w:rsidR="00DB1FF7">
        <w:t>Arrian is thus providing us with the view that Alexander clearly believes that the outer ocean exists</w:t>
      </w:r>
      <w:r w:rsidR="006A0AD1">
        <w:t>,</w:t>
      </w:r>
      <w:r w:rsidR="00DB1FF7">
        <w:t xml:space="preserve"> and that it is not too far from his present location. Therefore, </w:t>
      </w:r>
      <w:r w:rsidR="0009790B">
        <w:t>what we see here is that Alexander wishes to continue his conquest with apparent</w:t>
      </w:r>
      <w:r w:rsidR="006119EF">
        <w:t xml:space="preserve"> certainty that his army will reach the end of world and be able to return hom</w:t>
      </w:r>
      <w:r w:rsidR="00AE14E6">
        <w:t xml:space="preserve">e with nothing left to conquer. </w:t>
      </w:r>
    </w:p>
    <w:p w:rsidR="00215E2B" w:rsidRDefault="00AE14E6" w:rsidP="00F10E81">
      <w:pPr>
        <w:spacing w:line="480" w:lineRule="auto"/>
      </w:pPr>
      <w:r>
        <w:t>Arrian’s passage however</w:t>
      </w:r>
      <w:r w:rsidR="006A0AD1">
        <w:t>,</w:t>
      </w:r>
      <w:r>
        <w:t xml:space="preserve"> may not be entirely accurate regarding Alexander</w:t>
      </w:r>
      <w:r w:rsidR="006A0AD1">
        <w:t>’</w:t>
      </w:r>
      <w:r>
        <w:t xml:space="preserve">s intentions or the objectives of the campaign. </w:t>
      </w:r>
      <w:r w:rsidR="00777ECF">
        <w:t>Arrian was a Roman historian, living and writing his works within the Second century AD</w:t>
      </w:r>
      <w:r w:rsidR="006A0AD1">
        <w:t>,</w:t>
      </w:r>
      <w:r w:rsidR="00777ECF">
        <w:t xml:space="preserve"> and hi</w:t>
      </w:r>
      <w:r w:rsidR="006A0AD1">
        <w:t>s work was apparently based on</w:t>
      </w:r>
      <w:r w:rsidR="00777ECF">
        <w:t xml:space="preserve"> that of Ptolemy and </w:t>
      </w:r>
      <w:r w:rsidR="00777ECF" w:rsidRPr="00777ECF">
        <w:t>Aristobulus</w:t>
      </w:r>
      <w:r w:rsidR="006A0AD1">
        <w:t>,</w:t>
      </w:r>
      <w:r w:rsidR="00777ECF">
        <w:t xml:space="preserve"> as well as some other sources</w:t>
      </w:r>
      <w:r w:rsidR="00E53F83">
        <w:rPr>
          <w:rStyle w:val="FootnoteReference"/>
        </w:rPr>
        <w:footnoteReference w:id="4"/>
      </w:r>
      <w:r w:rsidR="00777ECF">
        <w:t xml:space="preserve">. </w:t>
      </w:r>
      <w:r w:rsidR="00E53F83">
        <w:t xml:space="preserve">Arrian is therefore writing </w:t>
      </w:r>
      <w:r w:rsidR="00E53F83" w:rsidRPr="00E53F83">
        <w:t>approximately</w:t>
      </w:r>
      <w:r w:rsidR="00E53F83">
        <w:t xml:space="preserve"> </w:t>
      </w:r>
      <w:r w:rsidR="000B1033">
        <w:t>between four hundred to five hundred years after Alexander</w:t>
      </w:r>
      <w:r w:rsidR="006A0AD1">
        <w:t>’</w:t>
      </w:r>
      <w:r w:rsidR="000B1033">
        <w:t>s death, this means that his recounting of Alexander</w:t>
      </w:r>
      <w:r w:rsidR="006A0AD1">
        <w:t>’</w:t>
      </w:r>
      <w:r w:rsidR="000B1033">
        <w:t xml:space="preserve">s life is based </w:t>
      </w:r>
      <w:r w:rsidR="00DE6697">
        <w:t>on</w:t>
      </w:r>
      <w:r w:rsidR="000B1033">
        <w:t xml:space="preserve"> the works of other writers. </w:t>
      </w:r>
      <w:r w:rsidR="00DE6697">
        <w:t>Consequently, the speech that Arrian provides apparently by Alexander, detailing his view on the outer ocean laying just one more campaign away is most likely not accurate</w:t>
      </w:r>
      <w:r w:rsidR="00570DEE">
        <w:rPr>
          <w:rStyle w:val="FootnoteReference"/>
        </w:rPr>
        <w:footnoteReference w:id="5"/>
      </w:r>
      <w:r w:rsidR="00DE6697">
        <w:t xml:space="preserve">. </w:t>
      </w:r>
      <w:r w:rsidR="00570DEE">
        <w:t>The speech Arrian provides in his nar</w:t>
      </w:r>
      <w:r w:rsidR="006A0AD1">
        <w:t>rative would therefore be compil</w:t>
      </w:r>
      <w:r w:rsidR="00570DEE">
        <w:t xml:space="preserve">ed form other sources and it is highly improbable that the speech Arrian provides is the actual one Alexander gave. Nevertheless, his use of sources such as </w:t>
      </w:r>
      <w:r w:rsidR="00570DEE" w:rsidRPr="00570DEE">
        <w:t>Ptolemy and Aristobulus</w:t>
      </w:r>
      <w:r w:rsidR="00570DEE">
        <w:t xml:space="preserve"> means that the speech </w:t>
      </w:r>
      <w:r w:rsidR="006A0AD1">
        <w:t xml:space="preserve">most </w:t>
      </w:r>
      <w:r w:rsidR="00570DEE">
        <w:t>likely contains at least the essence of Alexanders original speech</w:t>
      </w:r>
      <w:r w:rsidR="006A0AD1">
        <w:t>,</w:t>
      </w:r>
      <w:r w:rsidR="00570DEE">
        <w:t xml:space="preserve"> including his objectives in India. </w:t>
      </w:r>
      <w:r w:rsidR="00112128">
        <w:t xml:space="preserve">Bosworth </w:t>
      </w:r>
      <w:r w:rsidR="00112128">
        <w:lastRenderedPageBreak/>
        <w:t>however contends that Alexander fully understood that India was much larger than previously thought and that he was no</w:t>
      </w:r>
      <w:r w:rsidR="006A0AD1">
        <w:t>t</w:t>
      </w:r>
      <w:r w:rsidR="00112128">
        <w:t xml:space="preserve"> close to the ocean</w:t>
      </w:r>
      <w:r w:rsidR="006A0AD1">
        <w:t xml:space="preserve"> at all</w:t>
      </w:r>
      <w:r w:rsidR="00112128">
        <w:t>. Arrian</w:t>
      </w:r>
      <w:r w:rsidR="00472E33">
        <w:t>’s work</w:t>
      </w:r>
      <w:r w:rsidR="00112128">
        <w:t xml:space="preserve"> in Bosworth’s opinion simply contains the speech to give Alexander greater status, by the fact that Alexander could continue on and conquer the world</w:t>
      </w:r>
      <w:r w:rsidR="00472E33">
        <w:t>; but</w:t>
      </w:r>
      <w:r w:rsidR="00063F92">
        <w:t>,</w:t>
      </w:r>
      <w:r w:rsidR="00112128">
        <w:t xml:space="preserve"> because his army refuses to follow him that this does not happen</w:t>
      </w:r>
      <w:r w:rsidR="00EC666C">
        <w:rPr>
          <w:rStyle w:val="FootnoteReference"/>
        </w:rPr>
        <w:footnoteReference w:id="6"/>
      </w:r>
      <w:r w:rsidR="00112128">
        <w:t xml:space="preserve">. </w:t>
      </w:r>
    </w:p>
    <w:p w:rsidR="00A369ED" w:rsidRDefault="00063F92" w:rsidP="00F10E81">
      <w:pPr>
        <w:spacing w:line="480" w:lineRule="auto"/>
      </w:pPr>
      <w:r>
        <w:t>Arrian</w:t>
      </w:r>
      <w:r w:rsidR="00725987">
        <w:t xml:space="preserve"> provides us with the view that Alexander believed that there was an outer ocean to </w:t>
      </w:r>
      <w:r>
        <w:t>the world and if reached he</w:t>
      </w:r>
      <w:r w:rsidR="00725987">
        <w:t xml:space="preserve"> would rule the world. Although </w:t>
      </w:r>
      <w:r w:rsidR="00725987" w:rsidRPr="00725987">
        <w:t>contemporary</w:t>
      </w:r>
      <w:r w:rsidR="00725987">
        <w:t xml:space="preserve"> sources like that of </w:t>
      </w:r>
      <w:r w:rsidR="00725987" w:rsidRPr="00725987">
        <w:t>Ptolemy and Aristobulus</w:t>
      </w:r>
      <w:r w:rsidR="00725987">
        <w:t xml:space="preserve"> who knew </w:t>
      </w:r>
      <w:r w:rsidR="000B3B6C">
        <w:t xml:space="preserve">and campaigned with </w:t>
      </w:r>
      <w:r w:rsidR="00725987">
        <w:t xml:space="preserve">Alexander are now lost, it may still be possible </w:t>
      </w:r>
      <w:r w:rsidR="003F303F">
        <w:t xml:space="preserve">to gain </w:t>
      </w:r>
      <w:r w:rsidR="00725987">
        <w:t xml:space="preserve">an understanding of what Alexander believed. </w:t>
      </w:r>
      <w:r w:rsidR="002006B2">
        <w:t>Thus</w:t>
      </w:r>
      <w:r w:rsidR="003F303F">
        <w:t>,</w:t>
      </w:r>
      <w:r w:rsidR="002006B2">
        <w:t xml:space="preserve"> we now examine </w:t>
      </w:r>
      <w:r w:rsidR="000B3B6C">
        <w:t xml:space="preserve">the works of </w:t>
      </w:r>
      <w:r w:rsidR="002006B2">
        <w:t xml:space="preserve">Aristotle and his views on the world and his connection to Alexander the Great. </w:t>
      </w:r>
      <w:r w:rsidR="00DD1D49">
        <w:t xml:space="preserve">Plutarch in his work on Alexander, notes that Aristotle was hired by Philip to tutor Alexander in politics and ethics as well as other areas </w:t>
      </w:r>
      <w:r w:rsidR="003F303F">
        <w:t>of study</w:t>
      </w:r>
      <w:r w:rsidR="00DD1D49">
        <w:rPr>
          <w:rStyle w:val="FootnoteReference"/>
        </w:rPr>
        <w:footnoteReference w:id="7"/>
      </w:r>
      <w:r w:rsidR="00DD1D49">
        <w:t>.</w:t>
      </w:r>
      <w:r w:rsidR="00AE6453">
        <w:t xml:space="preserve"> Although the exact nature of what Alexander was </w:t>
      </w:r>
      <w:r w:rsidR="003F303F">
        <w:t>taught is lost to us, it is</w:t>
      </w:r>
      <w:r w:rsidR="00AE6453">
        <w:t xml:space="preserve"> plausible that Aristotle tutored Alexander in matters regarding the shape and size of the earth, therefore effecting Alexanders futu</w:t>
      </w:r>
      <w:r w:rsidR="003F303F">
        <w:t>re strategies in India and Bact</w:t>
      </w:r>
      <w:r w:rsidR="00AE6453">
        <w:t>ria.</w:t>
      </w:r>
      <w:r w:rsidR="000B3B6C">
        <w:t xml:space="preserve"> Aristotle’s </w:t>
      </w:r>
      <w:r w:rsidR="00D87E02">
        <w:t xml:space="preserve">view on the shape of the earth can be observed in his </w:t>
      </w:r>
      <w:r w:rsidR="00D87E02" w:rsidRPr="003F303F">
        <w:rPr>
          <w:i/>
        </w:rPr>
        <w:t>Meteorology</w:t>
      </w:r>
      <w:r w:rsidR="003F303F">
        <w:t>, in which he</w:t>
      </w:r>
      <w:r w:rsidR="00D87E02">
        <w:t xml:space="preserve"> states that the earth is round but that the earth itself is surrounded by water</w:t>
      </w:r>
      <w:r w:rsidR="002673BD">
        <w:rPr>
          <w:rStyle w:val="FootnoteReference"/>
        </w:rPr>
        <w:footnoteReference w:id="8"/>
      </w:r>
      <w:r w:rsidR="00D87E02">
        <w:t>.</w:t>
      </w:r>
      <w:r w:rsidR="0035414A">
        <w:t xml:space="preserve"> This view then</w:t>
      </w:r>
      <w:r w:rsidR="003F303F">
        <w:t>,</w:t>
      </w:r>
      <w:r w:rsidR="0035414A">
        <w:t xml:space="preserve"> that Aristotle holds on the shape and nature of the earth could have been one that Aristotle presented to Alexander </w:t>
      </w:r>
      <w:r w:rsidR="00D77A83">
        <w:t xml:space="preserve">during his studies </w:t>
      </w:r>
      <w:r w:rsidR="003F303F">
        <w:t>and</w:t>
      </w:r>
      <w:r w:rsidR="0035414A">
        <w:t xml:space="preserve"> would </w:t>
      </w:r>
      <w:r w:rsidR="003F303F">
        <w:t xml:space="preserve">therefore </w:t>
      </w:r>
      <w:r w:rsidR="0035414A">
        <w:t xml:space="preserve">have influenced his future strategic decisions. </w:t>
      </w:r>
      <w:r w:rsidR="003F303F">
        <w:t>Hammond in the work on Alexander the great also</w:t>
      </w:r>
      <w:r w:rsidR="00FC225A">
        <w:t xml:space="preserve"> holds the view that Alexander</w:t>
      </w:r>
      <w:r w:rsidR="003F303F">
        <w:t>’</w:t>
      </w:r>
      <w:r w:rsidR="00FC225A">
        <w:t>s campaigns in India was t</w:t>
      </w:r>
      <w:r w:rsidR="003F303F">
        <w:t>o reach the outer ocean, he</w:t>
      </w:r>
      <w:r w:rsidR="00FC225A">
        <w:t xml:space="preserve"> ties this strategy directly to that of Aristotle’s tutelage</w:t>
      </w:r>
      <w:r w:rsidR="006D3C24">
        <w:rPr>
          <w:rStyle w:val="FootnoteReference"/>
        </w:rPr>
        <w:footnoteReference w:id="9"/>
      </w:r>
      <w:r w:rsidR="00FC225A">
        <w:t xml:space="preserve">. </w:t>
      </w:r>
      <w:r w:rsidR="00D77A83">
        <w:t>This view of Aristotle influencing Alexander</w:t>
      </w:r>
      <w:r w:rsidR="003F303F">
        <w:t>’</w:t>
      </w:r>
      <w:r w:rsidR="00D77A83">
        <w:t>s strategy is an i</w:t>
      </w:r>
      <w:r w:rsidR="003F303F">
        <w:t>nteresting one because it relies</w:t>
      </w:r>
      <w:r w:rsidR="00D77A83">
        <w:t xml:space="preserve"> on Aristotle having influence over </w:t>
      </w:r>
      <w:r w:rsidR="006455B3">
        <w:lastRenderedPageBreak/>
        <w:t>Alexander</w:t>
      </w:r>
      <w:r w:rsidR="00D77A83">
        <w:t xml:space="preserve"> in his formative years. </w:t>
      </w:r>
      <w:r w:rsidR="006455B3">
        <w:t xml:space="preserve">Aristotle’s tutelage only lasted for </w:t>
      </w:r>
      <w:r w:rsidR="00A93838">
        <w:t xml:space="preserve">about three years and likely </w:t>
      </w:r>
      <w:r w:rsidR="003F303F">
        <w:t xml:space="preserve">to </w:t>
      </w:r>
      <w:r w:rsidR="00A93838">
        <w:t xml:space="preserve">only </w:t>
      </w:r>
      <w:r w:rsidR="003F303F">
        <w:t xml:space="preserve">have </w:t>
      </w:r>
      <w:r w:rsidR="00A93838">
        <w:t xml:space="preserve">consisted of teaching him politics, history and </w:t>
      </w:r>
      <w:r w:rsidR="00A93838" w:rsidRPr="00A93838">
        <w:t>rhetoric</w:t>
      </w:r>
      <w:r w:rsidR="00A93838">
        <w:t xml:space="preserve"> with Aristotle</w:t>
      </w:r>
      <w:r w:rsidR="003F303F">
        <w:t>’s</w:t>
      </w:r>
      <w:r w:rsidR="00A93838">
        <w:t xml:space="preserve"> </w:t>
      </w:r>
      <w:r w:rsidR="00A93838" w:rsidRPr="00A93838">
        <w:t>devotion</w:t>
      </w:r>
      <w:r w:rsidR="00A93838">
        <w:t xml:space="preserve"> to peace</w:t>
      </w:r>
      <w:r w:rsidR="003F303F">
        <w:t>,</w:t>
      </w:r>
      <w:r w:rsidR="00A93838">
        <w:t xml:space="preserve"> he was </w:t>
      </w:r>
      <w:r w:rsidR="003F303F">
        <w:t xml:space="preserve">therefore </w:t>
      </w:r>
      <w:r w:rsidR="00A93838">
        <w:t>unlikely to be a supporter of Alexanders quest for a world empire</w:t>
      </w:r>
      <w:r w:rsidR="00B4182D">
        <w:rPr>
          <w:rStyle w:val="FootnoteReference"/>
        </w:rPr>
        <w:footnoteReference w:id="10"/>
      </w:r>
      <w:r w:rsidR="00A93838">
        <w:t xml:space="preserve">. </w:t>
      </w:r>
      <w:r w:rsidR="0063083E">
        <w:t>Green takes a more cautious approach with Aristotle’s</w:t>
      </w:r>
      <w:r w:rsidR="003F303F">
        <w:t xml:space="preserve"> influence over Alexander, he</w:t>
      </w:r>
      <w:r w:rsidR="0063083E">
        <w:t xml:space="preserve"> proposes that Alexander was not certain th</w:t>
      </w:r>
      <w:r w:rsidR="003F303F">
        <w:t>at the outer ocean was beyond India</w:t>
      </w:r>
      <w:r w:rsidR="0063083E">
        <w:t xml:space="preserve">, but likely inferred that it </w:t>
      </w:r>
      <w:r w:rsidR="003F303F">
        <w:t>was fro</w:t>
      </w:r>
      <w:r w:rsidR="00226129">
        <w:t>m the works of Aristotle</w:t>
      </w:r>
      <w:r w:rsidR="00226129">
        <w:rPr>
          <w:rStyle w:val="FootnoteReference"/>
        </w:rPr>
        <w:footnoteReference w:id="11"/>
      </w:r>
      <w:r w:rsidR="00226129">
        <w:t>.</w:t>
      </w:r>
      <w:r w:rsidR="0063083E">
        <w:t xml:space="preserve"> </w:t>
      </w:r>
      <w:r w:rsidR="00D57A72">
        <w:t>This view touches upon the credence that Alexander</w:t>
      </w:r>
      <w:r w:rsidR="003F303F">
        <w:t>’</w:t>
      </w:r>
      <w:r w:rsidR="00D57A72">
        <w:t xml:space="preserve">s campaigns in India and Bactria were aimed towards another objective </w:t>
      </w:r>
      <w:r w:rsidR="003F303F">
        <w:t xml:space="preserve">rather </w:t>
      </w:r>
      <w:r w:rsidR="00D57A72">
        <w:t xml:space="preserve">than simply reaching the outer ocean. </w:t>
      </w:r>
    </w:p>
    <w:p w:rsidR="00E9049D" w:rsidRDefault="00874979" w:rsidP="00F10E81">
      <w:pPr>
        <w:spacing w:line="480" w:lineRule="auto"/>
      </w:pPr>
      <w:r>
        <w:t>Consequently, we now begin with the examination of other ancient source</w:t>
      </w:r>
      <w:r w:rsidR="00230164">
        <w:t>’</w:t>
      </w:r>
      <w:r>
        <w:t>s views on Alexander</w:t>
      </w:r>
      <w:r w:rsidR="00230164">
        <w:t>’s c</w:t>
      </w:r>
      <w:r>
        <w:t xml:space="preserve">ampaigns, which </w:t>
      </w:r>
      <w:r w:rsidR="00230164">
        <w:t xml:space="preserve">are in </w:t>
      </w:r>
      <w:r>
        <w:t>contrast to Arrian’s view of Alexander campaigning to</w:t>
      </w:r>
      <w:r w:rsidR="00DA3559">
        <w:t>wards</w:t>
      </w:r>
      <w:r>
        <w:t xml:space="preserve"> the outer ocean. </w:t>
      </w:r>
      <w:r w:rsidR="00346013">
        <w:t>Plutarch in his biographical work on Alexander makes note of the Alexander</w:t>
      </w:r>
      <w:r w:rsidR="00230164">
        <w:t>’</w:t>
      </w:r>
      <w:r w:rsidR="00346013">
        <w:t>s campaign in India, specifically the mutiny that forces him to abandon further conquests</w:t>
      </w:r>
      <w:r w:rsidR="005E4924">
        <w:rPr>
          <w:rStyle w:val="FootnoteReference"/>
        </w:rPr>
        <w:footnoteReference w:id="12"/>
      </w:r>
      <w:r w:rsidR="00346013">
        <w:t>.</w:t>
      </w:r>
      <w:r w:rsidR="0093219E">
        <w:t xml:space="preserve"> Plutarch</w:t>
      </w:r>
      <w:r w:rsidR="004342EB">
        <w:t>’s</w:t>
      </w:r>
      <w:r w:rsidR="0093219E">
        <w:t xml:space="preserve"> account is interesting because it makes no mention of the belief in an outer ocean. The Alexander portrayed in this narrative</w:t>
      </w:r>
      <w:r w:rsidR="004342EB">
        <w:t>,</w:t>
      </w:r>
      <w:r w:rsidR="0093219E">
        <w:t xml:space="preserve"> although reluctant to give up on his conquest</w:t>
      </w:r>
      <w:r w:rsidR="004342EB">
        <w:t>,</w:t>
      </w:r>
      <w:r w:rsidR="0093219E">
        <w:t xml:space="preserve"> simply redirects his efforts to return bac</w:t>
      </w:r>
      <w:r w:rsidR="004342EB">
        <w:t xml:space="preserve">k to Babylon. Bosworth in his </w:t>
      </w:r>
      <w:r w:rsidR="0093219E">
        <w:t>examination of Alexander believes that this is actually part of Alexander</w:t>
      </w:r>
      <w:r w:rsidR="004342EB">
        <w:t>’</w:t>
      </w:r>
      <w:r w:rsidR="0093219E">
        <w:t xml:space="preserve">s strategy having reach a natural boundary for his empire elects to return home. </w:t>
      </w:r>
      <w:r w:rsidR="003C635A">
        <w:t>This is apparently caused by Alexander</w:t>
      </w:r>
      <w:r w:rsidR="004342EB">
        <w:t>’</w:t>
      </w:r>
      <w:r w:rsidR="003C635A">
        <w:t xml:space="preserve">s realisation that </w:t>
      </w:r>
      <w:r w:rsidR="00C825AE">
        <w:t>India is much larger than previously believed via information obtained from the locals</w:t>
      </w:r>
      <w:r w:rsidR="00C825AE">
        <w:rPr>
          <w:rStyle w:val="FootnoteReference"/>
        </w:rPr>
        <w:footnoteReference w:id="13"/>
      </w:r>
      <w:r w:rsidR="00C825AE">
        <w:t>.</w:t>
      </w:r>
      <w:r w:rsidR="00071F30">
        <w:t xml:space="preserve"> This view in my opinion is more likely than the one proposed by Arrian, </w:t>
      </w:r>
      <w:r w:rsidR="004342EB">
        <w:t xml:space="preserve">as </w:t>
      </w:r>
      <w:r w:rsidR="00071F30">
        <w:t>Alexanders interactions with the local Indian elites would have dispelled any previous notions of the size of India</w:t>
      </w:r>
      <w:r w:rsidR="004342EB">
        <w:t>,</w:t>
      </w:r>
      <w:r w:rsidR="00071F30">
        <w:t xml:space="preserve"> or that the outer ocean lay close at hand. </w:t>
      </w:r>
      <w:r w:rsidR="000912E7">
        <w:t xml:space="preserve">The natural boundary the Indus valley provided meant that if Alexander continued with further conquests beyond </w:t>
      </w:r>
      <w:r w:rsidR="008859E4">
        <w:t xml:space="preserve">it </w:t>
      </w:r>
      <w:r w:rsidR="008859E4">
        <w:lastRenderedPageBreak/>
        <w:t xml:space="preserve">he </w:t>
      </w:r>
      <w:r w:rsidR="000912E7">
        <w:t>would have stretched his empire</w:t>
      </w:r>
      <w:r w:rsidR="008859E4">
        <w:t>’</w:t>
      </w:r>
      <w:r w:rsidR="000912E7">
        <w:t>s limi</w:t>
      </w:r>
      <w:r w:rsidR="008859E4">
        <w:t>t with no guarantee of success</w:t>
      </w:r>
      <w:r w:rsidR="00397609">
        <w:rPr>
          <w:rStyle w:val="FootnoteReference"/>
        </w:rPr>
        <w:footnoteReference w:id="14"/>
      </w:r>
      <w:r w:rsidR="000912E7">
        <w:t xml:space="preserve">. </w:t>
      </w:r>
      <w:r w:rsidR="00397609">
        <w:t xml:space="preserve">This view then leaves us with two </w:t>
      </w:r>
      <w:r w:rsidR="00BE36BE">
        <w:t>versions of Alexander</w:t>
      </w:r>
      <w:r w:rsidR="00CA330D">
        <w:t>’</w:t>
      </w:r>
      <w:r w:rsidR="00BE36BE">
        <w:t xml:space="preserve">s overall strategy within India. The first is that Alexander is attempting to reach the outer ocean but forsakes this when his men will no longer support him. </w:t>
      </w:r>
      <w:r w:rsidR="00872073">
        <w:t>This view is expressed by Wilcken who views Alexander</w:t>
      </w:r>
      <w:r w:rsidR="00CA330D">
        <w:t>’s</w:t>
      </w:r>
      <w:r w:rsidR="00872073">
        <w:t xml:space="preserve"> abandonment of the conquest </w:t>
      </w:r>
      <w:r w:rsidR="00CA330D">
        <w:t xml:space="preserve">of </w:t>
      </w:r>
      <w:r w:rsidR="00872073">
        <w:t>India</w:t>
      </w:r>
      <w:r w:rsidR="00CA330D">
        <w:t xml:space="preserve">, because </w:t>
      </w:r>
      <w:r w:rsidR="00872073">
        <w:t>his men being unwilling to continue on after eight and half years of fighting and traveling some twelve thousand miles</w:t>
      </w:r>
      <w:r w:rsidR="005D542C">
        <w:rPr>
          <w:rStyle w:val="FootnoteReference"/>
        </w:rPr>
        <w:footnoteReference w:id="15"/>
      </w:r>
      <w:r w:rsidR="00872073">
        <w:t xml:space="preserve">. </w:t>
      </w:r>
      <w:r w:rsidR="00C33A69">
        <w:t xml:space="preserve">The second view is that Alexander </w:t>
      </w:r>
      <w:r w:rsidR="00E96B27">
        <w:t xml:space="preserve">has realised the true size of India </w:t>
      </w:r>
      <w:r w:rsidR="00CA330D">
        <w:t>and attempts to persuade</w:t>
      </w:r>
      <w:r w:rsidR="00E96B27">
        <w:t xml:space="preserve"> his men to continue but quickly secedes to the</w:t>
      </w:r>
      <w:r w:rsidR="00CA330D">
        <w:t>ir</w:t>
      </w:r>
      <w:r w:rsidR="00E96B27">
        <w:t xml:space="preserve"> wishes. </w:t>
      </w:r>
      <w:r w:rsidR="005E6DBA">
        <w:t>Bosworth attests that Alexander</w:t>
      </w:r>
      <w:r w:rsidR="00CA330D">
        <w:t>’</w:t>
      </w:r>
      <w:r w:rsidR="005E6DBA">
        <w:t xml:space="preserve">s misconception of India was encouraged by local rulers simply to have him travel further east, </w:t>
      </w:r>
      <w:r w:rsidR="00CA330D">
        <w:t xml:space="preserve">when </w:t>
      </w:r>
      <w:r w:rsidR="00CA330D" w:rsidRPr="00CA330D">
        <w:t xml:space="preserve">Alexander </w:t>
      </w:r>
      <w:r w:rsidR="005E6DBA">
        <w:t>eventually realised that India would be a difficult conquest</w:t>
      </w:r>
      <w:r w:rsidR="00CA330D">
        <w:t>,</w:t>
      </w:r>
      <w:r w:rsidR="005E6DBA">
        <w:t xml:space="preserve"> as did his men</w:t>
      </w:r>
      <w:r w:rsidR="00CA330D">
        <w:t>, he</w:t>
      </w:r>
      <w:r w:rsidR="005E6DBA">
        <w:t xml:space="preserve"> simply chose not to continue on at the behest of his men</w:t>
      </w:r>
      <w:r w:rsidR="00B81009">
        <w:rPr>
          <w:rStyle w:val="FootnoteReference"/>
        </w:rPr>
        <w:footnoteReference w:id="16"/>
      </w:r>
      <w:r w:rsidR="005E6DBA">
        <w:t xml:space="preserve">. </w:t>
      </w:r>
      <w:r w:rsidR="00346058">
        <w:t>Plutarch</w:t>
      </w:r>
      <w:r w:rsidR="00A6390F">
        <w:t>’s</w:t>
      </w:r>
      <w:r w:rsidR="00346058">
        <w:t xml:space="preserve"> account reinforces this idea</w:t>
      </w:r>
      <w:r w:rsidR="00A6390F">
        <w:t>, where</w:t>
      </w:r>
      <w:r w:rsidR="00346058">
        <w:t xml:space="preserve"> Alexander</w:t>
      </w:r>
      <w:r w:rsidR="00A6390F">
        <w:t xml:space="preserve"> turns</w:t>
      </w:r>
      <w:r w:rsidR="00346058">
        <w:t xml:space="preserve"> south to conquer the </w:t>
      </w:r>
      <w:proofErr w:type="spellStart"/>
      <w:r w:rsidR="00346058">
        <w:t>Malli</w:t>
      </w:r>
      <w:proofErr w:type="spellEnd"/>
      <w:r w:rsidR="00A6390F">
        <w:t>, so that he can safely journey</w:t>
      </w:r>
      <w:r w:rsidR="00346058">
        <w:t xml:space="preserve"> to the </w:t>
      </w:r>
      <w:r w:rsidR="00A6390F">
        <w:t>ocean down the Indus river thus providing him with</w:t>
      </w:r>
      <w:r w:rsidR="00346058">
        <w:t xml:space="preserve"> an easy route home</w:t>
      </w:r>
      <w:r w:rsidR="009251DA">
        <w:rPr>
          <w:rStyle w:val="FootnoteReference"/>
        </w:rPr>
        <w:footnoteReference w:id="17"/>
      </w:r>
      <w:r w:rsidR="00346058">
        <w:t xml:space="preserve">. </w:t>
      </w:r>
    </w:p>
    <w:p w:rsidR="00DD1D49" w:rsidRDefault="009251DA" w:rsidP="00F10E81">
      <w:pPr>
        <w:spacing w:line="480" w:lineRule="auto"/>
      </w:pPr>
      <w:r>
        <w:t>Plutarch however</w:t>
      </w:r>
      <w:r w:rsidR="00A6390F">
        <w:t>,</w:t>
      </w:r>
      <w:r>
        <w:t xml:space="preserve"> is writing in the first century AD</w:t>
      </w:r>
      <w:r w:rsidR="00A6390F">
        <w:t>,</w:t>
      </w:r>
      <w:r>
        <w:t xml:space="preserve"> and his work is that of a</w:t>
      </w:r>
      <w:r w:rsidR="00A6390F">
        <w:t xml:space="preserve"> biography</w:t>
      </w:r>
      <w:r>
        <w:t xml:space="preserve"> which is aimed towards examining the character and nature of Alexander</w:t>
      </w:r>
      <w:r w:rsidR="00E9049D">
        <w:rPr>
          <w:rStyle w:val="FootnoteReference"/>
        </w:rPr>
        <w:footnoteReference w:id="18"/>
      </w:r>
      <w:r>
        <w:t xml:space="preserve">. </w:t>
      </w:r>
      <w:r w:rsidR="00A6390F">
        <w:t>This means</w:t>
      </w:r>
      <w:r w:rsidR="00E9049D">
        <w:t xml:space="preserve"> </w:t>
      </w:r>
      <w:r w:rsidR="00A6390F">
        <w:t xml:space="preserve">that </w:t>
      </w:r>
      <w:r w:rsidR="00E9049D">
        <w:t>two aspects of Plutarch work must be examined with regards to how they affect his narrative of Alexander and his objectives. The first is that Plutarch is not interested in the historical events around Alexander, but rath</w:t>
      </w:r>
      <w:r w:rsidR="00A6390F">
        <w:t>er the characteristics he</w:t>
      </w:r>
      <w:r w:rsidR="00E9049D">
        <w:t xml:space="preserve"> portrays and how these are affected by events. </w:t>
      </w:r>
      <w:r w:rsidR="00A6390F">
        <w:t>An example is the case of the mutiny.</w:t>
      </w:r>
      <w:r w:rsidR="00175CF8">
        <w:t xml:space="preserve"> Plutarch is not focusing on the causes of the mutiny, instead he is focusing on Alexander</w:t>
      </w:r>
      <w:r w:rsidR="00A6390F">
        <w:t>’</w:t>
      </w:r>
      <w:r w:rsidR="00175CF8">
        <w:t xml:space="preserve">s reaction to it. This may provide us with an answer as to why </w:t>
      </w:r>
      <w:r w:rsidR="00A16E4C">
        <w:t>Plutarch</w:t>
      </w:r>
      <w:r w:rsidR="00175CF8">
        <w:t xml:space="preserve"> makes no mention of Alexander trying to </w:t>
      </w:r>
      <w:r w:rsidR="00A16E4C">
        <w:t>persuade</w:t>
      </w:r>
      <w:r w:rsidR="00175CF8">
        <w:t xml:space="preserve"> h</w:t>
      </w:r>
      <w:r w:rsidR="00A16E4C">
        <w:t xml:space="preserve">is men to </w:t>
      </w:r>
      <w:r w:rsidR="00A16E4C">
        <w:lastRenderedPageBreak/>
        <w:t>reach the outer ocean</w:t>
      </w:r>
      <w:r w:rsidR="00F15AB3">
        <w:t xml:space="preserve"> during their mutiny in India</w:t>
      </w:r>
      <w:r w:rsidR="00A16E4C">
        <w:rPr>
          <w:rStyle w:val="FootnoteReference"/>
        </w:rPr>
        <w:footnoteReference w:id="19"/>
      </w:r>
      <w:r w:rsidR="00A16E4C">
        <w:t>.</w:t>
      </w:r>
      <w:r w:rsidR="00F15AB3">
        <w:t xml:space="preserve"> Plutarch is not interested in what Alexander says but how he reacts in this case</w:t>
      </w:r>
      <w:r w:rsidR="00A6390F">
        <w:t>, Alexander</w:t>
      </w:r>
      <w:r w:rsidR="00F15AB3">
        <w:t xml:space="preserve"> takes council with his friends and consents to returning home. </w:t>
      </w:r>
      <w:r w:rsidR="00C73CF8">
        <w:t xml:space="preserve">The </w:t>
      </w:r>
      <w:r w:rsidR="00A6390F">
        <w:t xml:space="preserve">second aspect is that Plutarch </w:t>
      </w:r>
      <w:r w:rsidR="00C73CF8">
        <w:t>is writing before Arrian</w:t>
      </w:r>
      <w:r w:rsidR="00A6390F">
        <w:t>,</w:t>
      </w:r>
      <w:r w:rsidR="00C73CF8">
        <w:t xml:space="preserve"> and thus may have influenced his work</w:t>
      </w:r>
      <w:r w:rsidR="00A6390F">
        <w:t xml:space="preserve"> directly,</w:t>
      </w:r>
      <w:r w:rsidR="00C73CF8">
        <w:t xml:space="preserve"> or at least in</w:t>
      </w:r>
      <w:r w:rsidR="007B38AB">
        <w:t>fluenced the nature of his work. Arrian in contrast to Plutarch focuses on events and places Alexander into their context via speeches like attempting to persuade his men to carry on because the outer ocean lay just before them</w:t>
      </w:r>
      <w:r w:rsidR="00D83D40">
        <w:rPr>
          <w:rStyle w:val="FootnoteReference"/>
        </w:rPr>
        <w:footnoteReference w:id="20"/>
      </w:r>
      <w:r w:rsidR="007B38AB">
        <w:t xml:space="preserve">. </w:t>
      </w:r>
      <w:r w:rsidR="00D83D40">
        <w:t xml:space="preserve">Arrian apparently is using contemporary sources like that </w:t>
      </w:r>
      <w:r w:rsidR="00A6390F">
        <w:t xml:space="preserve">of </w:t>
      </w:r>
      <w:r w:rsidR="00D83D40">
        <w:t xml:space="preserve">Ptolemy and </w:t>
      </w:r>
      <w:r w:rsidR="00D83D40" w:rsidRPr="00D83D40">
        <w:t>Aristobulus</w:t>
      </w:r>
      <w:r w:rsidR="00D83D40">
        <w:t xml:space="preserve"> to provide his work with the most authentic version of events</w:t>
      </w:r>
      <w:r w:rsidR="009B458B">
        <w:rPr>
          <w:rStyle w:val="FootnoteReference"/>
        </w:rPr>
        <w:footnoteReference w:id="21"/>
      </w:r>
      <w:r w:rsidR="00D83D40">
        <w:t xml:space="preserve">.  </w:t>
      </w:r>
      <w:r w:rsidR="009B458B">
        <w:t>Therefore, the difference that Plutarch and Arrian present in their narrative of Alexander is likel</w:t>
      </w:r>
      <w:r w:rsidR="00B270E9">
        <w:t xml:space="preserve">y </w:t>
      </w:r>
      <w:r w:rsidR="00A6390F">
        <w:t xml:space="preserve">to be </w:t>
      </w:r>
      <w:r w:rsidR="00B270E9">
        <w:t>a result of the differences</w:t>
      </w:r>
      <w:r w:rsidR="009B458B">
        <w:t xml:space="preserve"> </w:t>
      </w:r>
      <w:r w:rsidR="00A6390F">
        <w:t xml:space="preserve">in </w:t>
      </w:r>
      <w:r w:rsidR="009B458B">
        <w:t>their work</w:t>
      </w:r>
      <w:r w:rsidR="00B270E9">
        <w:t>. The sources are</w:t>
      </w:r>
      <w:r w:rsidR="009B458B">
        <w:t xml:space="preserve"> each focusing on different aspects</w:t>
      </w:r>
      <w:r w:rsidR="00B270E9">
        <w:t xml:space="preserve"> of Alexander</w:t>
      </w:r>
      <w:r w:rsidR="00A6390F">
        <w:t>’</w:t>
      </w:r>
      <w:r w:rsidR="00B270E9">
        <w:t>s campaigns</w:t>
      </w:r>
      <w:r w:rsidR="00A6390F">
        <w:t>;</w:t>
      </w:r>
      <w:r w:rsidR="00B270E9">
        <w:t xml:space="preserve"> Arrian is focusing on events and actions, </w:t>
      </w:r>
      <w:r w:rsidR="004257F8">
        <w:t>Plutarch</w:t>
      </w:r>
      <w:r w:rsidR="00B270E9">
        <w:t xml:space="preserve"> is focusing on the </w:t>
      </w:r>
      <w:r w:rsidR="004257F8">
        <w:t>character</w:t>
      </w:r>
      <w:r w:rsidR="00B270E9">
        <w:t xml:space="preserve"> and </w:t>
      </w:r>
      <w:r w:rsidR="004257F8">
        <w:t>reasoning</w:t>
      </w:r>
      <w:r w:rsidR="00B270E9">
        <w:t xml:space="preserve"> of Alexander himself. </w:t>
      </w:r>
    </w:p>
    <w:p w:rsidR="00CD77C6" w:rsidRDefault="00490D80" w:rsidP="00F10E81">
      <w:pPr>
        <w:spacing w:line="480" w:lineRule="auto"/>
      </w:pPr>
      <w:r>
        <w:t xml:space="preserve">In comparing Diodorus’ account to that of Plutarch and Arrian, we can gain a different perspective of Alexander’s campaigns in India. </w:t>
      </w:r>
      <w:r w:rsidR="00EA4628">
        <w:t>Diodorus provides a similar</w:t>
      </w:r>
      <w:r w:rsidR="00CA7AC6">
        <w:t xml:space="preserve"> </w:t>
      </w:r>
      <w:r w:rsidR="00817E67">
        <w:t xml:space="preserve">account to </w:t>
      </w:r>
      <w:r>
        <w:t xml:space="preserve">that </w:t>
      </w:r>
      <w:r w:rsidR="00817E67">
        <w:t>Plutarch regarding Alexander</w:t>
      </w:r>
      <w:r>
        <w:t>’</w:t>
      </w:r>
      <w:r w:rsidR="00817E67">
        <w:t xml:space="preserve">s abandonment of his campaign in India and his withdrawal back to Babylon. </w:t>
      </w:r>
      <w:r w:rsidR="006F6108">
        <w:t xml:space="preserve">Diodorus provides us with the account that Alexander allowed his men to loot the countryside and then attempted </w:t>
      </w:r>
      <w:r>
        <w:t>through</w:t>
      </w:r>
      <w:r w:rsidR="006F6108">
        <w:t xml:space="preserve"> a speech to persuade them to continue on into India</w:t>
      </w:r>
      <w:r>
        <w:t>,</w:t>
      </w:r>
      <w:r w:rsidR="00DA23ED">
        <w:t xml:space="preserve"> but they refuse</w:t>
      </w:r>
      <w:r>
        <w:t xml:space="preserve"> and</w:t>
      </w:r>
      <w:r w:rsidR="00DA23ED">
        <w:t xml:space="preserve"> he </w:t>
      </w:r>
      <w:r>
        <w:t xml:space="preserve">subsequently </w:t>
      </w:r>
      <w:r w:rsidR="00DA23ED">
        <w:t>gives up on the campaign</w:t>
      </w:r>
      <w:r w:rsidR="00911B36">
        <w:rPr>
          <w:rStyle w:val="FootnoteReference"/>
        </w:rPr>
        <w:footnoteReference w:id="22"/>
      </w:r>
      <w:r w:rsidR="006F6108">
        <w:t xml:space="preserve">. </w:t>
      </w:r>
      <w:r w:rsidR="005A1FCE">
        <w:t>Diodorus</w:t>
      </w:r>
      <w:r>
        <w:t>’</w:t>
      </w:r>
      <w:r w:rsidR="005A1FCE">
        <w:t xml:space="preserve"> account mentions a speech like that of Arrian</w:t>
      </w:r>
      <w:r>
        <w:t>,</w:t>
      </w:r>
      <w:r w:rsidR="005A1FCE">
        <w:t xml:space="preserve"> but provides no further context on the subject. Therefore, we are left with only the notion that Alexander attempts to persuade his army to continue via loot</w:t>
      </w:r>
      <w:r>
        <w:t>ing</w:t>
      </w:r>
      <w:r w:rsidR="005A1FCE">
        <w:t xml:space="preserve"> and his own charisma</w:t>
      </w:r>
      <w:r>
        <w:t>,</w:t>
      </w:r>
      <w:r w:rsidR="005A1FCE">
        <w:t xml:space="preserve"> but fails to do so. </w:t>
      </w:r>
      <w:r w:rsidR="00DA23ED">
        <w:t>Diodorus</w:t>
      </w:r>
      <w:r>
        <w:t>’</w:t>
      </w:r>
      <w:r w:rsidR="00DA23ED">
        <w:t xml:space="preserve"> account also makes no mention of Alexander</w:t>
      </w:r>
      <w:r>
        <w:t>’</w:t>
      </w:r>
      <w:r w:rsidR="00DA23ED">
        <w:t>s seclusion after his failure to persuade his men to carry on</w:t>
      </w:r>
      <w:r>
        <w:t>,</w:t>
      </w:r>
      <w:r w:rsidR="00DA23ED">
        <w:t xml:space="preserve"> but </w:t>
      </w:r>
      <w:r w:rsidR="00DA23ED">
        <w:lastRenderedPageBreak/>
        <w:t xml:space="preserve">simply states </w:t>
      </w:r>
      <w:r>
        <w:t xml:space="preserve">that </w:t>
      </w:r>
      <w:r w:rsidR="00DA23ED">
        <w:t xml:space="preserve">he accepts this and plans to return to Babylon. </w:t>
      </w:r>
      <w:r w:rsidR="00BA3AA8">
        <w:t>This difference in the account is likely a result that Diodorus’ work</w:t>
      </w:r>
      <w:r>
        <w:t>,</w:t>
      </w:r>
      <w:r w:rsidR="00BA3AA8">
        <w:t xml:space="preserve"> unlike that of Arrian and Plutarch</w:t>
      </w:r>
      <w:r>
        <w:t>,</w:t>
      </w:r>
      <w:r w:rsidR="004B68A2">
        <w:t xml:space="preserve"> is not focused o</w:t>
      </w:r>
      <w:r w:rsidR="00BA3AA8">
        <w:t>n Alexander</w:t>
      </w:r>
      <w:r>
        <w:t>, instead it is a general historiographical view of the world</w:t>
      </w:r>
      <w:r w:rsidR="00BA3AA8">
        <w:t xml:space="preserve">. </w:t>
      </w:r>
      <w:r w:rsidR="001D0363">
        <w:t xml:space="preserve">Diodorus is writing a universal history of the world and as a result of this his work on Alexander his compiled into a single section, which by its nature is </w:t>
      </w:r>
      <w:r>
        <w:t xml:space="preserve">a </w:t>
      </w:r>
      <w:r w:rsidR="001D0363">
        <w:t>very generalised account of Alexander’s life</w:t>
      </w:r>
      <w:r w:rsidR="00D945BB">
        <w:rPr>
          <w:rStyle w:val="FootnoteReference"/>
        </w:rPr>
        <w:footnoteReference w:id="23"/>
      </w:r>
      <w:r w:rsidR="001D0363">
        <w:t xml:space="preserve">. </w:t>
      </w:r>
      <w:r w:rsidR="00D945BB">
        <w:t>Consequently, Diodorus’ account lacks depth and greater context as to the reason</w:t>
      </w:r>
      <w:r>
        <w:t>s</w:t>
      </w:r>
      <w:r w:rsidR="00D945BB">
        <w:t xml:space="preserve"> why Alexander is campaigning in India</w:t>
      </w:r>
      <w:r>
        <w:t>,</w:t>
      </w:r>
      <w:r w:rsidR="00D945BB">
        <w:t xml:space="preserve"> and thus</w:t>
      </w:r>
      <w:r>
        <w:t>,</w:t>
      </w:r>
      <w:r w:rsidR="00D945BB">
        <w:t xml:space="preserve"> does not provide the same depth found in either </w:t>
      </w:r>
      <w:r w:rsidR="00CD77C6">
        <w:t>Plutarch</w:t>
      </w:r>
      <w:r w:rsidR="00D945BB">
        <w:t xml:space="preserve"> </w:t>
      </w:r>
      <w:r>
        <w:t>n</w:t>
      </w:r>
      <w:r w:rsidR="00D945BB">
        <w:t xml:space="preserve">or Arrian. </w:t>
      </w:r>
      <w:r w:rsidR="00CD77C6" w:rsidRPr="00CD77C6">
        <w:t>Hamilton</w:t>
      </w:r>
      <w:r w:rsidR="00CD77C6">
        <w:t>, in his work on Alexander in India provides the</w:t>
      </w:r>
      <w:r>
        <w:t xml:space="preserve"> view that he</w:t>
      </w:r>
      <w:r w:rsidR="00CD77C6">
        <w:t xml:space="preserve"> was in a position to abandon the campaign</w:t>
      </w:r>
      <w:r>
        <w:t>. The reason for this</w:t>
      </w:r>
      <w:r w:rsidR="00F954AA">
        <w:t xml:space="preserve"> is because of the fleet </w:t>
      </w:r>
      <w:r>
        <w:t xml:space="preserve">that had been </w:t>
      </w:r>
      <w:r w:rsidR="00F954AA">
        <w:t>built at the Indus would support a southern campaign to the Indian ocean better than</w:t>
      </w:r>
      <w:r>
        <w:t xml:space="preserve"> an</w:t>
      </w:r>
      <w:r w:rsidR="00F954AA">
        <w:t xml:space="preserve"> eastern campaign</w:t>
      </w:r>
      <w:r w:rsidR="00F954AA">
        <w:rPr>
          <w:rStyle w:val="FootnoteReference"/>
        </w:rPr>
        <w:footnoteReference w:id="24"/>
      </w:r>
      <w:r w:rsidR="00F954AA">
        <w:t>. This would have allowed Alexander to keep his promise of heading home whilst allowing him to have further conquests</w:t>
      </w:r>
      <w:r>
        <w:t>,</w:t>
      </w:r>
      <w:r w:rsidR="00F954AA">
        <w:t xml:space="preserve"> </w:t>
      </w:r>
      <w:r>
        <w:t>in that a s</w:t>
      </w:r>
      <w:r w:rsidR="00F954AA">
        <w:t xml:space="preserve">ea voyage would allow the army to return to Babylon quicker. </w:t>
      </w:r>
    </w:p>
    <w:p w:rsidR="00DD1D49" w:rsidRDefault="007E4C8D" w:rsidP="00F10E81">
      <w:pPr>
        <w:spacing w:line="480" w:lineRule="auto"/>
      </w:pPr>
      <w:r>
        <w:t>In conclusion</w:t>
      </w:r>
      <w:r w:rsidR="00490D80">
        <w:t>,</w:t>
      </w:r>
      <w:r>
        <w:t xml:space="preserve"> the objectives according to the sources t</w:t>
      </w:r>
      <w:r w:rsidR="00490D80">
        <w:t>hat are available to us are qui</w:t>
      </w:r>
      <w:r>
        <w:t>t</w:t>
      </w:r>
      <w:r w:rsidR="00490D80">
        <w:t>e</w:t>
      </w:r>
      <w:r>
        <w:t xml:space="preserve"> varied when providing the reason</w:t>
      </w:r>
      <w:r w:rsidR="00490D80">
        <w:t>s</w:t>
      </w:r>
      <w:r>
        <w:t xml:space="preserve"> why Alexander was campaigning in India. </w:t>
      </w:r>
      <w:r w:rsidR="000E0D49">
        <w:t>The objectives according to Arrian are</w:t>
      </w:r>
      <w:r w:rsidR="00490D80">
        <w:t xml:space="preserve"> reasonably straight forward as to</w:t>
      </w:r>
      <w:r w:rsidR="000E0D49">
        <w:t xml:space="preserve"> why Alexander was campaigning in India. </w:t>
      </w:r>
      <w:r w:rsidR="00A46888">
        <w:t xml:space="preserve">Arrian’s view is that </w:t>
      </w:r>
      <w:r w:rsidR="007B60CA">
        <w:t xml:space="preserve">according to </w:t>
      </w:r>
      <w:r w:rsidR="00490D80">
        <w:t xml:space="preserve">the </w:t>
      </w:r>
      <w:r w:rsidR="007B60CA">
        <w:t xml:space="preserve">speech that Alexander makes, his plan is to conquer India </w:t>
      </w:r>
      <w:r w:rsidR="00FD1CD6">
        <w:t xml:space="preserve">in order </w:t>
      </w:r>
      <w:r w:rsidR="007B60CA">
        <w:t>to reach the outer ocean of the world</w:t>
      </w:r>
      <w:r w:rsidR="00FD1CD6">
        <w:t>,</w:t>
      </w:r>
      <w:r w:rsidR="007B60CA">
        <w:t xml:space="preserve"> thus ending the expansion of his empire in the East</w:t>
      </w:r>
      <w:r w:rsidR="00CA36DF">
        <w:rPr>
          <w:rStyle w:val="FootnoteReference"/>
        </w:rPr>
        <w:footnoteReference w:id="25"/>
      </w:r>
      <w:r w:rsidR="007B60CA">
        <w:t xml:space="preserve">. </w:t>
      </w:r>
      <w:r w:rsidR="00CA36DF">
        <w:t>Thus</w:t>
      </w:r>
      <w:r w:rsidR="00FD1CD6">
        <w:t>,</w:t>
      </w:r>
      <w:r w:rsidR="00CA36DF">
        <w:t xml:space="preserve"> we have the view th</w:t>
      </w:r>
      <w:r w:rsidR="00FD1CD6">
        <w:t>at the objective of the Indian c</w:t>
      </w:r>
      <w:r w:rsidR="00CA36DF">
        <w:t>ampaign is based on the belief that there is an outer ocean of the world and that upon reaching it</w:t>
      </w:r>
      <w:r w:rsidR="00FD1CD6">
        <w:t>,</w:t>
      </w:r>
      <w:r w:rsidR="00CA36DF">
        <w:t xml:space="preserve"> </w:t>
      </w:r>
      <w:r w:rsidR="005044E7">
        <w:t>Alexander</w:t>
      </w:r>
      <w:r w:rsidR="00CA36DF">
        <w:t xml:space="preserve"> would rule the world.</w:t>
      </w:r>
      <w:r w:rsidR="00541D82">
        <w:t xml:space="preserve"> The objec</w:t>
      </w:r>
      <w:r w:rsidR="00313655">
        <w:t>tive of the India campaign to reach the outer</w:t>
      </w:r>
      <w:r w:rsidR="00541D82">
        <w:t xml:space="preserve"> ocean could have originated</w:t>
      </w:r>
      <w:r w:rsidR="00313655">
        <w:t>,</w:t>
      </w:r>
      <w:r w:rsidR="00541D82">
        <w:t xml:space="preserve"> or been reinforced by Aristotle whilst he was Alexander</w:t>
      </w:r>
      <w:r w:rsidR="00313655">
        <w:t>’</w:t>
      </w:r>
      <w:r w:rsidR="00541D82">
        <w:t>s tutor</w:t>
      </w:r>
      <w:r w:rsidR="006B49F9">
        <w:rPr>
          <w:rStyle w:val="FootnoteReference"/>
        </w:rPr>
        <w:footnoteReference w:id="26"/>
      </w:r>
      <w:r w:rsidR="00541D82">
        <w:t xml:space="preserve">.  </w:t>
      </w:r>
      <w:r w:rsidR="00313655">
        <w:lastRenderedPageBreak/>
        <w:t xml:space="preserve">Aristotle in his </w:t>
      </w:r>
      <w:r w:rsidR="00313655" w:rsidRPr="00313655">
        <w:rPr>
          <w:i/>
        </w:rPr>
        <w:t>M</w:t>
      </w:r>
      <w:r w:rsidR="006B49F9" w:rsidRPr="00313655">
        <w:rPr>
          <w:i/>
        </w:rPr>
        <w:t>eteorology</w:t>
      </w:r>
      <w:r w:rsidR="00313655">
        <w:t xml:space="preserve"> pro</w:t>
      </w:r>
      <w:r w:rsidR="006B49F9">
        <w:t>poses that the earth is surrounded by water whilst being spherical in shape</w:t>
      </w:r>
      <w:r w:rsidR="006B49F9">
        <w:rPr>
          <w:rStyle w:val="FootnoteReference"/>
        </w:rPr>
        <w:footnoteReference w:id="27"/>
      </w:r>
      <w:r w:rsidR="006B49F9">
        <w:t>. Thus</w:t>
      </w:r>
      <w:r w:rsidR="00313655">
        <w:t>,</w:t>
      </w:r>
      <w:r w:rsidR="006B49F9">
        <w:t xml:space="preserve"> we </w:t>
      </w:r>
      <w:r w:rsidR="00EB3A54">
        <w:t>are given a contemporary source that might have influenced Alexander</w:t>
      </w:r>
      <w:r w:rsidR="00313655">
        <w:t>’</w:t>
      </w:r>
      <w:r w:rsidR="00EB3A54">
        <w:t>s belief in the outer ocean and thus</w:t>
      </w:r>
      <w:r w:rsidR="00313655">
        <w:t>,</w:t>
      </w:r>
      <w:r w:rsidR="00EB3A54">
        <w:t xml:space="preserve"> affect</w:t>
      </w:r>
      <w:r w:rsidR="00313655">
        <w:t>ed</w:t>
      </w:r>
      <w:r w:rsidR="00EB3A54">
        <w:t xml:space="preserve"> his objective i</w:t>
      </w:r>
      <w:r w:rsidR="00686D65">
        <w:t>n India by trying to reach it. However, there is also the possibility that the campaign in India had nothing to do with attempting to reach the outer ocean. Plutarch and Diodorus</w:t>
      </w:r>
      <w:r w:rsidR="00313655">
        <w:t>,</w:t>
      </w:r>
      <w:r w:rsidR="00686D65">
        <w:t xml:space="preserve"> whilst </w:t>
      </w:r>
      <w:r w:rsidR="00313655">
        <w:t>recounting</w:t>
      </w:r>
      <w:r w:rsidR="00686D65">
        <w:t xml:space="preserve"> Alexander in India</w:t>
      </w:r>
      <w:r w:rsidR="00313655">
        <w:t>,</w:t>
      </w:r>
      <w:r w:rsidR="00686D65">
        <w:t xml:space="preserve"> make no mention </w:t>
      </w:r>
      <w:r w:rsidR="009A636A">
        <w:t>of Alexander trying to reach the outer ocean of world. Therefore, Alexander</w:t>
      </w:r>
      <w:r w:rsidR="00313655">
        <w:t>’</w:t>
      </w:r>
      <w:r w:rsidR="009A636A">
        <w:t xml:space="preserve">s campaign in India is simply </w:t>
      </w:r>
      <w:r w:rsidR="00313655">
        <w:t xml:space="preserve">a </w:t>
      </w:r>
      <w:r w:rsidR="009A636A">
        <w:t>further conquest on from the Persian Empire with Alexander a</w:t>
      </w:r>
      <w:r w:rsidR="00A5355F">
        <w:t xml:space="preserve">ttempting to find the limit of </w:t>
      </w:r>
      <w:r w:rsidR="00313655">
        <w:t xml:space="preserve">his new </w:t>
      </w:r>
      <w:r w:rsidR="00A5355F">
        <w:t>e</w:t>
      </w:r>
      <w:r w:rsidR="009A636A">
        <w:t>mpire.</w:t>
      </w:r>
      <w:r w:rsidR="00A5355F">
        <w:t xml:space="preserve"> Alexander</w:t>
      </w:r>
      <w:r w:rsidR="00313655">
        <w:t>’s</w:t>
      </w:r>
      <w:r w:rsidR="00A5355F">
        <w:t xml:space="preserve"> termination of his conquest at the Indus valley is brought on by his army’s refusal to continue fighting after eight and half years of conquest</w:t>
      </w:r>
      <w:r w:rsidR="00A5355F">
        <w:rPr>
          <w:rStyle w:val="FootnoteReference"/>
        </w:rPr>
        <w:footnoteReference w:id="28"/>
      </w:r>
      <w:r w:rsidR="00A5355F">
        <w:t>.</w:t>
      </w:r>
      <w:r w:rsidR="00313655">
        <w:t xml:space="preserve">  He therefore,</w:t>
      </w:r>
      <w:r w:rsidR="00A5355F">
        <w:t xml:space="preserve"> finds the Indus valley a natural boundary for his empire and with his army’s refusal to cross </w:t>
      </w:r>
      <w:r w:rsidR="00313655">
        <w:t>it and simply elect</w:t>
      </w:r>
      <w:r w:rsidR="00A5355F">
        <w:t xml:space="preserve"> to return home</w:t>
      </w:r>
      <w:r w:rsidR="00885ACE">
        <w:rPr>
          <w:rStyle w:val="FootnoteReference"/>
        </w:rPr>
        <w:footnoteReference w:id="29"/>
      </w:r>
      <w:r w:rsidR="00A5355F">
        <w:t xml:space="preserve">.  </w:t>
      </w:r>
      <w:r w:rsidR="00885ACE">
        <w:t>Although we will never be able to fully determine what Alexanders objective or strategy was in India, we can securely state that India marked the limit of Alexander</w:t>
      </w:r>
      <w:r w:rsidR="00313655">
        <w:t>’</w:t>
      </w:r>
      <w:r w:rsidR="00885ACE">
        <w:t>s great expansion of his empire</w:t>
      </w:r>
      <w:r w:rsidR="0086316D">
        <w:t>.</w:t>
      </w:r>
    </w:p>
    <w:p w:rsidR="00DD1D49" w:rsidRDefault="00DD1D49" w:rsidP="00DD1D49">
      <w:pPr>
        <w:spacing w:line="240" w:lineRule="auto"/>
      </w:pPr>
    </w:p>
    <w:p w:rsidR="00DD1D49" w:rsidRDefault="00DD1D49" w:rsidP="00DD1D49">
      <w:pPr>
        <w:spacing w:line="240" w:lineRule="auto"/>
      </w:pPr>
    </w:p>
    <w:p w:rsidR="00DD1D49" w:rsidRDefault="00DD1D49" w:rsidP="00DD1D49">
      <w:pPr>
        <w:spacing w:line="240" w:lineRule="auto"/>
      </w:pPr>
    </w:p>
    <w:p w:rsidR="00DD1D49" w:rsidRDefault="00DD1D49" w:rsidP="00DD1D49">
      <w:pPr>
        <w:spacing w:line="240" w:lineRule="auto"/>
      </w:pPr>
    </w:p>
    <w:p w:rsidR="00DD1D49" w:rsidRDefault="00DD1D49" w:rsidP="00DD1D49">
      <w:pPr>
        <w:spacing w:line="240" w:lineRule="auto"/>
      </w:pPr>
    </w:p>
    <w:p w:rsidR="00DD1D49" w:rsidRDefault="00DD1D49" w:rsidP="00DD1D49">
      <w:pPr>
        <w:spacing w:line="240" w:lineRule="auto"/>
      </w:pPr>
    </w:p>
    <w:p w:rsidR="00DD1D49" w:rsidRDefault="00DD1D49" w:rsidP="00DD1D49">
      <w:pPr>
        <w:spacing w:line="240" w:lineRule="auto"/>
      </w:pPr>
    </w:p>
    <w:p w:rsidR="00DD1D49" w:rsidRDefault="00DD1D49" w:rsidP="00DD1D49">
      <w:pPr>
        <w:spacing w:line="240" w:lineRule="auto"/>
      </w:pPr>
    </w:p>
    <w:p w:rsidR="00DD1D49" w:rsidRDefault="00DD1D49" w:rsidP="00DD1D49">
      <w:pPr>
        <w:spacing w:line="240" w:lineRule="auto"/>
      </w:pPr>
    </w:p>
    <w:p w:rsidR="00DD1D49" w:rsidRDefault="00DD1D49" w:rsidP="00DD1D49">
      <w:pPr>
        <w:spacing w:line="240" w:lineRule="auto"/>
      </w:pPr>
    </w:p>
    <w:p w:rsidR="00F10E81" w:rsidRDefault="00F10E81" w:rsidP="00215E2B">
      <w:bookmarkStart w:id="0" w:name="_GoBack"/>
      <w:bookmarkEnd w:id="0"/>
    </w:p>
    <w:p w:rsidR="00215E2B" w:rsidRDefault="00215E2B" w:rsidP="00215E2B">
      <w:pPr>
        <w:rPr>
          <w:rFonts w:cs="Times New Roman"/>
          <w:b/>
          <w:sz w:val="40"/>
          <w:u w:val="single"/>
        </w:rPr>
      </w:pPr>
      <w:r w:rsidRPr="00215E2B">
        <w:rPr>
          <w:rFonts w:cs="Times New Roman"/>
          <w:b/>
          <w:sz w:val="40"/>
          <w:u w:val="single"/>
        </w:rPr>
        <w:lastRenderedPageBreak/>
        <w:t xml:space="preserve">Bibliography </w:t>
      </w:r>
    </w:p>
    <w:p w:rsidR="00215E2B" w:rsidRPr="00C04A3C" w:rsidRDefault="00215E2B" w:rsidP="00215E2B">
      <w:pPr>
        <w:rPr>
          <w:rFonts w:cs="Times New Roman"/>
          <w:b/>
          <w:u w:val="single"/>
        </w:rPr>
      </w:pPr>
      <w:r w:rsidRPr="00C04A3C">
        <w:rPr>
          <w:rFonts w:cs="Times New Roman"/>
          <w:b/>
          <w:u w:val="single"/>
        </w:rPr>
        <w:t xml:space="preserve">Ancient Sources </w:t>
      </w:r>
    </w:p>
    <w:p w:rsidR="00215E2B" w:rsidRDefault="00391130" w:rsidP="00391130">
      <w:pPr>
        <w:rPr>
          <w:rFonts w:cs="Times New Roman"/>
        </w:rPr>
      </w:pPr>
      <w:r>
        <w:rPr>
          <w:rFonts w:cs="Times New Roman"/>
        </w:rPr>
        <w:t xml:space="preserve">Arrian, </w:t>
      </w:r>
      <w:r w:rsidRPr="00391130">
        <w:rPr>
          <w:rFonts w:cs="Times New Roman"/>
          <w:i/>
        </w:rPr>
        <w:t>Anabasis</w:t>
      </w:r>
      <w:r>
        <w:rPr>
          <w:rFonts w:cs="Times New Roman"/>
        </w:rPr>
        <w:t xml:space="preserve">. </w:t>
      </w:r>
      <w:r w:rsidRPr="00391130">
        <w:rPr>
          <w:rFonts w:cs="Times New Roman"/>
        </w:rPr>
        <w:t>http://www.perseus.tufts.edu/hopper/text?doc=Perseus%3Atext%3A2008.01.0530%3Abook%3D5%3Achapter%3D1%3Asection%3D1</w:t>
      </w:r>
    </w:p>
    <w:p w:rsidR="00C04A3C" w:rsidRDefault="00391130" w:rsidP="00391130">
      <w:pPr>
        <w:rPr>
          <w:rFonts w:cs="Times New Roman"/>
        </w:rPr>
      </w:pPr>
      <w:r w:rsidRPr="00391130">
        <w:rPr>
          <w:rFonts w:cs="Times New Roman"/>
        </w:rPr>
        <w:t>Plutarch</w:t>
      </w:r>
      <w:r w:rsidRPr="00391130">
        <w:rPr>
          <w:rFonts w:cs="Times New Roman"/>
          <w:i/>
        </w:rPr>
        <w:t>, Alexander</w:t>
      </w:r>
      <w:r>
        <w:rPr>
          <w:rFonts w:cs="Times New Roman"/>
        </w:rPr>
        <w:t xml:space="preserve">. B. Perrin (Trans.). </w:t>
      </w:r>
      <w:r w:rsidRPr="00391130">
        <w:rPr>
          <w:rFonts w:cs="Times New Roman"/>
        </w:rPr>
        <w:t>http://www.perseus.tufts.edu/hopper/text?doc=Perseus:text:1999.01.0243</w:t>
      </w:r>
    </w:p>
    <w:p w:rsidR="00215E2B" w:rsidRDefault="00FB2700" w:rsidP="00215E2B">
      <w:pPr>
        <w:rPr>
          <w:rFonts w:cs="Times New Roman"/>
        </w:rPr>
      </w:pPr>
      <w:r w:rsidRPr="00FB2700">
        <w:rPr>
          <w:rFonts w:cs="Times New Roman"/>
        </w:rPr>
        <w:t>Aristotle</w:t>
      </w:r>
      <w:r>
        <w:rPr>
          <w:rFonts w:cs="Times New Roman"/>
        </w:rPr>
        <w:t xml:space="preserve">, </w:t>
      </w:r>
      <w:r w:rsidRPr="00FB2700">
        <w:rPr>
          <w:rFonts w:cs="Times New Roman"/>
          <w:i/>
        </w:rPr>
        <w:t>Meteorology</w:t>
      </w:r>
      <w:r>
        <w:rPr>
          <w:rFonts w:cs="Times New Roman"/>
        </w:rPr>
        <w:t xml:space="preserve">. H. D. P. Lee (Trans.). </w:t>
      </w:r>
      <w:r w:rsidR="008D531C" w:rsidRPr="008D531C">
        <w:rPr>
          <w:rFonts w:cs="Times New Roman"/>
        </w:rPr>
        <w:t>https://www-loebclassics-com.ezproxy.uwtsd.ac.uk/view/LCL397/1952/pb_LCL397.iii.xml</w:t>
      </w:r>
    </w:p>
    <w:p w:rsidR="008D531C" w:rsidRDefault="008D531C" w:rsidP="00215E2B">
      <w:pPr>
        <w:rPr>
          <w:rFonts w:cs="Times New Roman"/>
        </w:rPr>
      </w:pPr>
      <w:r w:rsidRPr="008D531C">
        <w:rPr>
          <w:rFonts w:cs="Times New Roman"/>
        </w:rPr>
        <w:t xml:space="preserve">Diodorus Siculus, </w:t>
      </w:r>
      <w:r w:rsidRPr="008D531C">
        <w:rPr>
          <w:rFonts w:cs="Times New Roman"/>
          <w:i/>
        </w:rPr>
        <w:t>Library</w:t>
      </w:r>
      <w:r>
        <w:rPr>
          <w:rFonts w:cs="Times New Roman"/>
        </w:rPr>
        <w:t xml:space="preserve">. </w:t>
      </w:r>
      <w:r w:rsidRPr="008D531C">
        <w:rPr>
          <w:rFonts w:cs="Times New Roman"/>
        </w:rPr>
        <w:t>http://www.perseus.tufts.edu/hopper/text?doc=Perseus%3Atext%3A1999.01.0084%3Abook%3D17%3Achapter%3D83</w:t>
      </w:r>
    </w:p>
    <w:p w:rsidR="00215E2B" w:rsidRPr="00C04A3C" w:rsidRDefault="00215E2B" w:rsidP="00215E2B">
      <w:pPr>
        <w:rPr>
          <w:rFonts w:cs="Times New Roman"/>
          <w:b/>
          <w:u w:val="single"/>
        </w:rPr>
      </w:pPr>
      <w:r w:rsidRPr="00C04A3C">
        <w:rPr>
          <w:rFonts w:cs="Times New Roman"/>
          <w:b/>
          <w:u w:val="single"/>
        </w:rPr>
        <w:t>Modern Scholarship.</w:t>
      </w:r>
    </w:p>
    <w:p w:rsidR="008D2130" w:rsidRDefault="008D2130" w:rsidP="00215E2B">
      <w:pPr>
        <w:rPr>
          <w:rFonts w:cs="Times New Roman"/>
        </w:rPr>
      </w:pPr>
      <w:r>
        <w:rPr>
          <w:rFonts w:cs="Times New Roman"/>
        </w:rPr>
        <w:t xml:space="preserve">Green, P. 1991. </w:t>
      </w:r>
      <w:r w:rsidRPr="008D2130">
        <w:rPr>
          <w:rFonts w:cs="Times New Roman"/>
          <w:i/>
        </w:rPr>
        <w:t xml:space="preserve">Alexander of Macedon 356-323 BC. A Historical Biography. </w:t>
      </w:r>
      <w:r>
        <w:rPr>
          <w:rFonts w:cs="Times New Roman"/>
        </w:rPr>
        <w:t xml:space="preserve">Los Angeles: </w:t>
      </w:r>
      <w:r w:rsidR="00503672">
        <w:rPr>
          <w:rFonts w:cs="Times New Roman"/>
        </w:rPr>
        <w:t>University</w:t>
      </w:r>
      <w:r>
        <w:rPr>
          <w:rFonts w:cs="Times New Roman"/>
        </w:rPr>
        <w:t xml:space="preserve"> of California Press. </w:t>
      </w:r>
    </w:p>
    <w:p w:rsidR="00F96A1B" w:rsidRDefault="00F96A1B" w:rsidP="00215E2B">
      <w:pPr>
        <w:rPr>
          <w:rFonts w:cs="Times New Roman"/>
        </w:rPr>
      </w:pPr>
      <w:r>
        <w:rPr>
          <w:rFonts w:cs="Times New Roman"/>
        </w:rPr>
        <w:t xml:space="preserve">Wilcken, U. 1997. </w:t>
      </w:r>
      <w:r>
        <w:rPr>
          <w:rFonts w:cs="Times New Roman"/>
          <w:i/>
        </w:rPr>
        <w:t xml:space="preserve">Alexander The Great. </w:t>
      </w:r>
      <w:r>
        <w:rPr>
          <w:rFonts w:cs="Times New Roman"/>
        </w:rPr>
        <w:t xml:space="preserve">New York: W.W. Norton and Company. </w:t>
      </w:r>
    </w:p>
    <w:p w:rsidR="00F96A1B" w:rsidRDefault="00F96A1B" w:rsidP="00215E2B">
      <w:pPr>
        <w:rPr>
          <w:rFonts w:cs="Times New Roman"/>
        </w:rPr>
      </w:pPr>
      <w:r>
        <w:rPr>
          <w:rFonts w:cs="Times New Roman"/>
        </w:rPr>
        <w:t xml:space="preserve">Bosworth, A. B. 1988. </w:t>
      </w:r>
      <w:r>
        <w:rPr>
          <w:rFonts w:cs="Times New Roman"/>
          <w:i/>
        </w:rPr>
        <w:t xml:space="preserve">Conquest and Empire. The Reign of Alexander the Great. </w:t>
      </w:r>
      <w:r>
        <w:rPr>
          <w:rFonts w:cs="Times New Roman"/>
        </w:rPr>
        <w:t>Great Britain: Cambridge University Press.</w:t>
      </w:r>
    </w:p>
    <w:p w:rsidR="00215E2B" w:rsidRDefault="00F96A1B" w:rsidP="00215E2B">
      <w:pPr>
        <w:rPr>
          <w:rFonts w:cs="Times New Roman"/>
        </w:rPr>
      </w:pPr>
      <w:r>
        <w:rPr>
          <w:rFonts w:cs="Times New Roman"/>
        </w:rPr>
        <w:t>Worthington</w:t>
      </w:r>
      <w:r w:rsidR="005803EB">
        <w:rPr>
          <w:rFonts w:cs="Times New Roman"/>
        </w:rPr>
        <w:t>,</w:t>
      </w:r>
      <w:r>
        <w:rPr>
          <w:rFonts w:cs="Times New Roman"/>
        </w:rPr>
        <w:t xml:space="preserve"> I</w:t>
      </w:r>
      <w:r w:rsidR="00503672">
        <w:rPr>
          <w:rFonts w:cs="Times New Roman"/>
        </w:rPr>
        <w:t xml:space="preserve">. 2003. </w:t>
      </w:r>
      <w:r w:rsidR="00503672">
        <w:rPr>
          <w:rFonts w:cs="Times New Roman"/>
          <w:i/>
        </w:rPr>
        <w:t xml:space="preserve">Alexander the Great. </w:t>
      </w:r>
      <w:r w:rsidR="00503672">
        <w:rPr>
          <w:rFonts w:cs="Times New Roman"/>
        </w:rPr>
        <w:t xml:space="preserve">London: Routledge. </w:t>
      </w:r>
    </w:p>
    <w:p w:rsidR="005803EB" w:rsidRDefault="005803EB" w:rsidP="00215E2B">
      <w:pPr>
        <w:rPr>
          <w:rFonts w:cs="Times New Roman"/>
        </w:rPr>
      </w:pPr>
      <w:proofErr w:type="spellStart"/>
      <w:r>
        <w:rPr>
          <w:rFonts w:cs="Times New Roman"/>
        </w:rPr>
        <w:t>Roisman</w:t>
      </w:r>
      <w:proofErr w:type="spellEnd"/>
      <w:r>
        <w:rPr>
          <w:rFonts w:cs="Times New Roman"/>
        </w:rPr>
        <w:t xml:space="preserve">, J. 1995. </w:t>
      </w:r>
      <w:r w:rsidRPr="005803EB">
        <w:rPr>
          <w:rFonts w:cs="Times New Roman"/>
          <w:i/>
        </w:rPr>
        <w:t xml:space="preserve">Alexander the </w:t>
      </w:r>
      <w:r>
        <w:rPr>
          <w:rFonts w:cs="Times New Roman"/>
          <w:i/>
        </w:rPr>
        <w:t>Great: Ancient and Modern Perspectives.</w:t>
      </w:r>
      <w:r>
        <w:rPr>
          <w:rFonts w:cs="Times New Roman"/>
        </w:rPr>
        <w:t xml:space="preserve"> Toronto: D. C. Heath and Company. </w:t>
      </w:r>
    </w:p>
    <w:p w:rsidR="005803EB" w:rsidRDefault="005803EB" w:rsidP="00215E2B">
      <w:pPr>
        <w:rPr>
          <w:rFonts w:cs="Times New Roman"/>
        </w:rPr>
      </w:pPr>
      <w:proofErr w:type="spellStart"/>
      <w:r>
        <w:rPr>
          <w:rFonts w:cs="Times New Roman"/>
        </w:rPr>
        <w:t>Heckel</w:t>
      </w:r>
      <w:proofErr w:type="spellEnd"/>
      <w:r>
        <w:rPr>
          <w:rFonts w:cs="Times New Roman"/>
        </w:rPr>
        <w:t xml:space="preserve">, W and Yardley. 2004. </w:t>
      </w:r>
      <w:r w:rsidR="002F4980">
        <w:rPr>
          <w:rFonts w:cs="Times New Roman"/>
          <w:i/>
        </w:rPr>
        <w:t xml:space="preserve">Alexander the Great. Historical Sources in Translation. </w:t>
      </w:r>
      <w:r w:rsidR="002F4980">
        <w:rPr>
          <w:rFonts w:cs="Times New Roman"/>
        </w:rPr>
        <w:t xml:space="preserve">Oxford: Blackwell Publishing. </w:t>
      </w:r>
    </w:p>
    <w:p w:rsidR="00F04470" w:rsidRDefault="00F04470" w:rsidP="00F04470">
      <w:pPr>
        <w:rPr>
          <w:rFonts w:cs="Times New Roman"/>
        </w:rPr>
      </w:pPr>
      <w:r w:rsidRPr="00F04470">
        <w:rPr>
          <w:rFonts w:cs="Times New Roman"/>
        </w:rPr>
        <w:t>Hamilton</w:t>
      </w:r>
      <w:r>
        <w:rPr>
          <w:rFonts w:cs="Times New Roman"/>
        </w:rPr>
        <w:t>,</w:t>
      </w:r>
      <w:r w:rsidRPr="00F04470">
        <w:t xml:space="preserve"> </w:t>
      </w:r>
      <w:r w:rsidRPr="00F04470">
        <w:rPr>
          <w:rFonts w:cs="Times New Roman"/>
        </w:rPr>
        <w:t>J. R.</w:t>
      </w:r>
      <w:r>
        <w:rPr>
          <w:rFonts w:cs="Times New Roman"/>
        </w:rPr>
        <w:t xml:space="preserve"> </w:t>
      </w:r>
      <w:r w:rsidRPr="00F04470">
        <w:rPr>
          <w:rFonts w:cs="Times New Roman"/>
        </w:rPr>
        <w:t>1994</w:t>
      </w:r>
      <w:r>
        <w:rPr>
          <w:rFonts w:cs="Times New Roman"/>
        </w:rPr>
        <w:t xml:space="preserve">. </w:t>
      </w:r>
      <w:r w:rsidRPr="00F04470">
        <w:rPr>
          <w:rFonts w:cs="Times New Roman"/>
          <w:i/>
        </w:rPr>
        <w:t xml:space="preserve">The Start of </w:t>
      </w:r>
      <w:proofErr w:type="spellStart"/>
      <w:r w:rsidRPr="00F04470">
        <w:rPr>
          <w:rFonts w:cs="Times New Roman"/>
          <w:i/>
        </w:rPr>
        <w:t>Nearchus</w:t>
      </w:r>
      <w:proofErr w:type="spellEnd"/>
      <w:r w:rsidRPr="00F04470">
        <w:rPr>
          <w:rFonts w:cs="Times New Roman"/>
          <w:i/>
        </w:rPr>
        <w:t>' Voyage</w:t>
      </w:r>
      <w:r>
        <w:rPr>
          <w:rFonts w:cs="Times New Roman"/>
          <w:i/>
        </w:rPr>
        <w:t xml:space="preserve">. </w:t>
      </w:r>
      <w:hyperlink r:id="rId7" w:history="1">
        <w:r w:rsidR="00955C51" w:rsidRPr="00236181">
          <w:rPr>
            <w:rStyle w:val="Hyperlink"/>
            <w:rFonts w:cs="Times New Roman"/>
          </w:rPr>
          <w:t>http://www.jstor.org/stable/4436355</w:t>
        </w:r>
      </w:hyperlink>
      <w:r w:rsidR="00955C51">
        <w:rPr>
          <w:rFonts w:cs="Times New Roman"/>
        </w:rPr>
        <w:t xml:space="preserve"> [Accessed: 26</w:t>
      </w:r>
      <w:r w:rsidR="00955C51" w:rsidRPr="00955C51">
        <w:rPr>
          <w:rFonts w:cs="Times New Roman"/>
          <w:vertAlign w:val="superscript"/>
        </w:rPr>
        <w:t>th</w:t>
      </w:r>
      <w:r w:rsidR="00955C51">
        <w:rPr>
          <w:rFonts w:cs="Times New Roman"/>
        </w:rPr>
        <w:t xml:space="preserve"> November 2017]</w:t>
      </w:r>
    </w:p>
    <w:p w:rsidR="002638E4" w:rsidRDefault="002638E4" w:rsidP="00F04470">
      <w:pPr>
        <w:rPr>
          <w:rFonts w:cs="Times New Roman"/>
        </w:rPr>
      </w:pPr>
      <w:r>
        <w:rPr>
          <w:rFonts w:cs="Times New Roman"/>
        </w:rPr>
        <w:t xml:space="preserve">Badian, E. 2006. </w:t>
      </w:r>
      <w:r>
        <w:rPr>
          <w:rFonts w:cs="Times New Roman"/>
          <w:i/>
        </w:rPr>
        <w:t>Alexander.</w:t>
      </w:r>
      <w:r>
        <w:rPr>
          <w:rFonts w:cs="Times New Roman"/>
        </w:rPr>
        <w:t xml:space="preserve"> </w:t>
      </w:r>
      <w:hyperlink r:id="rId8" w:anchor="e114230" w:history="1">
        <w:r w:rsidRPr="00236181">
          <w:rPr>
            <w:rStyle w:val="Hyperlink"/>
            <w:rFonts w:cs="Times New Roman"/>
          </w:rPr>
          <w:t>http://referenceworks.brillonline.com/entries/brill-s-new-pauly/alexander-e114170#e114230</w:t>
        </w:r>
      </w:hyperlink>
      <w:r>
        <w:rPr>
          <w:rFonts w:cs="Times New Roman"/>
        </w:rPr>
        <w:t xml:space="preserve"> [Accessed 26</w:t>
      </w:r>
      <w:r w:rsidRPr="002638E4">
        <w:rPr>
          <w:rFonts w:cs="Times New Roman"/>
          <w:vertAlign w:val="superscript"/>
        </w:rPr>
        <w:t>th</w:t>
      </w:r>
      <w:r>
        <w:rPr>
          <w:rFonts w:cs="Times New Roman"/>
        </w:rPr>
        <w:t xml:space="preserve"> November 2017]</w:t>
      </w:r>
    </w:p>
    <w:p w:rsidR="00A153F2" w:rsidRDefault="00A153F2" w:rsidP="00F04470">
      <w:pPr>
        <w:rPr>
          <w:rFonts w:cs="Times New Roman"/>
        </w:rPr>
      </w:pPr>
      <w:proofErr w:type="spellStart"/>
      <w:r>
        <w:rPr>
          <w:rFonts w:cs="Times New Roman"/>
        </w:rPr>
        <w:t>Karttunen</w:t>
      </w:r>
      <w:proofErr w:type="spellEnd"/>
      <w:r>
        <w:rPr>
          <w:rFonts w:cs="Times New Roman"/>
        </w:rPr>
        <w:t xml:space="preserve">, K. 2006. </w:t>
      </w:r>
      <w:r w:rsidRPr="00A153F2">
        <w:rPr>
          <w:rFonts w:cs="Times New Roman"/>
          <w:i/>
        </w:rPr>
        <w:t>India:</w:t>
      </w:r>
      <w:r w:rsidRPr="00A153F2">
        <w:rPr>
          <w:i/>
        </w:rPr>
        <w:t xml:space="preserve"> </w:t>
      </w:r>
      <w:r w:rsidRPr="00A153F2">
        <w:rPr>
          <w:rFonts w:cs="Times New Roman"/>
          <w:i/>
        </w:rPr>
        <w:t>Alexander's campaign and Hellenism.</w:t>
      </w:r>
      <w:r>
        <w:rPr>
          <w:rFonts w:cs="Times New Roman"/>
        </w:rPr>
        <w:t xml:space="preserve"> </w:t>
      </w:r>
      <w:hyperlink r:id="rId9" w:history="1">
        <w:r w:rsidRPr="00236181">
          <w:rPr>
            <w:rStyle w:val="Hyperlink"/>
            <w:rFonts w:cs="Times New Roman"/>
          </w:rPr>
          <w:t>http://referenceworks.brillonline.com/entries/brill-s-new-pauly/india-e523990?s.num=2&amp;s.f.s2_parent=s.f.book.brill-s-new-pauly&amp;s.q=Alexander+india</w:t>
        </w:r>
      </w:hyperlink>
      <w:r w:rsidRPr="00A153F2">
        <w:rPr>
          <w:rFonts w:cs="Times New Roman"/>
        </w:rPr>
        <w:t>+</w:t>
      </w:r>
      <w:r>
        <w:rPr>
          <w:rFonts w:cs="Times New Roman"/>
        </w:rPr>
        <w:t xml:space="preserve"> [Accessed 26</w:t>
      </w:r>
      <w:r w:rsidRPr="00A153F2">
        <w:rPr>
          <w:rFonts w:cs="Times New Roman"/>
          <w:vertAlign w:val="superscript"/>
        </w:rPr>
        <w:t>th</w:t>
      </w:r>
      <w:r>
        <w:rPr>
          <w:rFonts w:cs="Times New Roman"/>
        </w:rPr>
        <w:t xml:space="preserve"> November 2017] </w:t>
      </w:r>
    </w:p>
    <w:p w:rsidR="00F74B7C" w:rsidRDefault="00F74B7C" w:rsidP="00F04470">
      <w:pPr>
        <w:rPr>
          <w:rFonts w:cs="Times New Roman"/>
        </w:rPr>
      </w:pPr>
      <w:r>
        <w:rPr>
          <w:rFonts w:cs="Times New Roman"/>
        </w:rPr>
        <w:t xml:space="preserve">Bosworth, A. B. 1996. </w:t>
      </w:r>
      <w:r w:rsidRPr="00693B6A">
        <w:rPr>
          <w:rFonts w:cs="Times New Roman"/>
          <w:i/>
        </w:rPr>
        <w:t>Alexander and the East. The Tragedy of Triumph</w:t>
      </w:r>
      <w:r>
        <w:rPr>
          <w:rFonts w:cs="Times New Roman"/>
        </w:rPr>
        <w:t xml:space="preserve">. Oxford: Clarendon Press. </w:t>
      </w:r>
    </w:p>
    <w:p w:rsidR="00693B6A" w:rsidRDefault="00693B6A" w:rsidP="00F04470">
      <w:pPr>
        <w:rPr>
          <w:rFonts w:cs="Times New Roman"/>
        </w:rPr>
      </w:pPr>
      <w:proofErr w:type="spellStart"/>
      <w:r>
        <w:rPr>
          <w:rFonts w:cs="Times New Roman"/>
        </w:rPr>
        <w:t>Frede</w:t>
      </w:r>
      <w:proofErr w:type="spellEnd"/>
      <w:r>
        <w:rPr>
          <w:rFonts w:cs="Times New Roman"/>
        </w:rPr>
        <w:t xml:space="preserve">, D. 2006. </w:t>
      </w:r>
      <w:r w:rsidRPr="00693B6A">
        <w:rPr>
          <w:rFonts w:cs="Times New Roman"/>
          <w:i/>
        </w:rPr>
        <w:t>Aristoteles</w:t>
      </w:r>
      <w:r>
        <w:rPr>
          <w:rFonts w:cs="Times New Roman"/>
          <w:i/>
        </w:rPr>
        <w:t>.</w:t>
      </w:r>
      <w:r>
        <w:rPr>
          <w:rFonts w:cs="Times New Roman"/>
        </w:rPr>
        <w:t xml:space="preserve"> </w:t>
      </w:r>
      <w:hyperlink r:id="rId10" w:anchor="e136590" w:history="1">
        <w:r w:rsidRPr="00603947">
          <w:rPr>
            <w:rStyle w:val="Hyperlink"/>
            <w:rFonts w:cs="Times New Roman"/>
          </w:rPr>
          <w:t>http://referenceworks.brillonline.com/entries/brill-s-new-pauly/aristoteles-e136530?s.num=0&amp;s.f.s2_parent=s.f.book.brill-s-new-pauly&amp;s.q=aristoteles#e136590</w:t>
        </w:r>
      </w:hyperlink>
      <w:r>
        <w:rPr>
          <w:rFonts w:cs="Times New Roman"/>
        </w:rPr>
        <w:t xml:space="preserve"> [Accessed 28</w:t>
      </w:r>
      <w:r w:rsidRPr="00693B6A">
        <w:rPr>
          <w:rFonts w:cs="Times New Roman"/>
          <w:vertAlign w:val="superscript"/>
        </w:rPr>
        <w:t>th</w:t>
      </w:r>
      <w:r>
        <w:rPr>
          <w:rFonts w:cs="Times New Roman"/>
        </w:rPr>
        <w:t xml:space="preserve"> November 2017]</w:t>
      </w:r>
    </w:p>
    <w:p w:rsidR="002E4E51" w:rsidRDefault="002E4E51" w:rsidP="00F04470">
      <w:pPr>
        <w:rPr>
          <w:rFonts w:cs="Times New Roman"/>
        </w:rPr>
      </w:pPr>
      <w:r>
        <w:rPr>
          <w:rFonts w:cs="Times New Roman"/>
        </w:rPr>
        <w:lastRenderedPageBreak/>
        <w:t xml:space="preserve">Badian. E and </w:t>
      </w:r>
      <w:proofErr w:type="spellStart"/>
      <w:r>
        <w:rPr>
          <w:rFonts w:cs="Times New Roman"/>
        </w:rPr>
        <w:t>Heucke</w:t>
      </w:r>
      <w:proofErr w:type="spellEnd"/>
      <w:r>
        <w:rPr>
          <w:rFonts w:cs="Times New Roman"/>
        </w:rPr>
        <w:t xml:space="preserve">. C. 2006. </w:t>
      </w:r>
      <w:proofErr w:type="spellStart"/>
      <w:r w:rsidRPr="002E4E51">
        <w:rPr>
          <w:rFonts w:cs="Times New Roman"/>
          <w:i/>
        </w:rPr>
        <w:t>Arrianus</w:t>
      </w:r>
      <w:proofErr w:type="spellEnd"/>
      <w:r>
        <w:rPr>
          <w:rFonts w:cs="Times New Roman"/>
          <w:i/>
        </w:rPr>
        <w:t xml:space="preserve">. </w:t>
      </w:r>
      <w:hyperlink r:id="rId11" w:history="1">
        <w:r w:rsidRPr="00F00F4D">
          <w:rPr>
            <w:rStyle w:val="Hyperlink"/>
            <w:rFonts w:cs="Times New Roman"/>
          </w:rPr>
          <w:t>http://referenceworks.brillonline.com/entries/brill-s-new-pauly/arrianus-e200670#</w:t>
        </w:r>
      </w:hyperlink>
      <w:r>
        <w:rPr>
          <w:rFonts w:cs="Times New Roman"/>
        </w:rPr>
        <w:t xml:space="preserve"> [Accessed 28</w:t>
      </w:r>
      <w:r w:rsidRPr="002E4E51">
        <w:rPr>
          <w:rFonts w:cs="Times New Roman"/>
          <w:vertAlign w:val="superscript"/>
        </w:rPr>
        <w:t>th</w:t>
      </w:r>
      <w:r>
        <w:rPr>
          <w:rFonts w:cs="Times New Roman"/>
        </w:rPr>
        <w:t xml:space="preserve"> November 2017]</w:t>
      </w:r>
    </w:p>
    <w:p w:rsidR="007501C0" w:rsidRDefault="007501C0" w:rsidP="00F04470">
      <w:pPr>
        <w:rPr>
          <w:rFonts w:cs="Times New Roman"/>
        </w:rPr>
      </w:pPr>
      <w:r>
        <w:rPr>
          <w:rFonts w:cs="Times New Roman"/>
        </w:rPr>
        <w:t xml:space="preserve">Bosworth, A. B. </w:t>
      </w:r>
      <w:r w:rsidR="00EC666C">
        <w:rPr>
          <w:rFonts w:cs="Times New Roman"/>
        </w:rPr>
        <w:t xml:space="preserve">1995. </w:t>
      </w:r>
      <w:r>
        <w:rPr>
          <w:rFonts w:cs="Times New Roman"/>
          <w:i/>
        </w:rPr>
        <w:t xml:space="preserve">A Historical Commentary on Arrian’s History of Alexander. </w:t>
      </w:r>
      <w:r>
        <w:rPr>
          <w:rFonts w:cs="Times New Roman"/>
        </w:rPr>
        <w:t xml:space="preserve">Oxford: Oxford University Press. </w:t>
      </w:r>
    </w:p>
    <w:p w:rsidR="00FF4EE1" w:rsidRDefault="00FF4EE1" w:rsidP="00F04470">
      <w:pPr>
        <w:rPr>
          <w:rFonts w:cs="Times New Roman"/>
        </w:rPr>
      </w:pPr>
      <w:r>
        <w:rPr>
          <w:rFonts w:cs="Times New Roman"/>
        </w:rPr>
        <w:t xml:space="preserve">Hammond. N. G. L. 1994. </w:t>
      </w:r>
      <w:r>
        <w:rPr>
          <w:rFonts w:cs="Times New Roman"/>
          <w:i/>
        </w:rPr>
        <w:t xml:space="preserve">Alexander the Great. King, Commander and Statesman. </w:t>
      </w:r>
      <w:r>
        <w:rPr>
          <w:rFonts w:cs="Times New Roman"/>
        </w:rPr>
        <w:t xml:space="preserve">Bristol: The Bristol Press. </w:t>
      </w:r>
    </w:p>
    <w:p w:rsidR="003055A8" w:rsidRDefault="003055A8" w:rsidP="00F04470">
      <w:pPr>
        <w:rPr>
          <w:rFonts w:cs="Times New Roman"/>
        </w:rPr>
      </w:pPr>
      <w:proofErr w:type="spellStart"/>
      <w:r w:rsidRPr="003055A8">
        <w:rPr>
          <w:rFonts w:cs="Times New Roman"/>
        </w:rPr>
        <w:t>Pelling</w:t>
      </w:r>
      <w:proofErr w:type="spellEnd"/>
      <w:r w:rsidRPr="003055A8">
        <w:rPr>
          <w:rFonts w:cs="Times New Roman"/>
        </w:rPr>
        <w:t>, C. B. R.</w:t>
      </w:r>
      <w:r>
        <w:rPr>
          <w:rFonts w:cs="Times New Roman"/>
        </w:rPr>
        <w:t xml:space="preserve"> 2006. </w:t>
      </w:r>
      <w:proofErr w:type="spellStart"/>
      <w:r w:rsidRPr="003055A8">
        <w:rPr>
          <w:rFonts w:cs="Times New Roman"/>
          <w:i/>
        </w:rPr>
        <w:t>Plutarchus</w:t>
      </w:r>
      <w:proofErr w:type="spellEnd"/>
      <w:r>
        <w:rPr>
          <w:rFonts w:cs="Times New Roman"/>
          <w:i/>
        </w:rPr>
        <w:t xml:space="preserve">. </w:t>
      </w:r>
      <w:hyperlink r:id="rId12" w:anchor="e928710" w:history="1">
        <w:r w:rsidRPr="003055A8">
          <w:rPr>
            <w:rStyle w:val="Hyperlink"/>
            <w:rFonts w:cs="Times New Roman"/>
          </w:rPr>
          <w:t>http://referenceworks.brillonline.com/entries/brill-s-new-pauly/plutarchus-e928690?s.num=0&amp;s.f.s2_parent=s.f.book.brill-s-new-pauly&amp;s.q=+Plutarchus#e928710</w:t>
        </w:r>
      </w:hyperlink>
      <w:r w:rsidRPr="003055A8">
        <w:rPr>
          <w:rFonts w:cs="Times New Roman"/>
        </w:rPr>
        <w:t xml:space="preserve"> </w:t>
      </w:r>
      <w:r>
        <w:rPr>
          <w:rFonts w:cs="Times New Roman"/>
        </w:rPr>
        <w:t>[Accessed 28</w:t>
      </w:r>
      <w:r w:rsidRPr="003055A8">
        <w:rPr>
          <w:rFonts w:cs="Times New Roman"/>
          <w:vertAlign w:val="superscript"/>
        </w:rPr>
        <w:t>th</w:t>
      </w:r>
      <w:r>
        <w:rPr>
          <w:rFonts w:cs="Times New Roman"/>
        </w:rPr>
        <w:t xml:space="preserve"> November 2017] </w:t>
      </w:r>
    </w:p>
    <w:p w:rsidR="00560F1B" w:rsidRPr="00560F1B" w:rsidRDefault="00560F1B" w:rsidP="00F04470">
      <w:pPr>
        <w:rPr>
          <w:rFonts w:cs="Times New Roman"/>
        </w:rPr>
      </w:pPr>
      <w:r>
        <w:rPr>
          <w:rFonts w:cs="Times New Roman"/>
        </w:rPr>
        <w:t xml:space="preserve">Meister, K. 2006. </w:t>
      </w:r>
      <w:r w:rsidRPr="00560F1B">
        <w:rPr>
          <w:rFonts w:cs="Times New Roman"/>
          <w:i/>
        </w:rPr>
        <w:t>Diodorus</w:t>
      </w:r>
      <w:r>
        <w:rPr>
          <w:rFonts w:cs="Times New Roman"/>
          <w:i/>
        </w:rPr>
        <w:t xml:space="preserve">. </w:t>
      </w:r>
      <w:hyperlink r:id="rId13" w:anchor="e318420" w:history="1">
        <w:r w:rsidRPr="005A50BE">
          <w:rPr>
            <w:rStyle w:val="Hyperlink"/>
            <w:rFonts w:cs="Times New Roman"/>
          </w:rPr>
          <w:t>http://referenceworks.brillonline.com/entries/brill-s-new-pauly/diodorus-e318240?s.num=0&amp;s.f.s2_parent=s.f.book.brill-s-new-pauly&amp;s.q=Diodorus+Siculus#e318420</w:t>
        </w:r>
      </w:hyperlink>
      <w:r>
        <w:rPr>
          <w:rFonts w:cs="Times New Roman"/>
        </w:rPr>
        <w:t xml:space="preserve"> [Accessed 28</w:t>
      </w:r>
      <w:r w:rsidRPr="00560F1B">
        <w:rPr>
          <w:rFonts w:cs="Times New Roman"/>
          <w:vertAlign w:val="superscript"/>
        </w:rPr>
        <w:t>th</w:t>
      </w:r>
      <w:r>
        <w:rPr>
          <w:rFonts w:cs="Times New Roman"/>
        </w:rPr>
        <w:t xml:space="preserve"> November 2017] </w:t>
      </w:r>
    </w:p>
    <w:sectPr w:rsidR="00560F1B" w:rsidRPr="00560F1B">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7A2" w:rsidRDefault="002E17A2" w:rsidP="00FA3D5D">
      <w:pPr>
        <w:spacing w:after="0" w:line="240" w:lineRule="auto"/>
      </w:pPr>
      <w:r>
        <w:separator/>
      </w:r>
    </w:p>
  </w:endnote>
  <w:endnote w:type="continuationSeparator" w:id="0">
    <w:p w:rsidR="002E17A2" w:rsidRDefault="002E17A2" w:rsidP="00FA3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1271654"/>
      <w:docPartObj>
        <w:docPartGallery w:val="Page Numbers (Bottom of Page)"/>
        <w:docPartUnique/>
      </w:docPartObj>
    </w:sdtPr>
    <w:sdtEndPr>
      <w:rPr>
        <w:color w:val="7F7F7F" w:themeColor="background1" w:themeShade="7F"/>
        <w:spacing w:val="60"/>
      </w:rPr>
    </w:sdtEndPr>
    <w:sdtContent>
      <w:p w:rsidR="00693B6A" w:rsidRDefault="00693B6A">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1043A" w:rsidRPr="0001043A">
          <w:rPr>
            <w:b/>
            <w:bCs/>
            <w:noProof/>
          </w:rPr>
          <w:t>10</w:t>
        </w:r>
        <w:r>
          <w:rPr>
            <w:b/>
            <w:bCs/>
            <w:noProof/>
          </w:rPr>
          <w:fldChar w:fldCharType="end"/>
        </w:r>
        <w:r>
          <w:rPr>
            <w:b/>
            <w:bCs/>
          </w:rPr>
          <w:t xml:space="preserve"> | </w:t>
        </w:r>
        <w:r>
          <w:rPr>
            <w:color w:val="7F7F7F" w:themeColor="background1" w:themeShade="7F"/>
            <w:spacing w:val="60"/>
          </w:rPr>
          <w:t>Page</w:t>
        </w:r>
      </w:p>
    </w:sdtContent>
  </w:sdt>
  <w:p w:rsidR="00693B6A" w:rsidRDefault="00693B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7A2" w:rsidRDefault="002E17A2" w:rsidP="00FA3D5D">
      <w:pPr>
        <w:spacing w:after="0" w:line="240" w:lineRule="auto"/>
      </w:pPr>
      <w:r>
        <w:separator/>
      </w:r>
    </w:p>
  </w:footnote>
  <w:footnote w:type="continuationSeparator" w:id="0">
    <w:p w:rsidR="002E17A2" w:rsidRDefault="002E17A2" w:rsidP="00FA3D5D">
      <w:pPr>
        <w:spacing w:after="0" w:line="240" w:lineRule="auto"/>
      </w:pPr>
      <w:r>
        <w:continuationSeparator/>
      </w:r>
    </w:p>
  </w:footnote>
  <w:footnote w:id="1">
    <w:p w:rsidR="00FA3D5D" w:rsidRDefault="00FA3D5D">
      <w:pPr>
        <w:pStyle w:val="FootnoteText"/>
      </w:pPr>
      <w:r>
        <w:rPr>
          <w:rStyle w:val="FootnoteReference"/>
        </w:rPr>
        <w:footnoteRef/>
      </w:r>
      <w:r>
        <w:t xml:space="preserve"> </w:t>
      </w:r>
      <w:proofErr w:type="spellStart"/>
      <w:r w:rsidRPr="00FA3D5D">
        <w:t>Plut</w:t>
      </w:r>
      <w:proofErr w:type="spellEnd"/>
      <w:r w:rsidRPr="00FA3D5D">
        <w:t xml:space="preserve">. Alex. </w:t>
      </w:r>
      <w:r>
        <w:t>7.2-</w:t>
      </w:r>
      <w:r w:rsidRPr="00FA3D5D">
        <w:t>8.2</w:t>
      </w:r>
    </w:p>
  </w:footnote>
  <w:footnote w:id="2">
    <w:p w:rsidR="006D3CA9" w:rsidRDefault="006D3CA9">
      <w:pPr>
        <w:pStyle w:val="FootnoteText"/>
      </w:pPr>
      <w:r>
        <w:rPr>
          <w:rStyle w:val="FootnoteReference"/>
        </w:rPr>
        <w:footnoteRef/>
      </w:r>
      <w:r>
        <w:t xml:space="preserve"> </w:t>
      </w:r>
      <w:r w:rsidRPr="006D3CA9">
        <w:t>Arr. An. 5.26.</w:t>
      </w:r>
    </w:p>
  </w:footnote>
  <w:footnote w:id="3">
    <w:p w:rsidR="001B3DEF" w:rsidRDefault="001B3DEF">
      <w:pPr>
        <w:pStyle w:val="FootnoteText"/>
      </w:pPr>
      <w:r>
        <w:rPr>
          <w:rStyle w:val="FootnoteReference"/>
        </w:rPr>
        <w:footnoteRef/>
      </w:r>
      <w:r>
        <w:t xml:space="preserve"> Green 1991: 403-404 </w:t>
      </w:r>
    </w:p>
  </w:footnote>
  <w:footnote w:id="4">
    <w:p w:rsidR="00E53F83" w:rsidRPr="00E53F83" w:rsidRDefault="00E53F83" w:rsidP="00E53F83">
      <w:pPr>
        <w:pStyle w:val="FootnoteText"/>
      </w:pPr>
      <w:r>
        <w:rPr>
          <w:rStyle w:val="FootnoteReference"/>
        </w:rPr>
        <w:footnoteRef/>
      </w:r>
      <w:r>
        <w:t xml:space="preserve"> Badian and </w:t>
      </w:r>
      <w:proofErr w:type="spellStart"/>
      <w:r>
        <w:t>Heucke</w:t>
      </w:r>
      <w:proofErr w:type="spellEnd"/>
      <w:r>
        <w:t xml:space="preserve">. </w:t>
      </w:r>
      <w:r w:rsidRPr="00E53F83">
        <w:t>2006.</w:t>
      </w:r>
    </w:p>
  </w:footnote>
  <w:footnote w:id="5">
    <w:p w:rsidR="00570DEE" w:rsidRDefault="00570DEE">
      <w:pPr>
        <w:pStyle w:val="FootnoteText"/>
      </w:pPr>
      <w:r>
        <w:rPr>
          <w:rStyle w:val="FootnoteReference"/>
        </w:rPr>
        <w:footnoteRef/>
      </w:r>
      <w:r>
        <w:t xml:space="preserve"> </w:t>
      </w:r>
      <w:r w:rsidRPr="00570DEE">
        <w:t>Arr. An. 5.26.</w:t>
      </w:r>
    </w:p>
  </w:footnote>
  <w:footnote w:id="6">
    <w:p w:rsidR="00EC666C" w:rsidRDefault="00EC666C">
      <w:pPr>
        <w:pStyle w:val="FootnoteText"/>
      </w:pPr>
      <w:r>
        <w:rPr>
          <w:rStyle w:val="FootnoteReference"/>
        </w:rPr>
        <w:footnoteRef/>
      </w:r>
      <w:r>
        <w:t xml:space="preserve"> Bosworth. 1995: 347</w:t>
      </w:r>
    </w:p>
  </w:footnote>
  <w:footnote w:id="7">
    <w:p w:rsidR="00DD1D49" w:rsidRDefault="00DD1D49">
      <w:pPr>
        <w:pStyle w:val="FootnoteText"/>
      </w:pPr>
      <w:r>
        <w:rPr>
          <w:rStyle w:val="FootnoteReference"/>
        </w:rPr>
        <w:footnoteRef/>
      </w:r>
      <w:r>
        <w:t xml:space="preserve"> </w:t>
      </w:r>
      <w:proofErr w:type="spellStart"/>
      <w:r>
        <w:t>Plut</w:t>
      </w:r>
      <w:proofErr w:type="spellEnd"/>
      <w:r>
        <w:t>. Alex. 7.1-7.5</w:t>
      </w:r>
    </w:p>
  </w:footnote>
  <w:footnote w:id="8">
    <w:p w:rsidR="002673BD" w:rsidRDefault="002673BD">
      <w:pPr>
        <w:pStyle w:val="FootnoteText"/>
      </w:pPr>
      <w:r>
        <w:rPr>
          <w:rStyle w:val="FootnoteReference"/>
        </w:rPr>
        <w:footnoteRef/>
      </w:r>
      <w:r>
        <w:t xml:space="preserve"> </w:t>
      </w:r>
      <w:proofErr w:type="spellStart"/>
      <w:r w:rsidRPr="002673BD">
        <w:t>Aristot</w:t>
      </w:r>
      <w:proofErr w:type="spellEnd"/>
      <w:r w:rsidRPr="002673BD">
        <w:t xml:space="preserve">. </w:t>
      </w:r>
      <w:proofErr w:type="spellStart"/>
      <w:r w:rsidRPr="002673BD">
        <w:t>Meteoro</w:t>
      </w:r>
      <w:proofErr w:type="spellEnd"/>
      <w:r w:rsidRPr="002673BD">
        <w:t>. 354b23-25</w:t>
      </w:r>
    </w:p>
  </w:footnote>
  <w:footnote w:id="9">
    <w:p w:rsidR="006D3C24" w:rsidRDefault="006D3C24">
      <w:pPr>
        <w:pStyle w:val="FootnoteText"/>
      </w:pPr>
      <w:r>
        <w:rPr>
          <w:rStyle w:val="FootnoteReference"/>
        </w:rPr>
        <w:footnoteRef/>
      </w:r>
      <w:r w:rsidR="00226129">
        <w:t xml:space="preserve"> Hammond. 1994: 207</w:t>
      </w:r>
    </w:p>
  </w:footnote>
  <w:footnote w:id="10">
    <w:p w:rsidR="00B4182D" w:rsidRDefault="00B4182D">
      <w:pPr>
        <w:pStyle w:val="FootnoteText"/>
      </w:pPr>
      <w:r>
        <w:rPr>
          <w:rStyle w:val="FootnoteReference"/>
        </w:rPr>
        <w:footnoteRef/>
      </w:r>
      <w:r>
        <w:t xml:space="preserve"> </w:t>
      </w:r>
      <w:proofErr w:type="spellStart"/>
      <w:r>
        <w:t>Frede</w:t>
      </w:r>
      <w:proofErr w:type="spellEnd"/>
      <w:r>
        <w:t>. 2006</w:t>
      </w:r>
    </w:p>
  </w:footnote>
  <w:footnote w:id="11">
    <w:p w:rsidR="00226129" w:rsidRDefault="00226129">
      <w:pPr>
        <w:pStyle w:val="FootnoteText"/>
      </w:pPr>
      <w:r>
        <w:rPr>
          <w:rStyle w:val="FootnoteReference"/>
        </w:rPr>
        <w:footnoteRef/>
      </w:r>
      <w:r>
        <w:t xml:space="preserve"> Green. 1991: 404 </w:t>
      </w:r>
    </w:p>
  </w:footnote>
  <w:footnote w:id="12">
    <w:p w:rsidR="005E4924" w:rsidRDefault="005E4924">
      <w:pPr>
        <w:pStyle w:val="FootnoteText"/>
      </w:pPr>
      <w:r>
        <w:rPr>
          <w:rStyle w:val="FootnoteReference"/>
        </w:rPr>
        <w:footnoteRef/>
      </w:r>
      <w:r>
        <w:t xml:space="preserve"> </w:t>
      </w:r>
      <w:proofErr w:type="spellStart"/>
      <w:r w:rsidRPr="005E4924">
        <w:t>Plut</w:t>
      </w:r>
      <w:proofErr w:type="spellEnd"/>
      <w:r w:rsidRPr="005E4924">
        <w:t>. Alex. 62</w:t>
      </w:r>
    </w:p>
  </w:footnote>
  <w:footnote w:id="13">
    <w:p w:rsidR="00C825AE" w:rsidRDefault="00C825AE">
      <w:pPr>
        <w:pStyle w:val="FootnoteText"/>
      </w:pPr>
      <w:r>
        <w:rPr>
          <w:rStyle w:val="FootnoteReference"/>
        </w:rPr>
        <w:footnoteRef/>
      </w:r>
      <w:r>
        <w:t xml:space="preserve"> Bosworth</w:t>
      </w:r>
      <w:r w:rsidR="00397609">
        <w:t>. 1996:</w:t>
      </w:r>
      <w:r>
        <w:t xml:space="preserve"> 78-80 </w:t>
      </w:r>
    </w:p>
  </w:footnote>
  <w:footnote w:id="14">
    <w:p w:rsidR="00397609" w:rsidRDefault="00397609">
      <w:pPr>
        <w:pStyle w:val="FootnoteText"/>
      </w:pPr>
      <w:r>
        <w:rPr>
          <w:rStyle w:val="FootnoteReference"/>
        </w:rPr>
        <w:footnoteRef/>
      </w:r>
      <w:r>
        <w:t xml:space="preserve"> Hammond. 1994: 230</w:t>
      </w:r>
    </w:p>
  </w:footnote>
  <w:footnote w:id="15">
    <w:p w:rsidR="005D542C" w:rsidRDefault="005D542C">
      <w:pPr>
        <w:pStyle w:val="FootnoteText"/>
      </w:pPr>
      <w:r>
        <w:rPr>
          <w:rStyle w:val="FootnoteReference"/>
        </w:rPr>
        <w:footnoteRef/>
      </w:r>
      <w:r>
        <w:t xml:space="preserve"> Wilcken. 1997: 186 </w:t>
      </w:r>
    </w:p>
  </w:footnote>
  <w:footnote w:id="16">
    <w:p w:rsidR="00B81009" w:rsidRDefault="00B81009">
      <w:pPr>
        <w:pStyle w:val="FootnoteText"/>
      </w:pPr>
      <w:r>
        <w:rPr>
          <w:rStyle w:val="FootnoteReference"/>
        </w:rPr>
        <w:footnoteRef/>
      </w:r>
      <w:r>
        <w:t xml:space="preserve"> Bosworth. 1996: 80 </w:t>
      </w:r>
    </w:p>
  </w:footnote>
  <w:footnote w:id="17">
    <w:p w:rsidR="009251DA" w:rsidRDefault="009251DA">
      <w:pPr>
        <w:pStyle w:val="FootnoteText"/>
      </w:pPr>
      <w:r>
        <w:rPr>
          <w:rStyle w:val="FootnoteReference"/>
        </w:rPr>
        <w:footnoteRef/>
      </w:r>
      <w:r>
        <w:t xml:space="preserve"> </w:t>
      </w:r>
      <w:proofErr w:type="spellStart"/>
      <w:r w:rsidRPr="009251DA">
        <w:t>Plut</w:t>
      </w:r>
      <w:proofErr w:type="spellEnd"/>
      <w:r w:rsidRPr="009251DA">
        <w:t>. Alex. 63.1</w:t>
      </w:r>
    </w:p>
  </w:footnote>
  <w:footnote w:id="18">
    <w:p w:rsidR="00E9049D" w:rsidRDefault="00E9049D">
      <w:pPr>
        <w:pStyle w:val="FootnoteText"/>
      </w:pPr>
      <w:r>
        <w:rPr>
          <w:rStyle w:val="FootnoteReference"/>
        </w:rPr>
        <w:footnoteRef/>
      </w:r>
      <w:r>
        <w:t xml:space="preserve"> </w:t>
      </w:r>
      <w:proofErr w:type="spellStart"/>
      <w:r>
        <w:t>Pelling</w:t>
      </w:r>
      <w:proofErr w:type="spellEnd"/>
      <w:r w:rsidRPr="00E9049D">
        <w:t>. 2006</w:t>
      </w:r>
    </w:p>
  </w:footnote>
  <w:footnote w:id="19">
    <w:p w:rsidR="00A16E4C" w:rsidRPr="00A16E4C" w:rsidRDefault="00A16E4C" w:rsidP="00A16E4C">
      <w:pPr>
        <w:pStyle w:val="FootnoteText"/>
      </w:pPr>
      <w:r>
        <w:rPr>
          <w:rStyle w:val="FootnoteReference"/>
        </w:rPr>
        <w:footnoteRef/>
      </w:r>
      <w:r>
        <w:t xml:space="preserve"> </w:t>
      </w:r>
      <w:proofErr w:type="spellStart"/>
      <w:r w:rsidRPr="00A16E4C">
        <w:t>Plut</w:t>
      </w:r>
      <w:proofErr w:type="spellEnd"/>
      <w:r w:rsidRPr="00A16E4C">
        <w:t>. Alex. 62</w:t>
      </w:r>
    </w:p>
  </w:footnote>
  <w:footnote w:id="20">
    <w:p w:rsidR="00D83D40" w:rsidRDefault="00D83D40">
      <w:pPr>
        <w:pStyle w:val="FootnoteText"/>
      </w:pPr>
      <w:r>
        <w:rPr>
          <w:rStyle w:val="FootnoteReference"/>
        </w:rPr>
        <w:footnoteRef/>
      </w:r>
      <w:r>
        <w:t xml:space="preserve"> </w:t>
      </w:r>
      <w:r w:rsidRPr="00D83D40">
        <w:t>Arr. An. 5.26.</w:t>
      </w:r>
    </w:p>
  </w:footnote>
  <w:footnote w:id="21">
    <w:p w:rsidR="009B458B" w:rsidRDefault="009B458B">
      <w:pPr>
        <w:pStyle w:val="FootnoteText"/>
      </w:pPr>
      <w:r>
        <w:rPr>
          <w:rStyle w:val="FootnoteReference"/>
        </w:rPr>
        <w:footnoteRef/>
      </w:r>
      <w:r>
        <w:t xml:space="preserve"> </w:t>
      </w:r>
      <w:r w:rsidRPr="009B458B">
        <w:t xml:space="preserve">Badian and </w:t>
      </w:r>
      <w:proofErr w:type="spellStart"/>
      <w:r w:rsidRPr="009B458B">
        <w:t>Heucke</w:t>
      </w:r>
      <w:proofErr w:type="spellEnd"/>
      <w:r w:rsidRPr="009B458B">
        <w:t>. 2006.</w:t>
      </w:r>
    </w:p>
  </w:footnote>
  <w:footnote w:id="22">
    <w:p w:rsidR="00911B36" w:rsidRDefault="00911B36">
      <w:pPr>
        <w:pStyle w:val="FootnoteText"/>
      </w:pPr>
      <w:r>
        <w:rPr>
          <w:rStyle w:val="FootnoteReference"/>
        </w:rPr>
        <w:footnoteRef/>
      </w:r>
      <w:r>
        <w:t xml:space="preserve"> </w:t>
      </w:r>
      <w:proofErr w:type="spellStart"/>
      <w:r>
        <w:t>Diod</w:t>
      </w:r>
      <w:proofErr w:type="spellEnd"/>
      <w:r>
        <w:t>. 17.94.1-17.94.5</w:t>
      </w:r>
    </w:p>
  </w:footnote>
  <w:footnote w:id="23">
    <w:p w:rsidR="00D945BB" w:rsidRDefault="00D945BB">
      <w:pPr>
        <w:pStyle w:val="FootnoteText"/>
      </w:pPr>
      <w:r>
        <w:rPr>
          <w:rStyle w:val="FootnoteReference"/>
        </w:rPr>
        <w:footnoteRef/>
      </w:r>
      <w:r>
        <w:t xml:space="preserve"> </w:t>
      </w:r>
      <w:r w:rsidRPr="00D945BB">
        <w:t>Meister, K. 2006</w:t>
      </w:r>
    </w:p>
  </w:footnote>
  <w:footnote w:id="24">
    <w:p w:rsidR="00F954AA" w:rsidRDefault="00F954AA">
      <w:pPr>
        <w:pStyle w:val="FootnoteText"/>
      </w:pPr>
      <w:r>
        <w:rPr>
          <w:rStyle w:val="FootnoteReference"/>
        </w:rPr>
        <w:footnoteRef/>
      </w:r>
      <w:r>
        <w:t xml:space="preserve"> </w:t>
      </w:r>
      <w:r w:rsidRPr="00F954AA">
        <w:t>Hamilton</w:t>
      </w:r>
      <w:r>
        <w:t xml:space="preserve"> 1994: 501</w:t>
      </w:r>
    </w:p>
  </w:footnote>
  <w:footnote w:id="25">
    <w:p w:rsidR="00CA36DF" w:rsidRDefault="00CA36DF">
      <w:pPr>
        <w:pStyle w:val="FootnoteText"/>
      </w:pPr>
      <w:r>
        <w:rPr>
          <w:rStyle w:val="FootnoteReference"/>
        </w:rPr>
        <w:footnoteRef/>
      </w:r>
      <w:r>
        <w:t xml:space="preserve"> Arr. An. 5.26 </w:t>
      </w:r>
    </w:p>
  </w:footnote>
  <w:footnote w:id="26">
    <w:p w:rsidR="006B49F9" w:rsidRDefault="006B49F9">
      <w:pPr>
        <w:pStyle w:val="FootnoteText"/>
      </w:pPr>
      <w:r>
        <w:rPr>
          <w:rStyle w:val="FootnoteReference"/>
        </w:rPr>
        <w:footnoteRef/>
      </w:r>
      <w:r>
        <w:t xml:space="preserve"> </w:t>
      </w:r>
      <w:proofErr w:type="spellStart"/>
      <w:r>
        <w:t>Frede</w:t>
      </w:r>
      <w:proofErr w:type="spellEnd"/>
      <w:r w:rsidRPr="006B49F9">
        <w:t>. 2006</w:t>
      </w:r>
    </w:p>
  </w:footnote>
  <w:footnote w:id="27">
    <w:p w:rsidR="006B49F9" w:rsidRDefault="006B49F9">
      <w:pPr>
        <w:pStyle w:val="FootnoteText"/>
      </w:pPr>
      <w:r>
        <w:rPr>
          <w:rStyle w:val="FootnoteReference"/>
        </w:rPr>
        <w:footnoteRef/>
      </w:r>
      <w:r>
        <w:t xml:space="preserve"> </w:t>
      </w:r>
      <w:proofErr w:type="spellStart"/>
      <w:r w:rsidRPr="006B49F9">
        <w:t>Aristot</w:t>
      </w:r>
      <w:proofErr w:type="spellEnd"/>
      <w:r w:rsidRPr="006B49F9">
        <w:t xml:space="preserve">. </w:t>
      </w:r>
      <w:proofErr w:type="spellStart"/>
      <w:r w:rsidRPr="006B49F9">
        <w:t>Meteoro</w:t>
      </w:r>
      <w:proofErr w:type="spellEnd"/>
      <w:r w:rsidRPr="006B49F9">
        <w:t>. 354b23-25</w:t>
      </w:r>
    </w:p>
  </w:footnote>
  <w:footnote w:id="28">
    <w:p w:rsidR="00A5355F" w:rsidRPr="00A5355F" w:rsidRDefault="00A5355F" w:rsidP="00A5355F">
      <w:pPr>
        <w:pStyle w:val="FootnoteText"/>
      </w:pPr>
      <w:r>
        <w:rPr>
          <w:rStyle w:val="FootnoteReference"/>
        </w:rPr>
        <w:footnoteRef/>
      </w:r>
      <w:r>
        <w:t xml:space="preserve"> </w:t>
      </w:r>
      <w:r w:rsidRPr="00A5355F">
        <w:t>Wilcken. 1997: 186</w:t>
      </w:r>
    </w:p>
  </w:footnote>
  <w:footnote w:id="29">
    <w:p w:rsidR="00885ACE" w:rsidRDefault="00885ACE">
      <w:pPr>
        <w:pStyle w:val="FootnoteText"/>
      </w:pPr>
      <w:r>
        <w:rPr>
          <w:rStyle w:val="FootnoteReference"/>
        </w:rPr>
        <w:footnoteRef/>
      </w:r>
      <w:r>
        <w:t xml:space="preserve"> </w:t>
      </w:r>
      <w:r w:rsidRPr="00885ACE">
        <w:t>Hammond. 1994: 230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B6A" w:rsidRDefault="00693B6A">
    <w:pPr>
      <w:pStyle w:val="Header"/>
    </w:pPr>
    <w:r>
      <w:t>Luke Carter 1500745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E2B"/>
    <w:rsid w:val="00006972"/>
    <w:rsid w:val="0001043A"/>
    <w:rsid w:val="00063F92"/>
    <w:rsid w:val="00071F30"/>
    <w:rsid w:val="000912E7"/>
    <w:rsid w:val="0009790B"/>
    <w:rsid w:val="000B1033"/>
    <w:rsid w:val="000B3B6C"/>
    <w:rsid w:val="000E08DE"/>
    <w:rsid w:val="000E0D49"/>
    <w:rsid w:val="00112128"/>
    <w:rsid w:val="00175CF8"/>
    <w:rsid w:val="00197056"/>
    <w:rsid w:val="001B3DEF"/>
    <w:rsid w:val="001D0363"/>
    <w:rsid w:val="002006B2"/>
    <w:rsid w:val="00215E2B"/>
    <w:rsid w:val="00226129"/>
    <w:rsid w:val="00230164"/>
    <w:rsid w:val="002369F5"/>
    <w:rsid w:val="002638E4"/>
    <w:rsid w:val="002673BD"/>
    <w:rsid w:val="002B4A73"/>
    <w:rsid w:val="002B5AE2"/>
    <w:rsid w:val="002E17A2"/>
    <w:rsid w:val="002E4E51"/>
    <w:rsid w:val="002E7BED"/>
    <w:rsid w:val="002F4980"/>
    <w:rsid w:val="003055A8"/>
    <w:rsid w:val="00313655"/>
    <w:rsid w:val="00346013"/>
    <w:rsid w:val="00346058"/>
    <w:rsid w:val="0035414A"/>
    <w:rsid w:val="00363A40"/>
    <w:rsid w:val="00391130"/>
    <w:rsid w:val="00397609"/>
    <w:rsid w:val="003C635A"/>
    <w:rsid w:val="003F303F"/>
    <w:rsid w:val="0041059D"/>
    <w:rsid w:val="004257F8"/>
    <w:rsid w:val="004342EB"/>
    <w:rsid w:val="00441E83"/>
    <w:rsid w:val="00472E33"/>
    <w:rsid w:val="00480914"/>
    <w:rsid w:val="00490D80"/>
    <w:rsid w:val="0049384C"/>
    <w:rsid w:val="004B68A2"/>
    <w:rsid w:val="005025B7"/>
    <w:rsid w:val="00503672"/>
    <w:rsid w:val="005044E7"/>
    <w:rsid w:val="00536828"/>
    <w:rsid w:val="00541D82"/>
    <w:rsid w:val="00560F1B"/>
    <w:rsid w:val="00570DEE"/>
    <w:rsid w:val="00571329"/>
    <w:rsid w:val="00573555"/>
    <w:rsid w:val="005803EB"/>
    <w:rsid w:val="005A1FCE"/>
    <w:rsid w:val="005D542C"/>
    <w:rsid w:val="005E4924"/>
    <w:rsid w:val="005E6DBA"/>
    <w:rsid w:val="006119EF"/>
    <w:rsid w:val="0063083E"/>
    <w:rsid w:val="006455B3"/>
    <w:rsid w:val="00686D65"/>
    <w:rsid w:val="00693B6A"/>
    <w:rsid w:val="006A0AD1"/>
    <w:rsid w:val="006B49F9"/>
    <w:rsid w:val="006C5C08"/>
    <w:rsid w:val="006D3C24"/>
    <w:rsid w:val="006D3CA9"/>
    <w:rsid w:val="006F6108"/>
    <w:rsid w:val="00725987"/>
    <w:rsid w:val="00726C6E"/>
    <w:rsid w:val="007501C0"/>
    <w:rsid w:val="00777ECF"/>
    <w:rsid w:val="007B38AB"/>
    <w:rsid w:val="007B60CA"/>
    <w:rsid w:val="007E4C8D"/>
    <w:rsid w:val="00817E67"/>
    <w:rsid w:val="008416BC"/>
    <w:rsid w:val="0086316D"/>
    <w:rsid w:val="00872073"/>
    <w:rsid w:val="00874979"/>
    <w:rsid w:val="008859E4"/>
    <w:rsid w:val="00885ACE"/>
    <w:rsid w:val="00887D38"/>
    <w:rsid w:val="008D2130"/>
    <w:rsid w:val="008D531C"/>
    <w:rsid w:val="00911B36"/>
    <w:rsid w:val="009251DA"/>
    <w:rsid w:val="0093219E"/>
    <w:rsid w:val="00955C51"/>
    <w:rsid w:val="009A636A"/>
    <w:rsid w:val="009B458B"/>
    <w:rsid w:val="00A153F2"/>
    <w:rsid w:val="00A16E4C"/>
    <w:rsid w:val="00A369ED"/>
    <w:rsid w:val="00A46888"/>
    <w:rsid w:val="00A5355F"/>
    <w:rsid w:val="00A60C2F"/>
    <w:rsid w:val="00A6390F"/>
    <w:rsid w:val="00A93838"/>
    <w:rsid w:val="00AE14E6"/>
    <w:rsid w:val="00AE6453"/>
    <w:rsid w:val="00B270E9"/>
    <w:rsid w:val="00B4182D"/>
    <w:rsid w:val="00B526A4"/>
    <w:rsid w:val="00B663C3"/>
    <w:rsid w:val="00B81009"/>
    <w:rsid w:val="00B92197"/>
    <w:rsid w:val="00BA3AA8"/>
    <w:rsid w:val="00BE36BE"/>
    <w:rsid w:val="00C04A3C"/>
    <w:rsid w:val="00C167F4"/>
    <w:rsid w:val="00C33A69"/>
    <w:rsid w:val="00C73CF8"/>
    <w:rsid w:val="00C825AE"/>
    <w:rsid w:val="00CA330D"/>
    <w:rsid w:val="00CA36DF"/>
    <w:rsid w:val="00CA562F"/>
    <w:rsid w:val="00CA7AC6"/>
    <w:rsid w:val="00CD4264"/>
    <w:rsid w:val="00CD77C6"/>
    <w:rsid w:val="00CE2F2E"/>
    <w:rsid w:val="00D54C02"/>
    <w:rsid w:val="00D57A72"/>
    <w:rsid w:val="00D67A5F"/>
    <w:rsid w:val="00D77A83"/>
    <w:rsid w:val="00D83D40"/>
    <w:rsid w:val="00D87E02"/>
    <w:rsid w:val="00D945BB"/>
    <w:rsid w:val="00DA23ED"/>
    <w:rsid w:val="00DA3559"/>
    <w:rsid w:val="00DB1FF7"/>
    <w:rsid w:val="00DD1D49"/>
    <w:rsid w:val="00DE6697"/>
    <w:rsid w:val="00DF2F03"/>
    <w:rsid w:val="00E53F83"/>
    <w:rsid w:val="00E9049D"/>
    <w:rsid w:val="00E96B27"/>
    <w:rsid w:val="00EA4628"/>
    <w:rsid w:val="00EB1246"/>
    <w:rsid w:val="00EB3A54"/>
    <w:rsid w:val="00EC666C"/>
    <w:rsid w:val="00F04470"/>
    <w:rsid w:val="00F10E81"/>
    <w:rsid w:val="00F15AB3"/>
    <w:rsid w:val="00F74B7C"/>
    <w:rsid w:val="00F76A13"/>
    <w:rsid w:val="00F954AA"/>
    <w:rsid w:val="00F96A1B"/>
    <w:rsid w:val="00FA3D5D"/>
    <w:rsid w:val="00FB2700"/>
    <w:rsid w:val="00FC225A"/>
    <w:rsid w:val="00FD1CD6"/>
    <w:rsid w:val="00FF4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E6653"/>
  <w15:chartTrackingRefBased/>
  <w15:docId w15:val="{6BA8547A-B7FF-4905-809D-93E27847E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5C51"/>
    <w:rPr>
      <w:rFonts w:ascii="Times New Roman" w:hAnsi="Times New Roman"/>
      <w:sz w:val="24"/>
    </w:rPr>
  </w:style>
  <w:style w:type="paragraph" w:styleId="Heading1">
    <w:name w:val="heading 1"/>
    <w:basedOn w:val="Normal"/>
    <w:next w:val="Normal"/>
    <w:link w:val="Heading1Char"/>
    <w:uiPriority w:val="9"/>
    <w:qFormat/>
    <w:rsid w:val="00215E2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15E2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15E2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5E2B"/>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215E2B"/>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15E2B"/>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955C51"/>
    <w:rPr>
      <w:color w:val="0563C1" w:themeColor="hyperlink"/>
      <w:u w:val="single"/>
    </w:rPr>
  </w:style>
  <w:style w:type="paragraph" w:styleId="FootnoteText">
    <w:name w:val="footnote text"/>
    <w:basedOn w:val="Normal"/>
    <w:link w:val="FootnoteTextChar"/>
    <w:uiPriority w:val="99"/>
    <w:semiHidden/>
    <w:unhideWhenUsed/>
    <w:rsid w:val="00FA3D5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A3D5D"/>
    <w:rPr>
      <w:rFonts w:ascii="Times New Roman" w:hAnsi="Times New Roman"/>
      <w:sz w:val="20"/>
      <w:szCs w:val="20"/>
    </w:rPr>
  </w:style>
  <w:style w:type="character" w:styleId="FootnoteReference">
    <w:name w:val="footnote reference"/>
    <w:basedOn w:val="DefaultParagraphFont"/>
    <w:uiPriority w:val="99"/>
    <w:semiHidden/>
    <w:unhideWhenUsed/>
    <w:rsid w:val="00FA3D5D"/>
    <w:rPr>
      <w:vertAlign w:val="superscript"/>
    </w:rPr>
  </w:style>
  <w:style w:type="paragraph" w:styleId="Header">
    <w:name w:val="header"/>
    <w:basedOn w:val="Normal"/>
    <w:link w:val="HeaderChar"/>
    <w:uiPriority w:val="99"/>
    <w:unhideWhenUsed/>
    <w:rsid w:val="00693B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3B6A"/>
    <w:rPr>
      <w:rFonts w:ascii="Times New Roman" w:hAnsi="Times New Roman"/>
      <w:sz w:val="24"/>
    </w:rPr>
  </w:style>
  <w:style w:type="paragraph" w:styleId="Footer">
    <w:name w:val="footer"/>
    <w:basedOn w:val="Normal"/>
    <w:link w:val="FooterChar"/>
    <w:uiPriority w:val="99"/>
    <w:unhideWhenUsed/>
    <w:rsid w:val="00693B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3B6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eferenceworks.brillonline.com/entries/brill-s-new-pauly/alexander-e114170" TargetMode="External"/><Relationship Id="rId13" Type="http://schemas.openxmlformats.org/officeDocument/2006/relationships/hyperlink" Target="http://referenceworks.brillonline.com/entries/brill-s-new-pauly/diodorus-e318240?s.num=0&amp;s.f.s2_parent=s.f.book.brill-s-new-pauly&amp;s.q=Diodorus+Siculus" TargetMode="External"/><Relationship Id="rId3" Type="http://schemas.openxmlformats.org/officeDocument/2006/relationships/settings" Target="settings.xml"/><Relationship Id="rId7" Type="http://schemas.openxmlformats.org/officeDocument/2006/relationships/hyperlink" Target="http://www.jstor.org/stable/4436355" TargetMode="External"/><Relationship Id="rId12" Type="http://schemas.openxmlformats.org/officeDocument/2006/relationships/hyperlink" Target="http://referenceworks.brillonline.com/entries/brill-s-new-pauly/plutarchus-e928690?s.num=0&amp;s.f.s2_parent=s.f.book.brill-s-new-pauly&amp;s.q=+Plutarchu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referenceworks.brillonline.com/entries/brill-s-new-pauly/arrianus-e200670"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referenceworks.brillonline.com/entries/brill-s-new-pauly/aristoteles-e136530?s.num=0&amp;s.f.s2_parent=s.f.book.brill-s-new-pauly&amp;s.q=aristoteles" TargetMode="External"/><Relationship Id="rId4" Type="http://schemas.openxmlformats.org/officeDocument/2006/relationships/webSettings" Target="webSettings.xml"/><Relationship Id="rId9" Type="http://schemas.openxmlformats.org/officeDocument/2006/relationships/hyperlink" Target="http://referenceworks.brillonline.com/entries/brill-s-new-pauly/india-e523990?s.num=2&amp;s.f.s2_parent=s.f.book.brill-s-new-pauly&amp;s.q=Alexander+india"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85220-9F05-47FA-AB33-209D6503B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1668</TotalTime>
  <Pages>10</Pages>
  <Words>2777</Words>
  <Characters>15829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Carter (1500745)</dc:creator>
  <cp:keywords/>
  <dc:description/>
  <cp:lastModifiedBy>Luke Carter (1500745)</cp:lastModifiedBy>
  <cp:revision>117</cp:revision>
  <dcterms:created xsi:type="dcterms:W3CDTF">2017-11-21T15:32:00Z</dcterms:created>
  <dcterms:modified xsi:type="dcterms:W3CDTF">2017-12-08T14:16:00Z</dcterms:modified>
</cp:coreProperties>
</file>