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63891" w:rsidRPr="006E780C" w:rsidRDefault="006E780C">
      <w:pPr>
        <w:rPr>
          <w:b/>
          <w:i/>
          <w:u w:val="single"/>
        </w:rPr>
      </w:pPr>
      <w:r w:rsidRPr="006E780C">
        <w:rPr>
          <w:b/>
          <w:i/>
          <w:u w:val="single"/>
        </w:rPr>
        <w:t>Activity – Law for the built environment</w:t>
      </w:r>
    </w:p>
    <w:p w:rsidR="006E780C" w:rsidRPr="006E780C" w:rsidRDefault="006E780C">
      <w:pPr>
        <w:rPr>
          <w:u w:val="single"/>
        </w:rPr>
      </w:pPr>
      <w:r w:rsidRPr="006E780C">
        <w:rPr>
          <w:u w:val="single"/>
        </w:rPr>
        <w:t>Cases regarding consideration:</w:t>
      </w:r>
    </w:p>
    <w:p w:rsidR="006E780C" w:rsidRDefault="006E780C">
      <w:r>
        <w:t>Thomas v Thomas [1842] 2 QB 851</w:t>
      </w:r>
    </w:p>
    <w:p w:rsidR="00A90E84" w:rsidRDefault="00A90E84">
      <w:r>
        <w:t>John Thomas, shortly before dying, verball</w:t>
      </w:r>
      <w:r w:rsidR="00AC78CE">
        <w:t>y expressed a desire for his wif</w:t>
      </w:r>
      <w:bookmarkStart w:id="0" w:name="_GoBack"/>
      <w:bookmarkEnd w:id="0"/>
      <w:r>
        <w:t xml:space="preserve">e to have </w:t>
      </w:r>
      <w:proofErr w:type="gramStart"/>
      <w:r>
        <w:t>either the house (currently used as their residence) and</w:t>
      </w:r>
      <w:proofErr w:type="gramEnd"/>
      <w:r>
        <w:t xml:space="preserve"> its contents OR £100 in addition to the other provisions made for her in his will.  After his death, the executors of his estate (Samuel Thomas (his brother) and Benjamin Thomas) entered into an agreement with the wife (Eleanor) ‘in consideration of John’s desires’ whereby Eleanor would take possession of the house and in return maintain the house and pay £1 per year ground rent.  The wife remained in the house for some time, however after the death of Samuel, the appellant (Benjamin) refused to complete the conveyance claiming that consideration was lacking.  The court found for Eleanor and Benjamin appealed – the appeal was found in favour of the defendant.</w:t>
      </w:r>
    </w:p>
    <w:p w:rsidR="006E780C" w:rsidRDefault="00A90E84">
      <w:proofErr w:type="spellStart"/>
      <w:r>
        <w:t>Chappel</w:t>
      </w:r>
      <w:proofErr w:type="spellEnd"/>
      <w:r w:rsidR="006E780C">
        <w:t xml:space="preserve"> Co Ltd v Nestl</w:t>
      </w:r>
      <w:r w:rsidR="006E780C">
        <w:rPr>
          <w:rFonts w:ascii="Trebuchet MS" w:hAnsi="Trebuchet MS"/>
        </w:rPr>
        <w:t>é</w:t>
      </w:r>
      <w:r w:rsidR="006E780C">
        <w:t xml:space="preserve"> Co Ltd [1959] AC 87</w:t>
      </w:r>
    </w:p>
    <w:p w:rsidR="00A90E84" w:rsidRDefault="00A90E84">
      <w:r>
        <w:t xml:space="preserve">Nestle ran a sales promotion whereby if persons sent in 3 chocolate bar wrappers and a postal order for 1 shilling 6d, they would be sent a record.  </w:t>
      </w:r>
      <w:proofErr w:type="spellStart"/>
      <w:r>
        <w:t>Chappel</w:t>
      </w:r>
      <w:proofErr w:type="spellEnd"/>
      <w:r>
        <w:t xml:space="preserve"> owned the copyright in one of the records offered and disputed the right of Nestle to offer the records and sought an injunction to present the sales of the records which normally retailed at 6 shillings 8d.  Under s.8 of the Copyright Act 1956, retailers were protected from breach of copyright if they gave notice to the copyright owners of the ordinary retail selling price and paid them 6.25% of this.  Nestle gave notice stating the ordinary selling price was the 1 shilling 6d and 3 chocolate bar wrappers.  The question for the court was whether the chocolate bar wrappers formed part of the consideration.  If they did, it was impossible to ascertain the value they represented and therefore Nestle would not have complied with their obligation to give notice of the ordinary retail selling price.  If the </w:t>
      </w:r>
      <w:r w:rsidR="00E74E5C">
        <w:t>wrappers</w:t>
      </w:r>
      <w:r>
        <w:t xml:space="preserve"> were a mere token or </w:t>
      </w:r>
      <w:r w:rsidR="00E74E5C">
        <w:t>condition</w:t>
      </w:r>
      <w:r>
        <w:t xml:space="preserve"> of sale rather than </w:t>
      </w:r>
      <w:r w:rsidR="00E74E5C">
        <w:t xml:space="preserve">constituting consideration, then the notice would be valid and Nestle could sell the records.  The wrappers did form part of the consideration as the object was to increase sales and therefore provided value.  The fact that the wrappers were simply to be thrown away did not detract from this.  Therefore </w:t>
      </w:r>
      <w:proofErr w:type="spellStart"/>
      <w:r w:rsidR="00E74E5C">
        <w:t>Chappel</w:t>
      </w:r>
      <w:proofErr w:type="spellEnd"/>
      <w:r w:rsidR="00E74E5C">
        <w:t xml:space="preserve"> were granted the injunction and Nestle could not sell records as they has not complied with the notice requirements under s.8.</w:t>
      </w:r>
    </w:p>
    <w:p w:rsidR="006E780C" w:rsidRDefault="006E780C">
      <w:proofErr w:type="spellStart"/>
      <w:r>
        <w:t>Stilk</w:t>
      </w:r>
      <w:proofErr w:type="spellEnd"/>
      <w:r>
        <w:t xml:space="preserve"> v Myrick [1809] EWHC KB J58</w:t>
      </w:r>
    </w:p>
    <w:p w:rsidR="00E74E5C" w:rsidRDefault="00E74E5C">
      <w:r>
        <w:t>The claimant (</w:t>
      </w:r>
      <w:proofErr w:type="spellStart"/>
      <w:r>
        <w:t>Stilk</w:t>
      </w:r>
      <w:proofErr w:type="spellEnd"/>
      <w:r>
        <w:t>) was a seaman on a voyage from London to the Baltic and back.  He was to be paid £5 per month. During the voyage 2 of the 12 crew deserted.  The captain promised the remaining crew members that if they worked the ship undermanned as it was back to London, he would divide the wages due to the deserted between them.  The claimant agreed, but the captain never made the extra payment promised.  The claimant was under an existing duty to work the ship back to London and undertook to submit to all the emergencies that entailed.  Therefore he had not provided any consideration for the promise for extra money.  Consequently he was entitled to nothing.</w:t>
      </w:r>
    </w:p>
    <w:p w:rsidR="006E780C" w:rsidRDefault="006E780C">
      <w:r>
        <w:t>Shadwell v Shadwell [1860] EWHC CP J88</w:t>
      </w:r>
    </w:p>
    <w:p w:rsidR="00E74E5C" w:rsidRDefault="00E74E5C">
      <w:r>
        <w:t xml:space="preserve">Mr Shadwell was engaged to marry Ellen Nicholl.  His uncle Charles Shadwell promised £150 per year in a letter after the marriage.  Sadly Uncle Charles then died.  Mr Shadwell alleged that his uncle had not paid in full before his death and claimed the outstanding money from his Uncle’s estate.  The estate refused to pay on the ground that Mr Shadwell had given no consideration for the promise to </w:t>
      </w:r>
      <w:r>
        <w:lastRenderedPageBreak/>
        <w:t xml:space="preserve">pay £150 per year.  The claimant was successful </w:t>
      </w:r>
      <w:r w:rsidR="006D5B9C">
        <w:t>– there was deemed to be consideration given to the promise.</w:t>
      </w:r>
    </w:p>
    <w:p w:rsidR="006E780C" w:rsidRDefault="006E780C">
      <w:r>
        <w:t xml:space="preserve">Re Casey’s patents, Stewart v Casey [1892] 1 </w:t>
      </w:r>
      <w:proofErr w:type="spellStart"/>
      <w:r>
        <w:t>Ch</w:t>
      </w:r>
      <w:proofErr w:type="spellEnd"/>
      <w:r>
        <w:t xml:space="preserve"> 104</w:t>
      </w:r>
    </w:p>
    <w:p w:rsidR="006D5B9C" w:rsidRDefault="006D5B9C">
      <w:r>
        <w:t>The plaintiff was asked to manage promoting some patents.  After the plaintiff had completed much of the work the patent owners stated ‘in consideration of your services as practical manager in working our patents, we hereby agree to give you one-third share of the patents’. Can past consideration be good consideration?  In this case, past consideration was sufficient, as this was carried out in a commercial context.</w:t>
      </w:r>
    </w:p>
    <w:p w:rsidR="006E780C" w:rsidRDefault="006E780C">
      <w:r>
        <w:t xml:space="preserve">Re McArdle [1951] </w:t>
      </w:r>
      <w:proofErr w:type="spellStart"/>
      <w:r>
        <w:t>Ch</w:t>
      </w:r>
      <w:proofErr w:type="spellEnd"/>
      <w:r>
        <w:t xml:space="preserve"> 669</w:t>
      </w:r>
    </w:p>
    <w:p w:rsidR="006D5B9C" w:rsidRDefault="006D5B9C">
      <w:r>
        <w:t>The plaintiff worked on improving and repairing a bungalow, which has been left in trust to her husband and his 4 siblings.  After the work was carried out, the siblings signed a document stating that the executors should pay the plaintiff £480 from the proceeds of selling the house.  The payment was not made.  Could work carried out prior to the promise be a valid consideration?  It was deemed that the promise was not binding as it was made after the consideration had been performed.  Past consideration is no consideration.</w:t>
      </w:r>
    </w:p>
    <w:p w:rsidR="006E780C" w:rsidRDefault="006E780C"/>
    <w:sectPr w:rsidR="006E78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780C"/>
    <w:rsid w:val="00097A86"/>
    <w:rsid w:val="00623940"/>
    <w:rsid w:val="006D5B9C"/>
    <w:rsid w:val="006E780C"/>
    <w:rsid w:val="00A90E84"/>
    <w:rsid w:val="00AC78CE"/>
    <w:rsid w:val="00E74E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E64CD9D-C89A-4552-8503-2C9471DE30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TotalTime>
  <Pages>2</Pages>
  <Words>703</Words>
  <Characters>4009</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4703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Hopkinson</dc:creator>
  <cp:keywords/>
  <dc:description/>
  <cp:lastModifiedBy>Lara Hopkinson</cp:lastModifiedBy>
  <cp:revision>3</cp:revision>
  <dcterms:created xsi:type="dcterms:W3CDTF">2015-10-21T09:05:00Z</dcterms:created>
  <dcterms:modified xsi:type="dcterms:W3CDTF">2016-06-21T13:42:00Z</dcterms:modified>
</cp:coreProperties>
</file>