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5D3E" w:rsidRDefault="00000000">
      <w:pPr>
        <w:spacing w:line="360" w:lineRule="auto"/>
        <w:jc w:val="center"/>
        <w:rPr>
          <w:b/>
          <w:sz w:val="24"/>
          <w:szCs w:val="24"/>
          <w:u w:val="single"/>
        </w:rPr>
      </w:pPr>
      <w:r>
        <w:rPr>
          <w:b/>
          <w:sz w:val="24"/>
          <w:szCs w:val="24"/>
          <w:u w:val="single"/>
        </w:rPr>
        <w:t>Supporting Paper for Evidence Based Practice Presentation</w:t>
      </w:r>
    </w:p>
    <w:p w14:paraId="00000002" w14:textId="77777777" w:rsidR="00375D3E" w:rsidRDefault="00375D3E">
      <w:pPr>
        <w:spacing w:line="360" w:lineRule="auto"/>
        <w:jc w:val="center"/>
        <w:rPr>
          <w:sz w:val="24"/>
          <w:szCs w:val="24"/>
          <w:u w:val="single"/>
        </w:rPr>
      </w:pPr>
    </w:p>
    <w:p w14:paraId="00000003" w14:textId="77777777" w:rsidR="00375D3E" w:rsidRDefault="00000000">
      <w:pPr>
        <w:spacing w:line="360" w:lineRule="auto"/>
        <w:rPr>
          <w:sz w:val="24"/>
          <w:szCs w:val="24"/>
        </w:rPr>
      </w:pPr>
      <w:r>
        <w:rPr>
          <w:sz w:val="24"/>
          <w:szCs w:val="24"/>
        </w:rPr>
        <w:t xml:space="preserve">This paper will define evidence-based practice and highlight its benefits within health and social care.  This paper will explore the connection between evidence-based practice and implementation of manual handling procedures used in health and social care.  </w:t>
      </w:r>
    </w:p>
    <w:p w14:paraId="00000004" w14:textId="77777777" w:rsidR="00375D3E" w:rsidRDefault="00000000">
      <w:pPr>
        <w:spacing w:line="360" w:lineRule="auto"/>
        <w:rPr>
          <w:sz w:val="24"/>
          <w:szCs w:val="24"/>
        </w:rPr>
      </w:pPr>
      <w:r>
        <w:rPr>
          <w:sz w:val="24"/>
          <w:szCs w:val="24"/>
        </w:rPr>
        <w:t xml:space="preserve">Evidence based practice, also referred to as EBP, can be defined as the integration of the best research evidence available, clinical expertise and experience, and patient values (Parish, 2018).  EBP is about using the best, most up-to-date evidence to make informed decisions about the care of clients.   Stannard (2019) states that there are five iconic steps of EBP which were heavily influenced by Sackett and Rosenberg in the 1990’s.  These steps are; identify the problem, access the best evidence available, critically appraise the evidence, apply the change to practice, and evaluate and measure the change implemented into practice.  EBP has influenced many policies and procedures within a variety of industries, such as healthcare, social care, construction, hospitality, film, TV and farming.  EBP is widely used as it can provide valuable insight into the benefits and drawbacks of particular situations within a given setting.  </w:t>
      </w:r>
    </w:p>
    <w:p w14:paraId="00000005" w14:textId="16E868D1" w:rsidR="00375D3E" w:rsidRDefault="00000000">
      <w:pPr>
        <w:spacing w:line="360" w:lineRule="auto"/>
        <w:rPr>
          <w:sz w:val="24"/>
          <w:szCs w:val="24"/>
        </w:rPr>
      </w:pPr>
      <w:r>
        <w:rPr>
          <w:sz w:val="24"/>
          <w:szCs w:val="24"/>
        </w:rPr>
        <w:t xml:space="preserve">The evidence behind EBP can be a collection of many forms, such </w:t>
      </w:r>
      <w:proofErr w:type="gramStart"/>
      <w:r>
        <w:rPr>
          <w:sz w:val="24"/>
          <w:szCs w:val="24"/>
        </w:rPr>
        <w:t>as</w:t>
      </w:r>
      <w:r w:rsidR="007842C0">
        <w:rPr>
          <w:sz w:val="24"/>
          <w:szCs w:val="24"/>
        </w:rPr>
        <w:t>;</w:t>
      </w:r>
      <w:proofErr w:type="gramEnd"/>
      <w:r>
        <w:rPr>
          <w:sz w:val="24"/>
          <w:szCs w:val="24"/>
        </w:rPr>
        <w:t xml:space="preserve"> questionnaires, published books and journal articles, studies, trials, systematic review, quantitative and qualitative research.  Cooper (2008) and McLeod (2015) state that qualitative research accepts human attitudes and experiences which are molded by personal and cultural influences.  Shenton (2004) states that quantitative research is perceived as more scientific and objective as it focuses on the quantity, such as facts and data, which can be reproduced, without taking into account the whole lived experience. </w:t>
      </w:r>
      <w:r>
        <w:rPr>
          <w:color w:val="4A86E8"/>
          <w:sz w:val="24"/>
          <w:szCs w:val="24"/>
        </w:rPr>
        <w:t xml:space="preserve"> </w:t>
      </w:r>
      <w:r>
        <w:rPr>
          <w:sz w:val="24"/>
          <w:szCs w:val="24"/>
        </w:rPr>
        <w:t xml:space="preserve">When collecting and researching evidence it is important to remember a few key elements; confirmation bias, ethical consideration and that the end result may not be the desired one.  Research can highlight areas which are lacking or already succeeding.  Research can uncover mistakes which may disprove or challenge the desired end goal.  The best development and improvement can derive from mistakes made during research, it can provide the opportunity to learn and grow as individuals and as professionals.  </w:t>
      </w:r>
    </w:p>
    <w:p w14:paraId="00000006" w14:textId="77777777" w:rsidR="00375D3E" w:rsidRDefault="00375D3E">
      <w:pPr>
        <w:spacing w:line="360" w:lineRule="auto"/>
        <w:rPr>
          <w:sz w:val="24"/>
          <w:szCs w:val="24"/>
        </w:rPr>
      </w:pPr>
    </w:p>
    <w:p w14:paraId="00000007" w14:textId="77777777" w:rsidR="00375D3E" w:rsidRDefault="00375D3E">
      <w:pPr>
        <w:spacing w:line="360" w:lineRule="auto"/>
        <w:rPr>
          <w:b/>
          <w:sz w:val="24"/>
          <w:szCs w:val="24"/>
        </w:rPr>
      </w:pPr>
    </w:p>
    <w:p w14:paraId="00000008" w14:textId="77777777" w:rsidR="00375D3E" w:rsidRDefault="00000000">
      <w:pPr>
        <w:spacing w:line="360" w:lineRule="auto"/>
        <w:rPr>
          <w:sz w:val="24"/>
          <w:szCs w:val="24"/>
        </w:rPr>
      </w:pPr>
      <w:r>
        <w:rPr>
          <w:sz w:val="24"/>
          <w:szCs w:val="24"/>
        </w:rPr>
        <w:t xml:space="preserve">The Health and Safety Executive (2023) defines manual handling as the “transporting or supporting of a load by hand or bodily force”, these movements </w:t>
      </w:r>
      <w:proofErr w:type="gramStart"/>
      <w:r>
        <w:rPr>
          <w:sz w:val="24"/>
          <w:szCs w:val="24"/>
        </w:rPr>
        <w:t>include;</w:t>
      </w:r>
      <w:proofErr w:type="gramEnd"/>
      <w:r>
        <w:rPr>
          <w:sz w:val="24"/>
          <w:szCs w:val="24"/>
        </w:rPr>
        <w:t xml:space="preserve"> lifting, pulling, putting down, moving, carrying, restraining or pushing of a load.  A load can be an object, person or animal.  In health and social care, manual handling is often referred to as moving and handling, which not only includes assisting people, yet also the moving and handling of loads such as waste, laundry, catering supplies and equipment.  Most people within the health and social care sector work with these loads </w:t>
      </w:r>
      <w:proofErr w:type="gramStart"/>
      <w:r>
        <w:rPr>
          <w:sz w:val="24"/>
          <w:szCs w:val="24"/>
        </w:rPr>
        <w:t>on a daily basis</w:t>
      </w:r>
      <w:proofErr w:type="gramEnd"/>
      <w:r>
        <w:rPr>
          <w:sz w:val="24"/>
          <w:szCs w:val="24"/>
        </w:rPr>
        <w:t xml:space="preserve">, it is therefore vital to undergo essential training on how to interact and handle these loads, so as to provide a safe working environment for staff, and a safe environment for patients and their family.  When assisting patients with their mobility needs, there is a variety of techniques and helpful equipment to use based on their individual needs.  It is important for any </w:t>
      </w:r>
      <w:proofErr w:type="gramStart"/>
      <w:r>
        <w:rPr>
          <w:sz w:val="24"/>
          <w:szCs w:val="24"/>
        </w:rPr>
        <w:t>work place</w:t>
      </w:r>
      <w:proofErr w:type="gramEnd"/>
      <w:r>
        <w:rPr>
          <w:sz w:val="24"/>
          <w:szCs w:val="24"/>
        </w:rPr>
        <w:t xml:space="preserve"> to have a clear policy on safe patient handling, use of equipment, regular staff training and a risk assessment process (Royal College of Nursing, 2022).  The goal of using any moving and handling equipment is to reduce the risk of harm or injury to both parties involved.  Poor moving and handling techniques can lead to back pain, musculoskeletal disorders, accidents, discomfort, pulled muscles or ligaments and a lack of dignity </w:t>
      </w:r>
      <w:proofErr w:type="gramStart"/>
      <w:r>
        <w:rPr>
          <w:sz w:val="24"/>
          <w:szCs w:val="24"/>
        </w:rPr>
        <w:t>to</w:t>
      </w:r>
      <w:proofErr w:type="gramEnd"/>
      <w:r>
        <w:rPr>
          <w:sz w:val="24"/>
          <w:szCs w:val="24"/>
        </w:rPr>
        <w:t xml:space="preserve"> the person being assisted.</w:t>
      </w:r>
    </w:p>
    <w:p w14:paraId="00000009" w14:textId="77777777" w:rsidR="00375D3E" w:rsidRDefault="00000000">
      <w:pPr>
        <w:spacing w:line="360" w:lineRule="auto"/>
        <w:rPr>
          <w:sz w:val="24"/>
          <w:szCs w:val="24"/>
        </w:rPr>
      </w:pPr>
      <w:r>
        <w:rPr>
          <w:sz w:val="24"/>
          <w:szCs w:val="24"/>
        </w:rPr>
        <w:t xml:space="preserve">A common piece of moving and handling equipment is a hoist, there are several types of hoists which are used depending on the need and place of an individual.  Types of </w:t>
      </w:r>
      <w:proofErr w:type="gramStart"/>
      <w:r>
        <w:rPr>
          <w:sz w:val="24"/>
          <w:szCs w:val="24"/>
        </w:rPr>
        <w:t>hoist</w:t>
      </w:r>
      <w:proofErr w:type="gramEnd"/>
      <w:r>
        <w:rPr>
          <w:sz w:val="24"/>
          <w:szCs w:val="24"/>
        </w:rPr>
        <w:t xml:space="preserve"> can include, static hoist, bath or bathroom hoist, poolside hoist, standing hoist, mobile hoist, ceiling track hoist, gantry hoist and portable hoist (Disabled Living Foundation, 2023).  One of the most common hoists used in health and social care is the mobile hoist, this is often used to transfer people from bed to chair and vice versa.  </w:t>
      </w:r>
    </w:p>
    <w:p w14:paraId="0000000A" w14:textId="77777777" w:rsidR="00375D3E" w:rsidRDefault="00000000">
      <w:pPr>
        <w:spacing w:line="360" w:lineRule="auto"/>
        <w:rPr>
          <w:sz w:val="24"/>
          <w:szCs w:val="24"/>
        </w:rPr>
      </w:pPr>
      <w:proofErr w:type="spellStart"/>
      <w:r>
        <w:rPr>
          <w:sz w:val="24"/>
          <w:szCs w:val="24"/>
        </w:rPr>
        <w:t>Farokhzadian</w:t>
      </w:r>
      <w:proofErr w:type="spellEnd"/>
      <w:r>
        <w:rPr>
          <w:sz w:val="24"/>
          <w:szCs w:val="24"/>
        </w:rPr>
        <w:t xml:space="preserve">, </w:t>
      </w:r>
      <w:proofErr w:type="spellStart"/>
      <w:r>
        <w:rPr>
          <w:sz w:val="24"/>
          <w:szCs w:val="24"/>
        </w:rPr>
        <w:t>Khajouei</w:t>
      </w:r>
      <w:proofErr w:type="spellEnd"/>
      <w:r>
        <w:rPr>
          <w:sz w:val="24"/>
          <w:szCs w:val="24"/>
        </w:rPr>
        <w:t xml:space="preserve"> and Ahmadian (2015) state that nurses play a critical role in the implementation of EBP, as it can improve the quality of care given within a healthcare setting.  The use of hoists in hospitals and care homes has become increasingly popular as they provide the ability to assist those individuals with poor mobility.  Preston (2021) reports on Ted Hoyer and his inspiring story of how he created the first hoist in 1949.  After developing and manufacturing the hoist, there was a demand for it within healthcare, which urged others to build and develop their own versions, through trial and error different hoists were made for different situations.  Through research and experience, health and social care </w:t>
      </w:r>
      <w:r>
        <w:rPr>
          <w:sz w:val="24"/>
          <w:szCs w:val="24"/>
        </w:rPr>
        <w:lastRenderedPageBreak/>
        <w:t xml:space="preserve">have implemented hoists into their practice to aid and benefit the safety, wellbeing, quality of life and quality of care for patients.  Rickett, Orbell and Sheeran (2006) suggest that the use of a hoist is effective and if used correctly enhances the health and safety of all involved.  Not only does the hoist itself alleviate physical pressure and strain on nurses and care staff, </w:t>
      </w:r>
      <w:proofErr w:type="gramStart"/>
      <w:r>
        <w:rPr>
          <w:sz w:val="24"/>
          <w:szCs w:val="24"/>
        </w:rPr>
        <w:t>it</w:t>
      </w:r>
      <w:proofErr w:type="gramEnd"/>
      <w:r>
        <w:rPr>
          <w:sz w:val="24"/>
          <w:szCs w:val="24"/>
        </w:rPr>
        <w:t xml:space="preserve"> provides an opportunity of a better quality life and contributes to the independence and dignity of patients. </w:t>
      </w:r>
    </w:p>
    <w:p w14:paraId="0000000B" w14:textId="77777777" w:rsidR="00375D3E" w:rsidRDefault="00000000">
      <w:pPr>
        <w:spacing w:line="360" w:lineRule="auto"/>
        <w:rPr>
          <w:sz w:val="24"/>
          <w:szCs w:val="24"/>
        </w:rPr>
      </w:pPr>
      <w:r>
        <w:rPr>
          <w:sz w:val="24"/>
          <w:szCs w:val="24"/>
        </w:rPr>
        <w:t xml:space="preserve">EBP and its research is a useful and effective system for understanding and highlighting areas in need of improvement, and areas which are already succeeding.  EBP can allow for the development and improvement of quality care given throughout health and social care.  EBP has proven to be a vital source of knowledge and evidence as it demonstrates the value of research and its connection with practice.  Health and social care </w:t>
      </w:r>
      <w:proofErr w:type="gramStart"/>
      <w:r>
        <w:rPr>
          <w:sz w:val="24"/>
          <w:szCs w:val="24"/>
        </w:rPr>
        <w:t>has</w:t>
      </w:r>
      <w:proofErr w:type="gramEnd"/>
      <w:r>
        <w:rPr>
          <w:sz w:val="24"/>
          <w:szCs w:val="24"/>
        </w:rPr>
        <w:t xml:space="preserve"> seen an increased use of EBP, with greater positive outcomes over negative outcomes.  EBP has influenced moving and handling procedures whilst keeping the focus on improving the safety and wellbeing of patients and staff.  There is always room for further development, especially as the demands and needs of patients </w:t>
      </w:r>
      <w:proofErr w:type="gramStart"/>
      <w:r>
        <w:rPr>
          <w:sz w:val="24"/>
          <w:szCs w:val="24"/>
        </w:rPr>
        <w:t>changes</w:t>
      </w:r>
      <w:proofErr w:type="gramEnd"/>
      <w:r>
        <w:rPr>
          <w:sz w:val="24"/>
          <w:szCs w:val="24"/>
        </w:rPr>
        <w:t xml:space="preserve"> over time.</w:t>
      </w:r>
    </w:p>
    <w:p w14:paraId="0000000C" w14:textId="77777777" w:rsidR="00375D3E" w:rsidRDefault="00375D3E">
      <w:pPr>
        <w:spacing w:line="360" w:lineRule="auto"/>
        <w:rPr>
          <w:color w:val="FF0000"/>
          <w:sz w:val="24"/>
          <w:szCs w:val="24"/>
        </w:rPr>
      </w:pPr>
    </w:p>
    <w:p w14:paraId="0000000D" w14:textId="77777777" w:rsidR="00375D3E" w:rsidRDefault="00375D3E">
      <w:pPr>
        <w:spacing w:line="360" w:lineRule="auto"/>
        <w:rPr>
          <w:color w:val="FF0000"/>
          <w:sz w:val="24"/>
          <w:szCs w:val="24"/>
        </w:rPr>
      </w:pPr>
    </w:p>
    <w:p w14:paraId="0000000E" w14:textId="77777777" w:rsidR="00375D3E" w:rsidRDefault="00375D3E">
      <w:pPr>
        <w:spacing w:line="360" w:lineRule="auto"/>
        <w:rPr>
          <w:color w:val="FF0000"/>
          <w:sz w:val="24"/>
          <w:szCs w:val="24"/>
        </w:rPr>
      </w:pPr>
    </w:p>
    <w:p w14:paraId="0000000F" w14:textId="77777777" w:rsidR="00375D3E" w:rsidRDefault="00375D3E">
      <w:pPr>
        <w:spacing w:line="360" w:lineRule="auto"/>
        <w:rPr>
          <w:color w:val="FF0000"/>
          <w:sz w:val="24"/>
          <w:szCs w:val="24"/>
        </w:rPr>
      </w:pPr>
    </w:p>
    <w:p w14:paraId="00000010" w14:textId="77777777" w:rsidR="00375D3E" w:rsidRDefault="00375D3E">
      <w:pPr>
        <w:spacing w:line="360" w:lineRule="auto"/>
        <w:rPr>
          <w:color w:val="FF0000"/>
          <w:sz w:val="24"/>
          <w:szCs w:val="24"/>
        </w:rPr>
      </w:pPr>
    </w:p>
    <w:p w14:paraId="00000011" w14:textId="77777777" w:rsidR="00375D3E" w:rsidRDefault="00375D3E">
      <w:pPr>
        <w:spacing w:line="360" w:lineRule="auto"/>
        <w:rPr>
          <w:color w:val="FF0000"/>
          <w:sz w:val="24"/>
          <w:szCs w:val="24"/>
        </w:rPr>
      </w:pPr>
    </w:p>
    <w:p w14:paraId="00000012" w14:textId="77777777" w:rsidR="00375D3E" w:rsidRDefault="00375D3E">
      <w:pPr>
        <w:spacing w:line="360" w:lineRule="auto"/>
        <w:rPr>
          <w:color w:val="FF0000"/>
          <w:sz w:val="24"/>
          <w:szCs w:val="24"/>
        </w:rPr>
      </w:pPr>
    </w:p>
    <w:p w14:paraId="00000013" w14:textId="77777777" w:rsidR="00375D3E" w:rsidRDefault="00375D3E">
      <w:pPr>
        <w:spacing w:line="360" w:lineRule="auto"/>
        <w:rPr>
          <w:color w:val="FF0000"/>
          <w:sz w:val="24"/>
          <w:szCs w:val="24"/>
        </w:rPr>
      </w:pPr>
    </w:p>
    <w:p w14:paraId="00000014" w14:textId="77777777" w:rsidR="00375D3E" w:rsidRDefault="00375D3E">
      <w:pPr>
        <w:spacing w:line="360" w:lineRule="auto"/>
        <w:rPr>
          <w:color w:val="FF0000"/>
          <w:sz w:val="24"/>
          <w:szCs w:val="24"/>
        </w:rPr>
      </w:pPr>
    </w:p>
    <w:p w14:paraId="00000015" w14:textId="77777777" w:rsidR="00375D3E" w:rsidRDefault="00375D3E">
      <w:pPr>
        <w:spacing w:line="360" w:lineRule="auto"/>
        <w:rPr>
          <w:color w:val="FF0000"/>
          <w:sz w:val="24"/>
          <w:szCs w:val="24"/>
        </w:rPr>
      </w:pPr>
    </w:p>
    <w:p w14:paraId="00000016" w14:textId="77777777" w:rsidR="00375D3E" w:rsidRDefault="00375D3E">
      <w:pPr>
        <w:spacing w:line="360" w:lineRule="auto"/>
        <w:rPr>
          <w:color w:val="FF0000"/>
          <w:sz w:val="24"/>
          <w:szCs w:val="24"/>
        </w:rPr>
      </w:pPr>
    </w:p>
    <w:p w14:paraId="00000017" w14:textId="77777777" w:rsidR="00375D3E" w:rsidRDefault="00375D3E">
      <w:pPr>
        <w:spacing w:line="360" w:lineRule="auto"/>
        <w:rPr>
          <w:color w:val="FF0000"/>
          <w:sz w:val="24"/>
          <w:szCs w:val="24"/>
        </w:rPr>
      </w:pPr>
    </w:p>
    <w:p w14:paraId="00000018" w14:textId="77777777" w:rsidR="00375D3E" w:rsidRDefault="00000000">
      <w:pPr>
        <w:spacing w:line="360" w:lineRule="auto"/>
        <w:rPr>
          <w:b/>
          <w:sz w:val="24"/>
          <w:szCs w:val="24"/>
          <w:u w:val="single"/>
        </w:rPr>
      </w:pPr>
      <w:r>
        <w:rPr>
          <w:b/>
          <w:sz w:val="24"/>
          <w:szCs w:val="24"/>
          <w:u w:val="single"/>
        </w:rPr>
        <w:lastRenderedPageBreak/>
        <w:t>References</w:t>
      </w:r>
    </w:p>
    <w:p w14:paraId="00000019" w14:textId="77777777" w:rsidR="00375D3E" w:rsidRDefault="00000000">
      <w:pPr>
        <w:spacing w:line="360" w:lineRule="auto"/>
        <w:rPr>
          <w:sz w:val="24"/>
          <w:szCs w:val="24"/>
        </w:rPr>
      </w:pPr>
      <w:r>
        <w:rPr>
          <w:sz w:val="24"/>
          <w:szCs w:val="24"/>
        </w:rPr>
        <w:t xml:space="preserve">Cooper, M. (2008) </w:t>
      </w:r>
      <w:r>
        <w:rPr>
          <w:i/>
          <w:sz w:val="24"/>
          <w:szCs w:val="24"/>
        </w:rPr>
        <w:t>Essential Research Findings in Counselling and Psychotherapy.</w:t>
      </w:r>
      <w:r>
        <w:rPr>
          <w:sz w:val="24"/>
          <w:szCs w:val="24"/>
        </w:rPr>
        <w:t xml:space="preserve"> London: Sage. </w:t>
      </w:r>
    </w:p>
    <w:p w14:paraId="0000001A" w14:textId="77777777" w:rsidR="00375D3E" w:rsidRDefault="00000000">
      <w:pPr>
        <w:spacing w:line="360" w:lineRule="auto"/>
        <w:rPr>
          <w:sz w:val="24"/>
          <w:szCs w:val="24"/>
        </w:rPr>
      </w:pPr>
      <w:r>
        <w:rPr>
          <w:sz w:val="24"/>
          <w:szCs w:val="24"/>
        </w:rPr>
        <w:t xml:space="preserve">Disabled Living Foundation (2023) </w:t>
      </w:r>
      <w:r>
        <w:rPr>
          <w:i/>
          <w:sz w:val="24"/>
          <w:szCs w:val="24"/>
        </w:rPr>
        <w:t xml:space="preserve">Choosing a hoist and sling for lifting people. </w:t>
      </w:r>
      <w:r>
        <w:rPr>
          <w:sz w:val="24"/>
          <w:szCs w:val="24"/>
        </w:rPr>
        <w:t xml:space="preserve">Available at: </w:t>
      </w:r>
      <w:hyperlink r:id="rId5">
        <w:r>
          <w:rPr>
            <w:sz w:val="24"/>
            <w:szCs w:val="24"/>
          </w:rPr>
          <w:t>https://livingmadeeasy.org.uk/dlf-factsheets/choosing-a-hoist-and-slings-for-lifting-people</w:t>
        </w:r>
      </w:hyperlink>
      <w:r>
        <w:rPr>
          <w:sz w:val="24"/>
          <w:szCs w:val="24"/>
        </w:rPr>
        <w:t xml:space="preserve"> (Accessed on 28th April 2023).</w:t>
      </w:r>
    </w:p>
    <w:p w14:paraId="0000001B" w14:textId="77777777" w:rsidR="00375D3E" w:rsidRDefault="00000000">
      <w:pPr>
        <w:spacing w:line="360" w:lineRule="auto"/>
        <w:rPr>
          <w:sz w:val="24"/>
          <w:szCs w:val="24"/>
        </w:rPr>
      </w:pPr>
      <w:proofErr w:type="spellStart"/>
      <w:r>
        <w:rPr>
          <w:sz w:val="24"/>
          <w:szCs w:val="24"/>
        </w:rPr>
        <w:t>Farokhzadian</w:t>
      </w:r>
      <w:proofErr w:type="spellEnd"/>
      <w:r>
        <w:rPr>
          <w:sz w:val="24"/>
          <w:szCs w:val="24"/>
        </w:rPr>
        <w:t xml:space="preserve">, J., </w:t>
      </w:r>
      <w:proofErr w:type="spellStart"/>
      <w:r>
        <w:rPr>
          <w:sz w:val="24"/>
          <w:szCs w:val="24"/>
        </w:rPr>
        <w:t>Khajouei</w:t>
      </w:r>
      <w:proofErr w:type="spellEnd"/>
      <w:r>
        <w:rPr>
          <w:sz w:val="24"/>
          <w:szCs w:val="24"/>
        </w:rPr>
        <w:t xml:space="preserve">, R. and Ahmadian, L. (2015) ‘Evaluating factors associated with implementing evidence-based practice in nursing’, </w:t>
      </w:r>
      <w:r>
        <w:rPr>
          <w:i/>
          <w:sz w:val="24"/>
          <w:szCs w:val="24"/>
        </w:rPr>
        <w:t xml:space="preserve">Journal of Evaluation in Clinical Practice, </w:t>
      </w:r>
      <w:r>
        <w:rPr>
          <w:sz w:val="24"/>
          <w:szCs w:val="24"/>
        </w:rPr>
        <w:t>21(6), pp. 1107-1113.</w:t>
      </w:r>
    </w:p>
    <w:p w14:paraId="0000001C" w14:textId="77777777" w:rsidR="00375D3E" w:rsidRDefault="00000000">
      <w:pPr>
        <w:spacing w:line="360" w:lineRule="auto"/>
        <w:rPr>
          <w:sz w:val="24"/>
          <w:szCs w:val="24"/>
        </w:rPr>
      </w:pPr>
      <w:r>
        <w:rPr>
          <w:sz w:val="24"/>
          <w:szCs w:val="24"/>
        </w:rPr>
        <w:t xml:space="preserve">Health and Safety Executive (2023) </w:t>
      </w:r>
      <w:r>
        <w:rPr>
          <w:i/>
          <w:sz w:val="24"/>
          <w:szCs w:val="24"/>
        </w:rPr>
        <w:t xml:space="preserve">Manual handling at work. </w:t>
      </w:r>
      <w:r>
        <w:rPr>
          <w:sz w:val="24"/>
          <w:szCs w:val="24"/>
        </w:rPr>
        <w:t xml:space="preserve">Available at: </w:t>
      </w:r>
      <w:hyperlink r:id="rId6">
        <w:r>
          <w:rPr>
            <w:sz w:val="24"/>
            <w:szCs w:val="24"/>
          </w:rPr>
          <w:t>https://www.hse.gov.uk/msd/manual-handling/index.htm</w:t>
        </w:r>
      </w:hyperlink>
      <w:r>
        <w:rPr>
          <w:sz w:val="24"/>
          <w:szCs w:val="24"/>
        </w:rPr>
        <w:t xml:space="preserve"> (Accessed on 28th April 2023).</w:t>
      </w:r>
    </w:p>
    <w:p w14:paraId="0000001D" w14:textId="77777777" w:rsidR="00375D3E" w:rsidRDefault="00000000">
      <w:pPr>
        <w:spacing w:line="360" w:lineRule="auto"/>
        <w:rPr>
          <w:sz w:val="24"/>
          <w:szCs w:val="24"/>
        </w:rPr>
      </w:pPr>
      <w:r>
        <w:rPr>
          <w:sz w:val="24"/>
          <w:szCs w:val="24"/>
        </w:rPr>
        <w:t xml:space="preserve">McLeod, J. (2015) </w:t>
      </w:r>
      <w:r>
        <w:rPr>
          <w:i/>
          <w:sz w:val="24"/>
          <w:szCs w:val="24"/>
        </w:rPr>
        <w:t>Doing Research in Counselling and Psychotherapy</w:t>
      </w:r>
      <w:r>
        <w:rPr>
          <w:sz w:val="24"/>
          <w:szCs w:val="24"/>
        </w:rPr>
        <w:t>. London: Sage.</w:t>
      </w:r>
    </w:p>
    <w:p w14:paraId="0000001E" w14:textId="77777777" w:rsidR="00375D3E" w:rsidRDefault="00000000">
      <w:pPr>
        <w:spacing w:line="360" w:lineRule="auto"/>
        <w:rPr>
          <w:sz w:val="24"/>
          <w:szCs w:val="24"/>
        </w:rPr>
      </w:pPr>
      <w:r>
        <w:rPr>
          <w:sz w:val="24"/>
          <w:szCs w:val="24"/>
        </w:rPr>
        <w:t xml:space="preserve">Parrish, D. E. (2018) ‘Evidence-Based Practice: A Common Definition Matters’, </w:t>
      </w:r>
      <w:r>
        <w:rPr>
          <w:i/>
          <w:sz w:val="24"/>
          <w:szCs w:val="24"/>
        </w:rPr>
        <w:t>Journal of Social Work Education</w:t>
      </w:r>
      <w:r>
        <w:rPr>
          <w:sz w:val="24"/>
          <w:szCs w:val="24"/>
        </w:rPr>
        <w:t>, 54(3), pp. 407–411.</w:t>
      </w:r>
    </w:p>
    <w:p w14:paraId="0000001F" w14:textId="77777777" w:rsidR="00375D3E" w:rsidRDefault="00000000">
      <w:pPr>
        <w:spacing w:line="360" w:lineRule="auto"/>
        <w:rPr>
          <w:sz w:val="24"/>
          <w:szCs w:val="24"/>
        </w:rPr>
      </w:pPr>
      <w:r>
        <w:rPr>
          <w:sz w:val="24"/>
          <w:szCs w:val="24"/>
        </w:rPr>
        <w:t xml:space="preserve">Preston, R. (2021) </w:t>
      </w:r>
      <w:r>
        <w:rPr>
          <w:i/>
          <w:sz w:val="24"/>
          <w:szCs w:val="24"/>
        </w:rPr>
        <w:t xml:space="preserve">The Man Behind the Hoyer Lift. </w:t>
      </w:r>
      <w:r>
        <w:rPr>
          <w:sz w:val="24"/>
          <w:szCs w:val="24"/>
        </w:rPr>
        <w:t xml:space="preserve">Available at: </w:t>
      </w:r>
      <w:hyperlink r:id="rId7">
        <w:r>
          <w:rPr>
            <w:sz w:val="24"/>
            <w:szCs w:val="24"/>
          </w:rPr>
          <w:t>https://medmartonline.com/blog/the-man-behind-the-hoyer-lift/</w:t>
        </w:r>
      </w:hyperlink>
      <w:r>
        <w:rPr>
          <w:sz w:val="24"/>
          <w:szCs w:val="24"/>
        </w:rPr>
        <w:t xml:space="preserve"> (Accessed on 28th April 2023).</w:t>
      </w:r>
    </w:p>
    <w:p w14:paraId="00000020" w14:textId="77777777" w:rsidR="00375D3E" w:rsidRDefault="00000000">
      <w:pPr>
        <w:spacing w:line="360" w:lineRule="auto"/>
        <w:rPr>
          <w:sz w:val="24"/>
          <w:szCs w:val="24"/>
        </w:rPr>
      </w:pPr>
      <w:r>
        <w:rPr>
          <w:sz w:val="24"/>
          <w:szCs w:val="24"/>
        </w:rPr>
        <w:t xml:space="preserve">Rickett, B., Orbell, S. and Sheeran, P. (2006) ‘Social-Cognitive Determinants of Hoist Usage Among Health Care Workers’, </w:t>
      </w:r>
      <w:r>
        <w:rPr>
          <w:i/>
          <w:sz w:val="24"/>
          <w:szCs w:val="24"/>
        </w:rPr>
        <w:t>Journal of Occupational Health Psychology</w:t>
      </w:r>
      <w:r>
        <w:rPr>
          <w:sz w:val="24"/>
          <w:szCs w:val="24"/>
        </w:rPr>
        <w:t xml:space="preserve">, 11(2), pp. 182–196. </w:t>
      </w:r>
    </w:p>
    <w:p w14:paraId="00000021" w14:textId="77777777" w:rsidR="00375D3E" w:rsidRDefault="00000000">
      <w:pPr>
        <w:spacing w:line="360" w:lineRule="auto"/>
        <w:rPr>
          <w:sz w:val="24"/>
          <w:szCs w:val="24"/>
        </w:rPr>
      </w:pPr>
      <w:r>
        <w:rPr>
          <w:sz w:val="24"/>
          <w:szCs w:val="24"/>
        </w:rPr>
        <w:t xml:space="preserve">Royal College of Nursing (2022) </w:t>
      </w:r>
      <w:r>
        <w:rPr>
          <w:i/>
          <w:sz w:val="24"/>
          <w:szCs w:val="24"/>
        </w:rPr>
        <w:t xml:space="preserve">Moving and Handling. </w:t>
      </w:r>
      <w:r>
        <w:rPr>
          <w:sz w:val="24"/>
          <w:szCs w:val="24"/>
        </w:rPr>
        <w:t xml:space="preserve">Available at: </w:t>
      </w:r>
      <w:hyperlink r:id="rId8">
        <w:r>
          <w:rPr>
            <w:sz w:val="24"/>
            <w:szCs w:val="24"/>
          </w:rPr>
          <w:t>https://www.rcn.org.uk/Get-Help/RCN-advice/moving-and-handling</w:t>
        </w:r>
      </w:hyperlink>
      <w:r>
        <w:rPr>
          <w:sz w:val="24"/>
          <w:szCs w:val="24"/>
        </w:rPr>
        <w:t xml:space="preserve"> (Accessed on 28th April 2023).</w:t>
      </w:r>
    </w:p>
    <w:p w14:paraId="00000022" w14:textId="77777777" w:rsidR="00375D3E" w:rsidRDefault="00000000">
      <w:pPr>
        <w:spacing w:line="360" w:lineRule="auto"/>
        <w:rPr>
          <w:sz w:val="24"/>
          <w:szCs w:val="24"/>
        </w:rPr>
      </w:pPr>
      <w:r>
        <w:rPr>
          <w:sz w:val="24"/>
          <w:szCs w:val="24"/>
        </w:rPr>
        <w:t xml:space="preserve">Shenton, A. K. (2004) </w:t>
      </w:r>
      <w:r>
        <w:rPr>
          <w:i/>
          <w:sz w:val="24"/>
          <w:szCs w:val="24"/>
        </w:rPr>
        <w:t>Strategies for Ensuring Trustworthiness in Qualitative Research Projects.</w:t>
      </w:r>
      <w:r>
        <w:rPr>
          <w:sz w:val="24"/>
          <w:szCs w:val="24"/>
        </w:rPr>
        <w:t xml:space="preserve"> Available </w:t>
      </w:r>
      <w:proofErr w:type="gramStart"/>
      <w:r>
        <w:rPr>
          <w:sz w:val="24"/>
          <w:szCs w:val="24"/>
        </w:rPr>
        <w:t>at :</w:t>
      </w:r>
      <w:proofErr w:type="gramEnd"/>
      <w:r>
        <w:rPr>
          <w:sz w:val="24"/>
          <w:szCs w:val="24"/>
        </w:rPr>
        <w:t xml:space="preserve"> https://eric.ed.gov/?id=EJ792970 (Accessed on 19</w:t>
      </w:r>
      <w:r>
        <w:rPr>
          <w:sz w:val="24"/>
          <w:szCs w:val="24"/>
          <w:vertAlign w:val="superscript"/>
        </w:rPr>
        <w:t>th</w:t>
      </w:r>
      <w:r>
        <w:rPr>
          <w:sz w:val="24"/>
          <w:szCs w:val="24"/>
        </w:rPr>
        <w:t xml:space="preserve"> April 2023).</w:t>
      </w:r>
    </w:p>
    <w:p w14:paraId="00000023" w14:textId="77777777" w:rsidR="00375D3E" w:rsidRDefault="00000000">
      <w:pPr>
        <w:spacing w:line="360" w:lineRule="auto"/>
        <w:rPr>
          <w:sz w:val="24"/>
          <w:szCs w:val="24"/>
        </w:rPr>
      </w:pPr>
      <w:r>
        <w:rPr>
          <w:sz w:val="24"/>
          <w:szCs w:val="24"/>
        </w:rPr>
        <w:t xml:space="preserve">Stannard, D. (2019) ‘A Practical Definition of Evidence-Based Practice for Nursing’, </w:t>
      </w:r>
      <w:r>
        <w:rPr>
          <w:i/>
          <w:sz w:val="24"/>
          <w:szCs w:val="24"/>
        </w:rPr>
        <w:t xml:space="preserve">Journal of </w:t>
      </w:r>
      <w:proofErr w:type="spellStart"/>
      <w:r>
        <w:rPr>
          <w:i/>
          <w:sz w:val="24"/>
          <w:szCs w:val="24"/>
        </w:rPr>
        <w:t>Perianesthesia</w:t>
      </w:r>
      <w:proofErr w:type="spellEnd"/>
      <w:r>
        <w:rPr>
          <w:i/>
          <w:sz w:val="24"/>
          <w:szCs w:val="24"/>
        </w:rPr>
        <w:t xml:space="preserve"> Nursing</w:t>
      </w:r>
      <w:r>
        <w:rPr>
          <w:sz w:val="24"/>
          <w:szCs w:val="24"/>
        </w:rPr>
        <w:t>, 34(5), pp. 1080–1084.</w:t>
      </w:r>
    </w:p>
    <w:sectPr w:rsidR="00375D3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D3E"/>
    <w:rsid w:val="00375D3E"/>
    <w:rsid w:val="00784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4FBA"/>
  <w15:docId w15:val="{9EFBFA98-22E8-40AE-B9BA-05F55180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cn.org.uk/Get-Help/RCN-advice/moving-and-handling" TargetMode="External"/><Relationship Id="rId3" Type="http://schemas.openxmlformats.org/officeDocument/2006/relationships/settings" Target="settings.xml"/><Relationship Id="rId7" Type="http://schemas.openxmlformats.org/officeDocument/2006/relationships/hyperlink" Target="https://medmartonline.com/blog/the-man-behind-the-hoyer-lif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se.gov.uk/msd/manual-handling/index.htm" TargetMode="External"/><Relationship Id="rId5" Type="http://schemas.openxmlformats.org/officeDocument/2006/relationships/hyperlink" Target="https://livingmadeeasy.org.uk/dlf-factsheets/choosing-a-hoist-and-slings-for-lifting-peop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Zc7ifxTwRBJibaBDqRlzBiBluA==">AMUW2mVV6jn/jxtCW7KaknKpQc7ApBOqGSAmBa4J01DUg9SULBmfvFARmjbvd5GyRdbNhhQ8iFF1jVBtUaoldH2sPMshV9sKf6PPrmVal+886WkmzqyKerY=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1256</Words>
  <Characters>7160</Characters>
  <Application>Microsoft Office Word</Application>
  <DocSecurity>0</DocSecurity>
  <Lines>59</Lines>
  <Paragraphs>16</Paragraphs>
  <ScaleCrop>false</ScaleCrop>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 Hutchinson</dc:creator>
  <cp:lastModifiedBy>steven james</cp:lastModifiedBy>
  <cp:revision>2</cp:revision>
  <dcterms:created xsi:type="dcterms:W3CDTF">2023-04-28T19:57:00Z</dcterms:created>
  <dcterms:modified xsi:type="dcterms:W3CDTF">2023-04-28T19:57:00Z</dcterms:modified>
</cp:coreProperties>
</file>