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6BBF" w:rsidRDefault="00793F0C"/>
    <w:p w:rsidR="00CF0954" w:rsidRDefault="00CF0954"/>
    <w:p w:rsidR="00CF0954" w:rsidRDefault="00CF0954" w:rsidP="00CF0954">
      <w:pPr>
        <w:spacing w:before="120" w:after="120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Ensuring that team performance criteria are included, describe the creation of a multi-disciplinary team that has the task of implementing business process re-engineering to successfully meet corporate objectives within your organisation </w:t>
      </w:r>
    </w:p>
    <w:p w:rsidR="00CF0954" w:rsidRDefault="00CF0954" w:rsidP="00CF0954">
      <w:pPr>
        <w:spacing w:before="120" w:after="120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(Assessment Criteria 1.2.1, 1.2.2, 3.1.1, 3.2.1, 3.2.2, 3.3.1</w:t>
      </w:r>
      <w:proofErr w:type="gramStart"/>
      <w:r>
        <w:rPr>
          <w:b/>
          <w:sz w:val="24"/>
          <w:szCs w:val="24"/>
        </w:rPr>
        <w:t>,3.3.2,3.3.3</w:t>
      </w:r>
      <w:proofErr w:type="gramEnd"/>
      <w:r>
        <w:rPr>
          <w:b/>
          <w:sz w:val="24"/>
          <w:szCs w:val="24"/>
        </w:rPr>
        <w:t xml:space="preserve"> and 3.4.1) . </w:t>
      </w:r>
    </w:p>
    <w:p w:rsidR="00CF0954" w:rsidRDefault="00CF0954"/>
    <w:p w:rsidR="00CF0954" w:rsidRDefault="00CF0954"/>
    <w:tbl>
      <w:tblPr>
        <w:tblW w:w="9906" w:type="dxa"/>
        <w:tblInd w:w="108" w:type="dxa"/>
        <w:tblLook w:val="04A0" w:firstRow="1" w:lastRow="0" w:firstColumn="1" w:lastColumn="0" w:noHBand="0" w:noVBand="1"/>
      </w:tblPr>
      <w:tblGrid>
        <w:gridCol w:w="2960"/>
        <w:gridCol w:w="640"/>
        <w:gridCol w:w="2950"/>
        <w:gridCol w:w="3120"/>
        <w:gridCol w:w="236"/>
      </w:tblGrid>
      <w:tr w:rsidR="00CF0954" w:rsidTr="00CF0954">
        <w:trPr>
          <w:gridAfter w:val="1"/>
          <w:wAfter w:w="236" w:type="dxa"/>
          <w:trHeight w:val="255"/>
        </w:trPr>
        <w:tc>
          <w:tcPr>
            <w:tcW w:w="2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Learning Outcome - The learner will:</w:t>
            </w:r>
          </w:p>
        </w:tc>
        <w:tc>
          <w:tcPr>
            <w:tcW w:w="359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Assessment Criterion - The learner can:</w:t>
            </w:r>
          </w:p>
        </w:tc>
        <w:tc>
          <w:tcPr>
            <w:tcW w:w="3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:rsidR="00CF0954" w:rsidRDefault="00CF0954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Demonstrated in Paragraph(s)</w:t>
            </w:r>
          </w:p>
        </w:tc>
      </w:tr>
      <w:tr w:rsidR="00CF0954" w:rsidTr="00CF0954">
        <w:trPr>
          <w:trHeight w:val="450"/>
        </w:trPr>
        <w:tc>
          <w:tcPr>
            <w:tcW w:w="296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Understand how an organisation achieves its objectives</w:t>
            </w: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1.2.1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Demonstrate how to manage individual activities to meet corporate objectives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[Rowland, 2012 #179]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(Rowland, 2012)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450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1.2.2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 w:rsidP="00CF0954">
            <w:pPr>
              <w:suppressAutoHyphens w:val="0"/>
              <w:ind w:right="-3298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Demonstrate how to manage team </w:t>
            </w:r>
          </w:p>
          <w:p w:rsidR="00CF0954" w:rsidRDefault="00CF0954" w:rsidP="00CF0954">
            <w:pPr>
              <w:suppressAutoHyphens w:val="0"/>
              <w:ind w:right="-3298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activities to meet corporate objectives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[Belbin, 2010 #180]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(Belbin, 2010)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450"/>
        </w:trPr>
        <w:tc>
          <w:tcPr>
            <w:tcW w:w="2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Know the principles for recruiting and selecting staff</w:t>
            </w: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3.1.1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Implement an effective process for the recruitment and selection of staff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 w:rsidP="00793F0C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[Pinnington, 2007 #183]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(Pinnington et al., 2007)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[Torrington, 2014 #182]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(Torrington et al., 201</w:t>
            </w:r>
            <w:r w:rsidR="00793F0C">
              <w:rPr>
                <w:rFonts w:eastAsiaTheme="minorHAnsi"/>
                <w:noProof/>
                <w:color w:val="auto"/>
                <w:szCs w:val="24"/>
                <w:lang w:eastAsia="en-US"/>
              </w:rPr>
              <w:t>7</w:t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450"/>
        </w:trPr>
        <w:tc>
          <w:tcPr>
            <w:tcW w:w="296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Understand the importance of and the process for developing and motivating people</w:t>
            </w: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3.2.1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Demonstrate how to motivate and develop him/herself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450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3.2.2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Demonstrate how to motivate and develop other people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[Rowland, 2012 #179]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(Rowland, 2012)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[Belbin, 2010 #180]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(Belbin, 2010)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450"/>
        </w:trPr>
        <w:tc>
          <w:tcPr>
            <w:tcW w:w="2960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Understand the principles of team development and management</w:t>
            </w: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3.3.1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Select a team from a group of individuals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[Belbin, 2010 #180]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(Belbin, 2010)</w:t>
            </w:r>
            <w:r>
              <w:rPr>
                <w:szCs w:val="24"/>
              </w:rPr>
              <w:fldChar w:fldCharType="end"/>
            </w:r>
            <w:r>
              <w:rPr>
                <w:szCs w:val="24"/>
              </w:rPr>
              <w:t xml:space="preserve"> 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[Rowland, 2012 #179]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(Rowland, 2012)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900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3.3.2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Illustrate how to plan, organise, direct and control the work of others to ensure that the desired outcomes are achieved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[Biech, 2008 #178]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(Biech, 2008)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[Rowland, 2012 #179]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(Rowland, 2012)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675"/>
        </w:trPr>
        <w:tc>
          <w:tcPr>
            <w:tcW w:w="0" w:type="auto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3.3.3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Demonstrate how to communicate effectively with all levels in an organisation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[Rowland, 2012 #179]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(Rowland, 2012)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  <w:tr w:rsidR="00CF0954" w:rsidTr="00CF0954">
        <w:trPr>
          <w:trHeight w:val="675"/>
        </w:trPr>
        <w:tc>
          <w:tcPr>
            <w:tcW w:w="2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Understand the key legal requirements for working with other people</w:t>
            </w:r>
          </w:p>
        </w:tc>
        <w:tc>
          <w:tcPr>
            <w:tcW w:w="6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CF0954" w:rsidRDefault="00CF0954">
            <w:pPr>
              <w:suppressAutoHyphens w:val="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3.4.1</w:t>
            </w:r>
          </w:p>
        </w:tc>
        <w:tc>
          <w:tcPr>
            <w:tcW w:w="2950" w:type="dxa"/>
            <w:tcBorders>
              <w:top w:val="nil"/>
              <w:left w:val="nil"/>
              <w:bottom w:val="single" w:sz="4" w:space="0" w:color="000000"/>
              <w:right w:val="nil"/>
            </w:tcBorders>
            <w:vAlign w:val="center"/>
            <w:hideMark/>
          </w:tcPr>
          <w:p w:rsidR="00CF0954" w:rsidRDefault="00CF0954">
            <w:pPr>
              <w:suppressAutoHyphens w:val="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Illustrate how to ensure compliance with current employment, health and safety and discrimination laws</w:t>
            </w:r>
          </w:p>
        </w:tc>
        <w:tc>
          <w:tcPr>
            <w:tcW w:w="3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:rsidR="00CF0954" w:rsidRPr="00CF0954" w:rsidRDefault="00CF0954" w:rsidP="00793F0C">
            <w:pPr>
              <w:suppressAutoHyphens w:val="0"/>
              <w:rPr>
                <w:color w:val="auto"/>
              </w:rPr>
            </w:pPr>
            <w:r>
              <w:rPr>
                <w:color w:val="auto"/>
              </w:rPr>
              <w:t> 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[Pinnington, 2007 #183]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(Pinnington et al., 2007)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  <w:r>
              <w:rPr>
                <w:szCs w:val="24"/>
              </w:rPr>
              <w:fldChar w:fldCharType="begin"/>
            </w:r>
            <w:r>
              <w:rPr>
                <w:szCs w:val="24"/>
              </w:rPr>
              <w:instrText>ADDIN BSP.CITE [Torrington, 2014 #182]</w:instrText>
            </w:r>
            <w:r>
              <w:rPr>
                <w:szCs w:val="24"/>
              </w:rPr>
              <w:fldChar w:fldCharType="separate"/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(Torrington et al., 201</w:t>
            </w:r>
            <w:r w:rsidR="00793F0C">
              <w:rPr>
                <w:rFonts w:eastAsiaTheme="minorHAnsi"/>
                <w:noProof/>
                <w:color w:val="auto"/>
                <w:szCs w:val="24"/>
                <w:lang w:eastAsia="en-US"/>
              </w:rPr>
              <w:t>7</w:t>
            </w:r>
            <w:r w:rsidRPr="00CF0954">
              <w:rPr>
                <w:rFonts w:eastAsiaTheme="minorHAnsi"/>
                <w:noProof/>
                <w:color w:val="auto"/>
                <w:szCs w:val="24"/>
                <w:lang w:eastAsia="en-US"/>
              </w:rPr>
              <w:t>)</w:t>
            </w:r>
            <w:r>
              <w:rPr>
                <w:szCs w:val="24"/>
              </w:rPr>
              <w:fldChar w:fldCharType="end"/>
            </w:r>
            <w:r w:rsidRPr="00CF0954">
              <w:rPr>
                <w:color w:val="auto"/>
              </w:rPr>
              <w:t xml:space="preserve"> </w:t>
            </w:r>
          </w:p>
        </w:tc>
        <w:tc>
          <w:tcPr>
            <w:tcW w:w="236" w:type="dxa"/>
            <w:vAlign w:val="center"/>
            <w:hideMark/>
          </w:tcPr>
          <w:p w:rsidR="00CF0954" w:rsidRDefault="00CF0954">
            <w:pPr>
              <w:suppressAutoHyphens w:val="0"/>
              <w:rPr>
                <w:color w:val="auto"/>
              </w:rPr>
            </w:pPr>
          </w:p>
        </w:tc>
      </w:tr>
    </w:tbl>
    <w:p w:rsidR="00CF0954" w:rsidRPr="00CF0954" w:rsidRDefault="00CF0954" w:rsidP="00CF0954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  <w:r>
        <w:fldChar w:fldCharType="begin"/>
      </w:r>
      <w:r>
        <w:instrText>ADDIN BSP.BIB</w:instrText>
      </w:r>
      <w:r>
        <w:fldChar w:fldCharType="separate"/>
      </w: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rPr>
          <w:rFonts w:eastAsiaTheme="minorHAnsi"/>
          <w:b/>
          <w:bCs/>
          <w:noProof/>
          <w:color w:val="auto"/>
          <w:szCs w:val="24"/>
          <w:lang w:eastAsia="en-US"/>
        </w:rPr>
      </w:pPr>
      <w:r w:rsidRPr="00CF0954">
        <w:rPr>
          <w:rFonts w:eastAsiaTheme="minorHAnsi"/>
          <w:b/>
          <w:bCs/>
          <w:noProof/>
          <w:color w:val="auto"/>
          <w:szCs w:val="24"/>
          <w:lang w:eastAsia="en-US"/>
        </w:rPr>
        <w:t>References:</w:t>
      </w:r>
      <w:bookmarkStart w:id="0" w:name="_GoBack"/>
      <w:bookmarkEnd w:id="0"/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CF0954">
        <w:rPr>
          <w:rFonts w:eastAsiaTheme="minorHAnsi"/>
          <w:noProof/>
          <w:color w:val="auto"/>
          <w:szCs w:val="24"/>
          <w:lang w:eastAsia="en-US"/>
        </w:rPr>
        <w:t xml:space="preserve">Belbin, RM.  (2010), </w:t>
      </w:r>
      <w:r w:rsidR="00793F0C">
        <w:rPr>
          <w:rFonts w:eastAsiaTheme="minorHAnsi"/>
          <w:i/>
          <w:iCs/>
          <w:noProof/>
          <w:color w:val="auto"/>
          <w:szCs w:val="24"/>
          <w:lang w:eastAsia="en-US"/>
        </w:rPr>
        <w:t>Team Roles at Work</w:t>
      </w:r>
      <w:r w:rsidRPr="00CF0954">
        <w:rPr>
          <w:rFonts w:eastAsiaTheme="minorHAnsi"/>
          <w:noProof/>
          <w:color w:val="auto"/>
          <w:szCs w:val="24"/>
          <w:lang w:eastAsia="en-US"/>
        </w:rPr>
        <w:t>, Oxford:Butterworth-Heinemann.</w:t>
      </w: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CF0954">
        <w:rPr>
          <w:rFonts w:eastAsiaTheme="minorHAnsi"/>
          <w:noProof/>
          <w:color w:val="auto"/>
          <w:szCs w:val="24"/>
          <w:lang w:eastAsia="en-US"/>
        </w:rPr>
        <w:t xml:space="preserve">Biech, E.  (2008), </w:t>
      </w:r>
      <w:r w:rsidRPr="00CF0954">
        <w:rPr>
          <w:rFonts w:eastAsiaTheme="minorHAnsi"/>
          <w:i/>
          <w:iCs/>
          <w:noProof/>
          <w:color w:val="auto"/>
          <w:szCs w:val="24"/>
          <w:lang w:eastAsia="en-US"/>
        </w:rPr>
        <w:t>The Pfeiffer Book of Successful Team-Building Tools</w:t>
      </w:r>
      <w:r w:rsidRPr="00CF0954">
        <w:rPr>
          <w:rFonts w:eastAsiaTheme="minorHAnsi"/>
          <w:noProof/>
          <w:color w:val="auto"/>
          <w:szCs w:val="24"/>
          <w:lang w:eastAsia="en-US"/>
        </w:rPr>
        <w:t>, San Franciso:John Wiley &amp; Sons.</w:t>
      </w: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CF0954">
        <w:rPr>
          <w:rFonts w:eastAsiaTheme="minorHAnsi"/>
          <w:noProof/>
          <w:color w:val="auto"/>
          <w:szCs w:val="24"/>
          <w:lang w:eastAsia="en-US"/>
        </w:rPr>
        <w:t xml:space="preserve">Pinnington, A, Macklin, R &amp; Campbell, T.  (2007), </w:t>
      </w:r>
      <w:r w:rsidRPr="00CF0954">
        <w:rPr>
          <w:rFonts w:eastAsiaTheme="minorHAnsi"/>
          <w:i/>
          <w:iCs/>
          <w:noProof/>
          <w:color w:val="auto"/>
          <w:szCs w:val="24"/>
          <w:lang w:eastAsia="en-US"/>
        </w:rPr>
        <w:t>Human Resource Management : Ethics and Employment</w:t>
      </w:r>
      <w:r w:rsidRPr="00CF0954">
        <w:rPr>
          <w:rFonts w:eastAsiaTheme="minorHAnsi"/>
          <w:noProof/>
          <w:color w:val="auto"/>
          <w:szCs w:val="24"/>
          <w:lang w:eastAsia="en-US"/>
        </w:rPr>
        <w:t>, Oxford:OUP Oxford.</w:t>
      </w: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CF0954">
        <w:rPr>
          <w:rFonts w:eastAsiaTheme="minorHAnsi"/>
          <w:noProof/>
          <w:color w:val="auto"/>
          <w:szCs w:val="24"/>
          <w:lang w:eastAsia="en-US"/>
        </w:rPr>
        <w:t xml:space="preserve">Rowland, C(2012), 'Managing team performance: saying and paying', </w:t>
      </w:r>
      <w:r w:rsidRPr="00CF0954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Organizational Analysis</w:t>
      </w:r>
      <w:r w:rsidRPr="00CF0954">
        <w:rPr>
          <w:rFonts w:eastAsiaTheme="minorHAnsi"/>
          <w:noProof/>
          <w:color w:val="auto"/>
          <w:szCs w:val="24"/>
          <w:lang w:eastAsia="en-US"/>
        </w:rPr>
        <w:t>, vol. 21, no. 1, pp. 38-52.</w:t>
      </w:r>
    </w:p>
    <w:p w:rsidR="00CF0954" w:rsidRPr="00CF0954" w:rsidRDefault="00CF0954" w:rsidP="00CF0954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CF0954">
        <w:rPr>
          <w:rFonts w:eastAsiaTheme="minorHAnsi"/>
          <w:noProof/>
          <w:color w:val="auto"/>
          <w:szCs w:val="24"/>
          <w:lang w:eastAsia="en-US"/>
        </w:rPr>
        <w:t>Torrington, D, Hall, L, Taylor, S &amp; Atkinson, C.  (201</w:t>
      </w:r>
      <w:r w:rsidR="00793F0C">
        <w:rPr>
          <w:rFonts w:eastAsiaTheme="minorHAnsi"/>
          <w:noProof/>
          <w:color w:val="auto"/>
          <w:szCs w:val="24"/>
          <w:lang w:eastAsia="en-US"/>
        </w:rPr>
        <w:t>7</w:t>
      </w:r>
      <w:r w:rsidRPr="00CF0954">
        <w:rPr>
          <w:rFonts w:eastAsiaTheme="minorHAnsi"/>
          <w:noProof/>
          <w:color w:val="auto"/>
          <w:szCs w:val="24"/>
          <w:lang w:eastAsia="en-US"/>
        </w:rPr>
        <w:t xml:space="preserve">), </w:t>
      </w:r>
      <w:r w:rsidRPr="00CF0954">
        <w:rPr>
          <w:rFonts w:eastAsiaTheme="minorHAnsi"/>
          <w:i/>
          <w:iCs/>
          <w:noProof/>
          <w:color w:val="auto"/>
          <w:szCs w:val="24"/>
          <w:lang w:eastAsia="en-US"/>
        </w:rPr>
        <w:t xml:space="preserve">Human Resource Management  </w:t>
      </w:r>
      <w:r w:rsidR="00793F0C">
        <w:rPr>
          <w:rFonts w:eastAsiaTheme="minorHAnsi"/>
          <w:i/>
          <w:iCs/>
          <w:noProof/>
          <w:color w:val="auto"/>
          <w:szCs w:val="24"/>
          <w:lang w:eastAsia="en-US"/>
        </w:rPr>
        <w:t>10</w:t>
      </w:r>
      <w:r w:rsidRPr="00CF0954">
        <w:rPr>
          <w:rFonts w:eastAsiaTheme="minorHAnsi"/>
          <w:i/>
          <w:iCs/>
          <w:noProof/>
          <w:color w:val="auto"/>
          <w:szCs w:val="24"/>
          <w:lang w:eastAsia="en-US"/>
        </w:rPr>
        <w:t>th Edition</w:t>
      </w:r>
      <w:r w:rsidRPr="00CF0954">
        <w:rPr>
          <w:rFonts w:eastAsiaTheme="minorHAnsi"/>
          <w:noProof/>
          <w:color w:val="auto"/>
          <w:szCs w:val="24"/>
          <w:lang w:eastAsia="en-US"/>
        </w:rPr>
        <w:t>, Harlow:Pearson Education M.U.A.</w:t>
      </w:r>
    </w:p>
    <w:p w:rsidR="00CF0954" w:rsidRDefault="00CF0954">
      <w:r>
        <w:fldChar w:fldCharType="end"/>
      </w:r>
    </w:p>
    <w:sectPr w:rsidR="00CF09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0954"/>
    <w:rsid w:val="0012598F"/>
    <w:rsid w:val="002D525B"/>
    <w:rsid w:val="004F5E38"/>
    <w:rsid w:val="005F2F4C"/>
    <w:rsid w:val="006E0177"/>
    <w:rsid w:val="00726CE4"/>
    <w:rsid w:val="00793F0C"/>
    <w:rsid w:val="00795771"/>
    <w:rsid w:val="00833A53"/>
    <w:rsid w:val="008600C5"/>
    <w:rsid w:val="00903A29"/>
    <w:rsid w:val="009E2B17"/>
    <w:rsid w:val="00B81BF0"/>
    <w:rsid w:val="00CF0954"/>
    <w:rsid w:val="00D42158"/>
    <w:rsid w:val="00F014F4"/>
    <w:rsid w:val="00F35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221449-08ED-4F2F-B0CD-49E0E4382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F0954"/>
    <w:pPr>
      <w:suppressAutoHyphens/>
      <w:spacing w:after="0" w:line="240" w:lineRule="auto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940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63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428</Words>
  <Characters>2442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ORR</dc:creator>
  <cp:keywords/>
  <dc:description/>
  <cp:lastModifiedBy>Orr, Graham</cp:lastModifiedBy>
  <cp:revision>3</cp:revision>
  <dcterms:created xsi:type="dcterms:W3CDTF">2017-01-06T14:08:00Z</dcterms:created>
  <dcterms:modified xsi:type="dcterms:W3CDTF">2018-02-27T15:31:00Z</dcterms:modified>
</cp:coreProperties>
</file>