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8D5E187" wp14:paraId="491BDD3C" wp14:textId="5006D282">
      <w:pPr>
        <w:spacing w:after="165" w:line="360" w:lineRule="auto"/>
        <w:rPr>
          <w:rFonts w:ascii="Tahoma" w:hAnsi="Tahoma" w:eastAsia="Tahoma" w:cs="Tahoma"/>
          <w:noProof w:val="0"/>
          <w:color w:val="000000" w:themeColor="text1" w:themeTint="FF" w:themeShade="FF"/>
          <w:sz w:val="40"/>
          <w:szCs w:val="40"/>
          <w:lang w:val="en-US"/>
        </w:rPr>
      </w:pPr>
      <w:r w:rsidR="2609CF29">
        <w:drawing>
          <wp:inline xmlns:wp14="http://schemas.microsoft.com/office/word/2010/wordprocessingDrawing" wp14:editId="75B2DD0F" wp14:anchorId="68A542EA">
            <wp:extent cx="2209816" cy="742955"/>
            <wp:effectExtent l="0" t="0" r="0" b="0"/>
            <wp:docPr id="529361841" name="drawing" title="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9361841" name="Picture 529361841"/>
                    <pic:cNvPicPr/>
                  </pic:nvPicPr>
                  <pic:blipFill>
                    <a:blip xmlns:r="http://schemas.openxmlformats.org/officeDocument/2006/relationships" r:embed="rId1343196661">
                      <a:extLst>
                        <a:ext uri="{28A0092B-C50C-407E-A947-70E740481C1C}">
                          <a14:useLocalDpi xmlns:a14="http://schemas.microsoft.com/office/drawing/2010/main"/>
                        </a:ext>
                      </a:extLst>
                    </a:blip>
                    <a:stretch>
                      <a:fillRect/>
                    </a:stretch>
                  </pic:blipFill>
                  <pic:spPr>
                    <a:xfrm>
                      <a:off x="0" y="0"/>
                      <a:ext cx="2209816" cy="742955"/>
                    </a:xfrm>
                    <a:prstGeom prst="rect">
                      <a:avLst/>
                    </a:prstGeom>
                  </pic:spPr>
                </pic:pic>
              </a:graphicData>
            </a:graphic>
          </wp:inline>
        </w:drawing>
      </w:r>
    </w:p>
    <w:p xmlns:wp14="http://schemas.microsoft.com/office/word/2010/wordml" w:rsidP="48D5E187" wp14:paraId="3BC36A17" wp14:textId="67E41418">
      <w:pPr>
        <w:spacing w:after="165" w:line="360" w:lineRule="auto"/>
        <w:jc w:val="center"/>
        <w:rPr>
          <w:rFonts w:ascii="Tahoma" w:hAnsi="Tahoma" w:eastAsia="Tahoma" w:cs="Tahoma"/>
          <w:noProof w:val="0"/>
          <w:color w:val="000000" w:themeColor="text1" w:themeTint="FF" w:themeShade="FF"/>
          <w:sz w:val="40"/>
          <w:szCs w:val="40"/>
          <w:lang w:val="en-US"/>
        </w:rPr>
      </w:pPr>
      <w:r w:rsidRPr="48D5E187" w:rsidR="2609CF29">
        <w:rPr>
          <w:rFonts w:ascii="Tahoma" w:hAnsi="Tahoma" w:eastAsia="Tahoma" w:cs="Tahoma"/>
          <w:noProof w:val="0"/>
          <w:color w:val="000000" w:themeColor="text1" w:themeTint="FF" w:themeShade="FF"/>
          <w:sz w:val="40"/>
          <w:szCs w:val="40"/>
          <w:lang w:val="en-GB"/>
        </w:rPr>
        <w:t>Applied Leadership and Management in the Workplace</w:t>
      </w:r>
      <w:r>
        <w:br/>
      </w:r>
      <w:r w:rsidRPr="48D5E187" w:rsidR="2609CF29">
        <w:rPr>
          <w:rFonts w:ascii="Tahoma" w:hAnsi="Tahoma" w:eastAsia="Tahoma" w:cs="Tahoma"/>
          <w:noProof w:val="0"/>
          <w:color w:val="000000" w:themeColor="text1" w:themeTint="FF" w:themeShade="FF"/>
          <w:sz w:val="40"/>
          <w:szCs w:val="40"/>
          <w:lang w:val="en-GB"/>
        </w:rPr>
        <w:t xml:space="preserve">Module Assignment Submission </w:t>
      </w:r>
      <w:r>
        <w:br/>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435"/>
        <w:gridCol w:w="6045"/>
      </w:tblGrid>
      <w:tr w:rsidR="48D5E187" w:rsidTr="48D5E187" w14:paraId="474C7528">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48D5E187" w:rsidP="48D5E187" w:rsidRDefault="48D5E187" w14:paraId="61487897" w14:textId="4AAE0B42">
            <w:pPr>
              <w:spacing w:before="120" w:after="120" w:line="360" w:lineRule="auto"/>
              <w:rPr>
                <w:rFonts w:ascii="Tahoma" w:hAnsi="Tahoma" w:eastAsia="Tahoma" w:cs="Tahoma"/>
                <w:sz w:val="32"/>
                <w:szCs w:val="32"/>
              </w:rPr>
            </w:pPr>
            <w:r w:rsidRPr="48D5E187" w:rsidR="48D5E187">
              <w:rPr>
                <w:rFonts w:ascii="Tahoma" w:hAnsi="Tahoma" w:eastAsia="Tahoma" w:cs="Tahoma"/>
                <w:sz w:val="32"/>
                <w:szCs w:val="32"/>
                <w:lang w:val="en-GB"/>
              </w:rPr>
              <w:t>Student Name:</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48D5E187" w:rsidP="48D5E187" w:rsidRDefault="48D5E187" w14:paraId="6C34C446" w14:textId="656B98BE">
            <w:pPr>
              <w:spacing w:before="120" w:after="120" w:line="360" w:lineRule="auto"/>
              <w:rPr>
                <w:rFonts w:ascii="Arial" w:hAnsi="Arial" w:eastAsia="Arial" w:cs="Arial"/>
                <w:sz w:val="32"/>
                <w:szCs w:val="32"/>
              </w:rPr>
            </w:pPr>
            <w:r w:rsidRPr="48D5E187" w:rsidR="48D5E187">
              <w:rPr>
                <w:rFonts w:ascii="Arial" w:hAnsi="Arial" w:eastAsia="Arial" w:cs="Arial"/>
                <w:sz w:val="32"/>
                <w:szCs w:val="32"/>
                <w:lang w:val="en-GB"/>
              </w:rPr>
              <w:t>Darcey Richards</w:t>
            </w:r>
          </w:p>
        </w:tc>
      </w:tr>
      <w:tr w:rsidR="48D5E187" w:rsidTr="48D5E187" w14:paraId="6BE71F65">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48D5E187" w:rsidP="48D5E187" w:rsidRDefault="48D5E187" w14:paraId="6C32C080" w14:textId="0EAC33CB">
            <w:pPr>
              <w:spacing w:before="120" w:after="120" w:line="360" w:lineRule="auto"/>
              <w:rPr>
                <w:rFonts w:ascii="Tahoma" w:hAnsi="Tahoma" w:eastAsia="Tahoma" w:cs="Tahoma"/>
                <w:sz w:val="32"/>
                <w:szCs w:val="32"/>
              </w:rPr>
            </w:pPr>
            <w:r w:rsidRPr="48D5E187" w:rsidR="48D5E187">
              <w:rPr>
                <w:rFonts w:ascii="Tahoma" w:hAnsi="Tahoma" w:eastAsia="Tahoma" w:cs="Tahoma"/>
                <w:sz w:val="32"/>
                <w:szCs w:val="32"/>
                <w:lang w:val="en-GB"/>
              </w:rPr>
              <w:t>Student Number:</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48D5E187" w:rsidP="48D5E187" w:rsidRDefault="48D5E187" w14:paraId="15ADE308" w14:textId="62A4CDBA">
            <w:pPr>
              <w:spacing w:before="120" w:after="120" w:line="360" w:lineRule="auto"/>
              <w:rPr>
                <w:rFonts w:ascii="Arial" w:hAnsi="Arial" w:eastAsia="Arial" w:cs="Arial"/>
                <w:sz w:val="32"/>
                <w:szCs w:val="32"/>
              </w:rPr>
            </w:pPr>
            <w:r w:rsidRPr="48D5E187" w:rsidR="48D5E187">
              <w:rPr>
                <w:rFonts w:ascii="Arial" w:hAnsi="Arial" w:eastAsia="Arial" w:cs="Arial"/>
                <w:sz w:val="32"/>
                <w:szCs w:val="32"/>
                <w:lang w:val="en-GB"/>
              </w:rPr>
              <w:t>2323405</w:t>
            </w:r>
          </w:p>
        </w:tc>
      </w:tr>
      <w:tr w:rsidR="48D5E187" w:rsidTr="48D5E187" w14:paraId="602C939D">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48D5E187" w:rsidP="48D5E187" w:rsidRDefault="48D5E187" w14:paraId="2AE8F31C" w14:textId="0B127FC0">
            <w:pPr>
              <w:spacing w:before="120" w:after="120" w:line="360" w:lineRule="auto"/>
              <w:rPr>
                <w:rFonts w:ascii="Tahoma" w:hAnsi="Tahoma" w:eastAsia="Tahoma" w:cs="Tahoma"/>
                <w:sz w:val="32"/>
                <w:szCs w:val="32"/>
              </w:rPr>
            </w:pPr>
            <w:r w:rsidRPr="48D5E187" w:rsidR="48D5E187">
              <w:rPr>
                <w:rFonts w:ascii="Tahoma" w:hAnsi="Tahoma" w:eastAsia="Tahoma" w:cs="Tahoma"/>
                <w:sz w:val="32"/>
                <w:szCs w:val="32"/>
                <w:lang w:val="en-GB"/>
              </w:rPr>
              <w:t>Module No:</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48D5E187" w:rsidP="48D5E187" w:rsidRDefault="48D5E187" w14:paraId="66B39442" w14:textId="441572DD">
            <w:pPr>
              <w:spacing w:before="120" w:after="120" w:line="360" w:lineRule="auto"/>
              <w:rPr>
                <w:rFonts w:ascii="Tahoma" w:hAnsi="Tahoma" w:eastAsia="Tahoma" w:cs="Tahoma"/>
                <w:color w:val="000000" w:themeColor="text1" w:themeTint="FF" w:themeShade="FF"/>
                <w:sz w:val="32"/>
                <w:szCs w:val="32"/>
              </w:rPr>
            </w:pPr>
            <w:r w:rsidRPr="48D5E187" w:rsidR="48D5E187">
              <w:rPr>
                <w:rFonts w:ascii="Tahoma" w:hAnsi="Tahoma" w:eastAsia="Tahoma" w:cs="Tahoma"/>
                <w:b w:val="1"/>
                <w:bCs w:val="1"/>
                <w:color w:val="000000" w:themeColor="text1" w:themeTint="FF" w:themeShade="FF"/>
                <w:sz w:val="32"/>
                <w:szCs w:val="32"/>
                <w:lang w:val="en-GB"/>
              </w:rPr>
              <w:t>BMSK</w:t>
            </w:r>
            <w:r w:rsidRPr="48D5E187" w:rsidR="7CD06646">
              <w:rPr>
                <w:rFonts w:ascii="Tahoma" w:hAnsi="Tahoma" w:eastAsia="Tahoma" w:cs="Tahoma"/>
                <w:b w:val="1"/>
                <w:bCs w:val="1"/>
                <w:color w:val="000000" w:themeColor="text1" w:themeTint="FF" w:themeShade="FF"/>
                <w:sz w:val="32"/>
                <w:szCs w:val="32"/>
                <w:lang w:val="en-GB"/>
              </w:rPr>
              <w:t>5010</w:t>
            </w:r>
          </w:p>
        </w:tc>
      </w:tr>
      <w:tr w:rsidR="48D5E187" w:rsidTr="48D5E187" w14:paraId="5409C8C0">
        <w:trPr>
          <w:trHeight w:val="6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48D5E187" w:rsidP="48D5E187" w:rsidRDefault="48D5E187" w14:paraId="234AF5FB" w14:textId="235529FD">
            <w:pPr>
              <w:spacing w:before="120" w:after="120" w:line="360" w:lineRule="auto"/>
              <w:rPr>
                <w:rFonts w:ascii="Tahoma" w:hAnsi="Tahoma" w:eastAsia="Tahoma" w:cs="Tahoma"/>
                <w:sz w:val="32"/>
                <w:szCs w:val="32"/>
              </w:rPr>
            </w:pPr>
            <w:r w:rsidRPr="48D5E187" w:rsidR="48D5E187">
              <w:rPr>
                <w:rFonts w:ascii="Tahoma" w:hAnsi="Tahoma" w:eastAsia="Tahoma" w:cs="Tahoma"/>
                <w:sz w:val="32"/>
                <w:szCs w:val="32"/>
                <w:lang w:val="en-GB"/>
              </w:rPr>
              <w:t>Module Title:</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7B6D6D51" w:rsidP="48D5E187" w:rsidRDefault="7B6D6D51" w14:paraId="00487E62" w14:textId="34CD7022">
            <w:pPr>
              <w:pStyle w:val="Title"/>
              <w:keepNext w:val="1"/>
              <w:keepLines w:val="1"/>
              <w:suppressLineNumbers w:val="0"/>
              <w:bidi w:val="0"/>
              <w:spacing w:before="480" w:beforeAutospacing="off" w:after="120" w:afterAutospacing="off" w:line="240" w:lineRule="auto"/>
              <w:ind w:left="0" w:right="0"/>
              <w:jc w:val="left"/>
            </w:pPr>
            <w:r w:rsidRPr="48D5E187" w:rsidR="7B6D6D51">
              <w:rPr>
                <w:rFonts w:ascii="Calibri" w:hAnsi="Calibri" w:eastAsia="Calibri" w:cs="Calibri"/>
                <w:b w:val="1"/>
                <w:bCs w:val="1"/>
                <w:color w:val="000000" w:themeColor="text1" w:themeTint="FF" w:themeShade="FF"/>
                <w:sz w:val="28"/>
                <w:szCs w:val="28"/>
                <w:lang w:val="en-GB"/>
              </w:rPr>
              <w:t>Developing Learning Organisation</w:t>
            </w:r>
          </w:p>
        </w:tc>
      </w:tr>
    </w:tbl>
    <w:p xmlns:wp14="http://schemas.microsoft.com/office/word/2010/wordml" w:rsidP="48D5E187" wp14:paraId="7F8E0FE6" wp14:textId="76547401">
      <w:pPr>
        <w:bidi w:val="0"/>
        <w:spacing w:before="120" w:after="120" w:line="360" w:lineRule="auto"/>
        <w:rPr>
          <w:rFonts w:ascii="Calibri" w:hAnsi="Calibri" w:eastAsia="Calibri" w:cs="Calibri"/>
          <w:noProof w:val="0"/>
          <w:color w:val="FF0000"/>
          <w:sz w:val="24"/>
          <w:szCs w:val="24"/>
          <w:lang w:val="en-US"/>
        </w:rPr>
      </w:pPr>
    </w:p>
    <w:p xmlns:wp14="http://schemas.microsoft.com/office/word/2010/wordml" w:rsidP="48D5E187" wp14:paraId="47FF677C" wp14:textId="3B3E0226">
      <w:pPr>
        <w:bidi w:val="0"/>
        <w:spacing w:before="120" w:after="120" w:line="360" w:lineRule="auto"/>
        <w:rPr>
          <w:rFonts w:ascii="Tahoma" w:hAnsi="Tahoma" w:eastAsia="Tahoma" w:cs="Tahoma"/>
          <w:noProof w:val="0"/>
          <w:color w:val="000000" w:themeColor="text1" w:themeTint="FF" w:themeShade="FF"/>
          <w:sz w:val="24"/>
          <w:szCs w:val="24"/>
          <w:lang w:val="en-US"/>
        </w:rPr>
      </w:pPr>
      <w:r w:rsidRPr="48D5E187" w:rsidR="2609CF29">
        <w:rPr>
          <w:rFonts w:ascii="Tahoma" w:hAnsi="Tahoma" w:eastAsia="Tahoma" w:cs="Tahoma"/>
          <w:b w:val="1"/>
          <w:bCs w:val="1"/>
          <w:noProof w:val="0"/>
          <w:color w:val="000000" w:themeColor="text1" w:themeTint="FF" w:themeShade="FF"/>
          <w:sz w:val="24"/>
          <w:szCs w:val="24"/>
          <w:lang w:val="en-GB"/>
        </w:rPr>
        <w:t>Statement of Confirmation of Authenticity</w:t>
      </w:r>
    </w:p>
    <w:p xmlns:wp14="http://schemas.microsoft.com/office/word/2010/wordml" w:rsidP="48D5E187" wp14:paraId="520C3AAB" wp14:textId="6F74B762">
      <w:pPr>
        <w:bidi w:val="0"/>
        <w:spacing w:before="120" w:after="120" w:line="360" w:lineRule="auto"/>
        <w:rPr>
          <w:rFonts w:ascii="Tahoma" w:hAnsi="Tahoma" w:eastAsia="Tahoma" w:cs="Tahoma"/>
          <w:noProof w:val="0"/>
          <w:color w:val="000000" w:themeColor="text1" w:themeTint="FF" w:themeShade="FF"/>
          <w:sz w:val="22"/>
          <w:szCs w:val="22"/>
          <w:lang w:val="en-US"/>
        </w:rPr>
      </w:pPr>
      <w:r w:rsidRPr="48D5E187" w:rsidR="2609CF29">
        <w:rPr>
          <w:rFonts w:ascii="Tahoma" w:hAnsi="Tahoma" w:eastAsia="Tahoma" w:cs="Tahoma"/>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48D5E187" wp14:paraId="6037AD37" wp14:textId="4CE77E29">
      <w:pPr>
        <w:bidi w:val="0"/>
        <w:spacing w:before="120" w:after="120" w:line="360" w:lineRule="auto"/>
      </w:pPr>
      <w:r w:rsidRPr="48D5E187" w:rsidR="2609CF29">
        <w:rPr>
          <w:rFonts w:ascii="Tahoma" w:hAnsi="Tahoma" w:eastAsia="Tahoma" w:cs="Tahoma"/>
          <w:noProof w:val="0"/>
          <w:color w:val="000000" w:themeColor="text1" w:themeTint="FF" w:themeShade="FF"/>
          <w:sz w:val="22"/>
          <w:szCs w:val="22"/>
          <w:lang w:val="en-GB"/>
        </w:rPr>
        <w:t>Attention is drawn to the plagiarism and unfair practice policies of both the University and of ILM.</w:t>
      </w:r>
    </w:p>
    <w:sdt>
      <w:sdtPr>
        <w:id w:val="782261518"/>
        <w:docPartObj>
          <w:docPartGallery w:val="Table of Contents"/>
          <w:docPartUnique/>
        </w:docPartObj>
      </w:sdtPr>
      <w:sdtContent>
        <w:p xmlns:wp14="http://schemas.microsoft.com/office/word/2010/wordml" w:rsidP="48D5E187" wp14:paraId="09D82109" wp14:textId="0BEDF42D">
          <w:pPr>
            <w:pStyle w:val="TOC1"/>
            <w:tabs>
              <w:tab w:val="right" w:leader="dot" w:pos="9360"/>
            </w:tabs>
            <w:bidi w:val="0"/>
          </w:pPr>
          <w:r>
            <w:fldChar w:fldCharType="begin"/>
          </w:r>
          <w:r>
            <w:instrText xml:space="preserve">TOC \o \z \u \h</w:instrText>
          </w:r>
          <w:r>
            <w:fldChar w:fldCharType="separate"/>
          </w:r>
          <w:r>
            <w:fldChar w:fldCharType="begin"/>
          </w:r>
          <w:r>
            <w:instrText xml:space="preserve">HYPERLINK  \l  "_Toc1326363150" </w:instrText>
          </w:r>
          <w:r>
            <w:fldChar w:fldCharType="separate"/>
          </w:r>
          <w:r w:rsidR="48D5E187">
            <w:rPr/>
            <w:t>Introduction</w:t>
          </w:r>
          <w:r>
            <w:tab/>
          </w:r>
          <w:r>
            <w:fldChar w:fldCharType="begin"/>
          </w:r>
          <w:r>
            <w:instrText xml:space="preserve">PAGEREF _Toc1326363150 \h</w:instrText>
          </w:r>
          <w:r>
            <w:fldChar w:fldCharType="separate"/>
          </w:r>
          <w:r w:rsidR="48D5E187">
            <w:rPr/>
            <w:t>1</w:t>
          </w:r>
          <w:r>
            <w:fldChar w:fldCharType="end"/>
          </w:r>
          <w:r>
            <w:fldChar w:fldCharType="end"/>
          </w:r>
        </w:p>
        <w:p xmlns:wp14="http://schemas.microsoft.com/office/word/2010/wordml" w:rsidP="48D5E187" wp14:paraId="7699BA37" wp14:textId="2F3595B2">
          <w:pPr>
            <w:pStyle w:val="TOC1"/>
            <w:tabs>
              <w:tab w:val="right" w:leader="dot" w:pos="9360"/>
            </w:tabs>
            <w:bidi w:val="0"/>
          </w:pPr>
          <w:r>
            <w:fldChar w:fldCharType="begin"/>
          </w:r>
          <w:r>
            <w:instrText xml:space="preserve">HYPERLINK  \l  "_Toc1151008490" </w:instrText>
          </w:r>
          <w:r>
            <w:fldChar w:fldCharType="separate"/>
          </w:r>
          <w:r w:rsidR="48D5E187">
            <w:rPr/>
            <w:t>Benefits of developing individuals</w:t>
          </w:r>
          <w:r>
            <w:tab/>
          </w:r>
          <w:r>
            <w:fldChar w:fldCharType="begin"/>
          </w:r>
          <w:r>
            <w:instrText xml:space="preserve">PAGEREF _Toc1151008490 \h</w:instrText>
          </w:r>
          <w:r>
            <w:fldChar w:fldCharType="separate"/>
          </w:r>
          <w:r w:rsidR="48D5E187">
            <w:rPr/>
            <w:t>2</w:t>
          </w:r>
          <w:r>
            <w:fldChar w:fldCharType="end"/>
          </w:r>
          <w:r>
            <w:fldChar w:fldCharType="end"/>
          </w:r>
        </w:p>
        <w:p xmlns:wp14="http://schemas.microsoft.com/office/word/2010/wordml" w:rsidP="48D5E187" wp14:paraId="771170AF" wp14:textId="6A0877D6">
          <w:pPr>
            <w:pStyle w:val="TOC1"/>
            <w:tabs>
              <w:tab w:val="right" w:leader="dot" w:pos="9360"/>
            </w:tabs>
            <w:bidi w:val="0"/>
          </w:pPr>
          <w:r>
            <w:fldChar w:fldCharType="begin"/>
          </w:r>
          <w:r>
            <w:instrText xml:space="preserve">HYPERLINK  \l  "_Toc1106119511" </w:instrText>
          </w:r>
          <w:r>
            <w:fldChar w:fldCharType="separate"/>
          </w:r>
          <w:r w:rsidR="48D5E187">
            <w:rPr/>
            <w:t>Identifying development needs and managing expectations</w:t>
          </w:r>
          <w:r>
            <w:tab/>
          </w:r>
          <w:r>
            <w:fldChar w:fldCharType="begin"/>
          </w:r>
          <w:r>
            <w:instrText xml:space="preserve">PAGEREF _Toc1106119511 \h</w:instrText>
          </w:r>
          <w:r>
            <w:fldChar w:fldCharType="separate"/>
          </w:r>
          <w:r w:rsidR="48D5E187">
            <w:rPr/>
            <w:t>3</w:t>
          </w:r>
          <w:r>
            <w:fldChar w:fldCharType="end"/>
          </w:r>
          <w:r>
            <w:fldChar w:fldCharType="end"/>
          </w:r>
        </w:p>
        <w:p xmlns:wp14="http://schemas.microsoft.com/office/word/2010/wordml" w:rsidP="48D5E187" wp14:paraId="0811A986" wp14:textId="2A928077">
          <w:pPr>
            <w:pStyle w:val="TOC1"/>
            <w:tabs>
              <w:tab w:val="right" w:leader="dot" w:pos="9360"/>
            </w:tabs>
            <w:bidi w:val="0"/>
          </w:pPr>
          <w:r>
            <w:fldChar w:fldCharType="begin"/>
          </w:r>
          <w:r>
            <w:instrText xml:space="preserve">HYPERLINK  \l  "_Toc332106408" </w:instrText>
          </w:r>
          <w:r>
            <w:fldChar w:fldCharType="separate"/>
          </w:r>
          <w:r w:rsidR="48D5E187">
            <w:rPr/>
            <w:t>Setting up appraisal and performance management systems</w:t>
          </w:r>
          <w:r>
            <w:tab/>
          </w:r>
          <w:r>
            <w:fldChar w:fldCharType="begin"/>
          </w:r>
          <w:r>
            <w:instrText xml:space="preserve">PAGEREF _Toc332106408 \h</w:instrText>
          </w:r>
          <w:r>
            <w:fldChar w:fldCharType="separate"/>
          </w:r>
          <w:r w:rsidR="48D5E187">
            <w:rPr/>
            <w:t>5</w:t>
          </w:r>
          <w:r>
            <w:fldChar w:fldCharType="end"/>
          </w:r>
          <w:r>
            <w:fldChar w:fldCharType="end"/>
          </w:r>
        </w:p>
        <w:p xmlns:wp14="http://schemas.microsoft.com/office/word/2010/wordml" w:rsidP="48D5E187" wp14:paraId="3D10CE11" wp14:textId="5CCB9189">
          <w:pPr>
            <w:pStyle w:val="TOC1"/>
            <w:tabs>
              <w:tab w:val="right" w:leader="dot" w:pos="9360"/>
            </w:tabs>
            <w:bidi w:val="0"/>
          </w:pPr>
          <w:r>
            <w:fldChar w:fldCharType="begin"/>
          </w:r>
          <w:r>
            <w:instrText xml:space="preserve">HYPERLINK  \l  "_Toc1956562951" </w:instrText>
          </w:r>
          <w:r>
            <w:fldChar w:fldCharType="separate"/>
          </w:r>
          <w:r w:rsidR="48D5E187">
            <w:rPr/>
            <w:t>Evaluating methods of employee development</w:t>
          </w:r>
          <w:r>
            <w:tab/>
          </w:r>
          <w:r>
            <w:fldChar w:fldCharType="begin"/>
          </w:r>
          <w:r>
            <w:instrText xml:space="preserve">PAGEREF _Toc1956562951 \h</w:instrText>
          </w:r>
          <w:r>
            <w:fldChar w:fldCharType="separate"/>
          </w:r>
          <w:r w:rsidR="48D5E187">
            <w:rPr/>
            <w:t>6</w:t>
          </w:r>
          <w:r>
            <w:fldChar w:fldCharType="end"/>
          </w:r>
          <w:r>
            <w:fldChar w:fldCharType="end"/>
          </w:r>
        </w:p>
        <w:p xmlns:wp14="http://schemas.microsoft.com/office/word/2010/wordml" w:rsidP="48D5E187" wp14:paraId="7D9D098D" wp14:textId="421C7FB9">
          <w:pPr>
            <w:pStyle w:val="TOC1"/>
            <w:tabs>
              <w:tab w:val="right" w:leader="dot" w:pos="9360"/>
            </w:tabs>
            <w:bidi w:val="0"/>
          </w:pPr>
          <w:r>
            <w:fldChar w:fldCharType="begin"/>
          </w:r>
          <w:r>
            <w:instrText xml:space="preserve">HYPERLINK  \l  "_Toc231596373" </w:instrText>
          </w:r>
          <w:r>
            <w:fldChar w:fldCharType="separate"/>
          </w:r>
          <w:r w:rsidR="48D5E187">
            <w:rPr/>
            <w:t>Individual development plan: junior stylist</w:t>
          </w:r>
          <w:r>
            <w:tab/>
          </w:r>
          <w:r>
            <w:fldChar w:fldCharType="begin"/>
          </w:r>
          <w:r>
            <w:instrText xml:space="preserve">PAGEREF _Toc231596373 \h</w:instrText>
          </w:r>
          <w:r>
            <w:fldChar w:fldCharType="separate"/>
          </w:r>
          <w:r w:rsidR="48D5E187">
            <w:rPr/>
            <w:t>8</w:t>
          </w:r>
          <w:r>
            <w:fldChar w:fldCharType="end"/>
          </w:r>
          <w:r>
            <w:fldChar w:fldCharType="end"/>
          </w:r>
        </w:p>
        <w:p xmlns:wp14="http://schemas.microsoft.com/office/word/2010/wordml" w:rsidP="48D5E187" wp14:paraId="6C34D711" wp14:textId="29FFB355">
          <w:pPr>
            <w:pStyle w:val="TOC1"/>
            <w:tabs>
              <w:tab w:val="right" w:leader="dot" w:pos="9360"/>
            </w:tabs>
            <w:bidi w:val="0"/>
          </w:pPr>
          <w:r>
            <w:fldChar w:fldCharType="begin"/>
          </w:r>
          <w:r>
            <w:instrText xml:space="preserve">HYPERLINK  \l  "_Toc2142971002" </w:instrText>
          </w:r>
          <w:r>
            <w:fldChar w:fldCharType="separate"/>
          </w:r>
          <w:r w:rsidR="48D5E187">
            <w:rPr/>
            <w:t>Implementing and reviewing the plan</w:t>
          </w:r>
          <w:r>
            <w:tab/>
          </w:r>
          <w:r>
            <w:fldChar w:fldCharType="begin"/>
          </w:r>
          <w:r>
            <w:instrText xml:space="preserve">PAGEREF _Toc2142971002 \h</w:instrText>
          </w:r>
          <w:r>
            <w:fldChar w:fldCharType="separate"/>
          </w:r>
          <w:r w:rsidR="48D5E187">
            <w:rPr/>
            <w:t>10</w:t>
          </w:r>
          <w:r>
            <w:fldChar w:fldCharType="end"/>
          </w:r>
          <w:r>
            <w:fldChar w:fldCharType="end"/>
          </w:r>
        </w:p>
        <w:p xmlns:wp14="http://schemas.microsoft.com/office/word/2010/wordml" w:rsidP="48D5E187" wp14:paraId="2C3EAAB2" wp14:textId="65C7C20A">
          <w:pPr>
            <w:pStyle w:val="TOC1"/>
            <w:tabs>
              <w:tab w:val="right" w:leader="dot" w:pos="9360"/>
            </w:tabs>
            <w:bidi w:val="0"/>
          </w:pPr>
          <w:r>
            <w:fldChar w:fldCharType="begin"/>
          </w:r>
          <w:r>
            <w:instrText xml:space="preserve">HYPERLINK  \l  "_Toc1888730536" </w:instrText>
          </w:r>
          <w:r>
            <w:fldChar w:fldCharType="separate"/>
          </w:r>
          <w:r w:rsidR="48D5E187">
            <w:rPr/>
            <w:t>Evaluating effectiveness and return on development</w:t>
          </w:r>
          <w:r>
            <w:tab/>
          </w:r>
          <w:r>
            <w:fldChar w:fldCharType="begin"/>
          </w:r>
          <w:r>
            <w:instrText xml:space="preserve">PAGEREF _Toc1888730536 \h</w:instrText>
          </w:r>
          <w:r>
            <w:fldChar w:fldCharType="separate"/>
          </w:r>
          <w:r w:rsidR="48D5E187">
            <w:rPr/>
            <w:t>11</w:t>
          </w:r>
          <w:r>
            <w:fldChar w:fldCharType="end"/>
          </w:r>
          <w:r>
            <w:fldChar w:fldCharType="end"/>
          </w:r>
        </w:p>
        <w:p xmlns:wp14="http://schemas.microsoft.com/office/word/2010/wordml" w:rsidP="48D5E187" wp14:paraId="30CF8CA0" wp14:textId="4C400E07">
          <w:pPr>
            <w:pStyle w:val="TOC1"/>
            <w:tabs>
              <w:tab w:val="right" w:leader="dot" w:pos="9360"/>
            </w:tabs>
            <w:bidi w:val="0"/>
          </w:pPr>
          <w:r>
            <w:fldChar w:fldCharType="begin"/>
          </w:r>
          <w:r>
            <w:instrText xml:space="preserve">HYPERLINK  \l  "_Toc2091750351" </w:instrText>
          </w:r>
          <w:r>
            <w:fldChar w:fldCharType="separate"/>
          </w:r>
          <w:r w:rsidR="48D5E187">
            <w:rPr/>
            <w:t>Reflection and recommendations</w:t>
          </w:r>
          <w:r>
            <w:tab/>
          </w:r>
          <w:r>
            <w:fldChar w:fldCharType="begin"/>
          </w:r>
          <w:r>
            <w:instrText xml:space="preserve">PAGEREF _Toc2091750351 \h</w:instrText>
          </w:r>
          <w:r>
            <w:fldChar w:fldCharType="separate"/>
          </w:r>
          <w:r w:rsidR="48D5E187">
            <w:rPr/>
            <w:t>11</w:t>
          </w:r>
          <w:r>
            <w:fldChar w:fldCharType="end"/>
          </w:r>
          <w:r>
            <w:fldChar w:fldCharType="end"/>
          </w:r>
        </w:p>
        <w:p xmlns:wp14="http://schemas.microsoft.com/office/word/2010/wordml" w:rsidP="48D5E187" wp14:paraId="09706B00" wp14:textId="75E3F0DF">
          <w:pPr>
            <w:pStyle w:val="TOC1"/>
            <w:tabs>
              <w:tab w:val="right" w:leader="dot" w:pos="9360"/>
            </w:tabs>
            <w:bidi w:val="0"/>
          </w:pPr>
          <w:r>
            <w:fldChar w:fldCharType="begin"/>
          </w:r>
          <w:r>
            <w:instrText xml:space="preserve">HYPERLINK  \l  "_Toc1147527516" </w:instrText>
          </w:r>
          <w:r>
            <w:fldChar w:fldCharType="separate"/>
          </w:r>
          <w:r w:rsidR="48D5E187">
            <w:rPr/>
            <w:t>Conclusion</w:t>
          </w:r>
          <w:r>
            <w:tab/>
          </w:r>
          <w:r>
            <w:fldChar w:fldCharType="begin"/>
          </w:r>
          <w:r>
            <w:instrText xml:space="preserve">PAGEREF _Toc1147527516 \h</w:instrText>
          </w:r>
          <w:r>
            <w:fldChar w:fldCharType="separate"/>
          </w:r>
          <w:r w:rsidR="48D5E187">
            <w:rPr/>
            <w:t>12</w:t>
          </w:r>
          <w:r>
            <w:fldChar w:fldCharType="end"/>
          </w:r>
          <w:r>
            <w:fldChar w:fldCharType="end"/>
          </w:r>
        </w:p>
        <w:p xmlns:wp14="http://schemas.microsoft.com/office/word/2010/wordml" w:rsidP="48D5E187" wp14:paraId="30399E8D" wp14:textId="1CB85631">
          <w:pPr>
            <w:pStyle w:val="TOC1"/>
            <w:tabs>
              <w:tab w:val="right" w:leader="dot" w:pos="9360"/>
            </w:tabs>
            <w:bidi w:val="0"/>
          </w:pPr>
          <w:r>
            <w:fldChar w:fldCharType="begin"/>
          </w:r>
          <w:r>
            <w:instrText xml:space="preserve">HYPERLINK  \l  "_Toc1836892874" </w:instrText>
          </w:r>
          <w:r>
            <w:fldChar w:fldCharType="separate"/>
          </w:r>
          <w:r w:rsidR="48D5E187">
            <w:rPr/>
            <w:t>References</w:t>
          </w:r>
          <w:r>
            <w:tab/>
          </w:r>
          <w:r>
            <w:fldChar w:fldCharType="begin"/>
          </w:r>
          <w:r>
            <w:instrText xml:space="preserve">PAGEREF _Toc1836892874 \h</w:instrText>
          </w:r>
          <w:r>
            <w:fldChar w:fldCharType="separate"/>
          </w:r>
          <w:r w:rsidR="48D5E187">
            <w:rPr/>
            <w:t>13</w:t>
          </w:r>
          <w:r>
            <w:fldChar w:fldCharType="end"/>
          </w:r>
          <w:r>
            <w:fldChar w:fldCharType="end"/>
          </w:r>
        </w:p>
        <w:p xmlns:wp14="http://schemas.microsoft.com/office/word/2010/wordml" wp14:paraId="3BBB5281" wp14:textId="6BA38667">
          <w:r>
            <w:fldChar w:fldCharType="end"/>
          </w:r>
        </w:p>
      </w:sdtContent>
    </w:sdt>
    <w:p xmlns:wp14="http://schemas.microsoft.com/office/word/2010/wordml" w:rsidP="48D5E187" wp14:paraId="2E4616C2" wp14:textId="26D47CE5">
      <w:pPr>
        <w:bidi w:val="0"/>
        <w:spacing w:before="120" w:after="120" w:line="360" w:lineRule="auto"/>
        <w:rPr>
          <w:rFonts w:ascii="Tahoma" w:hAnsi="Tahoma" w:eastAsia="Tahoma" w:cs="Tahoma"/>
          <w:noProof w:val="0"/>
          <w:color w:val="000000" w:themeColor="text1" w:themeTint="FF" w:themeShade="FF"/>
          <w:sz w:val="22"/>
          <w:szCs w:val="22"/>
          <w:lang w:val="en-GB"/>
        </w:rPr>
      </w:pPr>
    </w:p>
    <w:p xmlns:wp14="http://schemas.microsoft.com/office/word/2010/wordml" w:rsidP="48D5E187" wp14:paraId="7A04F040" wp14:textId="47731FCD">
      <w:pPr>
        <w:bidi w:val="0"/>
        <w:spacing w:before="120" w:after="120" w:line="360" w:lineRule="auto"/>
        <w:rPr>
          <w:rFonts w:ascii="Tahoma" w:hAnsi="Tahoma" w:eastAsia="Tahoma" w:cs="Tahoma"/>
          <w:noProof w:val="0"/>
          <w:color w:val="000000" w:themeColor="text1" w:themeTint="FF" w:themeShade="FF"/>
          <w:sz w:val="22"/>
          <w:szCs w:val="22"/>
          <w:lang w:val="en-GB"/>
        </w:rPr>
      </w:pPr>
    </w:p>
    <w:p xmlns:wp14="http://schemas.microsoft.com/office/word/2010/wordml" w:rsidP="48D5E187" wp14:paraId="66D1F489" wp14:textId="038DED0E">
      <w:pPr>
        <w:bidi w:val="0"/>
        <w:spacing w:before="120" w:after="120" w:line="360" w:lineRule="auto"/>
        <w:rPr>
          <w:rFonts w:ascii="Tahoma" w:hAnsi="Tahoma" w:eastAsia="Tahoma" w:cs="Tahoma"/>
          <w:noProof w:val="0"/>
          <w:color w:val="000000" w:themeColor="text1" w:themeTint="FF" w:themeShade="FF"/>
          <w:sz w:val="22"/>
          <w:szCs w:val="22"/>
          <w:lang w:val="en-GB"/>
        </w:rPr>
      </w:pPr>
    </w:p>
    <w:p xmlns:wp14="http://schemas.microsoft.com/office/word/2010/wordml" w:rsidP="48D5E187" wp14:paraId="4D358A71" wp14:textId="5EB29556">
      <w:pPr>
        <w:bidi w:val="0"/>
        <w:spacing w:before="120" w:after="120" w:line="360" w:lineRule="auto"/>
        <w:rPr>
          <w:rFonts w:ascii="Tahoma" w:hAnsi="Tahoma" w:eastAsia="Tahoma" w:cs="Tahoma"/>
          <w:noProof w:val="0"/>
          <w:color w:val="000000" w:themeColor="text1" w:themeTint="FF" w:themeShade="FF"/>
          <w:sz w:val="22"/>
          <w:szCs w:val="22"/>
          <w:lang w:val="en-GB"/>
        </w:rPr>
      </w:pPr>
    </w:p>
    <w:p xmlns:wp14="http://schemas.microsoft.com/office/word/2010/wordml" w:rsidP="48D5E187" wp14:paraId="3C2E1210" wp14:textId="50E15900">
      <w:pPr>
        <w:bidi w:val="0"/>
        <w:spacing w:before="120" w:after="120" w:line="360" w:lineRule="auto"/>
        <w:rPr>
          <w:rFonts w:ascii="Tahoma" w:hAnsi="Tahoma" w:eastAsia="Tahoma" w:cs="Tahoma"/>
          <w:noProof w:val="0"/>
          <w:color w:val="000000" w:themeColor="text1" w:themeTint="FF" w:themeShade="FF"/>
          <w:sz w:val="22"/>
          <w:szCs w:val="22"/>
          <w:lang w:val="en-GB"/>
        </w:rPr>
      </w:pPr>
    </w:p>
    <w:p xmlns:wp14="http://schemas.microsoft.com/office/word/2010/wordml" w:rsidP="48D5E187" wp14:paraId="0C412753" wp14:textId="2339E603">
      <w:pPr>
        <w:bidi w:val="0"/>
        <w:spacing w:before="120" w:after="120" w:line="360" w:lineRule="auto"/>
        <w:rPr>
          <w:rFonts w:ascii="Tahoma" w:hAnsi="Tahoma" w:eastAsia="Tahoma" w:cs="Tahoma"/>
          <w:noProof w:val="0"/>
          <w:color w:val="000000" w:themeColor="text1" w:themeTint="FF" w:themeShade="FF"/>
          <w:sz w:val="22"/>
          <w:szCs w:val="22"/>
          <w:lang w:val="en-GB"/>
        </w:rPr>
      </w:pPr>
    </w:p>
    <w:p xmlns:wp14="http://schemas.microsoft.com/office/word/2010/wordml" w:rsidP="48D5E187" wp14:paraId="231F99D6" wp14:textId="15DCF592">
      <w:pPr>
        <w:bidi w:val="0"/>
        <w:spacing w:before="120" w:after="120" w:line="360" w:lineRule="auto"/>
        <w:rPr>
          <w:rFonts w:ascii="Tahoma" w:hAnsi="Tahoma" w:eastAsia="Tahoma" w:cs="Tahoma"/>
          <w:noProof w:val="0"/>
          <w:color w:val="000000" w:themeColor="text1" w:themeTint="FF" w:themeShade="FF"/>
          <w:sz w:val="22"/>
          <w:szCs w:val="22"/>
          <w:lang w:val="en-GB"/>
        </w:rPr>
      </w:pPr>
    </w:p>
    <w:p xmlns:wp14="http://schemas.microsoft.com/office/word/2010/wordml" w:rsidP="48D5E187" wp14:paraId="499A50B4" wp14:textId="0BB2F4CA">
      <w:pPr>
        <w:bidi w:val="0"/>
        <w:spacing w:before="120" w:after="120" w:line="360" w:lineRule="auto"/>
        <w:rPr>
          <w:rFonts w:ascii="Tahoma" w:hAnsi="Tahoma" w:eastAsia="Tahoma" w:cs="Tahoma"/>
          <w:noProof w:val="0"/>
          <w:color w:val="000000" w:themeColor="text1" w:themeTint="FF" w:themeShade="FF"/>
          <w:sz w:val="22"/>
          <w:szCs w:val="22"/>
          <w:lang w:val="en-GB"/>
        </w:rPr>
      </w:pPr>
    </w:p>
    <w:p xmlns:wp14="http://schemas.microsoft.com/office/word/2010/wordml" w:rsidP="48D5E187" wp14:paraId="2329E8C6" wp14:textId="4EC6A189">
      <w:pPr>
        <w:bidi w:val="0"/>
        <w:spacing w:before="120" w:after="120" w:line="360" w:lineRule="auto"/>
        <w:rPr>
          <w:rFonts w:ascii="Tahoma" w:hAnsi="Tahoma" w:eastAsia="Tahoma" w:cs="Tahoma"/>
          <w:noProof w:val="0"/>
          <w:color w:val="000000" w:themeColor="text1" w:themeTint="FF" w:themeShade="FF"/>
          <w:sz w:val="22"/>
          <w:szCs w:val="22"/>
          <w:lang w:val="en-GB"/>
        </w:rPr>
      </w:pPr>
    </w:p>
    <w:p xmlns:wp14="http://schemas.microsoft.com/office/word/2010/wordml" w:rsidP="48D5E187" wp14:paraId="244B44BB" wp14:textId="68B851EE">
      <w:pPr>
        <w:bidi w:val="0"/>
        <w:spacing w:before="120" w:after="120" w:line="360" w:lineRule="auto"/>
        <w:rPr>
          <w:rFonts w:ascii="Tahoma" w:hAnsi="Tahoma" w:eastAsia="Tahoma" w:cs="Tahoma"/>
          <w:noProof w:val="0"/>
          <w:color w:val="000000" w:themeColor="text1" w:themeTint="FF" w:themeShade="FF"/>
          <w:sz w:val="22"/>
          <w:szCs w:val="22"/>
          <w:lang w:val="en-GB"/>
        </w:rPr>
      </w:pPr>
    </w:p>
    <w:p xmlns:wp14="http://schemas.microsoft.com/office/word/2010/wordml" w:rsidP="48D5E187" wp14:paraId="5152575F" wp14:textId="448F6120">
      <w:pPr>
        <w:bidi w:val="0"/>
        <w:spacing w:before="120" w:after="120" w:line="360" w:lineRule="auto"/>
        <w:rPr>
          <w:rFonts w:ascii="Tahoma" w:hAnsi="Tahoma" w:eastAsia="Tahoma" w:cs="Tahoma"/>
          <w:noProof w:val="0"/>
          <w:color w:val="000000" w:themeColor="text1" w:themeTint="FF" w:themeShade="FF"/>
          <w:sz w:val="22"/>
          <w:szCs w:val="22"/>
          <w:lang w:val="en-GB"/>
        </w:rPr>
      </w:pPr>
    </w:p>
    <w:p xmlns:wp14="http://schemas.microsoft.com/office/word/2010/wordml" w:rsidP="48D5E187" wp14:paraId="7A3F19A7" wp14:textId="0E86275A">
      <w:pPr>
        <w:bidi w:val="0"/>
        <w:spacing w:before="120" w:after="120" w:line="360" w:lineRule="auto"/>
        <w:rPr>
          <w:rFonts w:ascii="Tahoma" w:hAnsi="Tahoma" w:eastAsia="Tahoma" w:cs="Tahoma"/>
          <w:noProof w:val="0"/>
          <w:color w:val="000000" w:themeColor="text1" w:themeTint="FF" w:themeShade="FF"/>
          <w:sz w:val="22"/>
          <w:szCs w:val="22"/>
          <w:lang w:val="en-GB"/>
        </w:rPr>
      </w:pPr>
    </w:p>
    <w:p xmlns:wp14="http://schemas.microsoft.com/office/word/2010/wordml" w:rsidP="48D5E187" wp14:paraId="7FEBECDA" wp14:textId="270685D2">
      <w:pPr>
        <w:bidi w:val="0"/>
        <w:spacing w:before="120" w:after="120" w:line="360" w:lineRule="auto"/>
        <w:rPr>
          <w:rFonts w:ascii="Tahoma" w:hAnsi="Tahoma" w:eastAsia="Tahoma" w:cs="Tahoma"/>
          <w:noProof w:val="0"/>
          <w:color w:val="000000" w:themeColor="text1" w:themeTint="FF" w:themeShade="FF"/>
          <w:sz w:val="22"/>
          <w:szCs w:val="22"/>
          <w:lang w:val="en-GB"/>
        </w:rPr>
      </w:pPr>
    </w:p>
    <w:p xmlns:wp14="http://schemas.microsoft.com/office/word/2010/wordml" w:rsidP="48D5E187" wp14:paraId="7DB1F281" wp14:textId="2D5CB0E9">
      <w:pPr>
        <w:bidi w:val="0"/>
        <w:spacing w:before="120" w:after="120" w:line="360" w:lineRule="auto"/>
        <w:rPr>
          <w:rFonts w:ascii="Tahoma" w:hAnsi="Tahoma" w:eastAsia="Tahoma" w:cs="Tahoma"/>
          <w:noProof w:val="0"/>
          <w:color w:val="000000" w:themeColor="text1" w:themeTint="FF" w:themeShade="FF"/>
          <w:sz w:val="22"/>
          <w:szCs w:val="22"/>
          <w:lang w:val="en-GB"/>
        </w:rPr>
      </w:pPr>
    </w:p>
    <w:p xmlns:wp14="http://schemas.microsoft.com/office/word/2010/wordml" w:rsidP="48D5E187" wp14:paraId="130BDCD9" wp14:textId="07572BF7">
      <w:pPr>
        <w:pStyle w:val="Normal"/>
        <w:bidi w:val="0"/>
        <w:spacing w:before="120" w:after="120" w:line="360" w:lineRule="auto"/>
        <w:rPr>
          <w:rFonts w:ascii="Tahoma" w:hAnsi="Tahoma" w:eastAsia="Tahoma" w:cs="Tahoma"/>
          <w:noProof w:val="0"/>
          <w:color w:val="000000" w:themeColor="text1" w:themeTint="FF" w:themeShade="FF"/>
          <w:sz w:val="22"/>
          <w:szCs w:val="22"/>
          <w:lang w:val="en-GB"/>
        </w:rPr>
      </w:pPr>
    </w:p>
    <w:p xmlns:wp14="http://schemas.microsoft.com/office/word/2010/wordml" w:rsidP="48D5E187" wp14:paraId="758E511E" wp14:textId="6E0524C4">
      <w:pPr>
        <w:pStyle w:val="Heading1"/>
        <w:rPr>
          <w:rFonts w:ascii="Calibri" w:hAnsi="Calibri" w:eastAsia="Calibri" w:cs="Calibri" w:asciiTheme="minorAscii" w:hAnsiTheme="minorAscii" w:eastAsiaTheme="minorAscii" w:cstheme="minorAscii"/>
          <w:b w:val="1"/>
          <w:bCs w:val="1"/>
          <w:noProof w:val="0"/>
          <w:color w:val="365F91"/>
          <w:sz w:val="24"/>
          <w:szCs w:val="24"/>
          <w:lang w:val="en-US"/>
        </w:rPr>
      </w:pPr>
      <w:bookmarkStart w:name="_Toc1326363150" w:id="1705778977"/>
      <w:r w:rsidRPr="48D5E187" w:rsidR="20B6B4BB">
        <w:rPr>
          <w:noProof w:val="0"/>
          <w:lang w:val="en-US"/>
        </w:rPr>
        <w:t>Introduction</w:t>
      </w:r>
      <w:bookmarkEnd w:id="1705778977"/>
    </w:p>
    <w:p xmlns:wp14="http://schemas.microsoft.com/office/word/2010/wordml" w:rsidP="48D5E187" wp14:paraId="30FA8147" wp14:textId="3165F017">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This report examines how developing individuals </w:t>
      </w:r>
      <w:r w:rsidRPr="48D5E187" w:rsidR="0F291C49">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contribute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to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organisational</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success and how a salon owner manager can manage expectations, select suitable development </w:t>
      </w:r>
      <w:r w:rsidRPr="48D5E187" w:rsidR="727576C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methods,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evaluate performance. The workplace context is my hair salon, SISTR, based in Swansea, where I discussed staff supervision, weekly coaching, shared learning, customer </w:t>
      </w:r>
      <w:r w:rsidRPr="48D5E187" w:rsidR="27538B3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service,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the pressures of running a small service business. My earlier work concentrated heavily on leadership and knowledge management. Although these topics are relevant to learning at work, this revised discussion places individual development, </w:t>
      </w:r>
      <w:r w:rsidRPr="48D5E187" w:rsidR="231FDDA4">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appraisals,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performance management at its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centre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p>
    <w:p xmlns:wp14="http://schemas.microsoft.com/office/word/2010/wordml" w:rsidP="48D5E187" wp14:paraId="52442B3D" wp14:textId="42EC7EE5">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This report examines how developing individuals </w:t>
      </w:r>
      <w:r w:rsidRPr="48D5E187" w:rsidR="0EBF590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contribute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to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organisational</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success and how I can manage expectations, select suitable development </w:t>
      </w:r>
      <w:r w:rsidRPr="48D5E187" w:rsidR="1E2FAE6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methods,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evaluate performance. The workplace context is my hair salon, SISTR, based in Swansea. Managing a small service business requires attention to staff supervision, coaching, shared learning, customer </w:t>
      </w:r>
      <w:r w:rsidRPr="48D5E187" w:rsidR="2D30A429">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service,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the pressures of daily appointments. Although leadership and knowledge sharing are important, the main focus of this report is on individual development, appraisal </w:t>
      </w:r>
      <w:r w:rsidRPr="48D5E187" w:rsidR="7A75D3A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systems,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performance management.</w:t>
      </w:r>
    </w:p>
    <w:p xmlns:wp14="http://schemas.microsoft.com/office/word/2010/wordml" w:rsidP="48D5E187" wp14:paraId="7C03E14B" wp14:textId="558E66ED">
      <w:pPr>
        <w:pStyle w:val="Heading1"/>
        <w:rPr>
          <w:rFonts w:ascii="Calibri" w:hAnsi="Calibri" w:eastAsia="Calibri" w:cs="Calibri" w:asciiTheme="minorAscii" w:hAnsiTheme="minorAscii" w:eastAsiaTheme="minorAscii" w:cstheme="minorAscii"/>
          <w:b w:val="1"/>
          <w:bCs w:val="1"/>
          <w:noProof w:val="0"/>
          <w:color w:val="365F91"/>
          <w:sz w:val="24"/>
          <w:szCs w:val="24"/>
          <w:lang w:val="en-US"/>
        </w:rPr>
      </w:pPr>
      <w:bookmarkStart w:name="_Toc1151008490" w:id="236187044"/>
      <w:r w:rsidRPr="48D5E187" w:rsidR="20B6B4BB">
        <w:rPr>
          <w:noProof w:val="0"/>
          <w:lang w:val="en-US"/>
        </w:rPr>
        <w:t>Benefits of developing individuals</w:t>
      </w:r>
      <w:bookmarkEnd w:id="236187044"/>
    </w:p>
    <w:p xmlns:wp14="http://schemas.microsoft.com/office/word/2010/wordml" w:rsidP="48D5E187" wp14:paraId="5540BBA5" wp14:textId="2723EC8A">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Human capital theory regards education and training as investments in productive capability (Becker, 1964). At SISTR, the immediate benefits may include safer services, stronger consultations, more confident handling of client </w:t>
      </w:r>
      <w:r w:rsidRPr="48D5E187" w:rsidR="729D9E0C">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questions,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fewer avoidable corrections. For example, a junior colleague at SISTR who understands how to assess suitability and explain aftercare can contribute more independently. The business may then be able to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allocate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work more flexibly, while the employee gains practical competence and a clearer sense of progress. Yet the theory has limitations: training does not guarantee improved performance when appointments are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rushed,</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equipment is </w:t>
      </w:r>
      <w:r w:rsidRPr="48D5E187" w:rsidR="0CD7D13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inadequate,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or expectations remain unclear.</w:t>
      </w:r>
    </w:p>
    <w:p xmlns:wp14="http://schemas.microsoft.com/office/word/2010/wordml" w:rsidP="48D5E187" wp14:paraId="2FA11C35" wp14:textId="26C37D9F">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The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resource based</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view proposes that valuable and difficult to imitate resources can contribute to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organisational</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advantage (Barney, 1991). SISTR cannot rely only on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purchasing</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similar products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to its competitors; staff relationships, professional judgement and consistent service experiences may be more distinctive. Development supports these capabilities by strengthening the way people use their knowledge together. However, an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organisation</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should avoid treating employees simply as assets. People have their own ambitions, responsibilities and </w:t>
      </w:r>
      <w:r w:rsidRPr="48D5E187" w:rsidR="5061FE35">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the right</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to seek opportunities elsewhere. A fair development approach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benefits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the employee even when the commercial return is uncertain.</w:t>
      </w:r>
    </w:p>
    <w:p xmlns:wp14="http://schemas.microsoft.com/office/word/2010/wordml" w:rsidP="48D5E187" wp14:paraId="40B860BD" wp14:textId="0DB13D1B">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Developing individuals can improve motivation and commitment. Social exchange theory suggests that supportive treatment may encourage reciprocal cooperation (Blau, 1964), while </w:t>
      </w:r>
      <w:r w:rsidRPr="48D5E187" w:rsidR="521D274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self-determination</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theory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identifies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competence,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autonomy</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relatedness as important motivational needs (Deci &amp; Ryan, 1985). A junior stylist who receives constructive feedback and gradually takes responsibility may feel trusted rather than constantly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monitored</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Nevertheless, opportunities must be distributed fairly: </w:t>
      </w:r>
      <w:r w:rsidRPr="48D5E187" w:rsidR="7F79D1F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favoring</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 confident colleague with all the training can leave quieter employees overlooked.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Managers should explain selection criteria and actively invite employees to identify their own goals.</w:t>
      </w:r>
    </w:p>
    <w:p xmlns:wp14="http://schemas.microsoft.com/office/word/2010/wordml" w:rsidP="48D5E187" wp14:paraId="6D145B7C" wp14:textId="2FD646F8">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Development also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benefits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the individual through increased employability, </w:t>
      </w:r>
      <w:r w:rsidRPr="48D5E187" w:rsidR="72FE4A3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self-</w:t>
      </w:r>
      <w:r w:rsidRPr="48D5E187" w:rsidR="2B53C9E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efficacy,</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professional identity. Bandura (1977) highlights the role of learning through observation and modelling. Seeing an experienced colleague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demonstrate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 consultation, followed by supported practice, can help an apprentice understand both the technique and the professional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behaviours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expected. Progress can create satisfaction even before promotion is available. It is therefore important to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recognise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specialist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expertise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improved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independence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stronger communication as </w:t>
      </w:r>
      <w:r w:rsidRPr="48D5E187" w:rsidR="4AD5A38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achievements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p>
    <w:p xmlns:wp14="http://schemas.microsoft.com/office/word/2010/wordml" w:rsidP="48D5E187" wp14:paraId="1462FCAD" wp14:textId="4AE48AD3">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For the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organisation</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improved employee capability can support retention, client satisfaction, succession </w:t>
      </w:r>
      <w:r w:rsidRPr="48D5E187" w:rsidR="682D04D4">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planning,</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operational resilience. My original discussion of SISTR described a situation in which a senior colleague’s departure exposed gaps in shared knowledge. This illustrates why training and mentoring should not depend on a </w:t>
      </w:r>
      <w:r w:rsidRPr="48D5E187" w:rsidR="3CF59EF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single,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experienced person. A team with documented procedures and multiple capable employees is better prepared for absence or change. However, formal documents cannot capture every aspect of professional judgement. Staff also need opportunities to ask questions,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observe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decisions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discuss what worked.</w:t>
      </w:r>
    </w:p>
    <w:p xmlns:wp14="http://schemas.microsoft.com/office/word/2010/wordml" w:rsidP="48D5E187" wp14:paraId="12D1000B" wp14:textId="4D6DCA29">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For the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organisation</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improved employee capability can support retention, client satisfaction, succession </w:t>
      </w:r>
      <w:r w:rsidRPr="48D5E187" w:rsidR="09C30AE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planning,</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operational resilience.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For example, if an experienced colleague leaves, a salon may discover gaps in knowledge and practical capability.</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This illustrates why training and mentoring should not depend on a </w:t>
      </w:r>
      <w:r w:rsidRPr="48D5E187" w:rsidR="3D5FAC19">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single,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experienced person. A team with documented procedures and multiple capable employees is better prepared for absence or change. However, formal documents cannot capture every aspect of professional judgement. Staff also need opportunities to ask questions,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observe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8D5E187" w:rsidR="7282C32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decisions,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discuss what worked.</w:t>
      </w:r>
    </w:p>
    <w:p xmlns:wp14="http://schemas.microsoft.com/office/word/2010/wordml" w:rsidP="48D5E187" wp14:paraId="3EBCF2D7" wp14:textId="284FA536">
      <w:pPr>
        <w:pStyle w:val="Heading1"/>
        <w:rPr>
          <w:rFonts w:ascii="Calibri" w:hAnsi="Calibri" w:eastAsia="Calibri" w:cs="Calibri" w:asciiTheme="minorAscii" w:hAnsiTheme="minorAscii" w:eastAsiaTheme="minorAscii" w:cstheme="minorAscii"/>
          <w:b w:val="1"/>
          <w:bCs w:val="1"/>
          <w:noProof w:val="0"/>
          <w:color w:val="365F91"/>
          <w:sz w:val="24"/>
          <w:szCs w:val="24"/>
          <w:lang w:val="en-US"/>
        </w:rPr>
      </w:pPr>
      <w:bookmarkStart w:name="_Toc1106119511" w:id="161004947"/>
      <w:r w:rsidRPr="48D5E187" w:rsidR="20B6B4BB">
        <w:rPr>
          <w:noProof w:val="0"/>
          <w:lang w:val="en-US"/>
        </w:rPr>
        <w:t>Identifying</w:t>
      </w:r>
      <w:r w:rsidRPr="48D5E187" w:rsidR="20B6B4BB">
        <w:rPr>
          <w:noProof w:val="0"/>
          <w:lang w:val="en-US"/>
        </w:rPr>
        <w:t xml:space="preserve"> development needs and managing expectations</w:t>
      </w:r>
      <w:bookmarkEnd w:id="161004947"/>
    </w:p>
    <w:p xmlns:wp14="http://schemas.microsoft.com/office/word/2010/wordml" w:rsidP="48D5E187" wp14:paraId="563612D4" wp14:textId="3AB6BD91">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A training needs analysis should begin with the requirements of the role and the employee’s current capability. In a salon, relevant areas might include safe working practices, consultations, technical accuracy, client communication, time </w:t>
      </w:r>
      <w:r w:rsidRPr="48D5E187" w:rsidR="43BDD3D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management,</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teamwork. Evidence can come from direct observation, work samples, client feedback, </w:t>
      </w:r>
      <w:r w:rsidRPr="48D5E187" w:rsidR="65FBAE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self-assessment</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discussion with a mentor. No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single source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should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determine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the outcome. Client satisfaction scores, for instance, can be influenced by personal preferences, while </w:t>
      </w:r>
      <w:r w:rsidRPr="48D5E187" w:rsidR="32F7BCD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self-assessment</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may reflect confidence rather than competence.</w:t>
      </w:r>
    </w:p>
    <w:p xmlns:wp14="http://schemas.microsoft.com/office/word/2010/wordml" w:rsidP="48D5E187" wp14:paraId="438B35CF" wp14:textId="02EF8681">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The first development meeting should be a private </w:t>
      </w:r>
      <w:r w:rsidRPr="48D5E187" w:rsidR="3C29A7F7">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two-way</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conversation. I would ask the employee what they enjoy, which tasks they find difficult, what they hope to </w:t>
      </w:r>
      <w:r w:rsidRPr="48D5E187" w:rsidR="7BF45A3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achieve,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what support would help them. I would explain the business standards and listen to any practical barriers, including workload and access to training. The result should be a short set of agreed priorities rather than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 long list</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of weaknesses. This approach encourages ownership and allows the manager to distinguish a skills gap from a problem caused by unclear instructions or insufficient resources.</w:t>
      </w:r>
    </w:p>
    <w:p xmlns:wp14="http://schemas.microsoft.com/office/word/2010/wordml" w:rsidP="48D5E187" wp14:paraId="5366552B" wp14:textId="643B3A93">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Goal setting theory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indicates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that specific and challenging goals can support performance when there is commitment and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appropriate feedback</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(Locke &amp; Latham, 2002). SMART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objectives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provide a practical structure: goals should be specific, measurable, achievable, </w:t>
      </w:r>
      <w:r w:rsidRPr="48D5E187" w:rsidR="06250C9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relevant,</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time bound. For example, rather than telling a junior stylist to “improve consultations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 manager might agree that they will meet an established consultation checklist in nine of ten observed interactions by the end of month three. The target must be adjusted after a baseline assessment, and safety must take priority over speed or sales.</w:t>
      </w:r>
    </w:p>
    <w:p xmlns:wp14="http://schemas.microsoft.com/office/word/2010/wordml" w:rsidP="48D5E187" wp14:paraId="4C6C96B1" wp14:textId="6DA6A2C6">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Expectancy theory suggests that employees are more likely to </w:t>
      </w:r>
      <w:r w:rsidRPr="48D5E187" w:rsidR="1C442B4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invest in</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effort when they believe it can produce performance and a valued outcome (Vroom, 1964). A manager should therefore explain what support will be provided and how progress will be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recognised</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It would be unfair to promise promotion if there is no vacancy or defined progression route. Instead, I could explain that meeting agreed standards may allow the employee to take on more independent work, with future responsibilities reviewed separately. This manages ambition without creating unrealistic expectations.</w:t>
      </w:r>
    </w:p>
    <w:p xmlns:wp14="http://schemas.microsoft.com/office/word/2010/wordml" w:rsidP="48D5E187" wp14:paraId="26B7215E" wp14:textId="3E434353">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Equity theory draws attention to employees’ perceptions of fairness (Adams, 1965). If one stylist receives paid training and protected practice time while another is expected to learn without support, resentment may undermine engagement. At SISTR, I would establish transparent access to development, taking account of role requirements and individual needs. Fairness does not always mean identical training: a junior colleague and an experienced specialist will have different gaps. It means that decisions are reasoned, explained and open to review.</w:t>
      </w:r>
    </w:p>
    <w:p xmlns:wp14="http://schemas.microsoft.com/office/word/2010/wordml" w:rsidP="48D5E187" wp14:paraId="736C109A" wp14:textId="1785FBCE">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Career development should also reflect individual preferences. Not everyone wishes to manage others. A stylist may prefer to specialise in a service, mentor apprentices or develop client experience skills. In my earlier account of SISTR, I described progression stages from apprentice to senior and lead stylist. Those stages can provide direction, but they should not become the only definition of success. Regular career discussions can help employees choose appropriate opportunities and avoid unnecessary pressure.</w:t>
      </w:r>
    </w:p>
    <w:p xmlns:wp14="http://schemas.microsoft.com/office/word/2010/wordml" w:rsidP="48D5E187" wp14:paraId="3F4A4C30" wp14:textId="4BB2253E">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From my own experience, people can look confident when they are working with clients but still feel unsure about certain parts of their job. This is why I would not just assume that someone is coping because they do not ask for help. I would make time to speak to them properly and ask what they feel they need more practice with. In a busy salon it is easy to focus on getting through the appointments and forget to check how people are developing. I want to make this a regular part of managing the business rather than only having a conversation when something goes wrong. It would also help me understand whether someone wants to learn a new skill or would prefer to improve the services they already offer.</w:t>
      </w:r>
    </w:p>
    <w:p xmlns:wp14="http://schemas.microsoft.com/office/word/2010/wordml" w:rsidP="48D5E187" wp14:paraId="0A816E64" wp14:textId="0C481EE5">
      <w:pPr>
        <w:pStyle w:val="Heading1"/>
        <w:rPr>
          <w:rFonts w:ascii="Calibri" w:hAnsi="Calibri" w:eastAsia="Calibri" w:cs="Calibri" w:asciiTheme="minorAscii" w:hAnsiTheme="minorAscii" w:eastAsiaTheme="minorAscii" w:cstheme="minorAscii"/>
          <w:b w:val="1"/>
          <w:bCs w:val="1"/>
          <w:noProof w:val="0"/>
          <w:color w:val="365F91"/>
          <w:sz w:val="24"/>
          <w:szCs w:val="24"/>
          <w:lang w:val="en-US"/>
        </w:rPr>
      </w:pPr>
      <w:bookmarkStart w:name="_Toc332106408" w:id="1550123174"/>
      <w:r w:rsidRPr="48D5E187" w:rsidR="20B6B4BB">
        <w:rPr>
          <w:noProof w:val="0"/>
          <w:lang w:val="en-US"/>
        </w:rPr>
        <w:t>Setting up appraisal and performance management systems</w:t>
      </w:r>
      <w:bookmarkEnd w:id="1550123174"/>
    </w:p>
    <w:p xmlns:wp14="http://schemas.microsoft.com/office/word/2010/wordml" w:rsidP="48D5E187" wp14:paraId="0151BA4B" wp14:textId="3443BE74">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Performance management is a continuing process rather than </w:t>
      </w:r>
      <w:r w:rsidRPr="48D5E187" w:rsidR="1E7221C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annual</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judgement. It involves communicating standards, supporting performance, collecting evidence,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recognising</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8D5E187" w:rsidR="01C2C549">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progress,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responding fairly to concerns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Aguinis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2019). For SISTR, a proportionate system could combine a formal baseline appraisal, monthly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one to one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8D5E187" w:rsidR="11AF73C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meeting</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regular practical </w:t>
      </w:r>
      <w:r w:rsidRPr="48D5E187" w:rsidR="46CFE47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observation,</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a </w:t>
      </w:r>
      <w:bookmarkStart w:name="_Int_07MOhulS" w:id="510335439"/>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six month</w:t>
      </w:r>
      <w:bookmarkEnd w:id="510335439"/>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development review. The purpose is to improve capability and clarify expectations, not simply to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identify</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mistakes.</w:t>
      </w:r>
    </w:p>
    <w:p xmlns:wp14="http://schemas.microsoft.com/office/word/2010/wordml" w:rsidP="48D5E187" wp14:paraId="6E453C5E" wp14:textId="318E62C3">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At the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initial</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appraisal, the employee and manager should review the job role and discuss strengths, development </w:t>
      </w:r>
      <w:r w:rsidRPr="48D5E187" w:rsidR="62FA7C1C">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needs,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career interests. They should </w:t>
      </w:r>
      <w:r w:rsidRPr="48D5E187" w:rsidR="238FAD79">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agree with</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no more than three immediate priorities and identify the evidence needed to show progress. The manager should record the agreed actions, </w:t>
      </w:r>
      <w:r w:rsidRPr="48D5E187" w:rsidR="3D43AC2D">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resources,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review date, and give the employee an opportunity to comment. Written records are useful because informal conversations can otherwise lead to different recollections of what was promised.</w:t>
      </w:r>
    </w:p>
    <w:p xmlns:wp14="http://schemas.microsoft.com/office/word/2010/wordml" w:rsidP="48D5E187" wp14:paraId="5EC146E6" wp14:textId="2F3E269E">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The appraisal should distinguish results from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behaviours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 employee at SISTR may complete an appointment on time but still omit an important consultation question; conversely, a careful trainee may need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additional</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time while developing a new skill.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 balanced assessment rubric should therefore consider safe preparation, technical quality, communication, client care, professional conduct and appropriate time management.</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8D5E187" w:rsidR="3B453265">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Behavioral</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descriptions are more useful than vague labels such as “good attitude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p>
    <w:p xmlns:wp14="http://schemas.microsoft.com/office/word/2010/wordml" w:rsidP="48D5E187" wp14:paraId="65A9CC55" wp14:textId="3B278217">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Feedback should be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timely</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8D5E187" w:rsidR="630D5F07">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respectful,</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specific. For example, after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observing</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 consultation, I could explain which questions were asked clearly,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identify</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one missed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area</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agree how the employee will </w:t>
      </w:r>
      <w:r w:rsidRPr="48D5E187" w:rsidR="24798D3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practice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it next time. I should invite their perspective before proposing a solution. This is particularly important in a small team where criticism in front of clients or colleagues could reduce confidence. Psychological safety supports the willingness to ask questions and discuss mistakes (Edmondson, 1999), but it should not be confused with removing accountability for safety or professional standards.</w:t>
      </w:r>
    </w:p>
    <w:p xmlns:wp14="http://schemas.microsoft.com/office/word/2010/wordml" w:rsidP="48D5E187" wp14:paraId="008CA097" wp14:textId="743A9893">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Monthly reviews would examine examples of work, observation checklists, training </w:t>
      </w:r>
      <w:r w:rsidRPr="48D5E187" w:rsidR="715BE29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participation,</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the employee’s own reflections. A </w:t>
      </w:r>
      <w:bookmarkStart w:name="_Int_M2GJUT5i" w:id="1457131496"/>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short written</w:t>
      </w:r>
      <w:bookmarkEnd w:id="1457131496"/>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summary would record progress, </w:t>
      </w:r>
      <w:r w:rsidRPr="48D5E187" w:rsidR="5AF53AF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barriers,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revised actions. If targets are not met, I would first ask whether training was available, expectations were </w:t>
      </w:r>
      <w:r w:rsidRPr="48D5E187" w:rsidR="3E073EA6">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realistic,</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the employee had sufficient opportunities to </w:t>
      </w:r>
      <w:r w:rsidRPr="48D5E187" w:rsidR="6A47EE14">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practice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Where necessary, the plan should be extended or adjusted. Formal capability or disciplinary procedures should be kept separate from supportive development conversations and handled consistently with workplace policy and applicable employment requirements.</w:t>
      </w:r>
    </w:p>
    <w:p xmlns:wp14="http://schemas.microsoft.com/office/word/2010/wordml" w:rsidP="48D5E187" wp14:paraId="40D8043B" wp14:textId="73597F7C">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Appraisal information is personal employment data. Notes should be factual, relevant, securely </w:t>
      </w:r>
      <w:r w:rsidRPr="48D5E187" w:rsidR="1DE713B7">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stored,</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shared only with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authorised</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people. Staff should understand why information is collected and how it is used. Client feedback included in an employee review should be handled carefully to protect client confidentiality. These safeguards support trust and make the system more credible.</w:t>
      </w:r>
    </w:p>
    <w:p xmlns:wp14="http://schemas.microsoft.com/office/word/2010/wordml" w:rsidP="48D5E187" wp14:paraId="2952635E" wp14:textId="2F4F55D5">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I think one of the hardest parts of managing people is giving feedback without making them feel that they have failed. If a member of staff is struggling, I would want to understand the reason before deciding what needs to change. They might need another demonstration, more time to </w:t>
      </w:r>
      <w:r w:rsidRPr="48D5E187" w:rsidR="5201025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practice,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or simply clearer instructions from me. I would start an appraisal by asking them what they think has gone well, because they may notice improvements that I have missed. I would then explain my own observations and </w:t>
      </w:r>
      <w:r w:rsidRPr="48D5E187" w:rsidR="59463987">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agree on</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what we can work on together. This would make the meeting feel more like a discussion and less like being told off.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 also think it</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is important to follow up on anything I promise to do. If I agree to arrange training and never find the time, I cannot fairly expect the employee to meet the target.</w:t>
      </w:r>
    </w:p>
    <w:p xmlns:wp14="http://schemas.microsoft.com/office/word/2010/wordml" w:rsidP="48D5E187" wp14:paraId="70793037" wp14:textId="4D533929">
      <w:pPr>
        <w:pStyle w:val="Heading1"/>
        <w:rPr>
          <w:rFonts w:ascii="Calibri" w:hAnsi="Calibri" w:eastAsia="Calibri" w:cs="Calibri" w:asciiTheme="minorAscii" w:hAnsiTheme="minorAscii" w:eastAsiaTheme="minorAscii" w:cstheme="minorAscii"/>
          <w:b w:val="1"/>
          <w:bCs w:val="1"/>
          <w:noProof w:val="0"/>
          <w:color w:val="365F91"/>
          <w:sz w:val="24"/>
          <w:szCs w:val="24"/>
          <w:lang w:val="en-US"/>
        </w:rPr>
      </w:pPr>
      <w:bookmarkStart w:name="_Toc1956562951" w:id="1849719601"/>
      <w:r w:rsidRPr="48D5E187" w:rsidR="20B6B4BB">
        <w:rPr>
          <w:noProof w:val="0"/>
          <w:lang w:val="en-US"/>
        </w:rPr>
        <w:t>Evaluating methods of employee development</w:t>
      </w:r>
      <w:bookmarkEnd w:id="1849719601"/>
    </w:p>
    <w:p xmlns:wp14="http://schemas.microsoft.com/office/word/2010/wordml" w:rsidP="48D5E187" wp14:paraId="0869D0A3" wp14:textId="34D6272A">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On the job coaching is well suited to a practical workplace. A senior colleague can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demonstrate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 technique, observe the </w:t>
      </w:r>
      <w:r w:rsidRPr="48D5E187" w:rsidR="7C6C07F6">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learner,</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provide immediate feedback. The GROW framework structures a coaching conversation around the goal, current reality,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options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commitment to action (Whitmore, 2017). Its advantage is that development takes place close to real work. Its disadvantage is that coaching quality varies with the mentor’s skills, and a busy appointment schedule may leave little uninterrupted time. Protected practice is therefore essential.</w:t>
      </w:r>
    </w:p>
    <w:p xmlns:wp14="http://schemas.microsoft.com/office/word/2010/wordml" w:rsidP="48D5E187" wp14:paraId="31E464F5" wp14:textId="3E47668C">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Mentoring provides a </w:t>
      </w:r>
      <w:r w:rsidRPr="48D5E187" w:rsidR="1EA161A6">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longer-term</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relationship in which a more experienced colleague supports confidence, career </w:t>
      </w:r>
      <w:r w:rsidRPr="48D5E187" w:rsidR="6A5C6577">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planning,</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professional judgement (Kram, 1985). It may help a junior stylist learn how to respond to anxious clients or manage difficult conversations. However, mentoring can become too dependent on one individual, and established habits are not necessarily best practice. Clear expectations, mentor </w:t>
      </w:r>
      <w:r w:rsidRPr="48D5E187" w:rsidR="0A8FECF6">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support,</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occasional input from other colleagues can help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maintain</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quality.</w:t>
      </w:r>
    </w:p>
    <w:p xmlns:wp14="http://schemas.microsoft.com/office/word/2010/wordml" w:rsidP="48D5E187" wp14:paraId="29E3007D" wp14:textId="3B709224">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Formal workshops can introduce specialist skills, external </w:t>
      </w:r>
      <w:r w:rsidRPr="48D5E187" w:rsidR="4400E23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expertise</w:t>
      </w:r>
      <w:r w:rsidRPr="48D5E187" w:rsidR="4400E23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structured assessment. They may be particularly valuable when a new service requires technical knowledge that existing staff do not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possess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However, attendance certificates should not be mistaken for proof of safe performance. The employee needs opportunities to </w:t>
      </w:r>
      <w:r w:rsidRPr="48D5E187" w:rsidR="6135B1BC">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practice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demonstrate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competence after the course. A workshop is a weak investment if SISTR cannot provide equipment,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supervision</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or sufficient client opportunities to use the skill.</w:t>
      </w:r>
    </w:p>
    <w:p xmlns:wp14="http://schemas.microsoft.com/office/word/2010/wordml" w:rsidP="48D5E187" wp14:paraId="2B4F43C9" wp14:textId="118E2AEF">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Online learning offers flexibility and can be cost effective for theory, product knowledge, professional </w:t>
      </w:r>
      <w:r w:rsidRPr="48D5E187" w:rsidR="259074D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updates,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refresher training. It is useful when salon opening hours make group attendance difficult. However, watching a video cannot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demonstrate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that someone can carry out a practical service safely. E learning should therefore be combined with discussion,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demonstrations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observed practice. A blended approach can make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good use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of limited resources while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recognising</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that different learning outcomes require different assessment methods (Salas et al., 2012).</w:t>
      </w:r>
    </w:p>
    <w:p xmlns:wp14="http://schemas.microsoft.com/office/word/2010/wordml" w:rsidP="48D5E187" wp14:paraId="348C4819" wp14:textId="70C23166">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Job shadowing allows an employee to observe experienced colleagues during consultations and routine services. It can reveal tacit professional judgement that is difficult to explain in a written manual. However, observation may remain passive unless the learner has a purpose. A checklist and follow up discussion can help the junior colleague identify why particular questions or actions were chosen. The next stage should involve supported practice rather than indefinite observation.</w:t>
      </w:r>
    </w:p>
    <w:p xmlns:wp14="http://schemas.microsoft.com/office/word/2010/wordml" w:rsidP="48D5E187" wp14:paraId="427C9739" wp14:textId="47829153">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Peer learning and short technique sharing sessions can encourage teamwork and make training part of the culture at SISTR. My earlier assignment referred to short weekly sharing sessions, which provide a useful starting point. The risk is that inaccurate or outdated practices may spread unless a competent person checks the advice. Training materials should be </w:t>
      </w:r>
      <w:r w:rsidRPr="48D5E187" w:rsidR="4325412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reviewed,</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the team should distinguish personal preferences from mandatory safety procedures.</w:t>
      </w:r>
    </w:p>
    <w:p xmlns:wp14="http://schemas.microsoft.com/office/word/2010/wordml" w:rsidP="48D5E187" wp14:paraId="0179E9EB" wp14:textId="4D2FE8E7">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Experiential learning theory describes learning through experience, reflection, conceptual </w:t>
      </w:r>
      <w:r w:rsidRPr="48D5E187" w:rsidR="5A6E0DE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understanding,</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further experimentation (Kolb, 1984). Reflective practice similarly encourages professionals to consider decisions and improve their judgement (Schön, 1983). These ideas support a cycle in which the junior stylist </w:t>
      </w:r>
      <w:r w:rsidRPr="48D5E187" w:rsidR="149D2BC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practices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 task, receives feedback, </w:t>
      </w:r>
      <w:r w:rsidRPr="48D5E187" w:rsidR="2ACF33A9">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reflects,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tries again. Although people may express preferences for visual or practical materials, research does not justify relying on fixed “learning styles” to decide how someone must be taught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Pashler</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et al., 2008). Training should instead match the skill, the learner’s </w:t>
      </w:r>
      <w:r w:rsidRPr="48D5E187" w:rsidR="4993062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needs,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the evidence of effectiveness.</w:t>
      </w:r>
    </w:p>
    <w:p xmlns:wp14="http://schemas.microsoft.com/office/word/2010/wordml" w:rsidP="48D5E187" wp14:paraId="50E3C57D" wp14:textId="74876C6A">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Transfer of training is the test of whether new learning is applied at work. Baldwin and Ford (1988) </w:t>
      </w:r>
      <w:r w:rsidRPr="48D5E187" w:rsidR="0ACFBDFC">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emphasize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the influence of the learner, training </w:t>
      </w:r>
      <w:r w:rsidRPr="48D5E187" w:rsidR="24BAE749">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design,</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workplace environment. A motivated employee may still fail to use a new technique if there is no time to </w:t>
      </w:r>
      <w:r w:rsidRPr="48D5E187" w:rsidR="2D998D0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practice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or if supervisors give conflicting instructions. For SISTR, the most suitable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programme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would combine short online theory modules, targeted workshops, weekly coaching,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observation</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documented reviews.</w:t>
      </w:r>
    </w:p>
    <w:p xmlns:wp14="http://schemas.microsoft.com/office/word/2010/wordml" w:rsidP="48D5E187" wp14:paraId="195062A4" wp14:textId="55C79D76">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For my salon, I would not choose one training method for every situation. If someone needs help speaking to clients, watching an experienced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stylist</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w:t>
      </w:r>
      <w:r w:rsidRPr="48D5E187" w:rsidR="4E331965">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practicing</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conversations would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probably be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more useful than completing a long online course. On the other hand, online learning could be a good starting point for understanding product information before putting it into practice. I also like the idea of short workshops because they can fit around the working day, although I would need to plan them </w:t>
      </w:r>
      <w:r w:rsidRPr="48D5E187" w:rsidR="57AA9F67">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carefully,</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so clients are not affected. I would ask staff which parts of the training they found helpful, but I would still need to watch them use the skills afterwards. Someone enjoying a workshop does not necessarily mean they have learnt everything they need to know.</w:t>
      </w:r>
    </w:p>
    <w:p xmlns:wp14="http://schemas.microsoft.com/office/word/2010/wordml" w:rsidP="48D5E187" wp14:paraId="08FB77BA" wp14:textId="4E6D45BC">
      <w:pPr>
        <w:pStyle w:val="Heading1"/>
        <w:rPr>
          <w:rFonts w:ascii="Calibri" w:hAnsi="Calibri" w:eastAsia="Calibri" w:cs="Calibri" w:asciiTheme="minorAscii" w:hAnsiTheme="minorAscii" w:eastAsiaTheme="minorAscii" w:cstheme="minorAscii"/>
          <w:b w:val="1"/>
          <w:bCs w:val="1"/>
          <w:noProof w:val="0"/>
          <w:color w:val="365F91"/>
          <w:sz w:val="24"/>
          <w:szCs w:val="24"/>
          <w:lang w:val="en-US"/>
        </w:rPr>
      </w:pPr>
      <w:bookmarkStart w:name="_Toc231596373" w:id="1230901769"/>
      <w:r w:rsidRPr="48D5E187" w:rsidR="20B6B4BB">
        <w:rPr>
          <w:noProof w:val="0"/>
          <w:lang w:val="en-US"/>
        </w:rPr>
        <w:t>Individual development plan: junior stylist</w:t>
      </w:r>
      <w:bookmarkEnd w:id="1230901769"/>
    </w:p>
    <w:p xmlns:wp14="http://schemas.microsoft.com/office/word/2010/wordml" w:rsidP="48D5E187" wp14:paraId="54B5DDB4" wp14:textId="25B9C5B4">
      <w:pPr>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This is a proposed example for a junior stylist at SISTR, not evidence that the employee has already completed these activities. The baseline, numerical </w:t>
      </w:r>
      <w:r w:rsidRPr="48D5E187" w:rsidR="591ECC07">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targets,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timetable must be agreed following an actual assessment. The </w:t>
      </w:r>
      <w:r w:rsidRPr="48D5E187" w:rsidR="6511BB8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six month</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plan is designed to improve competence and independence without sacrificing safety or client experience.</w:t>
      </w:r>
    </w:p>
    <w:tbl>
      <w:tblPr>
        <w:tblStyle w:val="TableNormal"/>
        <w:bidiVisual w:val="0"/>
        <w:tblW w:w="0" w:type="auto"/>
        <w:tblBorders>
          <w:top w:val="single" w:sz="0"/>
          <w:left w:val="single" w:sz="0"/>
          <w:bottom w:val="single" w:sz="0"/>
          <w:right w:val="single" w:sz="0"/>
        </w:tblBorders>
        <w:tblLook w:val="06A0" w:firstRow="1" w:lastRow="0" w:firstColumn="1" w:lastColumn="0" w:noHBand="1" w:noVBand="1"/>
      </w:tblPr>
      <w:tblGrid>
        <w:gridCol w:w="1725"/>
        <w:gridCol w:w="1725"/>
        <w:gridCol w:w="1725"/>
        <w:gridCol w:w="1725"/>
        <w:gridCol w:w="1725"/>
      </w:tblGrid>
      <w:tr w:rsidR="48D5E187" w:rsidTr="48D5E187" w14:paraId="5BF18221">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2ACA550E" w14:textId="6273E985">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SMART objective</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6C2C15D1" w14:textId="492A23C4">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Learning activities</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683F6A8F" w14:textId="49B380C5">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Evidence of success</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5D862EBA" w14:textId="0BEEB793">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Support</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6CF496F0" w14:textId="087B16EF">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Review</w:t>
            </w:r>
          </w:p>
        </w:tc>
      </w:tr>
      <w:tr w:rsidR="48D5E187" w:rsidTr="48D5E187" w14:paraId="44737C1B">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7E95D6F4" w14:textId="5518AA17">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By month 3, meet consultation checklist in 9 of 10 observed cases</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5C1EC32E" w14:textId="36A88639">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Shadow senior colleague, role-play, supervised consultations</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488B3A78" w14:textId="6658CA3A">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Signed observation checklist covering suitability, listening, consent and aftercare</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378E78E4" w14:textId="779A09A0">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Senior stylist and owner</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25F69110" w14:textId="460B8FA0">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Weeks 4, 8, 12</w:t>
            </w:r>
          </w:p>
        </w:tc>
      </w:tr>
      <w:tr w:rsidR="48D5E187" w:rsidTr="48D5E187" w14:paraId="511E462B">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628982AD" w14:textId="3CAE92EC">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By month 4, achieve agreed safe quality standard in 8 of 10 supervised practical tasks</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0B4EDA1A" w14:textId="33C360D4">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Weekly coached practice and demonstrations</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4F4D740C" w14:textId="5F9D59AF">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Practical rubric, photographs where consented, correction records</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140392E9" w14:textId="061B4267">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Mentor</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3C733A0A" w14:textId="2BA3099E">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Monthly</w:t>
            </w:r>
          </w:p>
        </w:tc>
      </w:tr>
      <w:tr w:rsidR="48D5E187" w:rsidTr="48D5E187" w14:paraId="7AE84B8A">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7F93C51C" w14:textId="74370B73">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By month 3, explain aftercare accurately in 9 of 10 observed interactions</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50C11B8F" w14:textId="193F0337">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Online product modules and client communication practice</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41EFD0FF" w14:textId="3D4FECE2">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Observation and short knowledge check</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07F868FB" w14:textId="00494F6F">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Owner and mentor</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5C1E5F8A" w14:textId="50665D5A">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Weeks 6, 12</w:t>
            </w:r>
          </w:p>
        </w:tc>
      </w:tr>
      <w:tr w:rsidR="48D5E187" w:rsidTr="48D5E187" w14:paraId="3DB6EB48">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0A845C44" w14:textId="354335B6">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By month 5, complete 80% of routine tasks within individually agreed safe time bands</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20A02CA0" w14:textId="1A120711">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Workflow planning and supported repetition</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3DCC955E" w14:textId="56774762">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Timing log together with quality and safety review</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6CA0ADE9" w14:textId="60E70A76">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Senior stylist</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7646E0E7" w14:textId="540F172C">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Monthly</w:t>
            </w:r>
          </w:p>
        </w:tc>
      </w:tr>
      <w:tr w:rsidR="48D5E187" w:rsidTr="48D5E187" w14:paraId="7ED34405">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275295D1" w14:textId="44C13320">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By month 6, contribute two short peer-learning demonstrations</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5E823449" w14:textId="256D7329">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Prepare a technique share and seek feedback</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36857B2C" w14:textId="58E909AB">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Attendance and peer feedback, approved notes</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2C24EB02" w14:textId="2FACD3C2">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Owner</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42B6A3D0" w14:textId="29AF3623">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Months 3, 6</w:t>
            </w:r>
          </w:p>
        </w:tc>
      </w:tr>
      <w:tr w:rsidR="48D5E187" w:rsidTr="48D5E187" w14:paraId="6466367E">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5D3BC190" w14:textId="1DBDD6FE">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By month 6, complete portfolio and agree next development goals</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0CD600C4" w14:textId="1DBDE5A6">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Reflective log, monthly reviews, final appraisal</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2873BB7C" w14:textId="779D0C1A">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Portfolio and signed development review</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7E6DC90E" w14:textId="6AC91CE0">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Employee and owner</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D5E187" w:rsidP="48D5E187" w:rsidRDefault="48D5E187" w14:paraId="5872D45D" w14:textId="76DB8D67">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4"/>
                <w:szCs w:val="24"/>
              </w:rPr>
            </w:pPr>
            <w:r w:rsidRPr="48D5E187" w:rsidR="48D5E187">
              <w:rPr>
                <w:rFonts w:ascii="Calibri" w:hAnsi="Calibri" w:eastAsia="Calibri" w:cs="Calibri" w:asciiTheme="minorAscii" w:hAnsiTheme="minorAscii" w:eastAsiaTheme="minorAscii" w:cstheme="minorAscii"/>
                <w:color w:val="000000" w:themeColor="text1" w:themeTint="FF" w:themeShade="FF"/>
                <w:sz w:val="24"/>
                <w:szCs w:val="24"/>
              </w:rPr>
              <w:t>Month 6</w:t>
            </w:r>
          </w:p>
        </w:tc>
      </w:tr>
    </w:tbl>
    <w:p xmlns:wp14="http://schemas.microsoft.com/office/word/2010/wordml" w:rsidP="48D5E187" wp14:paraId="7EAA41FD" wp14:textId="3E4B9161">
      <w:pPr>
        <w:bidi w:val="0"/>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p>
    <w:p xmlns:wp14="http://schemas.microsoft.com/office/word/2010/wordml" w:rsidP="48D5E187" wp14:paraId="4B9163C4" wp14:textId="00BA82F4">
      <w:pPr>
        <w:bidi w:val="0"/>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The manager should provide scheduled coaching and access to relevant resources. The employee should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participate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in agreed activities, reflect on </w:t>
      </w:r>
      <w:r w:rsidRPr="48D5E187" w:rsidR="60A7EA14">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feedback,</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raise difficulties early.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The mentor should model good practice and assess work against the same written standards used for other employees.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If the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initial</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assessment shows that a target is too easy or unrealistic, it should be revised with the employee rather than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retained</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merely because it appears measurable.</w:t>
      </w:r>
    </w:p>
    <w:p xmlns:wp14="http://schemas.microsoft.com/office/word/2010/wordml" w:rsidP="48D5E187" wp14:paraId="1D5DAE0A" wp14:textId="3F840DC1">
      <w:pPr>
        <w:pStyle w:val="Heading1"/>
        <w:bidi w:val="0"/>
        <w:rPr>
          <w:rFonts w:ascii="Calibri" w:hAnsi="Calibri" w:eastAsia="Calibri" w:cs="Calibri" w:asciiTheme="minorAscii" w:hAnsiTheme="minorAscii" w:eastAsiaTheme="minorAscii" w:cstheme="minorAscii"/>
          <w:b w:val="1"/>
          <w:bCs w:val="1"/>
          <w:noProof w:val="0"/>
          <w:color w:val="365F91"/>
          <w:sz w:val="24"/>
          <w:szCs w:val="24"/>
          <w:lang w:val="en-US"/>
        </w:rPr>
      </w:pPr>
      <w:bookmarkStart w:name="_Toc2142971002" w:id="1274945729"/>
      <w:r w:rsidRPr="48D5E187" w:rsidR="20B6B4BB">
        <w:rPr>
          <w:noProof w:val="0"/>
          <w:lang w:val="en-US"/>
        </w:rPr>
        <w:t>Implementing and reviewing the plan</w:t>
      </w:r>
      <w:bookmarkEnd w:id="1274945729"/>
    </w:p>
    <w:p xmlns:wp14="http://schemas.microsoft.com/office/word/2010/wordml" w:rsidP="48D5E187" wp14:paraId="35E115DB" wp14:textId="020E3EDC">
      <w:pPr>
        <w:bidi w:val="0"/>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During the first two weeks, the manager would conduct a confidential development meeting and practical baseline assessment. Together, they would select the priority goals, explain how progress will be </w:t>
      </w:r>
      <w:r w:rsidRPr="48D5E187" w:rsidR="6B7C20B7">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measured,</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arrange practice time. A short reflective log would help the employee record strengths, </w:t>
      </w:r>
      <w:r w:rsidRPr="48D5E187" w:rsidR="288044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challenges,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questions after each session. The owner should confirm that necessary equipment, </w:t>
      </w:r>
      <w:r w:rsidRPr="48D5E187" w:rsidR="70E3BB94">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models,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supervision are available before scheduling assessments.</w:t>
      </w:r>
    </w:p>
    <w:p xmlns:wp14="http://schemas.microsoft.com/office/word/2010/wordml" w:rsidP="48D5E187" wp14:paraId="67E2B4A6" wp14:textId="1D1E5DD1">
      <w:pPr>
        <w:bidi w:val="0"/>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Weekly coaching could focus on one observable skill at a time. For example, the first month might </w:t>
      </w:r>
      <w:r w:rsidRPr="48D5E187" w:rsidR="590F87B6">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emphasize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consultation structure, while later sessions add more independent client communication and practical tasks. Monthly </w:t>
      </w:r>
      <w:bookmarkStart w:name="_Int_f42fLLtU" w:id="1314221598"/>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one to one</w:t>
      </w:r>
      <w:bookmarkEnd w:id="1314221598"/>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48D5E187" w:rsidR="437FCC1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meeting</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would review the evidence and allow the employee to discuss their experience. The manager should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recognise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improvements as well as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identify</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gaps, since continual negative feedback can damage confidence and engagement.</w:t>
      </w:r>
    </w:p>
    <w:p xmlns:wp14="http://schemas.microsoft.com/office/word/2010/wordml" w:rsidP="48D5E187" wp14:paraId="639A8BF1" wp14:textId="14BFC222">
      <w:pPr>
        <w:bidi w:val="0"/>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At the </w:t>
      </w:r>
      <w:r w:rsidRPr="48D5E187" w:rsidR="786E912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three month</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review, the employee and manager would compare actual performance with the agreed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objectives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If consultations have improved but practical speed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remains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low, the next stage might provide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additional</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supervised repetition while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maintaining</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safety standards. If a goal has been achieved, the employee could move to a more demanding but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appropriate task</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The plan should remain flexible enough to accommodate business demand, changing training </w:t>
      </w:r>
      <w:r w:rsidRPr="48D5E187" w:rsidR="152C307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opportunities,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individual circumstances.</w:t>
      </w:r>
    </w:p>
    <w:p xmlns:wp14="http://schemas.microsoft.com/office/word/2010/wordml" w:rsidP="48D5E187" wp14:paraId="2A8357DA" wp14:textId="66AB8804">
      <w:pPr>
        <w:bidi w:val="0"/>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At six months, a formal appraisal should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summarise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achievements, remaining needs and the employee’s preferred next steps. The discussion should consider whether greater autonomy is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appropriate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whether further training is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required</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Progress should be judged using several sources of evidence rather than one manager’s impression. A signed summary and new development goals </w:t>
      </w:r>
      <w:r w:rsidRPr="48D5E187" w:rsidR="45CB5FC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will</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provide continuity into the next review cycle.</w:t>
      </w:r>
    </w:p>
    <w:p xmlns:wp14="http://schemas.microsoft.com/office/word/2010/wordml" w:rsidP="48D5E187" wp14:paraId="52AD71BA" wp14:textId="74E23042">
      <w:pPr>
        <w:bidi w:val="0"/>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I would keep the development plan somewhere that both the employee and I could refer to during our meetings. I would not want it to be a document that gets completed once and then forgotten </w:t>
      </w:r>
      <w:r w:rsidRPr="48D5E187" w:rsidR="3D84A4E8">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about it</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For example, if the junior stylist had a difficult consultation, we could use the next coaching session to talk through what happened and </w:t>
      </w:r>
      <w:r w:rsidRPr="48D5E187" w:rsidR="7130DBEC">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practice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 different approach. If they had done particularly well, we could record that too. I think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recognising</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small improvements is important because becoming confident in a practical job takes time. I would also ask whether the employee feels comfortable with the pace of the plan. If they are overwhelmed, adding more targets could make their performance worse rather than better.</w:t>
      </w:r>
    </w:p>
    <w:p xmlns:wp14="http://schemas.microsoft.com/office/word/2010/wordml" w:rsidP="48D5E187" wp14:paraId="65682BCA" wp14:textId="35DB9FAF">
      <w:pPr>
        <w:pStyle w:val="Heading1"/>
        <w:bidi w:val="0"/>
        <w:rPr>
          <w:rFonts w:ascii="Calibri" w:hAnsi="Calibri" w:eastAsia="Calibri" w:cs="Calibri" w:asciiTheme="minorAscii" w:hAnsiTheme="minorAscii" w:eastAsiaTheme="minorAscii" w:cstheme="minorAscii"/>
          <w:b w:val="1"/>
          <w:bCs w:val="1"/>
          <w:noProof w:val="0"/>
          <w:color w:val="365F91"/>
          <w:sz w:val="24"/>
          <w:szCs w:val="24"/>
          <w:lang w:val="en-US"/>
        </w:rPr>
      </w:pPr>
      <w:bookmarkStart w:name="_Toc1888730536" w:id="1094781808"/>
      <w:r w:rsidRPr="48D5E187" w:rsidR="20B6B4BB">
        <w:rPr>
          <w:noProof w:val="0"/>
          <w:lang w:val="en-US"/>
        </w:rPr>
        <w:t>Evaluating effectiveness and return on development</w:t>
      </w:r>
      <w:bookmarkEnd w:id="1094781808"/>
    </w:p>
    <w:p xmlns:wp14="http://schemas.microsoft.com/office/word/2010/wordml" w:rsidP="48D5E187" wp14:paraId="728EADAE" wp14:textId="4C38E100">
      <w:pPr>
        <w:bidi w:val="0"/>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Kirkpatrick and Kirkpatrick (2006) describe four levels of training evaluation: reaction, learning, </w:t>
      </w:r>
      <w:r w:rsidRPr="48D5E187" w:rsidR="14FAFF96">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behavior,</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results. At SISTR, reaction could be explored through the employee’s feedback on coaching and workshops. Learning could be assessed through knowledge checks and practical demonstrations. Behavior would be examined through later observations of real work, while results might include fewer corrections, more consistent consultations, and improved client experience. These levels offer a useful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organising</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framework but do not by themselves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establish</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that training caused a business improvement.</w:t>
      </w:r>
    </w:p>
    <w:p xmlns:wp14="http://schemas.microsoft.com/office/word/2010/wordml" w:rsidP="48D5E187" wp14:paraId="7B67E859" wp14:textId="2130881D">
      <w:pPr>
        <w:bidi w:val="0"/>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Evaluation should compare a recorded baseline with follow up evidence and consider other influences. For example, a rise in repeat bookings could reflect marketing, seasonal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demand,</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or changes in pricing rather than employee training. Similarly, faster appointments should not be celebrated if quality falls. I would therefore use a balanced set of measures: competence against agreed standards, client care, safety, employee confidence, and the practical cost of providing support.</w:t>
      </w:r>
    </w:p>
    <w:p xmlns:wp14="http://schemas.microsoft.com/office/word/2010/wordml" w:rsidP="48D5E187" wp14:paraId="507F5A19" wp14:textId="10EE3E13">
      <w:pPr>
        <w:bidi w:val="0"/>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Return on investment approaches can help managers examine whether the benefits justify the cost (Phillips &amp; Phillips, 2016). However, a small salon may not have the data to calculate a precise monetary return. A proportionate approach would record direct course costs, staff time and any materials, then review credible changes in performance and operational flexibility. Some benefits, such as confidence and improved working relationships, are meaningful even when they cannot be assigned a reliable financial value.</w:t>
      </w:r>
    </w:p>
    <w:p xmlns:wp14="http://schemas.microsoft.com/office/word/2010/wordml" w:rsidP="48D5E187" wp14:paraId="6AB5C69E" wp14:textId="396A5A2D">
      <w:pPr>
        <w:pStyle w:val="Heading1"/>
        <w:bidi w:val="0"/>
        <w:rPr>
          <w:rFonts w:ascii="Calibri" w:hAnsi="Calibri" w:eastAsia="Calibri" w:cs="Calibri" w:asciiTheme="minorAscii" w:hAnsiTheme="minorAscii" w:eastAsiaTheme="minorAscii" w:cstheme="minorAscii"/>
          <w:noProof w:val="0"/>
          <w:sz w:val="24"/>
          <w:szCs w:val="24"/>
          <w:lang w:val="en-US"/>
        </w:rPr>
      </w:pPr>
      <w:bookmarkStart w:name="_Toc2091750351" w:id="1234795792"/>
      <w:r w:rsidRPr="48D5E187" w:rsidR="20B6B4BB">
        <w:rPr>
          <w:noProof w:val="0"/>
          <w:lang w:val="en-US"/>
        </w:rPr>
        <w:t>Reflection and recommendations</w:t>
      </w:r>
      <w:bookmarkEnd w:id="1234795792"/>
    </w:p>
    <w:p xmlns:wp14="http://schemas.microsoft.com/office/word/2010/wordml" w:rsidP="48D5E187" wp14:paraId="5EB81782" wp14:textId="4AA7CD3C">
      <w:pPr>
        <w:bidi w:val="0"/>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My earlier assignment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identified</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that I sometimes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retain</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responsibility for scheduling and stock ordering, especially when SISTR is busy. Reflecting on this through the lens of individual development, I can see that delegation is also a learning opportunity. A colleague who wishes to develop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organisational</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skills could take responsibility for a limited task with clear instructions, access to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support,</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an agreed review. This would build confidence while reducing dependence on the owner manager. However, delegation must not become a way of transferring work without training or recognition.</w:t>
      </w:r>
    </w:p>
    <w:p xmlns:wp14="http://schemas.microsoft.com/office/word/2010/wordml" w:rsidP="48D5E187" wp14:paraId="2F7C9E35" wp14:textId="7FC8C2AA">
      <w:pPr>
        <w:bidi w:val="0"/>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The most important improvement would be to introduce a consistent appraisal system rather than relying on informal conversations alone. Each employee should have an opportunity to discuss aspirations,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identify</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two or three priority </w:t>
      </w:r>
      <w:r w:rsidRPr="48D5E187" w:rsidR="7D31778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skills,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w:t>
      </w:r>
      <w:r w:rsidRPr="48D5E187" w:rsidR="64DA4B3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agree with</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 achievable plan. Monthly reviews would keep the goals visible and make it easier to address barriers before they become persistent problems. Clear </w:t>
      </w:r>
      <w:r w:rsidRPr="48D5E187" w:rsidR="4255DF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assessment of</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rubrics and private feedback would support fairness across the team.</w:t>
      </w:r>
    </w:p>
    <w:p xmlns:wp14="http://schemas.microsoft.com/office/word/2010/wordml" w:rsidP="48D5E187" wp14:paraId="69136EF6" wp14:textId="0479B8FF">
      <w:pPr>
        <w:bidi w:val="0"/>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 second recommendation is to protect time for practical coaching and use blended learning. Short online modules can cover theory, while demonstrations and supervised services test practical ability. External workshops should be selected for clearly identified gaps and followed by an opportunity to use the new skill. Finally, SISTR should evaluate training through observable improvements and employee feedback, rather than counting course attendance as success.</w:t>
      </w:r>
    </w:p>
    <w:p xmlns:wp14="http://schemas.microsoft.com/office/word/2010/wordml" w:rsidP="48D5E187" wp14:paraId="37E8EF63" wp14:textId="233DDD84">
      <w:pPr>
        <w:bidi w:val="0"/>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A limitation of this report is that the individual plan uses proposed targets rather than verified workplace performance data. The original assignment also includes operational examples that need to be checked for accuracy and current relevance. Before submission or implementation, I would confirm the staffing context, replace illustrative targets with an assessed </w:t>
      </w:r>
      <w:r w:rsidRPr="48D5E187" w:rsidR="50A86D5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baseline,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ensure the employee’s own views are represented. This would make the plan more credible and genuinely individual.</w:t>
      </w:r>
    </w:p>
    <w:p xmlns:wp14="http://schemas.microsoft.com/office/word/2010/wordml" w:rsidP="48D5E187" wp14:paraId="4A7B5292" wp14:textId="05712B9C">
      <w:pPr>
        <w:bidi w:val="0"/>
        <w:spacing w:before="0" w:beforeAutospacing="off" w:after="160" w:afterAutospacing="off"/>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Looking at the way I work has made me realise that I sometimes try to deal with everything myself because it feels quicker. However, this can stop other people from gaining experience and it can leave me with too much to do. I want to become better at explaining a task, showing someone how to do it and then allowing them to take responsibility while knowing I am there if they need help. I would also like to be more organised about recording progress. At the moment, informal feedback can happen in the middle of a busy day, but that does not always give either person enough time to reflect. A planned conversation each month would be a realistic improvement for a small business like mine</w:t>
      </w:r>
      <w:r w:rsidRPr="48D5E187" w:rsidR="20B6B4BB">
        <w:rPr>
          <w:rFonts w:ascii="Aptos" w:hAnsi="Aptos" w:eastAsia="Aptos" w:cs="Aptos"/>
          <w:noProof w:val="0"/>
          <w:color w:val="000000" w:themeColor="text1" w:themeTint="FF" w:themeShade="FF"/>
          <w:sz w:val="22"/>
          <w:szCs w:val="22"/>
          <w:lang w:val="en-US"/>
        </w:rPr>
        <w:t>.</w:t>
      </w:r>
    </w:p>
    <w:p xmlns:wp14="http://schemas.microsoft.com/office/word/2010/wordml" w:rsidP="48D5E187" wp14:paraId="0CA1D90A" wp14:textId="1BFB85D8">
      <w:pPr>
        <w:pStyle w:val="Heading1"/>
        <w:bidi w:val="0"/>
        <w:rPr>
          <w:noProof w:val="0"/>
          <w:lang w:val="en-US"/>
        </w:rPr>
      </w:pPr>
      <w:bookmarkStart w:name="_Toc1147527516" w:id="534599055"/>
      <w:r w:rsidRPr="48D5E187" w:rsidR="20B6B4BB">
        <w:rPr>
          <w:noProof w:val="0"/>
          <w:lang w:val="en-US"/>
        </w:rPr>
        <w:t>Conclusion</w:t>
      </w:r>
      <w:bookmarkEnd w:id="534599055"/>
    </w:p>
    <w:p xmlns:wp14="http://schemas.microsoft.com/office/word/2010/wordml" w:rsidP="48D5E187" wp14:paraId="7761F9F5" wp14:textId="7E9FAEA0">
      <w:pPr>
        <w:bidi w:val="0"/>
        <w:spacing w:before="0" w:beforeAutospacing="off" w:after="160" w:afterAutospacing="off"/>
      </w:pP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Developing individuals can strengthen technical skills, motivation, client </w:t>
      </w:r>
      <w:r w:rsidRPr="48D5E187" w:rsidR="53C7A3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care,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organisational</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resilience, while also improving employees’ confidence and career prospects. These benefits are not automatic: managers must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identify</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genuine needs, explain expectations,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provide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suitable learning </w:t>
      </w:r>
      <w:r w:rsidRPr="48D5E187" w:rsidR="4ABC46A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opportunities,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review progress fairly. A structured appraisal system links individual goals to professional standards without reducing performance to sales or speed alone. At SISTR, a blended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programme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of coaching, mentoring, workshops, online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learning</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supervised practice offers a realistic approach. The proposed development plan shows how specific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objectives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agreed </w:t>
      </w:r>
      <w:r w:rsidRPr="48D5E187" w:rsidR="6FE0FB6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responsibilities,</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and regular assessment can turn learning into measurable improvement.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Ultimately, effective</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development means supporting each employee to grow while </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maintaining</w:t>
      </w:r>
      <w:r w:rsidRPr="48D5E187" w:rsidR="20B6B4B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the quality and sustainability of the business.</w:t>
      </w:r>
    </w:p>
    <w:p xmlns:wp14="http://schemas.microsoft.com/office/word/2010/wordml" w:rsidP="48D5E187" wp14:paraId="0EA14B5C" wp14:textId="4836BD6F">
      <w:pPr>
        <w:bidi w:val="0"/>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p>
    <w:p xmlns:wp14="http://schemas.microsoft.com/office/word/2010/wordml" w:rsidP="48D5E187" wp14:paraId="403B5A55" wp14:textId="6FD5C430">
      <w:pPr>
        <w:bidi w:val="0"/>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p>
    <w:p xmlns:wp14="http://schemas.microsoft.com/office/word/2010/wordml" w:rsidP="48D5E187" wp14:paraId="7FD2865E" wp14:textId="073C450B">
      <w:pPr>
        <w:bidi w:val="0"/>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p>
    <w:p xmlns:wp14="http://schemas.microsoft.com/office/word/2010/wordml" w:rsidP="48D5E187" wp14:paraId="27001B76" wp14:textId="618C4562">
      <w:pPr>
        <w:bidi w:val="0"/>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p>
    <w:p xmlns:wp14="http://schemas.microsoft.com/office/word/2010/wordml" w:rsidP="48D5E187" wp14:paraId="49E5F45C" wp14:textId="436885C1">
      <w:pPr>
        <w:bidi w:val="0"/>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p>
    <w:p xmlns:wp14="http://schemas.microsoft.com/office/word/2010/wordml" w:rsidP="48D5E187" wp14:paraId="33144B76" wp14:textId="1FF7886F">
      <w:pPr>
        <w:pStyle w:val="Heading1"/>
        <w:bidi w:val="0"/>
        <w:rPr>
          <w:noProof w:val="0"/>
          <w:lang w:val="en-US"/>
        </w:rPr>
      </w:pPr>
      <w:bookmarkStart w:name="_Toc1836892874" w:id="336411388"/>
      <w:r w:rsidRPr="48D5E187" w:rsidR="343902A7">
        <w:rPr>
          <w:noProof w:val="0"/>
          <w:lang w:val="en-US"/>
        </w:rPr>
        <w:t>References</w:t>
      </w:r>
      <w:bookmarkEnd w:id="336411388"/>
    </w:p>
    <w:p xmlns:wp14="http://schemas.microsoft.com/office/word/2010/wordml" w:rsidP="48D5E187" wp14:paraId="432DB9E7" wp14:textId="453C2EAC">
      <w:pPr>
        <w:pStyle w:val="Normal"/>
        <w:bidi w:val="0"/>
        <w:spacing w:before="0" w:beforeAutospacing="off" w:after="160" w:afterAutospacing="off"/>
      </w:pPr>
      <w:r w:rsidRPr="48D5E187" w:rsidR="343902A7">
        <w:rPr>
          <w:rFonts w:ascii="Calibri" w:hAnsi="Calibri" w:eastAsia="Calibri" w:cs="Calibri"/>
          <w:noProof w:val="0"/>
          <w:color w:val="000000" w:themeColor="text1" w:themeTint="FF" w:themeShade="FF"/>
          <w:sz w:val="24"/>
          <w:szCs w:val="24"/>
          <w:lang w:val="en-US"/>
        </w:rPr>
        <w:t xml:space="preserve">Adams, J. S. (1965). Inequity in social exchange. In L. Berkowitz (Ed.), </w:t>
      </w:r>
      <w:r w:rsidRPr="48D5E187" w:rsidR="343902A7">
        <w:rPr>
          <w:rFonts w:ascii="Calibri" w:hAnsi="Calibri" w:eastAsia="Calibri" w:cs="Calibri"/>
          <w:i w:val="1"/>
          <w:iCs w:val="1"/>
          <w:noProof w:val="0"/>
          <w:color w:val="000000" w:themeColor="text1" w:themeTint="FF" w:themeShade="FF"/>
          <w:sz w:val="24"/>
          <w:szCs w:val="24"/>
          <w:lang w:val="en-US"/>
        </w:rPr>
        <w:t>Advances in experimental social psychology</w:t>
      </w:r>
      <w:r w:rsidRPr="48D5E187" w:rsidR="343902A7">
        <w:rPr>
          <w:rFonts w:ascii="Calibri" w:hAnsi="Calibri" w:eastAsia="Calibri" w:cs="Calibri"/>
          <w:noProof w:val="0"/>
          <w:color w:val="000000" w:themeColor="text1" w:themeTint="FF" w:themeShade="FF"/>
          <w:sz w:val="24"/>
          <w:szCs w:val="24"/>
          <w:lang w:val="en-US"/>
        </w:rPr>
        <w:t xml:space="preserve"> (Vol. 2, pp. 267–299). Academic Press.</w:t>
      </w:r>
    </w:p>
    <w:p xmlns:wp14="http://schemas.microsoft.com/office/word/2010/wordml" w:rsidP="48D5E187" wp14:paraId="4C44AB9D" wp14:textId="42734849">
      <w:pPr>
        <w:bidi w:val="0"/>
        <w:spacing w:before="240" w:beforeAutospacing="off" w:after="240" w:afterAutospacing="off"/>
      </w:pPr>
      <w:r w:rsidRPr="48D5E187" w:rsidR="343902A7">
        <w:rPr>
          <w:rFonts w:ascii="Calibri" w:hAnsi="Calibri" w:eastAsia="Calibri" w:cs="Calibri"/>
          <w:noProof w:val="0"/>
          <w:color w:val="000000" w:themeColor="text1" w:themeTint="FF" w:themeShade="FF"/>
          <w:sz w:val="24"/>
          <w:szCs w:val="24"/>
          <w:lang w:val="en-US"/>
        </w:rPr>
        <w:t xml:space="preserve">Aguinis, H. (2019). </w:t>
      </w:r>
      <w:r w:rsidRPr="48D5E187" w:rsidR="343902A7">
        <w:rPr>
          <w:rFonts w:ascii="Calibri" w:hAnsi="Calibri" w:eastAsia="Calibri" w:cs="Calibri"/>
          <w:i w:val="1"/>
          <w:iCs w:val="1"/>
          <w:noProof w:val="0"/>
          <w:color w:val="000000" w:themeColor="text1" w:themeTint="FF" w:themeShade="FF"/>
          <w:sz w:val="24"/>
          <w:szCs w:val="24"/>
          <w:lang w:val="en-US"/>
        </w:rPr>
        <w:t>Performance management</w:t>
      </w:r>
      <w:r w:rsidRPr="48D5E187" w:rsidR="343902A7">
        <w:rPr>
          <w:rFonts w:ascii="Calibri" w:hAnsi="Calibri" w:eastAsia="Calibri" w:cs="Calibri"/>
          <w:noProof w:val="0"/>
          <w:color w:val="000000" w:themeColor="text1" w:themeTint="FF" w:themeShade="FF"/>
          <w:sz w:val="24"/>
          <w:szCs w:val="24"/>
          <w:lang w:val="en-US"/>
        </w:rPr>
        <w:t xml:space="preserve"> (4th ed.). Chicago Business Press.</w:t>
      </w:r>
    </w:p>
    <w:p xmlns:wp14="http://schemas.microsoft.com/office/word/2010/wordml" w:rsidP="48D5E187" wp14:paraId="12A1C99D" wp14:textId="78D9D120">
      <w:pPr>
        <w:bidi w:val="0"/>
        <w:spacing w:before="240" w:beforeAutospacing="off" w:after="240" w:afterAutospacing="off"/>
      </w:pPr>
      <w:r w:rsidRPr="48D5E187" w:rsidR="343902A7">
        <w:rPr>
          <w:rFonts w:ascii="Calibri" w:hAnsi="Calibri" w:eastAsia="Calibri" w:cs="Calibri"/>
          <w:noProof w:val="0"/>
          <w:color w:val="000000" w:themeColor="text1" w:themeTint="FF" w:themeShade="FF"/>
          <w:sz w:val="24"/>
          <w:szCs w:val="24"/>
          <w:lang w:val="en-US"/>
        </w:rPr>
        <w:t xml:space="preserve">Baldwin, T. T., &amp; Ford, J. K. (1988). Transfer of training: A review and directions for future research. </w:t>
      </w:r>
      <w:r w:rsidRPr="48D5E187" w:rsidR="343902A7">
        <w:rPr>
          <w:rFonts w:ascii="Calibri" w:hAnsi="Calibri" w:eastAsia="Calibri" w:cs="Calibri"/>
          <w:i w:val="1"/>
          <w:iCs w:val="1"/>
          <w:noProof w:val="0"/>
          <w:color w:val="000000" w:themeColor="text1" w:themeTint="FF" w:themeShade="FF"/>
          <w:sz w:val="24"/>
          <w:szCs w:val="24"/>
          <w:lang w:val="en-US"/>
        </w:rPr>
        <w:t>Personnel Psychology, 41</w:t>
      </w:r>
      <w:r w:rsidRPr="48D5E187" w:rsidR="343902A7">
        <w:rPr>
          <w:rFonts w:ascii="Calibri" w:hAnsi="Calibri" w:eastAsia="Calibri" w:cs="Calibri"/>
          <w:noProof w:val="0"/>
          <w:color w:val="000000" w:themeColor="text1" w:themeTint="FF" w:themeShade="FF"/>
          <w:sz w:val="24"/>
          <w:szCs w:val="24"/>
          <w:lang w:val="en-US"/>
        </w:rPr>
        <w:t>(1), 63–105.</w:t>
      </w:r>
    </w:p>
    <w:p xmlns:wp14="http://schemas.microsoft.com/office/word/2010/wordml" w:rsidP="48D5E187" wp14:paraId="7D32B5AA" wp14:textId="0F7DB77E">
      <w:pPr>
        <w:bidi w:val="0"/>
        <w:spacing w:before="240" w:beforeAutospacing="off" w:after="240" w:afterAutospacing="off"/>
      </w:pPr>
      <w:r w:rsidRPr="48D5E187" w:rsidR="343902A7">
        <w:rPr>
          <w:rFonts w:ascii="Calibri" w:hAnsi="Calibri" w:eastAsia="Calibri" w:cs="Calibri"/>
          <w:noProof w:val="0"/>
          <w:color w:val="000000" w:themeColor="text1" w:themeTint="FF" w:themeShade="FF"/>
          <w:sz w:val="24"/>
          <w:szCs w:val="24"/>
          <w:lang w:val="en-US"/>
        </w:rPr>
        <w:t xml:space="preserve">Bandura, A. (1977). </w:t>
      </w:r>
      <w:r w:rsidRPr="48D5E187" w:rsidR="343902A7">
        <w:rPr>
          <w:rFonts w:ascii="Calibri" w:hAnsi="Calibri" w:eastAsia="Calibri" w:cs="Calibri"/>
          <w:i w:val="1"/>
          <w:iCs w:val="1"/>
          <w:noProof w:val="0"/>
          <w:color w:val="000000" w:themeColor="text1" w:themeTint="FF" w:themeShade="FF"/>
          <w:sz w:val="24"/>
          <w:szCs w:val="24"/>
          <w:lang w:val="en-US"/>
        </w:rPr>
        <w:t>Social learning theory</w:t>
      </w:r>
      <w:r w:rsidRPr="48D5E187" w:rsidR="343902A7">
        <w:rPr>
          <w:rFonts w:ascii="Calibri" w:hAnsi="Calibri" w:eastAsia="Calibri" w:cs="Calibri"/>
          <w:noProof w:val="0"/>
          <w:color w:val="000000" w:themeColor="text1" w:themeTint="FF" w:themeShade="FF"/>
          <w:sz w:val="24"/>
          <w:szCs w:val="24"/>
          <w:lang w:val="en-US"/>
        </w:rPr>
        <w:t>. Prentice Hall.</w:t>
      </w:r>
    </w:p>
    <w:p xmlns:wp14="http://schemas.microsoft.com/office/word/2010/wordml" w:rsidP="48D5E187" wp14:paraId="294EEC8B" wp14:textId="09C077CE">
      <w:pPr>
        <w:bidi w:val="0"/>
        <w:spacing w:before="240" w:beforeAutospacing="off" w:after="240" w:afterAutospacing="off"/>
      </w:pPr>
      <w:r w:rsidRPr="48D5E187" w:rsidR="343902A7">
        <w:rPr>
          <w:rFonts w:ascii="Calibri" w:hAnsi="Calibri" w:eastAsia="Calibri" w:cs="Calibri"/>
          <w:noProof w:val="0"/>
          <w:color w:val="000000" w:themeColor="text1" w:themeTint="FF" w:themeShade="FF"/>
          <w:sz w:val="24"/>
          <w:szCs w:val="24"/>
          <w:lang w:val="en-US"/>
        </w:rPr>
        <w:t xml:space="preserve">Barney, J. (1991). Firm resources and sustained competitive advantage. </w:t>
      </w:r>
      <w:r w:rsidRPr="48D5E187" w:rsidR="343902A7">
        <w:rPr>
          <w:rFonts w:ascii="Calibri" w:hAnsi="Calibri" w:eastAsia="Calibri" w:cs="Calibri"/>
          <w:i w:val="1"/>
          <w:iCs w:val="1"/>
          <w:noProof w:val="0"/>
          <w:color w:val="000000" w:themeColor="text1" w:themeTint="FF" w:themeShade="FF"/>
          <w:sz w:val="24"/>
          <w:szCs w:val="24"/>
          <w:lang w:val="en-US"/>
        </w:rPr>
        <w:t>Journal of Management, 17</w:t>
      </w:r>
      <w:r w:rsidRPr="48D5E187" w:rsidR="343902A7">
        <w:rPr>
          <w:rFonts w:ascii="Calibri" w:hAnsi="Calibri" w:eastAsia="Calibri" w:cs="Calibri"/>
          <w:noProof w:val="0"/>
          <w:color w:val="000000" w:themeColor="text1" w:themeTint="FF" w:themeShade="FF"/>
          <w:sz w:val="24"/>
          <w:szCs w:val="24"/>
          <w:lang w:val="en-US"/>
        </w:rPr>
        <w:t>(1), 99–120.</w:t>
      </w:r>
    </w:p>
    <w:p xmlns:wp14="http://schemas.microsoft.com/office/word/2010/wordml" w:rsidP="48D5E187" wp14:paraId="5184E76A" wp14:textId="1EC6D301">
      <w:pPr>
        <w:bidi w:val="0"/>
        <w:spacing w:before="240" w:beforeAutospacing="off" w:after="240" w:afterAutospacing="off"/>
      </w:pPr>
      <w:r w:rsidRPr="48D5E187" w:rsidR="343902A7">
        <w:rPr>
          <w:rFonts w:ascii="Calibri" w:hAnsi="Calibri" w:eastAsia="Calibri" w:cs="Calibri"/>
          <w:noProof w:val="0"/>
          <w:color w:val="000000" w:themeColor="text1" w:themeTint="FF" w:themeShade="FF"/>
          <w:sz w:val="24"/>
          <w:szCs w:val="24"/>
          <w:lang w:val="en-US"/>
        </w:rPr>
        <w:t xml:space="preserve">Becker, G. S. (1964). </w:t>
      </w:r>
      <w:r w:rsidRPr="48D5E187" w:rsidR="343902A7">
        <w:rPr>
          <w:rFonts w:ascii="Calibri" w:hAnsi="Calibri" w:eastAsia="Calibri" w:cs="Calibri"/>
          <w:i w:val="1"/>
          <w:iCs w:val="1"/>
          <w:noProof w:val="0"/>
          <w:color w:val="000000" w:themeColor="text1" w:themeTint="FF" w:themeShade="FF"/>
          <w:sz w:val="24"/>
          <w:szCs w:val="24"/>
          <w:lang w:val="en-US"/>
        </w:rPr>
        <w:t>Human capital: A theoretical and empirical analysis, with special reference to education</w:t>
      </w:r>
      <w:r w:rsidRPr="48D5E187" w:rsidR="343902A7">
        <w:rPr>
          <w:rFonts w:ascii="Calibri" w:hAnsi="Calibri" w:eastAsia="Calibri" w:cs="Calibri"/>
          <w:noProof w:val="0"/>
          <w:color w:val="000000" w:themeColor="text1" w:themeTint="FF" w:themeShade="FF"/>
          <w:sz w:val="24"/>
          <w:szCs w:val="24"/>
          <w:lang w:val="en-US"/>
        </w:rPr>
        <w:t>. University of Chicago Press.</w:t>
      </w:r>
    </w:p>
    <w:p xmlns:wp14="http://schemas.microsoft.com/office/word/2010/wordml" w:rsidP="48D5E187" wp14:paraId="6D31F192" wp14:textId="7EBF6AA3">
      <w:pPr>
        <w:bidi w:val="0"/>
        <w:spacing w:before="240" w:beforeAutospacing="off" w:after="240" w:afterAutospacing="off"/>
      </w:pPr>
      <w:r w:rsidRPr="48D5E187" w:rsidR="343902A7">
        <w:rPr>
          <w:rFonts w:ascii="Calibri" w:hAnsi="Calibri" w:eastAsia="Calibri" w:cs="Calibri"/>
          <w:noProof w:val="0"/>
          <w:color w:val="000000" w:themeColor="text1" w:themeTint="FF" w:themeShade="FF"/>
          <w:sz w:val="24"/>
          <w:szCs w:val="24"/>
          <w:lang w:val="en-US"/>
        </w:rPr>
        <w:t xml:space="preserve">Blau, P. M. (1964). </w:t>
      </w:r>
      <w:r w:rsidRPr="48D5E187" w:rsidR="343902A7">
        <w:rPr>
          <w:rFonts w:ascii="Calibri" w:hAnsi="Calibri" w:eastAsia="Calibri" w:cs="Calibri"/>
          <w:i w:val="1"/>
          <w:iCs w:val="1"/>
          <w:noProof w:val="0"/>
          <w:color w:val="000000" w:themeColor="text1" w:themeTint="FF" w:themeShade="FF"/>
          <w:sz w:val="24"/>
          <w:szCs w:val="24"/>
          <w:lang w:val="en-US"/>
        </w:rPr>
        <w:t>Exchange and power in social life</w:t>
      </w:r>
      <w:r w:rsidRPr="48D5E187" w:rsidR="343902A7">
        <w:rPr>
          <w:rFonts w:ascii="Calibri" w:hAnsi="Calibri" w:eastAsia="Calibri" w:cs="Calibri"/>
          <w:noProof w:val="0"/>
          <w:color w:val="000000" w:themeColor="text1" w:themeTint="FF" w:themeShade="FF"/>
          <w:sz w:val="24"/>
          <w:szCs w:val="24"/>
          <w:lang w:val="en-US"/>
        </w:rPr>
        <w:t>. Wiley.</w:t>
      </w:r>
    </w:p>
    <w:p xmlns:wp14="http://schemas.microsoft.com/office/word/2010/wordml" w:rsidP="48D5E187" wp14:paraId="5D5DC2D9" wp14:textId="28FC2C1C">
      <w:pPr>
        <w:bidi w:val="0"/>
        <w:spacing w:before="240" w:beforeAutospacing="off" w:after="240" w:afterAutospacing="off"/>
      </w:pPr>
      <w:r w:rsidRPr="48D5E187" w:rsidR="343902A7">
        <w:rPr>
          <w:rFonts w:ascii="Calibri" w:hAnsi="Calibri" w:eastAsia="Calibri" w:cs="Calibri"/>
          <w:noProof w:val="0"/>
          <w:color w:val="000000" w:themeColor="text1" w:themeTint="FF" w:themeShade="FF"/>
          <w:sz w:val="24"/>
          <w:szCs w:val="24"/>
          <w:lang w:val="en-US"/>
        </w:rPr>
        <w:t xml:space="preserve">Deci, E. L., &amp; Ryan, R. M. (1985). </w:t>
      </w:r>
      <w:r w:rsidRPr="48D5E187" w:rsidR="343902A7">
        <w:rPr>
          <w:rFonts w:ascii="Calibri" w:hAnsi="Calibri" w:eastAsia="Calibri" w:cs="Calibri"/>
          <w:i w:val="1"/>
          <w:iCs w:val="1"/>
          <w:noProof w:val="0"/>
          <w:color w:val="000000" w:themeColor="text1" w:themeTint="FF" w:themeShade="FF"/>
          <w:sz w:val="24"/>
          <w:szCs w:val="24"/>
          <w:lang w:val="en-US"/>
        </w:rPr>
        <w:t>Intrinsic motivation and self-determination in human behavior</w:t>
      </w:r>
      <w:r w:rsidRPr="48D5E187" w:rsidR="343902A7">
        <w:rPr>
          <w:rFonts w:ascii="Calibri" w:hAnsi="Calibri" w:eastAsia="Calibri" w:cs="Calibri"/>
          <w:noProof w:val="0"/>
          <w:color w:val="000000" w:themeColor="text1" w:themeTint="FF" w:themeShade="FF"/>
          <w:sz w:val="24"/>
          <w:szCs w:val="24"/>
          <w:lang w:val="en-US"/>
        </w:rPr>
        <w:t>. Plenum.</w:t>
      </w:r>
    </w:p>
    <w:p xmlns:wp14="http://schemas.microsoft.com/office/word/2010/wordml" w:rsidP="48D5E187" wp14:paraId="4D30DE59" wp14:textId="713B11BD">
      <w:pPr>
        <w:bidi w:val="0"/>
        <w:spacing w:before="240" w:beforeAutospacing="off" w:after="240" w:afterAutospacing="off"/>
      </w:pPr>
      <w:r w:rsidRPr="48D5E187" w:rsidR="343902A7">
        <w:rPr>
          <w:rFonts w:ascii="Calibri" w:hAnsi="Calibri" w:eastAsia="Calibri" w:cs="Calibri"/>
          <w:noProof w:val="0"/>
          <w:color w:val="000000" w:themeColor="text1" w:themeTint="FF" w:themeShade="FF"/>
          <w:sz w:val="24"/>
          <w:szCs w:val="24"/>
          <w:lang w:val="en-US"/>
        </w:rPr>
        <w:t xml:space="preserve">Edmondson, A. (1999). Psychological safety and learning behavior in work teams. </w:t>
      </w:r>
      <w:r w:rsidRPr="48D5E187" w:rsidR="343902A7">
        <w:rPr>
          <w:rFonts w:ascii="Calibri" w:hAnsi="Calibri" w:eastAsia="Calibri" w:cs="Calibri"/>
          <w:i w:val="1"/>
          <w:iCs w:val="1"/>
          <w:noProof w:val="0"/>
          <w:color w:val="000000" w:themeColor="text1" w:themeTint="FF" w:themeShade="FF"/>
          <w:sz w:val="24"/>
          <w:szCs w:val="24"/>
          <w:lang w:val="en-US"/>
        </w:rPr>
        <w:t>Administrative Science Quarterly, 44</w:t>
      </w:r>
      <w:r w:rsidRPr="48D5E187" w:rsidR="343902A7">
        <w:rPr>
          <w:rFonts w:ascii="Calibri" w:hAnsi="Calibri" w:eastAsia="Calibri" w:cs="Calibri"/>
          <w:noProof w:val="0"/>
          <w:color w:val="000000" w:themeColor="text1" w:themeTint="FF" w:themeShade="FF"/>
          <w:sz w:val="24"/>
          <w:szCs w:val="24"/>
          <w:lang w:val="en-US"/>
        </w:rPr>
        <w:t>(2), 350–383.</w:t>
      </w:r>
    </w:p>
    <w:p xmlns:wp14="http://schemas.microsoft.com/office/word/2010/wordml" w:rsidP="48D5E187" wp14:paraId="049D3EE3" wp14:textId="25C38116">
      <w:pPr>
        <w:bidi w:val="0"/>
        <w:spacing w:before="240" w:beforeAutospacing="off" w:after="240" w:afterAutospacing="off"/>
      </w:pPr>
      <w:r w:rsidRPr="48D5E187" w:rsidR="343902A7">
        <w:rPr>
          <w:rFonts w:ascii="Calibri" w:hAnsi="Calibri" w:eastAsia="Calibri" w:cs="Calibri"/>
          <w:noProof w:val="0"/>
          <w:color w:val="000000" w:themeColor="text1" w:themeTint="FF" w:themeShade="FF"/>
          <w:sz w:val="24"/>
          <w:szCs w:val="24"/>
          <w:lang w:val="en-US"/>
        </w:rPr>
        <w:t xml:space="preserve">Kirkpatrick, D. L., &amp; Kirkpatrick, J. D. (2006). </w:t>
      </w:r>
      <w:r w:rsidRPr="48D5E187" w:rsidR="343902A7">
        <w:rPr>
          <w:rFonts w:ascii="Calibri" w:hAnsi="Calibri" w:eastAsia="Calibri" w:cs="Calibri"/>
          <w:i w:val="1"/>
          <w:iCs w:val="1"/>
          <w:noProof w:val="0"/>
          <w:color w:val="000000" w:themeColor="text1" w:themeTint="FF" w:themeShade="FF"/>
          <w:sz w:val="24"/>
          <w:szCs w:val="24"/>
          <w:lang w:val="en-US"/>
        </w:rPr>
        <w:t>Evaluating training programs: The four levels</w:t>
      </w:r>
      <w:r w:rsidRPr="48D5E187" w:rsidR="343902A7">
        <w:rPr>
          <w:rFonts w:ascii="Calibri" w:hAnsi="Calibri" w:eastAsia="Calibri" w:cs="Calibri"/>
          <w:noProof w:val="0"/>
          <w:color w:val="000000" w:themeColor="text1" w:themeTint="FF" w:themeShade="FF"/>
          <w:sz w:val="24"/>
          <w:szCs w:val="24"/>
          <w:lang w:val="en-US"/>
        </w:rPr>
        <w:t xml:space="preserve"> (3rd ed.). Berrett-Koehler.</w:t>
      </w:r>
    </w:p>
    <w:p xmlns:wp14="http://schemas.microsoft.com/office/word/2010/wordml" w:rsidP="48D5E187" wp14:paraId="5F733CF5" wp14:textId="49D5DC35">
      <w:pPr>
        <w:bidi w:val="0"/>
        <w:spacing w:before="240" w:beforeAutospacing="off" w:after="240" w:afterAutospacing="off"/>
      </w:pPr>
      <w:r w:rsidRPr="48D5E187" w:rsidR="343902A7">
        <w:rPr>
          <w:rFonts w:ascii="Calibri" w:hAnsi="Calibri" w:eastAsia="Calibri" w:cs="Calibri"/>
          <w:noProof w:val="0"/>
          <w:color w:val="000000" w:themeColor="text1" w:themeTint="FF" w:themeShade="FF"/>
          <w:sz w:val="24"/>
          <w:szCs w:val="24"/>
          <w:lang w:val="en-US"/>
        </w:rPr>
        <w:t xml:space="preserve">Kolb, D. A. (1984). </w:t>
      </w:r>
      <w:r w:rsidRPr="48D5E187" w:rsidR="343902A7">
        <w:rPr>
          <w:rFonts w:ascii="Calibri" w:hAnsi="Calibri" w:eastAsia="Calibri" w:cs="Calibri"/>
          <w:i w:val="1"/>
          <w:iCs w:val="1"/>
          <w:noProof w:val="0"/>
          <w:color w:val="000000" w:themeColor="text1" w:themeTint="FF" w:themeShade="FF"/>
          <w:sz w:val="24"/>
          <w:szCs w:val="24"/>
          <w:lang w:val="en-US"/>
        </w:rPr>
        <w:t>Experiential learning: Experience as the source of learning and development</w:t>
      </w:r>
      <w:r w:rsidRPr="48D5E187" w:rsidR="343902A7">
        <w:rPr>
          <w:rFonts w:ascii="Calibri" w:hAnsi="Calibri" w:eastAsia="Calibri" w:cs="Calibri"/>
          <w:noProof w:val="0"/>
          <w:color w:val="000000" w:themeColor="text1" w:themeTint="FF" w:themeShade="FF"/>
          <w:sz w:val="24"/>
          <w:szCs w:val="24"/>
          <w:lang w:val="en-US"/>
        </w:rPr>
        <w:t>. Prentice Hall.</w:t>
      </w:r>
    </w:p>
    <w:p xmlns:wp14="http://schemas.microsoft.com/office/word/2010/wordml" w:rsidP="48D5E187" wp14:paraId="41401169" wp14:textId="46C4BEC0">
      <w:pPr>
        <w:bidi w:val="0"/>
        <w:spacing w:before="240" w:beforeAutospacing="off" w:after="240" w:afterAutospacing="off"/>
      </w:pPr>
      <w:r w:rsidRPr="48D5E187" w:rsidR="343902A7">
        <w:rPr>
          <w:rFonts w:ascii="Calibri" w:hAnsi="Calibri" w:eastAsia="Calibri" w:cs="Calibri"/>
          <w:noProof w:val="0"/>
          <w:color w:val="000000" w:themeColor="text1" w:themeTint="FF" w:themeShade="FF"/>
          <w:sz w:val="24"/>
          <w:szCs w:val="24"/>
          <w:lang w:val="en-US"/>
        </w:rPr>
        <w:t xml:space="preserve">Kram, K. E. (1985). </w:t>
      </w:r>
      <w:r w:rsidRPr="48D5E187" w:rsidR="343902A7">
        <w:rPr>
          <w:rFonts w:ascii="Calibri" w:hAnsi="Calibri" w:eastAsia="Calibri" w:cs="Calibri"/>
          <w:i w:val="1"/>
          <w:iCs w:val="1"/>
          <w:noProof w:val="0"/>
          <w:color w:val="000000" w:themeColor="text1" w:themeTint="FF" w:themeShade="FF"/>
          <w:sz w:val="24"/>
          <w:szCs w:val="24"/>
          <w:lang w:val="en-US"/>
        </w:rPr>
        <w:t>Mentoring at work: Developmental relationships in organizational life</w:t>
      </w:r>
      <w:r w:rsidRPr="48D5E187" w:rsidR="343902A7">
        <w:rPr>
          <w:rFonts w:ascii="Calibri" w:hAnsi="Calibri" w:eastAsia="Calibri" w:cs="Calibri"/>
          <w:noProof w:val="0"/>
          <w:color w:val="000000" w:themeColor="text1" w:themeTint="FF" w:themeShade="FF"/>
          <w:sz w:val="24"/>
          <w:szCs w:val="24"/>
          <w:lang w:val="en-US"/>
        </w:rPr>
        <w:t>. Scott, Foresman.</w:t>
      </w:r>
    </w:p>
    <w:p xmlns:wp14="http://schemas.microsoft.com/office/word/2010/wordml" w:rsidP="48D5E187" wp14:paraId="4C63098E" wp14:textId="21E4B089">
      <w:pPr>
        <w:bidi w:val="0"/>
        <w:spacing w:before="240" w:beforeAutospacing="off" w:after="240" w:afterAutospacing="off"/>
      </w:pPr>
      <w:r w:rsidRPr="48D5E187" w:rsidR="343902A7">
        <w:rPr>
          <w:rFonts w:ascii="Calibri" w:hAnsi="Calibri" w:eastAsia="Calibri" w:cs="Calibri"/>
          <w:noProof w:val="0"/>
          <w:color w:val="000000" w:themeColor="text1" w:themeTint="FF" w:themeShade="FF"/>
          <w:sz w:val="24"/>
          <w:szCs w:val="24"/>
          <w:lang w:val="en-US"/>
        </w:rPr>
        <w:t xml:space="preserve">Locke, E. A., &amp; Latham, G. P. (2002). Building a practically useful theory of goal setting and task motivation: A 35-year odyssey. </w:t>
      </w:r>
      <w:r w:rsidRPr="48D5E187" w:rsidR="343902A7">
        <w:rPr>
          <w:rFonts w:ascii="Calibri" w:hAnsi="Calibri" w:eastAsia="Calibri" w:cs="Calibri"/>
          <w:i w:val="1"/>
          <w:iCs w:val="1"/>
          <w:noProof w:val="0"/>
          <w:color w:val="000000" w:themeColor="text1" w:themeTint="FF" w:themeShade="FF"/>
          <w:sz w:val="24"/>
          <w:szCs w:val="24"/>
          <w:lang w:val="en-US"/>
        </w:rPr>
        <w:t>American Psychologist, 57</w:t>
      </w:r>
      <w:r w:rsidRPr="48D5E187" w:rsidR="343902A7">
        <w:rPr>
          <w:rFonts w:ascii="Calibri" w:hAnsi="Calibri" w:eastAsia="Calibri" w:cs="Calibri"/>
          <w:noProof w:val="0"/>
          <w:color w:val="000000" w:themeColor="text1" w:themeTint="FF" w:themeShade="FF"/>
          <w:sz w:val="24"/>
          <w:szCs w:val="24"/>
          <w:lang w:val="en-US"/>
        </w:rPr>
        <w:t>(9), 705–717.</w:t>
      </w:r>
    </w:p>
    <w:p xmlns:wp14="http://schemas.microsoft.com/office/word/2010/wordml" w:rsidP="48D5E187" wp14:paraId="1F08ECA5" wp14:textId="294CF4C5">
      <w:pPr>
        <w:bidi w:val="0"/>
        <w:spacing w:before="240" w:beforeAutospacing="off" w:after="240" w:afterAutospacing="off"/>
      </w:pPr>
      <w:r w:rsidRPr="48D5E187" w:rsidR="343902A7">
        <w:rPr>
          <w:rFonts w:ascii="Calibri" w:hAnsi="Calibri" w:eastAsia="Calibri" w:cs="Calibri"/>
          <w:noProof w:val="0"/>
          <w:color w:val="000000" w:themeColor="text1" w:themeTint="FF" w:themeShade="FF"/>
          <w:sz w:val="24"/>
          <w:szCs w:val="24"/>
          <w:lang w:val="en-US"/>
        </w:rPr>
        <w:t xml:space="preserve">Pashler, H., McDaniel, M., Rohrer, D., &amp; Bjork, R. (2008). Learning styles: Concepts and evidence. </w:t>
      </w:r>
      <w:r w:rsidRPr="48D5E187" w:rsidR="343902A7">
        <w:rPr>
          <w:rFonts w:ascii="Calibri" w:hAnsi="Calibri" w:eastAsia="Calibri" w:cs="Calibri"/>
          <w:i w:val="1"/>
          <w:iCs w:val="1"/>
          <w:noProof w:val="0"/>
          <w:color w:val="000000" w:themeColor="text1" w:themeTint="FF" w:themeShade="FF"/>
          <w:sz w:val="24"/>
          <w:szCs w:val="24"/>
          <w:lang w:val="en-US"/>
        </w:rPr>
        <w:t>Psychological Science in the Public Interest, 9</w:t>
      </w:r>
      <w:r w:rsidRPr="48D5E187" w:rsidR="343902A7">
        <w:rPr>
          <w:rFonts w:ascii="Calibri" w:hAnsi="Calibri" w:eastAsia="Calibri" w:cs="Calibri"/>
          <w:noProof w:val="0"/>
          <w:color w:val="000000" w:themeColor="text1" w:themeTint="FF" w:themeShade="FF"/>
          <w:sz w:val="24"/>
          <w:szCs w:val="24"/>
          <w:lang w:val="en-US"/>
        </w:rPr>
        <w:t>(3), 105–119.</w:t>
      </w:r>
    </w:p>
    <w:p xmlns:wp14="http://schemas.microsoft.com/office/word/2010/wordml" w:rsidP="48D5E187" wp14:paraId="164E8963" wp14:textId="356D56A3">
      <w:pPr>
        <w:bidi w:val="0"/>
        <w:spacing w:before="240" w:beforeAutospacing="off" w:after="240" w:afterAutospacing="off"/>
      </w:pPr>
      <w:r w:rsidRPr="48D5E187" w:rsidR="343902A7">
        <w:rPr>
          <w:rFonts w:ascii="Calibri" w:hAnsi="Calibri" w:eastAsia="Calibri" w:cs="Calibri"/>
          <w:noProof w:val="0"/>
          <w:color w:val="000000" w:themeColor="text1" w:themeTint="FF" w:themeShade="FF"/>
          <w:sz w:val="24"/>
          <w:szCs w:val="24"/>
          <w:lang w:val="en-US"/>
        </w:rPr>
        <w:t xml:space="preserve">Phillips, J. J., &amp; Phillips, P. P. (2016). </w:t>
      </w:r>
      <w:r w:rsidRPr="48D5E187" w:rsidR="343902A7">
        <w:rPr>
          <w:rFonts w:ascii="Calibri" w:hAnsi="Calibri" w:eastAsia="Calibri" w:cs="Calibri"/>
          <w:i w:val="1"/>
          <w:iCs w:val="1"/>
          <w:noProof w:val="0"/>
          <w:color w:val="000000" w:themeColor="text1" w:themeTint="FF" w:themeShade="FF"/>
          <w:sz w:val="24"/>
          <w:szCs w:val="24"/>
          <w:lang w:val="en-US"/>
        </w:rPr>
        <w:t>Handbook of training evaluation and measurement methods</w:t>
      </w:r>
      <w:r w:rsidRPr="48D5E187" w:rsidR="343902A7">
        <w:rPr>
          <w:rFonts w:ascii="Calibri" w:hAnsi="Calibri" w:eastAsia="Calibri" w:cs="Calibri"/>
          <w:noProof w:val="0"/>
          <w:color w:val="000000" w:themeColor="text1" w:themeTint="FF" w:themeShade="FF"/>
          <w:sz w:val="24"/>
          <w:szCs w:val="24"/>
          <w:lang w:val="en-US"/>
        </w:rPr>
        <w:t xml:space="preserve"> (4th ed.). Routledge.</w:t>
      </w:r>
    </w:p>
    <w:p xmlns:wp14="http://schemas.microsoft.com/office/word/2010/wordml" w:rsidP="48D5E187" wp14:paraId="367B3883" wp14:textId="3FE7A77B">
      <w:pPr>
        <w:bidi w:val="0"/>
        <w:spacing w:before="240" w:beforeAutospacing="off" w:after="240" w:afterAutospacing="off"/>
      </w:pPr>
      <w:r w:rsidRPr="48D5E187" w:rsidR="343902A7">
        <w:rPr>
          <w:rFonts w:ascii="Calibri" w:hAnsi="Calibri" w:eastAsia="Calibri" w:cs="Calibri"/>
          <w:noProof w:val="0"/>
          <w:color w:val="000000" w:themeColor="text1" w:themeTint="FF" w:themeShade="FF"/>
          <w:sz w:val="24"/>
          <w:szCs w:val="24"/>
          <w:lang w:val="en-US"/>
        </w:rPr>
        <w:t xml:space="preserve">Salas, E., Tannenbaum, S. I., Kraiger, K., &amp; Smith-Jentsch, K. A. (2012). The science of training and development in organizations: What matters in practice. </w:t>
      </w:r>
      <w:r w:rsidRPr="48D5E187" w:rsidR="343902A7">
        <w:rPr>
          <w:rFonts w:ascii="Calibri" w:hAnsi="Calibri" w:eastAsia="Calibri" w:cs="Calibri"/>
          <w:i w:val="1"/>
          <w:iCs w:val="1"/>
          <w:noProof w:val="0"/>
          <w:color w:val="000000" w:themeColor="text1" w:themeTint="FF" w:themeShade="FF"/>
          <w:sz w:val="24"/>
          <w:szCs w:val="24"/>
          <w:lang w:val="en-US"/>
        </w:rPr>
        <w:t>Psychological Science in the Public Interest, 13</w:t>
      </w:r>
      <w:r w:rsidRPr="48D5E187" w:rsidR="343902A7">
        <w:rPr>
          <w:rFonts w:ascii="Calibri" w:hAnsi="Calibri" w:eastAsia="Calibri" w:cs="Calibri"/>
          <w:noProof w:val="0"/>
          <w:color w:val="000000" w:themeColor="text1" w:themeTint="FF" w:themeShade="FF"/>
          <w:sz w:val="24"/>
          <w:szCs w:val="24"/>
          <w:lang w:val="en-US"/>
        </w:rPr>
        <w:t>(2), 74–101.</w:t>
      </w:r>
    </w:p>
    <w:p xmlns:wp14="http://schemas.microsoft.com/office/word/2010/wordml" w:rsidP="48D5E187" wp14:paraId="3B1D8686" wp14:textId="4AA701EF">
      <w:pPr>
        <w:bidi w:val="0"/>
        <w:spacing w:before="240" w:beforeAutospacing="off" w:after="240" w:afterAutospacing="off"/>
      </w:pPr>
      <w:r w:rsidRPr="48D5E187" w:rsidR="343902A7">
        <w:rPr>
          <w:rFonts w:ascii="Calibri" w:hAnsi="Calibri" w:eastAsia="Calibri" w:cs="Calibri"/>
          <w:noProof w:val="0"/>
          <w:color w:val="000000" w:themeColor="text1" w:themeTint="FF" w:themeShade="FF"/>
          <w:sz w:val="24"/>
          <w:szCs w:val="24"/>
          <w:lang w:val="en-US"/>
        </w:rPr>
        <w:t xml:space="preserve">Schön, D. A. (1983). </w:t>
      </w:r>
      <w:r w:rsidRPr="48D5E187" w:rsidR="343902A7">
        <w:rPr>
          <w:rFonts w:ascii="Calibri" w:hAnsi="Calibri" w:eastAsia="Calibri" w:cs="Calibri"/>
          <w:i w:val="1"/>
          <w:iCs w:val="1"/>
          <w:noProof w:val="0"/>
          <w:color w:val="000000" w:themeColor="text1" w:themeTint="FF" w:themeShade="FF"/>
          <w:sz w:val="24"/>
          <w:szCs w:val="24"/>
          <w:lang w:val="en-US"/>
        </w:rPr>
        <w:t>The reflective practitioner: How professionals think in action</w:t>
      </w:r>
      <w:r w:rsidRPr="48D5E187" w:rsidR="343902A7">
        <w:rPr>
          <w:rFonts w:ascii="Calibri" w:hAnsi="Calibri" w:eastAsia="Calibri" w:cs="Calibri"/>
          <w:noProof w:val="0"/>
          <w:color w:val="000000" w:themeColor="text1" w:themeTint="FF" w:themeShade="FF"/>
          <w:sz w:val="24"/>
          <w:szCs w:val="24"/>
          <w:lang w:val="en-US"/>
        </w:rPr>
        <w:t>. Basic Books.</w:t>
      </w:r>
    </w:p>
    <w:p xmlns:wp14="http://schemas.microsoft.com/office/word/2010/wordml" w:rsidP="48D5E187" wp14:paraId="5A58292B" wp14:textId="7418A5B8">
      <w:pPr>
        <w:bidi w:val="0"/>
        <w:spacing w:before="240" w:beforeAutospacing="off" w:after="240" w:afterAutospacing="off"/>
      </w:pPr>
      <w:r w:rsidRPr="48D5E187" w:rsidR="343902A7">
        <w:rPr>
          <w:rFonts w:ascii="Calibri" w:hAnsi="Calibri" w:eastAsia="Calibri" w:cs="Calibri"/>
          <w:noProof w:val="0"/>
          <w:color w:val="000000" w:themeColor="text1" w:themeTint="FF" w:themeShade="FF"/>
          <w:sz w:val="24"/>
          <w:szCs w:val="24"/>
          <w:lang w:val="en-US"/>
        </w:rPr>
        <w:t xml:space="preserve">Vroom, V. H. (1964). </w:t>
      </w:r>
      <w:r w:rsidRPr="48D5E187" w:rsidR="343902A7">
        <w:rPr>
          <w:rFonts w:ascii="Calibri" w:hAnsi="Calibri" w:eastAsia="Calibri" w:cs="Calibri"/>
          <w:i w:val="1"/>
          <w:iCs w:val="1"/>
          <w:noProof w:val="0"/>
          <w:color w:val="000000" w:themeColor="text1" w:themeTint="FF" w:themeShade="FF"/>
          <w:sz w:val="24"/>
          <w:szCs w:val="24"/>
          <w:lang w:val="en-US"/>
        </w:rPr>
        <w:t>Work and motivation</w:t>
      </w:r>
      <w:r w:rsidRPr="48D5E187" w:rsidR="343902A7">
        <w:rPr>
          <w:rFonts w:ascii="Calibri" w:hAnsi="Calibri" w:eastAsia="Calibri" w:cs="Calibri"/>
          <w:noProof w:val="0"/>
          <w:color w:val="000000" w:themeColor="text1" w:themeTint="FF" w:themeShade="FF"/>
          <w:sz w:val="24"/>
          <w:szCs w:val="24"/>
          <w:lang w:val="en-US"/>
        </w:rPr>
        <w:t>. Wiley.</w:t>
      </w:r>
    </w:p>
    <w:p xmlns:wp14="http://schemas.microsoft.com/office/word/2010/wordml" w:rsidP="48D5E187" wp14:paraId="4ADFB5B2" wp14:textId="793373FD">
      <w:pPr>
        <w:bidi w:val="0"/>
        <w:spacing w:before="240" w:beforeAutospacing="off" w:after="240" w:afterAutospacing="off"/>
      </w:pPr>
      <w:r w:rsidRPr="48D5E187" w:rsidR="343902A7">
        <w:rPr>
          <w:rFonts w:ascii="Calibri" w:hAnsi="Calibri" w:eastAsia="Calibri" w:cs="Calibri"/>
          <w:noProof w:val="0"/>
          <w:color w:val="000000" w:themeColor="text1" w:themeTint="FF" w:themeShade="FF"/>
          <w:sz w:val="24"/>
          <w:szCs w:val="24"/>
          <w:lang w:val="en-US"/>
        </w:rPr>
        <w:t xml:space="preserve">Whitmore, J. (2017). </w:t>
      </w:r>
      <w:r w:rsidRPr="48D5E187" w:rsidR="343902A7">
        <w:rPr>
          <w:rFonts w:ascii="Calibri" w:hAnsi="Calibri" w:eastAsia="Calibri" w:cs="Calibri"/>
          <w:i w:val="1"/>
          <w:iCs w:val="1"/>
          <w:noProof w:val="0"/>
          <w:color w:val="000000" w:themeColor="text1" w:themeTint="FF" w:themeShade="FF"/>
          <w:sz w:val="24"/>
          <w:szCs w:val="24"/>
          <w:lang w:val="en-US"/>
        </w:rPr>
        <w:t>Coaching for performance: The principles and practice of coaching and leadership</w:t>
      </w:r>
      <w:r w:rsidRPr="48D5E187" w:rsidR="343902A7">
        <w:rPr>
          <w:rFonts w:ascii="Calibri" w:hAnsi="Calibri" w:eastAsia="Calibri" w:cs="Calibri"/>
          <w:noProof w:val="0"/>
          <w:color w:val="000000" w:themeColor="text1" w:themeTint="FF" w:themeShade="FF"/>
          <w:sz w:val="24"/>
          <w:szCs w:val="24"/>
          <w:lang w:val="en-US"/>
        </w:rPr>
        <w:t xml:space="preserve"> (5th ed.). Nicholas Brealey.</w:t>
      </w:r>
    </w:p>
    <w:p xmlns:wp14="http://schemas.microsoft.com/office/word/2010/wordml" w:rsidP="48D5E187" wp14:paraId="0B558F8D" wp14:textId="5E0E157C">
      <w:pPr>
        <w:bidi w:val="0"/>
        <w:spacing w:before="0" w:beforeAutospacing="off" w:after="160" w:afterAutospacing="off"/>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p>
    <w:p xmlns:wp14="http://schemas.microsoft.com/office/word/2010/wordml" w:rsidP="48D5E187" wp14:paraId="2FCB8DA7" wp14:textId="07602BD4">
      <w:pPr>
        <w:bidi w:val="0"/>
        <w:rPr>
          <w:rFonts w:ascii="Calibri" w:hAnsi="Calibri" w:eastAsia="Calibri" w:cs="Calibri" w:asciiTheme="minorAscii" w:hAnsiTheme="minorAscii" w:eastAsiaTheme="minorAscii" w:cstheme="minorAscii"/>
          <w:sz w:val="24"/>
          <w:szCs w:val="24"/>
        </w:rPr>
      </w:pPr>
    </w:p>
    <w:p xmlns:wp14="http://schemas.microsoft.com/office/word/2010/wordml" wp14:paraId="2C078E63" wp14:textId="7274FBBF"/>
    <w:sectPr>
      <w:pgSz w:w="12240" w:h="15840" w:orient="portrait"/>
      <w:pgMar w:top="1440" w:right="1440" w:bottom="1440" w:left="1440" w:header="720" w:footer="720" w:gutter="0"/>
      <w:cols w:space="720"/>
      <w:docGrid w:linePitch="360"/>
      <w:headerReference w:type="default" r:id="Ra4d1d2f39f8344bd"/>
      <w:footerReference w:type="default" r:id="R56364abd815d40f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8D5E187" w:rsidTr="48D5E187" w14:paraId="4A4280F4">
      <w:trPr>
        <w:trHeight w:val="300"/>
      </w:trPr>
      <w:tc>
        <w:tcPr>
          <w:tcW w:w="3120" w:type="dxa"/>
          <w:tcMar/>
        </w:tcPr>
        <w:p w:rsidR="48D5E187" w:rsidP="48D5E187" w:rsidRDefault="48D5E187" w14:paraId="7FBC8886" w14:textId="2F7E3F62">
          <w:pPr>
            <w:pStyle w:val="Header"/>
            <w:bidi w:val="0"/>
            <w:ind w:left="-115"/>
            <w:jc w:val="left"/>
          </w:pPr>
        </w:p>
      </w:tc>
      <w:tc>
        <w:tcPr>
          <w:tcW w:w="3120" w:type="dxa"/>
          <w:tcMar/>
        </w:tcPr>
        <w:p w:rsidR="48D5E187" w:rsidP="48D5E187" w:rsidRDefault="48D5E187" w14:paraId="7C00871F" w14:textId="0EA597A8">
          <w:pPr>
            <w:pStyle w:val="Header"/>
            <w:bidi w:val="0"/>
            <w:jc w:val="center"/>
          </w:pPr>
        </w:p>
      </w:tc>
      <w:tc>
        <w:tcPr>
          <w:tcW w:w="3120" w:type="dxa"/>
          <w:tcMar/>
        </w:tcPr>
        <w:p w:rsidR="48D5E187" w:rsidP="48D5E187" w:rsidRDefault="48D5E187" w14:paraId="0F2DECA7" w14:textId="6CBD53AB">
          <w:pPr>
            <w:pStyle w:val="Header"/>
            <w:bidi w:val="0"/>
            <w:ind w:right="-115"/>
            <w:jc w:val="right"/>
          </w:pPr>
        </w:p>
      </w:tc>
    </w:tr>
  </w:tbl>
  <w:p w:rsidR="48D5E187" w:rsidP="48D5E187" w:rsidRDefault="48D5E187" w14:paraId="3D3EA151" w14:textId="55784E0A">
    <w:pPr>
      <w:pStyle w:val="Footer"/>
      <w:bidi w:val="0"/>
    </w:pPr>
  </w:p>
</w:ftr>
</file>

<file path=word/header.xml><?xml version="1.0" encoding="utf-8"?>
<w:hdr xmlns:w14="http://schemas.microsoft.com/office/word/2010/wordml" xmlns:w="http://schemas.openxmlformats.org/wordprocessingml/2006/main">
  <w:p w:rsidR="48D5E187" w:rsidP="48D5E187" w:rsidRDefault="48D5E187" w14:paraId="5791041E" w14:textId="65C11C14">
    <w:pPr>
      <w:pStyle w:val="Header"/>
      <w:bidi w:val="0"/>
    </w:pPr>
  </w:p>
</w:hdr>
</file>

<file path=word/intelligence2.xml><?xml version="1.0" encoding="utf-8"?>
<int2:intelligence xmlns:int2="http://schemas.microsoft.com/office/intelligence/2020/intelligence">
  <int2:observations>
    <int2:textHash int2:hashCode="bLNw5K/RtBTj6A" int2:id="ADSpnHxf">
      <int2:state int2:type="spell" int2:value="Rejected"/>
    </int2:textHash>
    <int2:textHash int2:hashCode="kv4UVae7TQCfC0" int2:id="ReT1PZF8">
      <int2:state int2:type="spell" int2:value="Rejected"/>
    </int2:textHash>
    <int2:textHash int2:hashCode="FPRZ1yFnCPrzsl" int2:id="KPXARzUh">
      <int2:state int2:type="spell" int2:value="Rejected"/>
    </int2:textHash>
    <int2:textHash int2:hashCode="ZsSVoklr1usIES" int2:id="Y3tavZP5">
      <int2:state int2:type="spell" int2:value="Rejected"/>
    </int2:textHash>
    <int2:textHash int2:hashCode="5XDRCdvPuC+WfK" int2:id="3EusncFJ">
      <int2:state int2:type="spell" int2:value="Rejected"/>
    </int2:textHash>
    <int2:textHash int2:hashCode="XSUiEPxXFZ9tOg" int2:id="6Ucwkigt">
      <int2:state int2:type="spell" int2:value="Rejected"/>
    </int2:textHash>
    <int2:textHash int2:hashCode="K9X7Xd4L2h5wl4" int2:id="KvMtVQrY">
      <int2:state int2:type="spell" int2:value="Rejected"/>
    </int2:textHash>
    <int2:textHash int2:hashCode="xQy+KnIliT8rxm" int2:id="y0avU02N">
      <int2:state int2:type="spell" int2:value="Rejected"/>
    </int2:textHash>
    <int2:textHash int2:hashCode="ni8UUdXdlt6RIo" int2:id="wLfazHKn">
      <int2:state int2:type="spell" int2:value="Rejected"/>
    </int2:textHash>
    <int2:textHash int2:hashCode="nRSox3TdiEm2GZ" int2:id="42eK09pl">
      <int2:state int2:type="spell" int2:value="Rejected"/>
    </int2:textHash>
    <int2:bookmark int2:bookmarkName="_Int_f42fLLtU" int2:invalidationBookmarkName="" int2:hashCode="5mtnYbEI97YdhW" int2:id="66i3pwQs">
      <int2:state int2:type="gram" int2:value="Rejected"/>
    </int2:bookmark>
    <int2:bookmark int2:bookmarkName="_Int_M2GJUT5i" int2:invalidationBookmarkName="" int2:hashCode="UiE9rYUmsXyqoY" int2:id="CAKWWwCc">
      <int2:state int2:type="gram" int2:value="Rejected"/>
    </int2:bookmark>
    <int2:bookmark int2:bookmarkName="_Int_07MOhulS" int2:invalidationBookmarkName="" int2:hashCode="xIm1sFYEhbXqNj" int2:id="69Jryz7Y">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879E7D"/>
    <w:rsid w:val="00AC417F"/>
    <w:rsid w:val="01C2C549"/>
    <w:rsid w:val="048B1EC4"/>
    <w:rsid w:val="048B1EC4"/>
    <w:rsid w:val="06250C9F"/>
    <w:rsid w:val="076884BD"/>
    <w:rsid w:val="07879E7D"/>
    <w:rsid w:val="09C30AE3"/>
    <w:rsid w:val="0A8FECF6"/>
    <w:rsid w:val="0ACFBDFC"/>
    <w:rsid w:val="0CD7D131"/>
    <w:rsid w:val="0EBF5902"/>
    <w:rsid w:val="0F054983"/>
    <w:rsid w:val="0F291C49"/>
    <w:rsid w:val="0F8A4C89"/>
    <w:rsid w:val="109732DC"/>
    <w:rsid w:val="11AF73C2"/>
    <w:rsid w:val="128D4759"/>
    <w:rsid w:val="149D2BC0"/>
    <w:rsid w:val="14FAFF96"/>
    <w:rsid w:val="152C307E"/>
    <w:rsid w:val="1C442B41"/>
    <w:rsid w:val="1DE713B7"/>
    <w:rsid w:val="1E2FAE6F"/>
    <w:rsid w:val="1E7221C0"/>
    <w:rsid w:val="1EA161A6"/>
    <w:rsid w:val="20B6B4BB"/>
    <w:rsid w:val="231FDDA4"/>
    <w:rsid w:val="232569A4"/>
    <w:rsid w:val="232569A4"/>
    <w:rsid w:val="238FAD79"/>
    <w:rsid w:val="24798D3A"/>
    <w:rsid w:val="24BAE749"/>
    <w:rsid w:val="259074DB"/>
    <w:rsid w:val="25E5D7B1"/>
    <w:rsid w:val="2609CF29"/>
    <w:rsid w:val="2680A1D0"/>
    <w:rsid w:val="27538B3A"/>
    <w:rsid w:val="288044EA"/>
    <w:rsid w:val="2ACF33A9"/>
    <w:rsid w:val="2B18258C"/>
    <w:rsid w:val="2B53C9E3"/>
    <w:rsid w:val="2D30A429"/>
    <w:rsid w:val="2D998D01"/>
    <w:rsid w:val="32F7BCDA"/>
    <w:rsid w:val="343902A7"/>
    <w:rsid w:val="3552BAFD"/>
    <w:rsid w:val="373DB5A8"/>
    <w:rsid w:val="3B453265"/>
    <w:rsid w:val="3C29A7F7"/>
    <w:rsid w:val="3CF59EFB"/>
    <w:rsid w:val="3D43AC2D"/>
    <w:rsid w:val="3D5FAC19"/>
    <w:rsid w:val="3D6BF8CC"/>
    <w:rsid w:val="3D84A4E8"/>
    <w:rsid w:val="3E073EA6"/>
    <w:rsid w:val="4255DFBB"/>
    <w:rsid w:val="43254123"/>
    <w:rsid w:val="437FCC11"/>
    <w:rsid w:val="43BDD3D0"/>
    <w:rsid w:val="4400E23F"/>
    <w:rsid w:val="44FFE56C"/>
    <w:rsid w:val="45CB5FCE"/>
    <w:rsid w:val="46CFE471"/>
    <w:rsid w:val="47395EFF"/>
    <w:rsid w:val="47395EFF"/>
    <w:rsid w:val="48D5E187"/>
    <w:rsid w:val="49930621"/>
    <w:rsid w:val="4A5545A6"/>
    <w:rsid w:val="4ABC46A0"/>
    <w:rsid w:val="4AD5A388"/>
    <w:rsid w:val="4B263764"/>
    <w:rsid w:val="4B263764"/>
    <w:rsid w:val="4DE63DF6"/>
    <w:rsid w:val="4E331965"/>
    <w:rsid w:val="4F495E2E"/>
    <w:rsid w:val="4F7CD760"/>
    <w:rsid w:val="5061FE35"/>
    <w:rsid w:val="50A86D52"/>
    <w:rsid w:val="5201025F"/>
    <w:rsid w:val="520CCBD6"/>
    <w:rsid w:val="521D274B"/>
    <w:rsid w:val="52B8B8C1"/>
    <w:rsid w:val="52B8B8C1"/>
    <w:rsid w:val="531FBB7E"/>
    <w:rsid w:val="531FBB7E"/>
    <w:rsid w:val="53C7A3BB"/>
    <w:rsid w:val="5712B6AB"/>
    <w:rsid w:val="57AA9F67"/>
    <w:rsid w:val="590F87B6"/>
    <w:rsid w:val="591ECC07"/>
    <w:rsid w:val="59463987"/>
    <w:rsid w:val="59ECA40B"/>
    <w:rsid w:val="59ECA40B"/>
    <w:rsid w:val="5A6E0DEF"/>
    <w:rsid w:val="5AF53AF8"/>
    <w:rsid w:val="5CD3E114"/>
    <w:rsid w:val="6016A4DA"/>
    <w:rsid w:val="60A7EA14"/>
    <w:rsid w:val="6135B1BC"/>
    <w:rsid w:val="62FA7C1C"/>
    <w:rsid w:val="630D5F07"/>
    <w:rsid w:val="636DCFA6"/>
    <w:rsid w:val="64DA4B3F"/>
    <w:rsid w:val="6511BB80"/>
    <w:rsid w:val="65FBAEFF"/>
    <w:rsid w:val="682D04D4"/>
    <w:rsid w:val="6A47EE14"/>
    <w:rsid w:val="6A5C6577"/>
    <w:rsid w:val="6B7C20B7"/>
    <w:rsid w:val="6FE0FB62"/>
    <w:rsid w:val="70E3BB94"/>
    <w:rsid w:val="7130DBEC"/>
    <w:rsid w:val="715BE292"/>
    <w:rsid w:val="727576C1"/>
    <w:rsid w:val="7282C323"/>
    <w:rsid w:val="729D9E0C"/>
    <w:rsid w:val="72FE4A32"/>
    <w:rsid w:val="7372F4AA"/>
    <w:rsid w:val="739C02EA"/>
    <w:rsid w:val="786E912F"/>
    <w:rsid w:val="79F010D2"/>
    <w:rsid w:val="79F010D2"/>
    <w:rsid w:val="7A75D3AA"/>
    <w:rsid w:val="7B6D6D51"/>
    <w:rsid w:val="7BF45A33"/>
    <w:rsid w:val="7C312CE0"/>
    <w:rsid w:val="7C6C07F6"/>
    <w:rsid w:val="7C6E2FA8"/>
    <w:rsid w:val="7CD06646"/>
    <w:rsid w:val="7D317782"/>
    <w:rsid w:val="7F79D1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A009F"/>
  <w15:chartTrackingRefBased/>
  <w15:docId w15:val="{58837265-B6F9-4C93-BFE4-3E88F28244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8D5E18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48D5E187"/>
    <w:pPr>
      <w:tabs>
        <w:tab w:val="center" w:leader="none" w:pos="4680"/>
        <w:tab w:val="right" w:leader="none" w:pos="9360"/>
      </w:tabs>
      <w:spacing w:after="0" w:line="240" w:lineRule="auto"/>
    </w:pPr>
  </w:style>
  <w:style w:type="paragraph" w:styleId="Footer">
    <w:uiPriority w:val="99"/>
    <w:name w:val="footer"/>
    <w:basedOn w:val="Normal"/>
    <w:unhideWhenUsed/>
    <w:rsid w:val="48D5E187"/>
    <w:pPr>
      <w:tabs>
        <w:tab w:val="center" w:leader="none" w:pos="4680"/>
        <w:tab w:val="right" w:leader="none" w:pos="9360"/>
      </w:tabs>
      <w:spacing w:after="0" w:line="240" w:lineRule="auto"/>
    </w:pPr>
  </w:style>
  <w:style w:type="paragraph" w:styleId="Title">
    <w:uiPriority w:val="10"/>
    <w:name w:val="Title"/>
    <w:basedOn w:val="Normal"/>
    <w:next w:val="Normal"/>
    <w:qFormat/>
    <w:rsid w:val="48D5E187"/>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TOC1">
    <w:uiPriority w:val="39"/>
    <w:name w:val="toc 1"/>
    <w:basedOn w:val="Normal"/>
    <w:next w:val="Normal"/>
    <w:unhideWhenUsed/>
    <w:rsid w:val="48D5E187"/>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343196661" /><Relationship Type="http://schemas.openxmlformats.org/officeDocument/2006/relationships/header" Target="header.xml" Id="Ra4d1d2f39f8344bd" /><Relationship Type="http://schemas.openxmlformats.org/officeDocument/2006/relationships/footer" Target="footer.xml" Id="R56364abd815d40fa" /><Relationship Type="http://schemas.microsoft.com/office/2020/10/relationships/intelligence" Target="intelligence2.xml" Id="Rfbf0dd10a8bd411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2026-10-22T20:17:44.3781446Z</dcterms:created>
  <dcterms:modified xsi:type="dcterms:W3CDTF">2026-10-22T20:37:28.2671052Z</dcterms:modified>
  <dc:creator>darcey marie richards</dc:creator>
  <lastModifiedBy>darcey marie richards</lastModifiedBy>
</coreProperties>
</file>