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91CE0" w:rsidRDefault="00691CE0" w:rsidP="00EF4914">
      <w:pPr>
        <w:rPr>
          <w:b/>
          <w:bCs/>
        </w:rPr>
      </w:pPr>
      <w:bookmarkStart w:id="0" w:name="_GoBack"/>
      <w:bookmarkEnd w:id="0"/>
      <w:r>
        <w:rPr>
          <w:b/>
          <w:bCs/>
          <w:noProof/>
        </w:rPr>
        <w:drawing>
          <wp:inline distT="0" distB="0" distL="0" distR="0">
            <wp:extent cx="3381375" cy="1352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7">
                      <a:extLst>
                        <a:ext uri="{28A0092B-C50C-407E-A947-70E740481C1C}">
                          <a14:useLocalDpi xmlns:a14="http://schemas.microsoft.com/office/drawing/2010/main" val="0"/>
                        </a:ext>
                      </a:extLst>
                    </a:blip>
                    <a:stretch>
                      <a:fillRect/>
                    </a:stretch>
                  </pic:blipFill>
                  <pic:spPr>
                    <a:xfrm>
                      <a:off x="0" y="0"/>
                      <a:ext cx="3381375" cy="1352550"/>
                    </a:xfrm>
                    <a:prstGeom prst="rect">
                      <a:avLst/>
                    </a:prstGeom>
                    <a:ln>
                      <a:noFill/>
                    </a:ln>
                    <a:effectLst>
                      <a:softEdge rad="112500"/>
                    </a:effectLst>
                  </pic:spPr>
                </pic:pic>
              </a:graphicData>
            </a:graphic>
          </wp:inline>
        </w:drawing>
      </w:r>
    </w:p>
    <w:p w:rsidR="00691CE0" w:rsidRDefault="00691CE0" w:rsidP="00EF4914">
      <w:pPr>
        <w:rPr>
          <w:b/>
          <w:bCs/>
        </w:rPr>
      </w:pPr>
    </w:p>
    <w:p w:rsidR="00691CE0" w:rsidRDefault="00691CE0" w:rsidP="00EF4914">
      <w:pPr>
        <w:rPr>
          <w:b/>
          <w:bCs/>
        </w:rPr>
      </w:pPr>
    </w:p>
    <w:p w:rsidR="00691CE0" w:rsidRDefault="00691CE0" w:rsidP="00EF4914">
      <w:pPr>
        <w:rPr>
          <w:b/>
          <w:bCs/>
        </w:rPr>
      </w:pPr>
    </w:p>
    <w:p w:rsidR="00085F22" w:rsidRDefault="00085F22" w:rsidP="00EF4914">
      <w:pPr>
        <w:rPr>
          <w:b/>
          <w:bCs/>
        </w:rPr>
      </w:pPr>
    </w:p>
    <w:p w:rsidR="00085F22" w:rsidRDefault="00085F22" w:rsidP="00EF4914">
      <w:pPr>
        <w:rPr>
          <w:b/>
          <w:bCs/>
        </w:rPr>
      </w:pPr>
    </w:p>
    <w:p w:rsidR="00085F22" w:rsidRDefault="00085F22" w:rsidP="00EF4914">
      <w:pPr>
        <w:rPr>
          <w:b/>
          <w:bCs/>
        </w:rPr>
      </w:pPr>
    </w:p>
    <w:p w:rsidR="00085F22" w:rsidRDefault="00085F22" w:rsidP="00EF4914">
      <w:pPr>
        <w:rPr>
          <w:b/>
          <w:bCs/>
        </w:rPr>
      </w:pPr>
    </w:p>
    <w:p w:rsidR="00085F22" w:rsidRDefault="00085F22" w:rsidP="00EF4914">
      <w:pPr>
        <w:rPr>
          <w:b/>
          <w:bCs/>
        </w:rPr>
      </w:pPr>
    </w:p>
    <w:p w:rsidR="00691CE0" w:rsidRDefault="00691CE0" w:rsidP="00EF4914">
      <w:pPr>
        <w:rPr>
          <w:b/>
          <w:bCs/>
        </w:rPr>
      </w:pPr>
    </w:p>
    <w:p w:rsidR="00691CE0" w:rsidRPr="00085F22" w:rsidRDefault="00085F22" w:rsidP="00EF4914">
      <w:pPr>
        <w:rPr>
          <w:rFonts w:ascii="Bahnschrift" w:hAnsi="Bahnschrift"/>
          <w:b/>
          <w:bCs/>
        </w:rPr>
      </w:pPr>
      <w:r>
        <w:rPr>
          <w:rFonts w:ascii="Bahnschrift" w:hAnsi="Bahnschrift"/>
          <w:b/>
          <w:bCs/>
        </w:rPr>
        <w:t xml:space="preserve">                       </w:t>
      </w:r>
      <w:r w:rsidR="00691CE0" w:rsidRPr="00085F22">
        <w:rPr>
          <w:rFonts w:ascii="Bahnschrift" w:hAnsi="Bahnschrift"/>
          <w:b/>
          <w:bCs/>
        </w:rPr>
        <w:t>Name</w:t>
      </w:r>
      <w:r w:rsidRPr="00085F22">
        <w:rPr>
          <w:rFonts w:ascii="Bahnschrift" w:hAnsi="Bahnschrift"/>
          <w:b/>
          <w:bCs/>
        </w:rPr>
        <w:t xml:space="preserve">                      </w:t>
      </w:r>
      <w:r>
        <w:rPr>
          <w:rFonts w:ascii="Bahnschrift" w:hAnsi="Bahnschrift"/>
          <w:b/>
          <w:bCs/>
        </w:rPr>
        <w:t xml:space="preserve">           </w:t>
      </w:r>
      <w:r w:rsidRPr="00085F22">
        <w:rPr>
          <w:rFonts w:ascii="Bahnschrift" w:hAnsi="Bahnschrift"/>
          <w:b/>
          <w:bCs/>
        </w:rPr>
        <w:t xml:space="preserve">  </w:t>
      </w:r>
      <w:r>
        <w:rPr>
          <w:rFonts w:ascii="Bahnschrift" w:hAnsi="Bahnschrift"/>
          <w:b/>
          <w:bCs/>
        </w:rPr>
        <w:t xml:space="preserve"> </w:t>
      </w:r>
      <w:r w:rsidR="00691CE0" w:rsidRPr="00085F22">
        <w:rPr>
          <w:rFonts w:ascii="Bahnschrift" w:hAnsi="Bahnschrift"/>
          <w:b/>
          <w:bCs/>
        </w:rPr>
        <w:t xml:space="preserve"> Sobia Naveed </w:t>
      </w:r>
    </w:p>
    <w:p w:rsidR="00691CE0" w:rsidRPr="00085F22" w:rsidRDefault="00085F22" w:rsidP="00EF4914">
      <w:pPr>
        <w:rPr>
          <w:rFonts w:ascii="Bahnschrift" w:hAnsi="Bahnschrift"/>
          <w:b/>
          <w:bCs/>
        </w:rPr>
      </w:pPr>
      <w:r>
        <w:rPr>
          <w:rFonts w:ascii="Bahnschrift" w:hAnsi="Bahnschrift"/>
          <w:b/>
          <w:bCs/>
        </w:rPr>
        <w:t xml:space="preserve">                       </w:t>
      </w:r>
      <w:r w:rsidR="00691CE0" w:rsidRPr="00085F22">
        <w:rPr>
          <w:rFonts w:ascii="Bahnschrift" w:hAnsi="Bahnschrift"/>
          <w:b/>
          <w:bCs/>
        </w:rPr>
        <w:t xml:space="preserve">Student number </w:t>
      </w:r>
      <w:r w:rsidRPr="00085F22">
        <w:rPr>
          <w:rFonts w:ascii="Bahnschrift" w:hAnsi="Bahnschrift"/>
          <w:b/>
          <w:bCs/>
        </w:rPr>
        <w:t xml:space="preserve"> </w:t>
      </w:r>
      <w:r>
        <w:rPr>
          <w:rFonts w:ascii="Bahnschrift" w:hAnsi="Bahnschrift"/>
          <w:b/>
          <w:bCs/>
        </w:rPr>
        <w:t xml:space="preserve">                  </w:t>
      </w:r>
      <w:r w:rsidR="00691CE0" w:rsidRPr="00085F22">
        <w:rPr>
          <w:rFonts w:ascii="Bahnschrift" w:hAnsi="Bahnschrift"/>
          <w:b/>
          <w:bCs/>
        </w:rPr>
        <w:t>2316438</w:t>
      </w:r>
      <w:r w:rsidR="00975612" w:rsidRPr="00085F22">
        <w:rPr>
          <w:rFonts w:ascii="Bahnschrift" w:hAnsi="Bahnschrift"/>
          <w:b/>
          <w:bCs/>
        </w:rPr>
        <w:t xml:space="preserve"> </w:t>
      </w:r>
    </w:p>
    <w:p w:rsidR="00085F22" w:rsidRPr="00085F22" w:rsidRDefault="00085F22" w:rsidP="00EF4914">
      <w:pPr>
        <w:rPr>
          <w:rFonts w:ascii="Bahnschrift" w:hAnsi="Bahnschrift"/>
          <w:b/>
          <w:bCs/>
        </w:rPr>
      </w:pPr>
      <w:r>
        <w:rPr>
          <w:rFonts w:ascii="Bahnschrift" w:hAnsi="Bahnschrift"/>
          <w:b/>
          <w:bCs/>
        </w:rPr>
        <w:t xml:space="preserve">                       </w:t>
      </w:r>
      <w:r w:rsidRPr="00085F22">
        <w:rPr>
          <w:rFonts w:ascii="Bahnschrift" w:hAnsi="Bahnschrift"/>
          <w:b/>
          <w:bCs/>
        </w:rPr>
        <w:t xml:space="preserve">Module                     </w:t>
      </w:r>
      <w:r>
        <w:rPr>
          <w:rFonts w:ascii="Bahnschrift" w:hAnsi="Bahnschrift"/>
          <w:b/>
          <w:bCs/>
        </w:rPr>
        <w:t xml:space="preserve">              </w:t>
      </w:r>
      <w:r w:rsidRPr="00085F22">
        <w:rPr>
          <w:rFonts w:ascii="Bahnschrift" w:hAnsi="Bahnschrift" w:cs="Arial"/>
          <w:b/>
        </w:rPr>
        <w:t xml:space="preserve">Digital Transformation in the Health and                                                                                                                       .                                                       </w:t>
      </w:r>
      <w:r>
        <w:rPr>
          <w:rFonts w:ascii="Bahnschrift" w:hAnsi="Bahnschrift" w:cs="Arial"/>
          <w:b/>
        </w:rPr>
        <w:t xml:space="preserve">              </w:t>
      </w:r>
      <w:r w:rsidRPr="00085F22">
        <w:rPr>
          <w:rFonts w:ascii="Bahnschrift" w:hAnsi="Bahnschrift" w:cs="Arial"/>
          <w:b/>
        </w:rPr>
        <w:t>Care Professions</w:t>
      </w:r>
    </w:p>
    <w:p w:rsidR="00085F22" w:rsidRPr="00085F22" w:rsidRDefault="00085F22" w:rsidP="00EF4914">
      <w:pPr>
        <w:rPr>
          <w:rFonts w:ascii="Bahnschrift" w:hAnsi="Bahnschrift"/>
          <w:b/>
          <w:bCs/>
        </w:rPr>
      </w:pPr>
      <w:r>
        <w:rPr>
          <w:rFonts w:ascii="Bahnschrift" w:hAnsi="Bahnschrift"/>
          <w:b/>
          <w:bCs/>
        </w:rPr>
        <w:t xml:space="preserve">                       </w:t>
      </w:r>
      <w:r w:rsidRPr="00085F22">
        <w:rPr>
          <w:rFonts w:ascii="Bahnschrift" w:hAnsi="Bahnschrift"/>
          <w:b/>
          <w:bCs/>
        </w:rPr>
        <w:t xml:space="preserve">Module code             </w:t>
      </w:r>
      <w:r>
        <w:rPr>
          <w:rFonts w:ascii="Bahnschrift" w:hAnsi="Bahnschrift"/>
          <w:b/>
          <w:bCs/>
        </w:rPr>
        <w:t xml:space="preserve">             </w:t>
      </w:r>
      <w:r w:rsidRPr="00085F22">
        <w:rPr>
          <w:rFonts w:ascii="Bahnschrift" w:hAnsi="Bahnschrift" w:cs="Arial"/>
          <w:b/>
        </w:rPr>
        <w:t>BMHP6026</w:t>
      </w:r>
      <w:r w:rsidRPr="00085F22">
        <w:rPr>
          <w:rFonts w:ascii="Bahnschrift" w:hAnsi="Bahnschrift"/>
          <w:b/>
          <w:bCs/>
        </w:rPr>
        <w:t xml:space="preserve">  </w:t>
      </w:r>
    </w:p>
    <w:p w:rsidR="00085F22" w:rsidRDefault="00085F22" w:rsidP="00EF4914">
      <w:pPr>
        <w:rPr>
          <w:b/>
          <w:bCs/>
        </w:rPr>
      </w:pPr>
      <w:r>
        <w:rPr>
          <w:rFonts w:ascii="Bahnschrift" w:hAnsi="Bahnschrift"/>
          <w:b/>
          <w:bCs/>
        </w:rPr>
        <w:t xml:space="preserve">                       </w:t>
      </w:r>
      <w:r w:rsidRPr="00085F22">
        <w:rPr>
          <w:rFonts w:ascii="Bahnschrift" w:hAnsi="Bahnschrift"/>
          <w:b/>
          <w:bCs/>
        </w:rPr>
        <w:t xml:space="preserve">Lecturer                      </w:t>
      </w:r>
      <w:r>
        <w:rPr>
          <w:rFonts w:ascii="Bahnschrift" w:hAnsi="Bahnschrift"/>
          <w:b/>
          <w:bCs/>
        </w:rPr>
        <w:t xml:space="preserve">          </w:t>
      </w:r>
      <w:r w:rsidRPr="00085F22">
        <w:rPr>
          <w:rFonts w:ascii="Bahnschrift" w:hAnsi="Bahnschrift"/>
          <w:b/>
          <w:bCs/>
        </w:rPr>
        <w:t xml:space="preserve"> </w:t>
      </w:r>
      <w:r w:rsidRPr="00085F22">
        <w:rPr>
          <w:rFonts w:ascii="Bahnschrift" w:hAnsi="Bahnschrift"/>
          <w:b/>
          <w:color w:val="242130"/>
          <w:sz w:val="21"/>
          <w:szCs w:val="21"/>
          <w:shd w:val="clear" w:color="auto" w:fill="FFFFFF"/>
        </w:rPr>
        <w:t>Martin Svejda</w:t>
      </w:r>
      <w:r>
        <w:rPr>
          <w:b/>
          <w:bCs/>
        </w:rPr>
        <w:t xml:space="preserve"> </w:t>
      </w: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691CE0" w:rsidRDefault="00691CE0" w:rsidP="00EF4914">
      <w:pPr>
        <w:rPr>
          <w:b/>
          <w:bCs/>
        </w:rPr>
      </w:pPr>
    </w:p>
    <w:p w:rsidR="00EF4914" w:rsidRPr="00002ECA" w:rsidRDefault="00EF4914" w:rsidP="00002ECA">
      <w:pPr>
        <w:spacing w:line="360" w:lineRule="auto"/>
        <w:rPr>
          <w:rFonts w:ascii="Arial" w:hAnsi="Arial" w:cs="Arial"/>
          <w:b/>
          <w:bCs/>
        </w:rPr>
      </w:pPr>
      <w:r w:rsidRPr="00002ECA">
        <w:rPr>
          <w:rFonts w:ascii="Arial" w:hAnsi="Arial" w:cs="Arial"/>
          <w:b/>
          <w:bCs/>
        </w:rPr>
        <w:lastRenderedPageBreak/>
        <w:t>Critical Evaluation of Electronic Health Records (EHRs) as a Digital Innovation in UK Health and Social Care</w:t>
      </w:r>
    </w:p>
    <w:p w:rsidR="00EF4914" w:rsidRPr="00002ECA" w:rsidRDefault="00EF4914" w:rsidP="00002ECA">
      <w:pPr>
        <w:spacing w:line="360" w:lineRule="auto"/>
        <w:rPr>
          <w:rFonts w:ascii="Arial" w:hAnsi="Arial" w:cs="Arial"/>
          <w:b/>
          <w:bCs/>
        </w:rPr>
      </w:pPr>
      <w:r w:rsidRPr="00002ECA">
        <w:rPr>
          <w:rFonts w:ascii="Arial" w:hAnsi="Arial" w:cs="Arial"/>
          <w:b/>
          <w:bCs/>
        </w:rPr>
        <w:t>Introduction</w:t>
      </w:r>
    </w:p>
    <w:p w:rsidR="00EF4914" w:rsidRPr="00002ECA" w:rsidRDefault="00EF4914" w:rsidP="00002ECA">
      <w:pPr>
        <w:spacing w:line="360" w:lineRule="auto"/>
        <w:jc w:val="both"/>
        <w:rPr>
          <w:rFonts w:ascii="Arial" w:hAnsi="Arial" w:cs="Arial"/>
        </w:rPr>
      </w:pPr>
      <w:r w:rsidRPr="00002ECA">
        <w:rPr>
          <w:rFonts w:ascii="Arial" w:hAnsi="Arial" w:cs="Arial"/>
        </w:rPr>
        <w:t>Digital transformation has become a central component of modern health and social care systems. The integration of digital technologies aims to improve the quality, efficiency, accessibility, and safety of services while supporting healthcare professionals in delivering person-centred care. In the United Kingdom (UK), one of the most significant digital innovations implemented over the last decade has been the adoption of Electronic Health Records (EHRs). EHRs are digital versions of patients' medical records that allow healthcare professionals to access, update, and share patient information electronically across healthcare settings.</w:t>
      </w:r>
    </w:p>
    <w:p w:rsidR="00EF4914" w:rsidRPr="00002ECA" w:rsidRDefault="00EF4914" w:rsidP="00002ECA">
      <w:pPr>
        <w:spacing w:line="360" w:lineRule="auto"/>
        <w:jc w:val="both"/>
        <w:rPr>
          <w:rFonts w:ascii="Arial" w:hAnsi="Arial" w:cs="Arial"/>
        </w:rPr>
      </w:pPr>
      <w:r w:rsidRPr="00002ECA">
        <w:rPr>
          <w:rFonts w:ascii="Arial" w:hAnsi="Arial" w:cs="Arial"/>
        </w:rPr>
        <w:t>The implementation of EHRs forms part of the National Health Service (NHS) strategy to modernise healthcare delivery and improve patient outcomes. Through digital record keeping, healthcare organisations seek to reduce errors, enhance communication, and facilitate integrated care. However, despite the potential benefits, the implementation of EHRs has also generated challenges relating to workforce adaptation, technological competence, privacy concerns, and inequalities in digital access.</w:t>
      </w:r>
    </w:p>
    <w:p w:rsidR="00EF4914" w:rsidRDefault="00EF4914" w:rsidP="00002ECA">
      <w:pPr>
        <w:spacing w:line="360" w:lineRule="auto"/>
        <w:jc w:val="both"/>
        <w:rPr>
          <w:rFonts w:ascii="Arial" w:hAnsi="Arial" w:cs="Arial"/>
        </w:rPr>
      </w:pPr>
      <w:r w:rsidRPr="00002ECA">
        <w:rPr>
          <w:rFonts w:ascii="Arial" w:hAnsi="Arial" w:cs="Arial"/>
        </w:rPr>
        <w:t>This report critically evaluates the implementation of Electronic Health Records within UK health and social care. The discussion focuses on the impact of EHRs on the workforce, service delivery, patients and service users, and the wider community. Both positive and negative outcomes are explored to provide a balanced assessment of this digital transformation.</w:t>
      </w:r>
    </w:p>
    <w:p w:rsidR="00DF7CC5" w:rsidRPr="00002ECA" w:rsidRDefault="00DF7CC5" w:rsidP="00002ECA">
      <w:pPr>
        <w:spacing w:line="360" w:lineRule="auto"/>
        <w:jc w:val="both"/>
        <w:rPr>
          <w:rFonts w:ascii="Arial" w:hAnsi="Arial" w:cs="Arial"/>
        </w:rPr>
      </w:pPr>
      <w:r w:rsidRPr="00DF7CC5">
        <w:rPr>
          <w:rFonts w:ascii="Arial" w:hAnsi="Arial" w:cs="Arial"/>
        </w:rPr>
        <w:t xml:space="preserve">Recent NHS policy has placed digital transformation at the centre of healthcare reform. The </w:t>
      </w:r>
      <w:r w:rsidRPr="00DF7CC5">
        <w:rPr>
          <w:rFonts w:ascii="Arial" w:hAnsi="Arial" w:cs="Arial"/>
          <w:i/>
          <w:iCs/>
        </w:rPr>
        <w:t>What Good Looks Like Framework</w:t>
      </w:r>
      <w:r w:rsidRPr="00DF7CC5">
        <w:rPr>
          <w:rFonts w:ascii="Arial" w:hAnsi="Arial" w:cs="Arial"/>
        </w:rPr>
        <w:t xml:space="preserve"> provides guidance for NHS organisations to achieve digital maturity and improve patient outcomes through effective use of technologies such as Electronic Health Records (NHS England, 2022). Furthermore, recent research found that NHS trusts with greater digital maturity demonstrate improved operational efficiency and quality of care, highlighting the importance of successful EHR implementation (Ercole, 2026).</w:t>
      </w:r>
    </w:p>
    <w:p w:rsidR="00EF4914" w:rsidRPr="00002ECA" w:rsidRDefault="00EF4914" w:rsidP="00002ECA">
      <w:pPr>
        <w:spacing w:line="360" w:lineRule="auto"/>
        <w:jc w:val="both"/>
        <w:rPr>
          <w:rFonts w:ascii="Arial" w:hAnsi="Arial" w:cs="Arial"/>
          <w:b/>
          <w:bCs/>
        </w:rPr>
      </w:pPr>
      <w:r w:rsidRPr="00002ECA">
        <w:rPr>
          <w:rFonts w:ascii="Arial" w:hAnsi="Arial" w:cs="Arial"/>
          <w:b/>
          <w:bCs/>
        </w:rPr>
        <w:t>Overview of Electronic Health Records</w:t>
      </w:r>
    </w:p>
    <w:p w:rsidR="00EF4914" w:rsidRPr="00002ECA" w:rsidRDefault="00EF4914" w:rsidP="00002ECA">
      <w:pPr>
        <w:spacing w:line="360" w:lineRule="auto"/>
        <w:jc w:val="both"/>
        <w:rPr>
          <w:rFonts w:ascii="Arial" w:hAnsi="Arial" w:cs="Arial"/>
        </w:rPr>
      </w:pPr>
      <w:r w:rsidRPr="00002ECA">
        <w:rPr>
          <w:rFonts w:ascii="Arial" w:hAnsi="Arial" w:cs="Arial"/>
        </w:rPr>
        <w:t>Electronic Health Records are secure digital systems that store patient health information, including medical history, diagnoses, medications, treatment plans, laboratory results, and clinical notes. Unlike traditional paper-based records, EHRs enable healthcare professionals to access information in real time and share data across multiple services and organisations.</w:t>
      </w:r>
    </w:p>
    <w:p w:rsidR="00EF4914" w:rsidRPr="00002ECA" w:rsidRDefault="00EF4914" w:rsidP="00002ECA">
      <w:pPr>
        <w:spacing w:line="360" w:lineRule="auto"/>
        <w:jc w:val="both"/>
        <w:rPr>
          <w:rFonts w:ascii="Arial" w:hAnsi="Arial" w:cs="Arial"/>
        </w:rPr>
      </w:pPr>
      <w:r w:rsidRPr="00002ECA">
        <w:rPr>
          <w:rFonts w:ascii="Arial" w:hAnsi="Arial" w:cs="Arial"/>
        </w:rPr>
        <w:lastRenderedPageBreak/>
        <w:t>The NHS has invested significantly in digital transformation programmes to support the widespread implementation of EHR systems. The NHS Long Term Plan emphasises the importance of digital innovation in improving patient care, increasing efficiency, and supporting integrated healthcare services (NHS England, 2019). Over the past decade, healthcare organisations across the UK have increasingly adopted EHR systems to replace paper records and facilitate data sharing between primary care, secondary care, community services, and social care providers.</w:t>
      </w:r>
    </w:p>
    <w:p w:rsidR="00EF4914" w:rsidRPr="00002ECA" w:rsidRDefault="00EF4914" w:rsidP="00002ECA">
      <w:pPr>
        <w:spacing w:line="360" w:lineRule="auto"/>
        <w:jc w:val="both"/>
        <w:rPr>
          <w:rFonts w:ascii="Arial" w:hAnsi="Arial" w:cs="Arial"/>
        </w:rPr>
      </w:pPr>
      <w:r w:rsidRPr="00002ECA">
        <w:rPr>
          <w:rFonts w:ascii="Arial" w:hAnsi="Arial" w:cs="Arial"/>
        </w:rPr>
        <w:t>The introduction of EHRs reflects a broader movement towards integrated care. Healthcare professionals can access patient information more quickly, reducing delays and improving coordination between services. Additionally, EHRs support evidence-based practice by providing clinicians with comprehensive patient data at the point of care.</w:t>
      </w:r>
    </w:p>
    <w:p w:rsidR="00EF4914" w:rsidRPr="00002ECA" w:rsidRDefault="00EF4914" w:rsidP="00002ECA">
      <w:pPr>
        <w:spacing w:line="360" w:lineRule="auto"/>
        <w:jc w:val="both"/>
        <w:rPr>
          <w:rFonts w:ascii="Arial" w:hAnsi="Arial" w:cs="Arial"/>
        </w:rPr>
      </w:pPr>
      <w:r w:rsidRPr="00002ECA">
        <w:rPr>
          <w:rFonts w:ascii="Arial" w:hAnsi="Arial" w:cs="Arial"/>
        </w:rPr>
        <w:t>However, implementation has not been without difficulties. Significant financial investment, staff training, technological infrastructure, and organisational change management have been required to ensure successful adoption. As a result, the effectiveness of EHR systems depends largely on how they are implemented and utilised within healthcare settings.</w:t>
      </w:r>
    </w:p>
    <w:p w:rsidR="00EF4914" w:rsidRPr="00002ECA" w:rsidRDefault="00EF4914" w:rsidP="00002ECA">
      <w:pPr>
        <w:spacing w:line="360" w:lineRule="auto"/>
        <w:jc w:val="both"/>
        <w:rPr>
          <w:rFonts w:ascii="Arial" w:hAnsi="Arial" w:cs="Arial"/>
          <w:b/>
          <w:bCs/>
        </w:rPr>
      </w:pPr>
      <w:r w:rsidRPr="00002ECA">
        <w:rPr>
          <w:rFonts w:ascii="Arial" w:hAnsi="Arial" w:cs="Arial"/>
          <w:b/>
          <w:bCs/>
        </w:rPr>
        <w:t>Impact on the Workforce</w:t>
      </w:r>
    </w:p>
    <w:p w:rsidR="00EF4914" w:rsidRPr="00002ECA" w:rsidRDefault="00EF4914" w:rsidP="00002ECA">
      <w:pPr>
        <w:spacing w:line="360" w:lineRule="auto"/>
        <w:jc w:val="both"/>
        <w:rPr>
          <w:rFonts w:ascii="Arial" w:hAnsi="Arial" w:cs="Arial"/>
        </w:rPr>
      </w:pPr>
      <w:r w:rsidRPr="00002ECA">
        <w:rPr>
          <w:rFonts w:ascii="Arial" w:hAnsi="Arial" w:cs="Arial"/>
        </w:rPr>
        <w:t>The implementation of Electronic Health Records has significantly influenced the healthcare workforce. One of the primary benefits is improved access to patient information. Healthcare professionals can retrieve records quickly, allowing more informed clinical decision-making. This accessibility improves communication between multidisciplinary teams and reduces the likelihood of missing or incomplete patient information.</w:t>
      </w:r>
    </w:p>
    <w:p w:rsidR="00EF4914" w:rsidRPr="00002ECA" w:rsidRDefault="00EF4914" w:rsidP="00002ECA">
      <w:pPr>
        <w:spacing w:line="360" w:lineRule="auto"/>
        <w:jc w:val="both"/>
        <w:rPr>
          <w:rFonts w:ascii="Arial" w:hAnsi="Arial" w:cs="Arial"/>
        </w:rPr>
      </w:pPr>
      <w:r w:rsidRPr="00002ECA">
        <w:rPr>
          <w:rFonts w:ascii="Arial" w:hAnsi="Arial" w:cs="Arial"/>
        </w:rPr>
        <w:t>EHRs also reduce reliance on paper documentation, contributing to greater efficiency. Administrative tasks such as filing, retrieving records, and transferring information can be completed electronically. This allows healthcare staff to spend more time focusing on patient care rather than administrative duties. Research suggests that digital records can improve workflow efficiency and enhance coordination between professionals involved in patient care (Wachter, 2016).</w:t>
      </w:r>
    </w:p>
    <w:p w:rsidR="00EF4914" w:rsidRPr="00002ECA" w:rsidRDefault="00EF4914" w:rsidP="00002ECA">
      <w:pPr>
        <w:spacing w:line="360" w:lineRule="auto"/>
        <w:jc w:val="both"/>
        <w:rPr>
          <w:rFonts w:ascii="Arial" w:hAnsi="Arial" w:cs="Arial"/>
        </w:rPr>
      </w:pPr>
      <w:r w:rsidRPr="00002ECA">
        <w:rPr>
          <w:rFonts w:ascii="Arial" w:hAnsi="Arial" w:cs="Arial"/>
        </w:rPr>
        <w:t>Furthermore, EHRs support evidence-based practice by providing clinicians with access to accurate and up-to-date patient information. Clinical decision-support tools integrated within EHR systems can alert professionals to medication interactions, allergies, or potential risks, improving patient safety and reducing errors.</w:t>
      </w:r>
    </w:p>
    <w:p w:rsidR="00EF4914" w:rsidRDefault="00EF4914" w:rsidP="00002ECA">
      <w:pPr>
        <w:spacing w:line="360" w:lineRule="auto"/>
        <w:jc w:val="both"/>
        <w:rPr>
          <w:rFonts w:ascii="Arial" w:hAnsi="Arial" w:cs="Arial"/>
        </w:rPr>
      </w:pPr>
      <w:r w:rsidRPr="00002ECA">
        <w:rPr>
          <w:rFonts w:ascii="Arial" w:hAnsi="Arial" w:cs="Arial"/>
        </w:rPr>
        <w:t xml:space="preserve">Despite these advantages, implementation presents several challenges. Staff often require extensive training to become competent users of EHR systems. During the transition period, productivity may decrease as healthcare workers adapt to new technologies. Resistance to </w:t>
      </w:r>
      <w:r w:rsidRPr="00002ECA">
        <w:rPr>
          <w:rFonts w:ascii="Arial" w:hAnsi="Arial" w:cs="Arial"/>
        </w:rPr>
        <w:lastRenderedPageBreak/>
        <w:t>change is another common issue, particularly among professionals who are accustomed to traditional paper-based systems.</w:t>
      </w:r>
    </w:p>
    <w:p w:rsidR="00DF7CC5" w:rsidRPr="00002ECA" w:rsidRDefault="00DF7CC5" w:rsidP="00002ECA">
      <w:pPr>
        <w:spacing w:line="360" w:lineRule="auto"/>
        <w:jc w:val="both"/>
        <w:rPr>
          <w:rFonts w:ascii="Arial" w:hAnsi="Arial" w:cs="Arial"/>
        </w:rPr>
      </w:pPr>
      <w:r w:rsidRPr="00DF7CC5">
        <w:rPr>
          <w:rFonts w:ascii="Arial" w:hAnsi="Arial" w:cs="Arial"/>
        </w:rPr>
        <w:t>Although EHRs improve access to patient information, implementation can initially increase documentation time and contribute to clinician stress. Topol (2019) argues that digital technologies should support rather than replace healthcare professionals, emphasising that adequate digital training and continuous professional development are essential for successful adoption. Similarly, HFMA (2025) found that NHS organisations implementing Electronic Patient Records experienced temporary reductions in productivity during the transition period due to staff training requirements and system familiarisation. Therefore, the long-term benefits of EHRs depend on organisational investment in workforce development and change management.</w:t>
      </w:r>
    </w:p>
    <w:p w:rsidR="00EF4914" w:rsidRPr="00002ECA" w:rsidRDefault="00EF4914" w:rsidP="00002ECA">
      <w:pPr>
        <w:spacing w:line="360" w:lineRule="auto"/>
        <w:jc w:val="both"/>
        <w:rPr>
          <w:rFonts w:ascii="Arial" w:hAnsi="Arial" w:cs="Arial"/>
        </w:rPr>
      </w:pPr>
      <w:r w:rsidRPr="00002ECA">
        <w:rPr>
          <w:rFonts w:ascii="Arial" w:hAnsi="Arial" w:cs="Arial"/>
        </w:rPr>
        <w:t>Technical difficulties can also increase workplace stress. System failures, slow software performance, and usability problems may disrupt clinical workflows and contribute to staff frustration. Studies have shown that poorly designed digital systems can increase administrative burden and contribute to professional burnout (Topol, 2019).</w:t>
      </w:r>
    </w:p>
    <w:p w:rsidR="00EF4914" w:rsidRPr="00002ECA" w:rsidRDefault="00EF4914" w:rsidP="00002ECA">
      <w:pPr>
        <w:spacing w:line="360" w:lineRule="auto"/>
        <w:jc w:val="both"/>
        <w:rPr>
          <w:rFonts w:ascii="Arial" w:hAnsi="Arial" w:cs="Arial"/>
        </w:rPr>
      </w:pPr>
      <w:r w:rsidRPr="00002ECA">
        <w:rPr>
          <w:rFonts w:ascii="Arial" w:hAnsi="Arial" w:cs="Arial"/>
        </w:rPr>
        <w:t xml:space="preserve">Moreover, the workforce must continuously develop digital competencies to keep pace with technological advancements. While younger professionals may adapt more easily to digital systems, some staff members may experience difficulties due to limited technological skills. </w:t>
      </w:r>
      <w:r w:rsidR="00442B26" w:rsidRPr="00002ECA">
        <w:rPr>
          <w:rFonts w:ascii="Arial" w:hAnsi="Arial" w:cs="Arial"/>
        </w:rPr>
        <w:t>Consequently, healthcare organiz</w:t>
      </w:r>
      <w:r w:rsidRPr="00002ECA">
        <w:rPr>
          <w:rFonts w:ascii="Arial" w:hAnsi="Arial" w:cs="Arial"/>
        </w:rPr>
        <w:t>ations must invest in ongoing</w:t>
      </w:r>
      <w:r w:rsidR="00442B26" w:rsidRPr="00002ECA">
        <w:rPr>
          <w:rFonts w:ascii="Arial" w:hAnsi="Arial" w:cs="Arial"/>
        </w:rPr>
        <w:t xml:space="preserve"> training and support to maximiz</w:t>
      </w:r>
      <w:r w:rsidRPr="00002ECA">
        <w:rPr>
          <w:rFonts w:ascii="Arial" w:hAnsi="Arial" w:cs="Arial"/>
        </w:rPr>
        <w:t>e the benefits of EHR implementation.</w:t>
      </w:r>
    </w:p>
    <w:p w:rsidR="00EF4914" w:rsidRPr="00002ECA" w:rsidRDefault="00EF4914" w:rsidP="00002ECA">
      <w:pPr>
        <w:spacing w:line="360" w:lineRule="auto"/>
        <w:jc w:val="both"/>
        <w:rPr>
          <w:rFonts w:ascii="Arial" w:hAnsi="Arial" w:cs="Arial"/>
        </w:rPr>
      </w:pPr>
      <w:r w:rsidRPr="00002ECA">
        <w:rPr>
          <w:rFonts w:ascii="Arial" w:hAnsi="Arial" w:cs="Arial"/>
        </w:rPr>
        <w:t>Overall, although EHRs enhance workforce efficiency and communication, successful implementation depen</w:t>
      </w:r>
      <w:r w:rsidR="00442B26" w:rsidRPr="00002ECA">
        <w:rPr>
          <w:rFonts w:ascii="Arial" w:hAnsi="Arial" w:cs="Arial"/>
        </w:rPr>
        <w:t>ds on adequate training, organiz</w:t>
      </w:r>
      <w:r w:rsidRPr="00002ECA">
        <w:rPr>
          <w:rFonts w:ascii="Arial" w:hAnsi="Arial" w:cs="Arial"/>
        </w:rPr>
        <w:t>ational support, and system usability.</w:t>
      </w:r>
    </w:p>
    <w:p w:rsidR="00EF4914" w:rsidRPr="00002ECA" w:rsidRDefault="00EF4914" w:rsidP="00002ECA">
      <w:pPr>
        <w:spacing w:line="360" w:lineRule="auto"/>
        <w:jc w:val="both"/>
        <w:rPr>
          <w:rFonts w:ascii="Arial" w:hAnsi="Arial" w:cs="Arial"/>
          <w:b/>
          <w:bCs/>
        </w:rPr>
      </w:pPr>
      <w:r w:rsidRPr="00002ECA">
        <w:rPr>
          <w:rFonts w:ascii="Arial" w:hAnsi="Arial" w:cs="Arial"/>
          <w:b/>
          <w:bCs/>
        </w:rPr>
        <w:t>Impact on Service Delivery</w:t>
      </w:r>
    </w:p>
    <w:p w:rsidR="00EF4914" w:rsidRPr="00002ECA" w:rsidRDefault="00EF4914" w:rsidP="00002ECA">
      <w:pPr>
        <w:spacing w:line="360" w:lineRule="auto"/>
        <w:jc w:val="both"/>
        <w:rPr>
          <w:rFonts w:ascii="Arial" w:hAnsi="Arial" w:cs="Arial"/>
        </w:rPr>
      </w:pPr>
      <w:r w:rsidRPr="00002ECA">
        <w:rPr>
          <w:rFonts w:ascii="Arial" w:hAnsi="Arial" w:cs="Arial"/>
        </w:rPr>
        <w:t>Electronic Health Records have transformed service delivery across health and social care settings. One of the most significant improvements is enhanced continuity of care. Since patient information can be accessed across different services, healthcare providers are better able to coordinate treatment and make informed decisions.</w:t>
      </w:r>
    </w:p>
    <w:p w:rsidR="00EF4914" w:rsidRPr="00002ECA" w:rsidRDefault="00EF4914" w:rsidP="00002ECA">
      <w:pPr>
        <w:spacing w:line="360" w:lineRule="auto"/>
        <w:jc w:val="both"/>
        <w:rPr>
          <w:rFonts w:ascii="Arial" w:hAnsi="Arial" w:cs="Arial"/>
        </w:rPr>
      </w:pPr>
      <w:r w:rsidRPr="00002ECA">
        <w:rPr>
          <w:rFonts w:ascii="Arial" w:hAnsi="Arial" w:cs="Arial"/>
        </w:rPr>
        <w:t>For example, when patients move between general practice, hospital services, community healthcare, and social care settings, relevant information can be shared electronically. This reduces duplicatio</w:t>
      </w:r>
      <w:r w:rsidR="00442B26" w:rsidRPr="00002ECA">
        <w:rPr>
          <w:rFonts w:ascii="Arial" w:hAnsi="Arial" w:cs="Arial"/>
        </w:rPr>
        <w:t>n of assessments and minimiz</w:t>
      </w:r>
      <w:r w:rsidRPr="00002ECA">
        <w:rPr>
          <w:rFonts w:ascii="Arial" w:hAnsi="Arial" w:cs="Arial"/>
        </w:rPr>
        <w:t>es the risk of fragmented care. Improved information sharing contributes to safer and more efficient service delivery.</w:t>
      </w:r>
    </w:p>
    <w:p w:rsidR="00EF4914" w:rsidRPr="00002ECA" w:rsidRDefault="00EF4914" w:rsidP="00002ECA">
      <w:pPr>
        <w:spacing w:line="360" w:lineRule="auto"/>
        <w:jc w:val="both"/>
        <w:rPr>
          <w:rFonts w:ascii="Arial" w:hAnsi="Arial" w:cs="Arial"/>
        </w:rPr>
      </w:pPr>
      <w:r w:rsidRPr="00002ECA">
        <w:rPr>
          <w:rFonts w:ascii="Arial" w:hAnsi="Arial" w:cs="Arial"/>
        </w:rPr>
        <w:t xml:space="preserve">EHRs have also reduced delays associated with paper-based systems. Test results, referrals, and clinical documentation can be transmitted instantly, supporting faster diagnosis and </w:t>
      </w:r>
      <w:r w:rsidRPr="00002ECA">
        <w:rPr>
          <w:rFonts w:ascii="Arial" w:hAnsi="Arial" w:cs="Arial"/>
        </w:rPr>
        <w:lastRenderedPageBreak/>
        <w:t>treatment. This efficiency can improve patient outcomes and increase healthcare system productivity.</w:t>
      </w:r>
    </w:p>
    <w:p w:rsidR="00EF4914" w:rsidRPr="00002ECA" w:rsidRDefault="00EF4914" w:rsidP="00002ECA">
      <w:pPr>
        <w:spacing w:line="360" w:lineRule="auto"/>
        <w:jc w:val="both"/>
        <w:rPr>
          <w:rFonts w:ascii="Arial" w:hAnsi="Arial" w:cs="Arial"/>
        </w:rPr>
      </w:pPr>
      <w:r w:rsidRPr="00002ECA">
        <w:rPr>
          <w:rFonts w:ascii="Arial" w:hAnsi="Arial" w:cs="Arial"/>
        </w:rPr>
        <w:t>Another important advantage is improved patient safety. Digital records reduce the risk of illegible handwriting, misplaced documents, and transcription errors. Clinical alerts embedded within EHR systems help identify potential medication errors and other risks, supporting safer care delivery.</w:t>
      </w:r>
    </w:p>
    <w:p w:rsidR="00EF4914" w:rsidRPr="00002ECA" w:rsidRDefault="00EF4914" w:rsidP="00002ECA">
      <w:pPr>
        <w:spacing w:line="360" w:lineRule="auto"/>
        <w:jc w:val="both"/>
        <w:rPr>
          <w:rFonts w:ascii="Arial" w:hAnsi="Arial" w:cs="Arial"/>
        </w:rPr>
      </w:pPr>
      <w:r w:rsidRPr="00002ECA">
        <w:rPr>
          <w:rFonts w:ascii="Arial" w:hAnsi="Arial" w:cs="Arial"/>
        </w:rPr>
        <w:t>However, service delivery can be negatively affected when technological systems fail. System outages, software errors, and cybersecurity incidents may disrupt healthcare operations and limit access to essential patient information. During such incidents, healthcare professionals may struggle to deliver services effectively.</w:t>
      </w:r>
    </w:p>
    <w:p w:rsidR="00EF4914" w:rsidRPr="00002ECA" w:rsidRDefault="00EF4914" w:rsidP="00002ECA">
      <w:pPr>
        <w:spacing w:line="360" w:lineRule="auto"/>
        <w:jc w:val="both"/>
        <w:rPr>
          <w:rFonts w:ascii="Arial" w:hAnsi="Arial" w:cs="Arial"/>
        </w:rPr>
      </w:pPr>
      <w:r w:rsidRPr="00002ECA">
        <w:rPr>
          <w:rFonts w:ascii="Arial" w:hAnsi="Arial" w:cs="Arial"/>
        </w:rPr>
        <w:t>Financial considerations also represent a significant challenge. The implementation and maintenance of EHR systems require substantial investment in hardware, software, training, and technical sup</w:t>
      </w:r>
      <w:r w:rsidR="00442B26" w:rsidRPr="00002ECA">
        <w:rPr>
          <w:rFonts w:ascii="Arial" w:hAnsi="Arial" w:cs="Arial"/>
        </w:rPr>
        <w:t>port. Smaller healthcare organiz</w:t>
      </w:r>
      <w:r w:rsidRPr="00002ECA">
        <w:rPr>
          <w:rFonts w:ascii="Arial" w:hAnsi="Arial" w:cs="Arial"/>
        </w:rPr>
        <w:t>ations may face difficulties securing the resources necessary for successful implementation.</w:t>
      </w:r>
    </w:p>
    <w:p w:rsidR="00EF4914" w:rsidRDefault="00442B26" w:rsidP="00002ECA">
      <w:pPr>
        <w:spacing w:line="360" w:lineRule="auto"/>
        <w:jc w:val="both"/>
        <w:rPr>
          <w:rFonts w:ascii="Arial" w:hAnsi="Arial" w:cs="Arial"/>
        </w:rPr>
      </w:pPr>
      <w:r w:rsidRPr="00002ECA">
        <w:rPr>
          <w:rFonts w:ascii="Arial" w:hAnsi="Arial" w:cs="Arial"/>
        </w:rPr>
        <w:t>Additionally, healthcare organiz</w:t>
      </w:r>
      <w:r w:rsidR="00EF4914" w:rsidRPr="00002ECA">
        <w:rPr>
          <w:rFonts w:ascii="Arial" w:hAnsi="Arial" w:cs="Arial"/>
        </w:rPr>
        <w:t>ations may experience temporary declines in efficiency during implementation. Learning new systems often requires time and adjustment, potentially affecting productivity in the short term. Some healthcare professionals report that EHR documentation can be time-consuming, reducing direct patient interaction.</w:t>
      </w:r>
    </w:p>
    <w:p w:rsidR="00EF4914" w:rsidRDefault="00EF4914" w:rsidP="00002ECA">
      <w:pPr>
        <w:spacing w:line="360" w:lineRule="auto"/>
        <w:jc w:val="both"/>
        <w:rPr>
          <w:rFonts w:ascii="Arial" w:hAnsi="Arial" w:cs="Arial"/>
        </w:rPr>
      </w:pPr>
      <w:r w:rsidRPr="00002ECA">
        <w:rPr>
          <w:rFonts w:ascii="Arial" w:hAnsi="Arial" w:cs="Arial"/>
        </w:rPr>
        <w:t>From a critical perspective, while EHRs improve coordination, safety, and efficiency, these b</w:t>
      </w:r>
      <w:r w:rsidR="00442B26" w:rsidRPr="00002ECA">
        <w:rPr>
          <w:rFonts w:ascii="Arial" w:hAnsi="Arial" w:cs="Arial"/>
        </w:rPr>
        <w:t>enefits can only be fully realiz</w:t>
      </w:r>
      <w:r w:rsidRPr="00002ECA">
        <w:rPr>
          <w:rFonts w:ascii="Arial" w:hAnsi="Arial" w:cs="Arial"/>
        </w:rPr>
        <w:t>ed when systems are reliable, user-friendly, and</w:t>
      </w:r>
      <w:r w:rsidR="00442B26" w:rsidRPr="00002ECA">
        <w:rPr>
          <w:rFonts w:ascii="Arial" w:hAnsi="Arial" w:cs="Arial"/>
        </w:rPr>
        <w:t xml:space="preserve"> adequately supported by organiz</w:t>
      </w:r>
      <w:r w:rsidRPr="00002ECA">
        <w:rPr>
          <w:rFonts w:ascii="Arial" w:hAnsi="Arial" w:cs="Arial"/>
        </w:rPr>
        <w:t>ational infrastructure.</w:t>
      </w:r>
    </w:p>
    <w:p w:rsidR="00DF7CC5" w:rsidRPr="00DF7CC5" w:rsidRDefault="00DF7CC5" w:rsidP="00DF7CC5">
      <w:pPr>
        <w:spacing w:line="360" w:lineRule="auto"/>
        <w:jc w:val="both"/>
        <w:rPr>
          <w:rFonts w:ascii="Arial" w:hAnsi="Arial" w:cs="Arial"/>
          <w:b/>
          <w:bCs/>
        </w:rPr>
      </w:pPr>
      <w:r w:rsidRPr="00DF7CC5">
        <w:rPr>
          <w:rFonts w:ascii="Arial" w:hAnsi="Arial" w:cs="Arial"/>
          <w:b/>
          <w:bCs/>
        </w:rPr>
        <w:t>UK Case Study: King's College Hospital NHS Foundation Trust</w:t>
      </w:r>
    </w:p>
    <w:p w:rsidR="00DF7CC5" w:rsidRPr="00DF7CC5" w:rsidRDefault="00DF7CC5" w:rsidP="00DF7CC5">
      <w:pPr>
        <w:spacing w:line="360" w:lineRule="auto"/>
        <w:jc w:val="both"/>
        <w:rPr>
          <w:rFonts w:ascii="Arial" w:hAnsi="Arial" w:cs="Arial"/>
        </w:rPr>
      </w:pPr>
      <w:r w:rsidRPr="00DF7CC5">
        <w:rPr>
          <w:rFonts w:ascii="Arial" w:hAnsi="Arial" w:cs="Arial"/>
        </w:rPr>
        <w:t>A practical example of successful EHR implementation can be seen at King's College Hospital NHS Foundation Trust. In 2023, the Trust introduced the Epic Electronic Health Record system, replacing multiple legacy systems with one integrated digital platform. This enabled clinicians to access comprehensive patient information from a single system, improving communication, reducing duplication of records, and supporting faster clinical decision-making (King's College Hospital NHS Foundation Trust, 2024). The implementation also introduced the MyChart patient portal, allowing patients to access appointments, test results, and clinical information online. However, the project required significant financial investment, staff training, and organisational change before these benefits were realised, demonstrating that successful digital transformation depends on both technological and human factors.</w:t>
      </w:r>
    </w:p>
    <w:p w:rsidR="00DF7CC5" w:rsidRDefault="00DF7CC5" w:rsidP="00002ECA">
      <w:pPr>
        <w:spacing w:line="360" w:lineRule="auto"/>
        <w:jc w:val="both"/>
        <w:rPr>
          <w:rFonts w:ascii="Arial" w:hAnsi="Arial" w:cs="Arial"/>
        </w:rPr>
      </w:pPr>
    </w:p>
    <w:p w:rsidR="00EF4914" w:rsidRPr="00002ECA" w:rsidRDefault="00EF4914" w:rsidP="00002ECA">
      <w:pPr>
        <w:spacing w:line="360" w:lineRule="auto"/>
        <w:jc w:val="both"/>
        <w:rPr>
          <w:rFonts w:ascii="Arial" w:hAnsi="Arial" w:cs="Arial"/>
          <w:b/>
          <w:bCs/>
        </w:rPr>
      </w:pPr>
      <w:r w:rsidRPr="00002ECA">
        <w:rPr>
          <w:rFonts w:ascii="Arial" w:hAnsi="Arial" w:cs="Arial"/>
          <w:b/>
          <w:bCs/>
        </w:rPr>
        <w:lastRenderedPageBreak/>
        <w:t>Impact on Patients and Service Users</w:t>
      </w:r>
    </w:p>
    <w:p w:rsidR="00EF4914" w:rsidRPr="00002ECA" w:rsidRDefault="00EF4914" w:rsidP="00002ECA">
      <w:pPr>
        <w:spacing w:line="360" w:lineRule="auto"/>
        <w:jc w:val="both"/>
        <w:rPr>
          <w:rFonts w:ascii="Arial" w:hAnsi="Arial" w:cs="Arial"/>
        </w:rPr>
      </w:pPr>
      <w:r w:rsidRPr="00002ECA">
        <w:rPr>
          <w:rFonts w:ascii="Arial" w:hAnsi="Arial" w:cs="Arial"/>
        </w:rPr>
        <w:t>Electronic Health Records have significantly influenced patient experiences within health and social care. One major benefit is improved quality and safety of care. Access to comprehensive patient information enables healthcare professionals to make more accurate clinical decisions and reduce medical errors.</w:t>
      </w:r>
    </w:p>
    <w:p w:rsidR="00EF4914" w:rsidRPr="00002ECA" w:rsidRDefault="00EF4914" w:rsidP="00002ECA">
      <w:pPr>
        <w:spacing w:line="360" w:lineRule="auto"/>
        <w:jc w:val="both"/>
        <w:rPr>
          <w:rFonts w:ascii="Arial" w:hAnsi="Arial" w:cs="Arial"/>
        </w:rPr>
      </w:pPr>
      <w:r w:rsidRPr="00002ECA">
        <w:rPr>
          <w:rFonts w:ascii="Arial" w:hAnsi="Arial" w:cs="Arial"/>
        </w:rPr>
        <w:t>Patients often benefit from enhanced communication between healthcare providers. When professionals share information electronically, patients are less likely to repeat their medical history multiple times. This contributes to a more seamless and coordinated care experience.</w:t>
      </w:r>
    </w:p>
    <w:p w:rsidR="00EF4914" w:rsidRPr="00002ECA" w:rsidRDefault="00EF4914" w:rsidP="00002ECA">
      <w:pPr>
        <w:spacing w:line="360" w:lineRule="auto"/>
        <w:jc w:val="both"/>
        <w:rPr>
          <w:rFonts w:ascii="Arial" w:hAnsi="Arial" w:cs="Arial"/>
        </w:rPr>
      </w:pPr>
      <w:r w:rsidRPr="00002ECA">
        <w:rPr>
          <w:rFonts w:ascii="Arial" w:hAnsi="Arial" w:cs="Arial"/>
        </w:rPr>
        <w:t>EHRs also support patient empo</w:t>
      </w:r>
      <w:r w:rsidR="00442B26" w:rsidRPr="00002ECA">
        <w:rPr>
          <w:rFonts w:ascii="Arial" w:hAnsi="Arial" w:cs="Arial"/>
        </w:rPr>
        <w:t>werment. Many healthcare organiz</w:t>
      </w:r>
      <w:r w:rsidRPr="00002ECA">
        <w:rPr>
          <w:rFonts w:ascii="Arial" w:hAnsi="Arial" w:cs="Arial"/>
        </w:rPr>
        <w:t>ations provide online portals that allow patients to access their health information, view test results, book appointments, and communicate with healthcare providers. This increased access encourages patients to become active participants in managing their health.</w:t>
      </w:r>
    </w:p>
    <w:p w:rsidR="00EF4914" w:rsidRPr="00002ECA" w:rsidRDefault="00EF4914" w:rsidP="00002ECA">
      <w:pPr>
        <w:spacing w:line="360" w:lineRule="auto"/>
        <w:jc w:val="both"/>
        <w:rPr>
          <w:rFonts w:ascii="Arial" w:hAnsi="Arial" w:cs="Arial"/>
        </w:rPr>
      </w:pPr>
      <w:r w:rsidRPr="00002ECA">
        <w:rPr>
          <w:rFonts w:ascii="Arial" w:hAnsi="Arial" w:cs="Arial"/>
        </w:rPr>
        <w:t>Furthermore, digital records can improve healthcare accessibility. Patients may receive quicker referrals, faster diagnoses, and more efficient treatment pathways. Such improvements can enhance satisfaction and trust in healthcare services.</w:t>
      </w:r>
    </w:p>
    <w:p w:rsidR="00EF4914" w:rsidRPr="00002ECA" w:rsidRDefault="00EF4914" w:rsidP="00002ECA">
      <w:pPr>
        <w:spacing w:line="360" w:lineRule="auto"/>
        <w:jc w:val="both"/>
        <w:rPr>
          <w:rFonts w:ascii="Arial" w:hAnsi="Arial" w:cs="Arial"/>
        </w:rPr>
      </w:pPr>
      <w:r w:rsidRPr="00002ECA">
        <w:rPr>
          <w:rFonts w:ascii="Arial" w:hAnsi="Arial" w:cs="Arial"/>
        </w:rPr>
        <w:t>Despite these benefits, concerns regarding confidentiality and privacy remain significant. Patients may worry about who can access their personal health information and whether their data is adequately protected. High-profile cybersecurity incidents within healthcare systems have increased public awareness of potential risks associated with digital record keeping.</w:t>
      </w:r>
    </w:p>
    <w:p w:rsidR="00EF4914" w:rsidRPr="00002ECA" w:rsidRDefault="00EF4914" w:rsidP="00002ECA">
      <w:pPr>
        <w:spacing w:line="360" w:lineRule="auto"/>
        <w:jc w:val="both"/>
        <w:rPr>
          <w:rFonts w:ascii="Arial" w:hAnsi="Arial" w:cs="Arial"/>
        </w:rPr>
      </w:pPr>
      <w:r w:rsidRPr="00002ECA">
        <w:rPr>
          <w:rFonts w:ascii="Arial" w:hAnsi="Arial" w:cs="Arial"/>
        </w:rPr>
        <w:t>Another challenge relates to digital exclusion. Not all patients possess the technological skills, internet access, or digital literacy required to benefit fully from digital healthcare services. Older adults, individuals with disabilities, and socially disadvantaged populations may face barriers when interacting with digital systems.</w:t>
      </w:r>
    </w:p>
    <w:p w:rsidR="00EF4914" w:rsidRPr="00002ECA" w:rsidRDefault="00EF4914" w:rsidP="00002ECA">
      <w:pPr>
        <w:spacing w:line="360" w:lineRule="auto"/>
        <w:jc w:val="both"/>
        <w:rPr>
          <w:rFonts w:ascii="Arial" w:hAnsi="Arial" w:cs="Arial"/>
        </w:rPr>
      </w:pPr>
      <w:r w:rsidRPr="00002ECA">
        <w:rPr>
          <w:rFonts w:ascii="Arial" w:hAnsi="Arial" w:cs="Arial"/>
        </w:rPr>
        <w:t>Some patients also express concerns regarding reduced face-to-face interaction with healthcare professionals. Increased reliance on technology may create perceptions that healthcare has become less personal. This could negatively affect patient satisfaction and therapeutic relationships.</w:t>
      </w:r>
    </w:p>
    <w:p w:rsidR="00EF4914" w:rsidRPr="00002ECA" w:rsidRDefault="00EF4914" w:rsidP="00002ECA">
      <w:pPr>
        <w:spacing w:line="360" w:lineRule="auto"/>
        <w:jc w:val="both"/>
        <w:rPr>
          <w:rFonts w:ascii="Arial" w:hAnsi="Arial" w:cs="Arial"/>
        </w:rPr>
      </w:pPr>
      <w:r w:rsidRPr="00002ECA">
        <w:rPr>
          <w:rFonts w:ascii="Arial" w:hAnsi="Arial" w:cs="Arial"/>
        </w:rPr>
        <w:t>Therefore, while EHRs offer considerable advantages for patient safety, engagement, and a</w:t>
      </w:r>
      <w:r w:rsidR="00442B26" w:rsidRPr="00002ECA">
        <w:rPr>
          <w:rFonts w:ascii="Arial" w:hAnsi="Arial" w:cs="Arial"/>
        </w:rPr>
        <w:t>ccessibility, healthcare organiz</w:t>
      </w:r>
      <w:r w:rsidRPr="00002ECA">
        <w:rPr>
          <w:rFonts w:ascii="Arial" w:hAnsi="Arial" w:cs="Arial"/>
        </w:rPr>
        <w:t>ations must address privacy concerns and digital inequalities to ensure equitable access to benefits.</w:t>
      </w:r>
    </w:p>
    <w:p w:rsidR="00DF7CC5" w:rsidRDefault="00DF7CC5" w:rsidP="00002ECA">
      <w:pPr>
        <w:spacing w:line="360" w:lineRule="auto"/>
        <w:jc w:val="both"/>
        <w:rPr>
          <w:rFonts w:ascii="Arial" w:hAnsi="Arial" w:cs="Arial"/>
          <w:b/>
          <w:bCs/>
        </w:rPr>
      </w:pPr>
    </w:p>
    <w:p w:rsidR="00DF7CC5" w:rsidRDefault="00DF7CC5" w:rsidP="00002ECA">
      <w:pPr>
        <w:spacing w:line="360" w:lineRule="auto"/>
        <w:jc w:val="both"/>
        <w:rPr>
          <w:rFonts w:ascii="Arial" w:hAnsi="Arial" w:cs="Arial"/>
          <w:b/>
          <w:bCs/>
        </w:rPr>
      </w:pPr>
    </w:p>
    <w:p w:rsidR="00EF4914" w:rsidRPr="00002ECA" w:rsidRDefault="00EF4914" w:rsidP="00002ECA">
      <w:pPr>
        <w:spacing w:line="360" w:lineRule="auto"/>
        <w:jc w:val="both"/>
        <w:rPr>
          <w:rFonts w:ascii="Arial" w:hAnsi="Arial" w:cs="Arial"/>
          <w:b/>
          <w:bCs/>
        </w:rPr>
      </w:pPr>
      <w:r w:rsidRPr="00002ECA">
        <w:rPr>
          <w:rFonts w:ascii="Arial" w:hAnsi="Arial" w:cs="Arial"/>
          <w:b/>
          <w:bCs/>
        </w:rPr>
        <w:lastRenderedPageBreak/>
        <w:t>Impact on the Community</w:t>
      </w:r>
    </w:p>
    <w:p w:rsidR="00EF4914" w:rsidRPr="00002ECA" w:rsidRDefault="00EF4914" w:rsidP="00002ECA">
      <w:pPr>
        <w:spacing w:line="360" w:lineRule="auto"/>
        <w:jc w:val="both"/>
        <w:rPr>
          <w:rFonts w:ascii="Arial" w:hAnsi="Arial" w:cs="Arial"/>
        </w:rPr>
      </w:pPr>
      <w:r w:rsidRPr="00002ECA">
        <w:rPr>
          <w:rFonts w:ascii="Arial" w:hAnsi="Arial" w:cs="Arial"/>
        </w:rPr>
        <w:t>The implementation of Electronic Health Records has broader implications for communities and public health. One significant benefit is t</w:t>
      </w:r>
      <w:r w:rsidR="00442B26" w:rsidRPr="00002ECA">
        <w:rPr>
          <w:rFonts w:ascii="Arial" w:hAnsi="Arial" w:cs="Arial"/>
        </w:rPr>
        <w:t>he ability to collect and analyz</w:t>
      </w:r>
      <w:r w:rsidRPr="00002ECA">
        <w:rPr>
          <w:rFonts w:ascii="Arial" w:hAnsi="Arial" w:cs="Arial"/>
        </w:rPr>
        <w:t>e large volumes of healthcare data. Such information can support public health planning, disease surveillance, and population health management.</w:t>
      </w:r>
    </w:p>
    <w:p w:rsidR="00EF4914" w:rsidRPr="00002ECA" w:rsidRDefault="00442B26" w:rsidP="00002ECA">
      <w:pPr>
        <w:spacing w:line="360" w:lineRule="auto"/>
        <w:jc w:val="both"/>
        <w:rPr>
          <w:rFonts w:ascii="Arial" w:hAnsi="Arial" w:cs="Arial"/>
        </w:rPr>
      </w:pPr>
      <w:r w:rsidRPr="00002ECA">
        <w:rPr>
          <w:rFonts w:ascii="Arial" w:hAnsi="Arial" w:cs="Arial"/>
        </w:rPr>
        <w:t>Healthcare organiz</w:t>
      </w:r>
      <w:r w:rsidR="00EF4914" w:rsidRPr="00002ECA">
        <w:rPr>
          <w:rFonts w:ascii="Arial" w:hAnsi="Arial" w:cs="Arial"/>
        </w:rPr>
        <w:t>ations can use EHR data to identify health trends, monitor disease outbreaks, and evaluate service effectiveness. This information supports evidence-based decision-making and contributes to improved community health outcomes.</w:t>
      </w:r>
    </w:p>
    <w:p w:rsidR="00EF4914" w:rsidRPr="00002ECA" w:rsidRDefault="00EF4914" w:rsidP="00002ECA">
      <w:pPr>
        <w:spacing w:line="360" w:lineRule="auto"/>
        <w:jc w:val="both"/>
        <w:rPr>
          <w:rFonts w:ascii="Arial" w:hAnsi="Arial" w:cs="Arial"/>
        </w:rPr>
      </w:pPr>
      <w:r w:rsidRPr="00002ECA">
        <w:rPr>
          <w:rFonts w:ascii="Arial" w:hAnsi="Arial" w:cs="Arial"/>
        </w:rPr>
        <w:t>EHRs also facilitate integrated care by enabling collaboration between healthcare providers, social care professionals, patients, and family members. Improved communication supports coordinated care planning and can enhance outcomes for individuals with complex health and social care needs.</w:t>
      </w:r>
    </w:p>
    <w:p w:rsidR="00EF4914" w:rsidRPr="00002ECA" w:rsidRDefault="00442B26" w:rsidP="00002ECA">
      <w:pPr>
        <w:spacing w:line="360" w:lineRule="auto"/>
        <w:jc w:val="both"/>
        <w:rPr>
          <w:rFonts w:ascii="Arial" w:hAnsi="Arial" w:cs="Arial"/>
        </w:rPr>
      </w:pPr>
      <w:r w:rsidRPr="00002ECA">
        <w:rPr>
          <w:rFonts w:ascii="Arial" w:hAnsi="Arial" w:cs="Arial"/>
        </w:rPr>
        <w:t>Families and carers</w:t>
      </w:r>
      <w:r w:rsidR="00EF4914" w:rsidRPr="00002ECA">
        <w:rPr>
          <w:rFonts w:ascii="Arial" w:hAnsi="Arial" w:cs="Arial"/>
        </w:rPr>
        <w:t xml:space="preserve"> may also benefit from better access to information and improved involvement in care processes. This collaborative approach aligns with principles of person-centred care and co-production, where service users and communities actively participate in healthcare decision-making.</w:t>
      </w:r>
    </w:p>
    <w:p w:rsidR="00EF4914" w:rsidRPr="00002ECA" w:rsidRDefault="00EF4914" w:rsidP="00002ECA">
      <w:pPr>
        <w:spacing w:line="360" w:lineRule="auto"/>
        <w:jc w:val="both"/>
        <w:rPr>
          <w:rFonts w:ascii="Arial" w:hAnsi="Arial" w:cs="Arial"/>
        </w:rPr>
      </w:pPr>
      <w:r w:rsidRPr="00002ECA">
        <w:rPr>
          <w:rFonts w:ascii="Arial" w:hAnsi="Arial" w:cs="Arial"/>
        </w:rPr>
        <w:t>However, digital transformation may also contribute to health inequalities. Communities with limited access to technology, poor internet connectivity, or lower levels of digital literacy may experience reduced access to digital healthcare services. This digital divide can disproportionately affect vulnerable populations, including older adults and individuals living in deprived areas.</w:t>
      </w:r>
    </w:p>
    <w:p w:rsidR="00EF4914" w:rsidRPr="00002ECA" w:rsidRDefault="00EF4914" w:rsidP="00002ECA">
      <w:pPr>
        <w:spacing w:line="360" w:lineRule="auto"/>
        <w:jc w:val="both"/>
        <w:rPr>
          <w:rFonts w:ascii="Arial" w:hAnsi="Arial" w:cs="Arial"/>
        </w:rPr>
      </w:pPr>
      <w:r w:rsidRPr="00002ECA">
        <w:rPr>
          <w:rFonts w:ascii="Arial" w:hAnsi="Arial" w:cs="Arial"/>
        </w:rPr>
        <w:t>Data privacy concerns may further influence public trust. Communities may be reluctant to support data-sharing initiatives if they perceive risks to confidentiality or misuse of personal information. Maintaining transparency and robust governance frameworks is therefore essential.</w:t>
      </w:r>
    </w:p>
    <w:p w:rsidR="0078024E" w:rsidRPr="00002ECA" w:rsidRDefault="00EF4914" w:rsidP="00002ECA">
      <w:pPr>
        <w:spacing w:line="360" w:lineRule="auto"/>
        <w:jc w:val="both"/>
        <w:rPr>
          <w:rFonts w:ascii="Arial" w:hAnsi="Arial" w:cs="Arial"/>
        </w:rPr>
      </w:pPr>
      <w:r w:rsidRPr="00002ECA">
        <w:rPr>
          <w:rFonts w:ascii="Arial" w:hAnsi="Arial" w:cs="Arial"/>
        </w:rPr>
        <w:t>Critically, while EHRs have the potential to improve community health outcomes and strengthen integrated care, efforts must be made to ensure that digital transformation does not exacerbate existing inequalities.</w:t>
      </w:r>
    </w:p>
    <w:p w:rsidR="00EF4914" w:rsidRPr="00002ECA" w:rsidRDefault="00EF4914" w:rsidP="00002ECA">
      <w:pPr>
        <w:spacing w:line="360" w:lineRule="auto"/>
        <w:jc w:val="both"/>
        <w:rPr>
          <w:rFonts w:ascii="Arial" w:hAnsi="Arial" w:cs="Arial"/>
          <w:b/>
          <w:bCs/>
        </w:rPr>
      </w:pPr>
      <w:r w:rsidRPr="00002ECA">
        <w:rPr>
          <w:rFonts w:ascii="Arial" w:hAnsi="Arial" w:cs="Arial"/>
          <w:b/>
          <w:bCs/>
        </w:rPr>
        <w:t>Conclusion</w:t>
      </w:r>
    </w:p>
    <w:p w:rsidR="00DF7CC5" w:rsidRPr="00DF7CC5" w:rsidRDefault="00DF7CC5" w:rsidP="00DF7CC5">
      <w:pPr>
        <w:spacing w:line="360" w:lineRule="auto"/>
        <w:jc w:val="both"/>
        <w:rPr>
          <w:rFonts w:ascii="Arial" w:hAnsi="Arial" w:cs="Arial"/>
        </w:rPr>
      </w:pPr>
      <w:r w:rsidRPr="00DF7CC5">
        <w:rPr>
          <w:rFonts w:ascii="Arial" w:hAnsi="Arial" w:cs="Arial"/>
        </w:rPr>
        <w:t>Electronic Health Records represent one of the most influential digital innovations implemented within UK health and social care during the past decade. Their adoption has transformed healthcare delivery by improving access to information, enhancing communication, supporting patient safety, and facilitating integrated care.</w:t>
      </w:r>
    </w:p>
    <w:p w:rsidR="00DF7CC5" w:rsidRPr="00DF7CC5" w:rsidRDefault="00DF7CC5" w:rsidP="00DF7CC5">
      <w:pPr>
        <w:spacing w:line="360" w:lineRule="auto"/>
        <w:jc w:val="both"/>
        <w:rPr>
          <w:rFonts w:ascii="Arial" w:hAnsi="Arial" w:cs="Arial"/>
        </w:rPr>
      </w:pPr>
      <w:r w:rsidRPr="00DF7CC5">
        <w:rPr>
          <w:rFonts w:ascii="Arial" w:hAnsi="Arial" w:cs="Arial"/>
        </w:rPr>
        <w:lastRenderedPageBreak/>
        <w:t>The implementation of EHRs has generated significant benefits for healthcare professionals through improved efficiency, reduced administrative burden, and enhanced clinical decision-making. Service delivery has become more coordinated and responsive, while patients have gained greater access to information and opportunities for involvement in their care. At the community level, EHRs support public health planning, collaborative care, and evidence-based decision-making.</w:t>
      </w:r>
    </w:p>
    <w:p w:rsidR="00DF7CC5" w:rsidRPr="00DF7CC5" w:rsidRDefault="00DF7CC5" w:rsidP="00DF7CC5">
      <w:pPr>
        <w:spacing w:line="360" w:lineRule="auto"/>
        <w:jc w:val="both"/>
        <w:rPr>
          <w:rFonts w:ascii="Arial" w:hAnsi="Arial" w:cs="Arial"/>
        </w:rPr>
      </w:pPr>
      <w:r w:rsidRPr="00DF7CC5">
        <w:rPr>
          <w:rFonts w:ascii="Arial" w:hAnsi="Arial" w:cs="Arial"/>
        </w:rPr>
        <w:t>Nevertheless, challenges remain. Workforce training requirements, technological failures, cybersecurity risks, privacy concerns, and digital exclusion continue to affect implementation outcomes. The success of EHR systems depends not only on technological capability but also on organizational readiness, user engagement, and equitable access.</w:t>
      </w:r>
    </w:p>
    <w:p w:rsidR="00EF4914" w:rsidRPr="00002ECA" w:rsidRDefault="00DF7CC5" w:rsidP="00DF7CC5">
      <w:pPr>
        <w:spacing w:line="360" w:lineRule="auto"/>
        <w:jc w:val="both"/>
        <w:rPr>
          <w:rFonts w:ascii="Arial" w:hAnsi="Arial" w:cs="Arial"/>
        </w:rPr>
      </w:pPr>
      <w:r w:rsidRPr="00DF7CC5">
        <w:rPr>
          <w:rFonts w:ascii="Arial" w:hAnsi="Arial" w:cs="Arial"/>
        </w:rPr>
        <w:t>Overall, the benefits of Electronic Health Records outweigh the disadvantages when implementation is carefully managed. Continued investment in training, infrastructure, cybersecurity, and digital inclusion initiatives will be essential to maximize the potential of EHRs and ensure that digital transformation contributes positively to health and social care outcomes across the UK.</w:t>
      </w:r>
    </w:p>
    <w:p w:rsidR="00EF4914" w:rsidRPr="00002ECA" w:rsidRDefault="00EF4914" w:rsidP="00002ECA">
      <w:pPr>
        <w:spacing w:line="360" w:lineRule="auto"/>
        <w:jc w:val="both"/>
        <w:rPr>
          <w:rFonts w:ascii="Arial" w:hAnsi="Arial" w:cs="Arial"/>
          <w:b/>
          <w:bCs/>
        </w:rPr>
      </w:pPr>
      <w:r w:rsidRPr="00002ECA">
        <w:rPr>
          <w:rFonts w:ascii="Arial" w:hAnsi="Arial" w:cs="Arial"/>
          <w:b/>
          <w:bCs/>
        </w:rPr>
        <w:t>Reference List</w:t>
      </w:r>
      <w:r w:rsidRPr="00002ECA">
        <w:rPr>
          <w:rFonts w:ascii="Arial" w:hAnsi="Arial" w:cs="Arial"/>
        </w:rPr>
        <w:t>.</w:t>
      </w:r>
    </w:p>
    <w:p w:rsidR="00002ECA" w:rsidRPr="00002ECA" w:rsidRDefault="00002ECA" w:rsidP="00002ECA">
      <w:pPr>
        <w:spacing w:line="360" w:lineRule="auto"/>
        <w:jc w:val="both"/>
        <w:rPr>
          <w:rFonts w:ascii="Arial" w:hAnsi="Arial" w:cs="Arial"/>
        </w:rPr>
      </w:pPr>
      <w:r w:rsidRPr="00002ECA">
        <w:rPr>
          <w:rFonts w:ascii="Arial" w:hAnsi="Arial" w:cs="Arial"/>
        </w:rPr>
        <w:t xml:space="preserve">Bevan, A. (2018). </w:t>
      </w:r>
      <w:r w:rsidRPr="00002ECA">
        <w:rPr>
          <w:rFonts w:ascii="Arial" w:hAnsi="Arial" w:cs="Arial"/>
          <w:i/>
          <w:iCs/>
        </w:rPr>
        <w:t>In Place of Fear</w:t>
      </w:r>
      <w:r w:rsidRPr="00002ECA">
        <w:rPr>
          <w:rFonts w:ascii="Arial" w:hAnsi="Arial" w:cs="Arial"/>
        </w:rPr>
        <w:t>. Read Books Ltd.</w:t>
      </w:r>
    </w:p>
    <w:p w:rsidR="00002ECA" w:rsidRPr="00002ECA" w:rsidRDefault="00002ECA" w:rsidP="00002ECA">
      <w:pPr>
        <w:spacing w:line="360" w:lineRule="auto"/>
        <w:jc w:val="both"/>
        <w:rPr>
          <w:rFonts w:ascii="Arial" w:hAnsi="Arial" w:cs="Arial"/>
        </w:rPr>
      </w:pPr>
      <w:r w:rsidRPr="00002ECA">
        <w:rPr>
          <w:rFonts w:ascii="Arial" w:hAnsi="Arial" w:cs="Arial"/>
        </w:rPr>
        <w:t xml:space="preserve">Ewan Ferlie, Montgomery, K., &amp; Anne Reff Pedersen. (2016). </w:t>
      </w:r>
      <w:r w:rsidRPr="00002ECA">
        <w:rPr>
          <w:rFonts w:ascii="Arial" w:hAnsi="Arial" w:cs="Arial"/>
          <w:i/>
          <w:iCs/>
        </w:rPr>
        <w:t>The Oxford Handbook of Health Care Management</w:t>
      </w:r>
      <w:r w:rsidRPr="00002ECA">
        <w:rPr>
          <w:rFonts w:ascii="Arial" w:hAnsi="Arial" w:cs="Arial"/>
        </w:rPr>
        <w:t>. Oxford University Press.</w:t>
      </w:r>
    </w:p>
    <w:p w:rsidR="00002ECA" w:rsidRPr="00002ECA" w:rsidRDefault="00002ECA" w:rsidP="00002ECA">
      <w:pPr>
        <w:spacing w:line="360" w:lineRule="auto"/>
        <w:jc w:val="both"/>
        <w:rPr>
          <w:rFonts w:ascii="Arial" w:hAnsi="Arial" w:cs="Arial"/>
        </w:rPr>
      </w:pPr>
      <w:r w:rsidRPr="00002ECA">
        <w:rPr>
          <w:rFonts w:ascii="Arial" w:hAnsi="Arial" w:cs="Arial"/>
        </w:rPr>
        <w:t xml:space="preserve">Hall, C., Gobbi, M., Kathryn Parker (Whitcomb, &amp; Yoder-Wise, P. (2024). </w:t>
      </w:r>
      <w:r w:rsidRPr="00002ECA">
        <w:rPr>
          <w:rFonts w:ascii="Arial" w:hAnsi="Arial" w:cs="Arial"/>
          <w:i/>
          <w:iCs/>
        </w:rPr>
        <w:t>The Sage Handbook of Nursing Education</w:t>
      </w:r>
      <w:r w:rsidRPr="00002ECA">
        <w:rPr>
          <w:rFonts w:ascii="Arial" w:hAnsi="Arial" w:cs="Arial"/>
        </w:rPr>
        <w:t>. SAGE Publications Limited.</w:t>
      </w:r>
    </w:p>
    <w:p w:rsidR="00002ECA" w:rsidRPr="00002ECA" w:rsidRDefault="00002ECA" w:rsidP="00002ECA">
      <w:pPr>
        <w:spacing w:line="360" w:lineRule="auto"/>
        <w:jc w:val="both"/>
        <w:rPr>
          <w:rFonts w:ascii="Arial" w:hAnsi="Arial" w:cs="Arial"/>
        </w:rPr>
      </w:pPr>
      <w:r w:rsidRPr="00002ECA">
        <w:rPr>
          <w:rFonts w:ascii="Arial" w:hAnsi="Arial" w:cs="Arial"/>
        </w:rPr>
        <w:t xml:space="preserve">Ingolf Cascorbi, &amp; Schwab, M. (2023). </w:t>
      </w:r>
      <w:r w:rsidRPr="00002ECA">
        <w:rPr>
          <w:rFonts w:ascii="Arial" w:hAnsi="Arial" w:cs="Arial"/>
          <w:i/>
          <w:iCs/>
        </w:rPr>
        <w:t>Precision Medicine</w:t>
      </w:r>
      <w:r w:rsidRPr="00002ECA">
        <w:rPr>
          <w:rFonts w:ascii="Arial" w:hAnsi="Arial" w:cs="Arial"/>
        </w:rPr>
        <w:t>. Springer Nature.</w:t>
      </w:r>
    </w:p>
    <w:p w:rsidR="00002ECA" w:rsidRPr="00002ECA" w:rsidRDefault="00002ECA" w:rsidP="00002ECA">
      <w:pPr>
        <w:spacing w:line="360" w:lineRule="auto"/>
        <w:jc w:val="both"/>
        <w:rPr>
          <w:rFonts w:ascii="Arial" w:hAnsi="Arial" w:cs="Arial"/>
        </w:rPr>
      </w:pPr>
      <w:r w:rsidRPr="00002ECA">
        <w:rPr>
          <w:rFonts w:ascii="Arial" w:hAnsi="Arial" w:cs="Arial"/>
        </w:rPr>
        <w:t xml:space="preserve">Li, S., Jin, Q., Xiaohong Jiang, &amp; Park, J. J. (2014). </w:t>
      </w:r>
      <w:r w:rsidRPr="00002ECA">
        <w:rPr>
          <w:rFonts w:ascii="Arial" w:hAnsi="Arial" w:cs="Arial"/>
          <w:i/>
          <w:iCs/>
        </w:rPr>
        <w:t>Frontier and Future Development of Information Technology in Medicine and Education ITME 2013</w:t>
      </w:r>
      <w:r w:rsidRPr="00002ECA">
        <w:rPr>
          <w:rFonts w:ascii="Arial" w:hAnsi="Arial" w:cs="Arial"/>
        </w:rPr>
        <w:t>. Dordrecht Springer Netherlands.</w:t>
      </w:r>
    </w:p>
    <w:p w:rsidR="00002ECA" w:rsidRPr="00002ECA" w:rsidRDefault="00002ECA" w:rsidP="00002ECA">
      <w:pPr>
        <w:spacing w:line="360" w:lineRule="auto"/>
        <w:jc w:val="both"/>
        <w:rPr>
          <w:rFonts w:ascii="Arial" w:hAnsi="Arial" w:cs="Arial"/>
        </w:rPr>
      </w:pPr>
      <w:r w:rsidRPr="00002ECA">
        <w:rPr>
          <w:rFonts w:ascii="Arial" w:hAnsi="Arial" w:cs="Arial"/>
        </w:rPr>
        <w:t xml:space="preserve">Pafumi, M. (2024). </w:t>
      </w:r>
      <w:r w:rsidRPr="00002ECA">
        <w:rPr>
          <w:rFonts w:ascii="Arial" w:hAnsi="Arial" w:cs="Arial"/>
          <w:i/>
          <w:iCs/>
        </w:rPr>
        <w:t>Assessing the digital readiness and communication ecosystem of rural youth</w:t>
      </w:r>
      <w:r w:rsidRPr="00002ECA">
        <w:rPr>
          <w:rFonts w:ascii="Arial" w:hAnsi="Arial" w:cs="Arial"/>
        </w:rPr>
        <w:t>. Food &amp; Agriculture Org.</w:t>
      </w:r>
    </w:p>
    <w:p w:rsidR="00002ECA" w:rsidRPr="00002ECA" w:rsidRDefault="00002ECA" w:rsidP="00002ECA">
      <w:pPr>
        <w:spacing w:line="360" w:lineRule="auto"/>
        <w:jc w:val="both"/>
        <w:rPr>
          <w:rFonts w:ascii="Arial" w:hAnsi="Arial" w:cs="Arial"/>
        </w:rPr>
      </w:pPr>
      <w:r w:rsidRPr="00002ECA">
        <w:rPr>
          <w:rFonts w:ascii="Arial" w:hAnsi="Arial" w:cs="Arial"/>
        </w:rPr>
        <w:t xml:space="preserve">Phillips, N., Stacey, G., &amp; Dowding, D. (2023). </w:t>
      </w:r>
      <w:r w:rsidRPr="00002ECA">
        <w:rPr>
          <w:rFonts w:ascii="Arial" w:hAnsi="Arial" w:cs="Arial"/>
          <w:i/>
          <w:iCs/>
        </w:rPr>
        <w:t>Harnessing Digital Technology and Data for Nursing and Midwifery Practice - E-Book</w:t>
      </w:r>
      <w:r w:rsidRPr="00002ECA">
        <w:rPr>
          <w:rFonts w:ascii="Arial" w:hAnsi="Arial" w:cs="Arial"/>
        </w:rPr>
        <w:t>. Elsevier Health Sciences.</w:t>
      </w:r>
    </w:p>
    <w:p w:rsidR="00DF7CC5" w:rsidRPr="00002ECA" w:rsidRDefault="00002ECA" w:rsidP="00002ECA">
      <w:pPr>
        <w:spacing w:line="360" w:lineRule="auto"/>
        <w:jc w:val="both"/>
        <w:rPr>
          <w:rFonts w:ascii="Arial" w:hAnsi="Arial" w:cs="Arial"/>
        </w:rPr>
      </w:pPr>
      <w:r w:rsidRPr="00002ECA">
        <w:rPr>
          <w:rFonts w:ascii="Arial" w:hAnsi="Arial" w:cs="Arial"/>
        </w:rPr>
        <w:t xml:space="preserve">World Health Organization. (2021). </w:t>
      </w:r>
      <w:r w:rsidRPr="00002ECA">
        <w:rPr>
          <w:rFonts w:ascii="Arial" w:hAnsi="Arial" w:cs="Arial"/>
          <w:i/>
          <w:iCs/>
        </w:rPr>
        <w:t>Global strategy on digital health 2020-2025</w:t>
      </w:r>
      <w:r w:rsidRPr="00002ECA">
        <w:rPr>
          <w:rFonts w:ascii="Arial" w:hAnsi="Arial" w:cs="Arial"/>
        </w:rPr>
        <w:t xml:space="preserve">. World Health Organization. </w:t>
      </w:r>
      <w:hyperlink r:id="rId8" w:history="1">
        <w:r w:rsidR="00F64D90" w:rsidRPr="000C73A1">
          <w:rPr>
            <w:rStyle w:val="Hyperlink"/>
            <w:rFonts w:ascii="Arial" w:hAnsi="Arial" w:cs="Arial"/>
          </w:rPr>
          <w:t>https://www.who.int/publications/i/item/9789240020924</w:t>
        </w:r>
      </w:hyperlink>
      <w:r w:rsidR="00F64D90">
        <w:rPr>
          <w:rFonts w:ascii="Arial" w:hAnsi="Arial" w:cs="Arial"/>
        </w:rPr>
        <w:t xml:space="preserve"> </w:t>
      </w:r>
    </w:p>
    <w:p w:rsidR="00F64D90" w:rsidRDefault="00F64D90" w:rsidP="00002ECA">
      <w:pPr>
        <w:spacing w:line="360" w:lineRule="auto"/>
        <w:jc w:val="both"/>
        <w:rPr>
          <w:rFonts w:ascii="Arial" w:hAnsi="Arial" w:cs="Arial"/>
          <w:b/>
          <w:bCs/>
        </w:rPr>
      </w:pPr>
    </w:p>
    <w:p w:rsidR="00EF4914" w:rsidRPr="00002ECA" w:rsidRDefault="00EF4914" w:rsidP="00002ECA">
      <w:pPr>
        <w:spacing w:line="360" w:lineRule="auto"/>
        <w:jc w:val="both"/>
        <w:rPr>
          <w:rFonts w:ascii="Arial" w:hAnsi="Arial" w:cs="Arial"/>
        </w:rPr>
      </w:pPr>
      <w:r w:rsidRPr="00002ECA">
        <w:rPr>
          <w:rFonts w:ascii="Arial" w:hAnsi="Arial" w:cs="Arial"/>
          <w:b/>
          <w:bCs/>
        </w:rPr>
        <w:lastRenderedPageBreak/>
        <w:t>Recent academic / implementation source</w:t>
      </w:r>
    </w:p>
    <w:p w:rsidR="00DF7CC5" w:rsidRDefault="00DF7CC5" w:rsidP="00DF7CC5">
      <w:pPr>
        <w:spacing w:line="360" w:lineRule="auto"/>
        <w:jc w:val="both"/>
        <w:rPr>
          <w:rFonts w:ascii="Arial" w:hAnsi="Arial" w:cs="Arial"/>
          <w:b/>
          <w:bCs/>
        </w:rPr>
      </w:pPr>
      <w:r w:rsidRPr="00DF7CC5">
        <w:rPr>
          <w:rFonts w:ascii="Arial" w:hAnsi="Arial" w:cs="Arial"/>
          <w:bCs/>
        </w:rPr>
        <w:t xml:space="preserve">Ercole, A. (2026). </w:t>
      </w:r>
      <w:r w:rsidRPr="00DF7CC5">
        <w:rPr>
          <w:rFonts w:ascii="Arial" w:hAnsi="Arial" w:cs="Arial"/>
          <w:bCs/>
          <w:i/>
          <w:iCs/>
        </w:rPr>
        <w:t>Digital Maturity and Technical Efficiency in NHS Acute Trusts: Cross-Sectional Evidence from England</w:t>
      </w:r>
      <w:r w:rsidRPr="00DF7CC5">
        <w:rPr>
          <w:rFonts w:ascii="Arial" w:hAnsi="Arial" w:cs="Arial"/>
          <w:bCs/>
        </w:rPr>
        <w:t>. ArXiv.org.</w:t>
      </w:r>
      <w:r w:rsidRPr="00DF7CC5">
        <w:rPr>
          <w:rFonts w:ascii="Arial" w:hAnsi="Arial" w:cs="Arial"/>
          <w:b/>
          <w:bCs/>
        </w:rPr>
        <w:t xml:space="preserve"> </w:t>
      </w:r>
      <w:hyperlink r:id="rId9" w:history="1">
        <w:r w:rsidRPr="000C73A1">
          <w:rPr>
            <w:rStyle w:val="Hyperlink"/>
            <w:rFonts w:ascii="Arial" w:hAnsi="Arial" w:cs="Arial"/>
            <w:b/>
            <w:bCs/>
          </w:rPr>
          <w:t>https://arxiv.org/abs/2606.01137</w:t>
        </w:r>
      </w:hyperlink>
    </w:p>
    <w:p w:rsidR="00EF4914" w:rsidRPr="00002ECA" w:rsidRDefault="0078024E" w:rsidP="00002ECA">
      <w:pPr>
        <w:spacing w:line="360" w:lineRule="auto"/>
        <w:jc w:val="both"/>
        <w:rPr>
          <w:rFonts w:ascii="Arial" w:hAnsi="Arial" w:cs="Arial"/>
          <w:b/>
          <w:bCs/>
        </w:rPr>
      </w:pPr>
      <w:r w:rsidRPr="00002ECA">
        <w:rPr>
          <w:rFonts w:ascii="Arial" w:hAnsi="Arial" w:cs="Arial"/>
          <w:b/>
          <w:bCs/>
        </w:rPr>
        <w:t>Recent NHS case-study-based evide</w:t>
      </w:r>
      <w:r w:rsidR="00EF4914" w:rsidRPr="00002ECA">
        <w:rPr>
          <w:rFonts w:ascii="Arial" w:hAnsi="Arial" w:cs="Arial"/>
          <w:b/>
          <w:bCs/>
        </w:rPr>
        <w:t>nce</w:t>
      </w:r>
    </w:p>
    <w:p w:rsidR="00EF4914" w:rsidRDefault="00EF4914" w:rsidP="00002ECA">
      <w:pPr>
        <w:spacing w:line="360" w:lineRule="auto"/>
        <w:jc w:val="both"/>
        <w:rPr>
          <w:rStyle w:val="Hyperlink"/>
          <w:rFonts w:ascii="Arial" w:hAnsi="Arial" w:cs="Arial"/>
        </w:rPr>
      </w:pPr>
      <w:r w:rsidRPr="00002ECA">
        <w:rPr>
          <w:rFonts w:ascii="Arial" w:hAnsi="Arial" w:cs="Arial"/>
        </w:rPr>
        <w:t xml:space="preserve">HFMA (2025) </w:t>
      </w:r>
      <w:r w:rsidRPr="00002ECA">
        <w:rPr>
          <w:rFonts w:ascii="Arial" w:hAnsi="Arial" w:cs="Arial"/>
          <w:i/>
          <w:iCs/>
        </w:rPr>
        <w:t>Implementing an Electronic Patient Record: NHS Case Studies</w:t>
      </w:r>
      <w:r w:rsidRPr="00002ECA">
        <w:rPr>
          <w:rFonts w:ascii="Arial" w:hAnsi="Arial" w:cs="Arial"/>
        </w:rPr>
        <w:t xml:space="preserve">. Available at: </w:t>
      </w:r>
      <w:hyperlink r:id="rId10" w:history="1">
        <w:r w:rsidRPr="00002ECA">
          <w:rPr>
            <w:rStyle w:val="Hyperlink"/>
            <w:rFonts w:ascii="Arial" w:hAnsi="Arial" w:cs="Arial"/>
          </w:rPr>
          <w:t>https://www.hfma.org.uk/publications/implementing-electronic-patient-record</w:t>
        </w:r>
      </w:hyperlink>
    </w:p>
    <w:p w:rsidR="00DF7CC5" w:rsidRPr="00DF7CC5" w:rsidRDefault="00DF7CC5" w:rsidP="00DF7CC5">
      <w:pPr>
        <w:spacing w:line="360" w:lineRule="auto"/>
        <w:jc w:val="both"/>
        <w:rPr>
          <w:rFonts w:ascii="Arial" w:hAnsi="Arial" w:cs="Arial"/>
        </w:rPr>
      </w:pPr>
    </w:p>
    <w:p w:rsidR="00DF7CC5" w:rsidRPr="0078024E" w:rsidRDefault="00DF7CC5" w:rsidP="00002ECA">
      <w:pPr>
        <w:spacing w:line="360" w:lineRule="auto"/>
        <w:jc w:val="both"/>
        <w:rPr>
          <w:rFonts w:ascii="Arial" w:hAnsi="Arial" w:cs="Arial"/>
        </w:rPr>
      </w:pPr>
    </w:p>
    <w:sectPr w:rsidR="00DF7CC5" w:rsidRPr="0078024E" w:rsidSect="00691CE0">
      <w:pgSz w:w="11906" w:h="16838" w:code="9"/>
      <w:pgMar w:top="1440" w:right="1440" w:bottom="1440" w:left="1440" w:header="763"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5ED6" w:rsidRDefault="00735ED6" w:rsidP="00691CE0">
      <w:pPr>
        <w:spacing w:after="0" w:line="240" w:lineRule="auto"/>
      </w:pPr>
      <w:r>
        <w:separator/>
      </w:r>
    </w:p>
  </w:endnote>
  <w:endnote w:type="continuationSeparator" w:id="0">
    <w:p w:rsidR="00735ED6" w:rsidRDefault="00735ED6" w:rsidP="00691C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hnschrift">
    <w:panose1 w:val="020B0502040204020203"/>
    <w:charset w:val="00"/>
    <w:family w:val="swiss"/>
    <w:pitch w:val="variable"/>
    <w:sig w:usb0="A00002C7"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5ED6" w:rsidRDefault="00735ED6" w:rsidP="00691CE0">
      <w:pPr>
        <w:spacing w:after="0" w:line="240" w:lineRule="auto"/>
      </w:pPr>
      <w:r>
        <w:separator/>
      </w:r>
    </w:p>
  </w:footnote>
  <w:footnote w:type="continuationSeparator" w:id="0">
    <w:p w:rsidR="00735ED6" w:rsidRDefault="00735ED6" w:rsidP="00691C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C77E29"/>
    <w:multiLevelType w:val="multilevel"/>
    <w:tmpl w:val="74E86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BE4966"/>
    <w:multiLevelType w:val="multilevel"/>
    <w:tmpl w:val="248A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2EF4919"/>
    <w:multiLevelType w:val="multilevel"/>
    <w:tmpl w:val="200C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E485E4A"/>
    <w:multiLevelType w:val="multilevel"/>
    <w:tmpl w:val="1B7A68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drawingGridHorizontalSpacing w:val="120"/>
  <w:drawingGridVerticalSpacing w:val="163"/>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F4914"/>
    <w:rsid w:val="00002ECA"/>
    <w:rsid w:val="00085F22"/>
    <w:rsid w:val="00442B26"/>
    <w:rsid w:val="005F37EA"/>
    <w:rsid w:val="00691CE0"/>
    <w:rsid w:val="00735ED6"/>
    <w:rsid w:val="0078024E"/>
    <w:rsid w:val="00786A51"/>
    <w:rsid w:val="00915905"/>
    <w:rsid w:val="00975612"/>
    <w:rsid w:val="00A14E7C"/>
    <w:rsid w:val="00A37C5D"/>
    <w:rsid w:val="00D669D3"/>
    <w:rsid w:val="00DB7B64"/>
    <w:rsid w:val="00DD3114"/>
    <w:rsid w:val="00DF7CC5"/>
    <w:rsid w:val="00EF4914"/>
    <w:rsid w:val="00F64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51F249-B4FE-4FFE-9E17-A66C0D860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F4914"/>
    <w:rPr>
      <w:color w:val="0563C1" w:themeColor="hyperlink"/>
      <w:u w:val="single"/>
    </w:rPr>
  </w:style>
  <w:style w:type="paragraph" w:styleId="Header">
    <w:name w:val="header"/>
    <w:basedOn w:val="Normal"/>
    <w:link w:val="HeaderChar"/>
    <w:uiPriority w:val="99"/>
    <w:unhideWhenUsed/>
    <w:rsid w:val="00691CE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1CE0"/>
  </w:style>
  <w:style w:type="paragraph" w:styleId="Footer">
    <w:name w:val="footer"/>
    <w:basedOn w:val="Normal"/>
    <w:link w:val="FooterChar"/>
    <w:uiPriority w:val="99"/>
    <w:unhideWhenUsed/>
    <w:rsid w:val="00691CE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1C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6922015">
      <w:bodyDiv w:val="1"/>
      <w:marLeft w:val="0"/>
      <w:marRight w:val="0"/>
      <w:marTop w:val="0"/>
      <w:marBottom w:val="0"/>
      <w:divBdr>
        <w:top w:val="none" w:sz="0" w:space="0" w:color="auto"/>
        <w:left w:val="none" w:sz="0" w:space="0" w:color="auto"/>
        <w:bottom w:val="none" w:sz="0" w:space="0" w:color="auto"/>
        <w:right w:val="none" w:sz="0" w:space="0" w:color="auto"/>
      </w:divBdr>
      <w:divsChild>
        <w:div w:id="503278920">
          <w:marLeft w:val="-720"/>
          <w:marRight w:val="0"/>
          <w:marTop w:val="0"/>
          <w:marBottom w:val="0"/>
          <w:divBdr>
            <w:top w:val="none" w:sz="0" w:space="0" w:color="auto"/>
            <w:left w:val="none" w:sz="0" w:space="0" w:color="auto"/>
            <w:bottom w:val="none" w:sz="0" w:space="0" w:color="auto"/>
            <w:right w:val="none" w:sz="0" w:space="0" w:color="auto"/>
          </w:divBdr>
        </w:div>
      </w:divsChild>
    </w:div>
    <w:div w:id="410197098">
      <w:bodyDiv w:val="1"/>
      <w:marLeft w:val="0"/>
      <w:marRight w:val="0"/>
      <w:marTop w:val="0"/>
      <w:marBottom w:val="0"/>
      <w:divBdr>
        <w:top w:val="none" w:sz="0" w:space="0" w:color="auto"/>
        <w:left w:val="none" w:sz="0" w:space="0" w:color="auto"/>
        <w:bottom w:val="none" w:sz="0" w:space="0" w:color="auto"/>
        <w:right w:val="none" w:sz="0" w:space="0" w:color="auto"/>
      </w:divBdr>
      <w:divsChild>
        <w:div w:id="1431582514">
          <w:marLeft w:val="-720"/>
          <w:marRight w:val="0"/>
          <w:marTop w:val="0"/>
          <w:marBottom w:val="0"/>
          <w:divBdr>
            <w:top w:val="none" w:sz="0" w:space="0" w:color="auto"/>
            <w:left w:val="none" w:sz="0" w:space="0" w:color="auto"/>
            <w:bottom w:val="none" w:sz="0" w:space="0" w:color="auto"/>
            <w:right w:val="none" w:sz="0" w:space="0" w:color="auto"/>
          </w:divBdr>
        </w:div>
      </w:divsChild>
    </w:div>
    <w:div w:id="1012950808">
      <w:bodyDiv w:val="1"/>
      <w:marLeft w:val="0"/>
      <w:marRight w:val="0"/>
      <w:marTop w:val="0"/>
      <w:marBottom w:val="0"/>
      <w:divBdr>
        <w:top w:val="none" w:sz="0" w:space="0" w:color="auto"/>
        <w:left w:val="none" w:sz="0" w:space="0" w:color="auto"/>
        <w:bottom w:val="none" w:sz="0" w:space="0" w:color="auto"/>
        <w:right w:val="none" w:sz="0" w:space="0" w:color="auto"/>
      </w:divBdr>
    </w:div>
    <w:div w:id="1371144899">
      <w:bodyDiv w:val="1"/>
      <w:marLeft w:val="0"/>
      <w:marRight w:val="0"/>
      <w:marTop w:val="0"/>
      <w:marBottom w:val="0"/>
      <w:divBdr>
        <w:top w:val="none" w:sz="0" w:space="0" w:color="auto"/>
        <w:left w:val="none" w:sz="0" w:space="0" w:color="auto"/>
        <w:bottom w:val="none" w:sz="0" w:space="0" w:color="auto"/>
        <w:right w:val="none" w:sz="0" w:space="0" w:color="auto"/>
      </w:divBdr>
      <w:divsChild>
        <w:div w:id="1602906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09884146">
      <w:bodyDiv w:val="1"/>
      <w:marLeft w:val="0"/>
      <w:marRight w:val="0"/>
      <w:marTop w:val="0"/>
      <w:marBottom w:val="0"/>
      <w:divBdr>
        <w:top w:val="none" w:sz="0" w:space="0" w:color="auto"/>
        <w:left w:val="none" w:sz="0" w:space="0" w:color="auto"/>
        <w:bottom w:val="none" w:sz="0" w:space="0" w:color="auto"/>
        <w:right w:val="none" w:sz="0" w:space="0" w:color="auto"/>
      </w:divBdr>
      <w:divsChild>
        <w:div w:id="2087991909">
          <w:marLeft w:val="-720"/>
          <w:marRight w:val="0"/>
          <w:marTop w:val="0"/>
          <w:marBottom w:val="0"/>
          <w:divBdr>
            <w:top w:val="none" w:sz="0" w:space="0" w:color="auto"/>
            <w:left w:val="none" w:sz="0" w:space="0" w:color="auto"/>
            <w:bottom w:val="none" w:sz="0" w:space="0" w:color="auto"/>
            <w:right w:val="none" w:sz="0" w:space="0" w:color="auto"/>
          </w:divBdr>
        </w:div>
      </w:divsChild>
    </w:div>
    <w:div w:id="17408651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publications/i/item/978924002092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hfma.org.uk/publications/implementing-electronic-patient-record" TargetMode="External"/><Relationship Id="rId4" Type="http://schemas.openxmlformats.org/officeDocument/2006/relationships/webSettings" Target="webSettings.xml"/><Relationship Id="rId9" Type="http://schemas.openxmlformats.org/officeDocument/2006/relationships/hyperlink" Target="https://arxiv.org/abs/2606.011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9</Pages>
  <Words>2812</Words>
  <Characters>16032</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Nouman</dc:creator>
  <cp:keywords/>
  <dc:description/>
  <cp:lastModifiedBy>Nouman</cp:lastModifiedBy>
  <cp:revision>2</cp:revision>
  <dcterms:created xsi:type="dcterms:W3CDTF">2026-06-28T08:42:00Z</dcterms:created>
  <dcterms:modified xsi:type="dcterms:W3CDTF">2026-06-28T08:42:00Z</dcterms:modified>
</cp:coreProperties>
</file>