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color w:val="404040"/>
          <w:sz w:val="24"/>
          <w:szCs w:val="24"/>
          <w:highlight w:val="white"/>
        </w:rPr>
      </w:pPr>
      <w:r w:rsidDel="00000000" w:rsidR="00000000" w:rsidRPr="00000000">
        <w:rPr>
          <w:rFonts w:ascii="Times New Roman" w:cs="Times New Roman" w:eastAsia="Times New Roman" w:hAnsi="Times New Roman"/>
          <w:color w:val="404040"/>
          <w:sz w:val="24"/>
          <w:szCs w:val="24"/>
          <w:highlight w:val="white"/>
          <w:rtl w:val="0"/>
        </w:rPr>
        <w:t xml:space="preserve">University of Wales Trinity Saint David</w:t>
      </w:r>
    </w:p>
    <w:p w:rsidR="00000000" w:rsidDel="00000000" w:rsidP="00000000" w:rsidRDefault="00000000" w:rsidRPr="00000000" w14:paraId="00000002">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4">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6">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8">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9">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A">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B">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C">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D">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E">
      <w:pPr>
        <w:jc w:val="both"/>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color w:val="404040"/>
          <w:sz w:val="24"/>
          <w:szCs w:val="24"/>
          <w:highlight w:val="white"/>
        </w:rPr>
      </w:pPr>
      <w:r w:rsidDel="00000000" w:rsidR="00000000" w:rsidRPr="00000000">
        <w:rPr>
          <w:rFonts w:ascii="Times New Roman" w:cs="Times New Roman" w:eastAsia="Times New Roman" w:hAnsi="Times New Roman"/>
          <w:color w:val="404040"/>
          <w:sz w:val="24"/>
          <w:szCs w:val="24"/>
          <w:highlight w:val="white"/>
          <w:rtl w:val="0"/>
        </w:rPr>
        <w:t xml:space="preserve">                </w:t>
      </w:r>
    </w:p>
    <w:p w:rsidR="00000000" w:rsidDel="00000000" w:rsidP="00000000" w:rsidRDefault="00000000" w:rsidRPr="00000000" w14:paraId="00000010">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b w:val="1"/>
          <w:color w:val="404040"/>
          <w:sz w:val="24"/>
          <w:szCs w:val="24"/>
          <w:highlight w:val="white"/>
        </w:rPr>
      </w:pPr>
      <w:r w:rsidDel="00000000" w:rsidR="00000000" w:rsidRPr="00000000">
        <w:rPr>
          <w:rFonts w:ascii="Times New Roman" w:cs="Times New Roman" w:eastAsia="Times New Roman" w:hAnsi="Times New Roman"/>
          <w:color w:val="404040"/>
          <w:sz w:val="24"/>
          <w:szCs w:val="24"/>
          <w:highlight w:val="white"/>
          <w:rtl w:val="0"/>
        </w:rPr>
        <w:t xml:space="preserve"> </w:t>
      </w:r>
      <w:r w:rsidDel="00000000" w:rsidR="00000000" w:rsidRPr="00000000">
        <w:rPr>
          <w:rFonts w:ascii="Times New Roman" w:cs="Times New Roman" w:eastAsia="Times New Roman" w:hAnsi="Times New Roman"/>
          <w:b w:val="1"/>
          <w:color w:val="404040"/>
          <w:sz w:val="24"/>
          <w:szCs w:val="24"/>
          <w:highlight w:val="white"/>
          <w:rtl w:val="0"/>
        </w:rPr>
        <w:t xml:space="preserve"> RESEARCH PROPOSAL</w:t>
      </w:r>
    </w:p>
    <w:p w:rsidR="00000000" w:rsidDel="00000000" w:rsidP="00000000" w:rsidRDefault="00000000" w:rsidRPr="00000000" w14:paraId="00000013">
      <w:pPr>
        <w:jc w:val="center"/>
        <w:rPr>
          <w:rFonts w:ascii="Times New Roman" w:cs="Times New Roman" w:eastAsia="Times New Roman" w:hAnsi="Times New Roman"/>
          <w:b w:val="1"/>
          <w:color w:val="404040"/>
          <w:sz w:val="24"/>
          <w:szCs w:val="24"/>
          <w:highlight w:val="white"/>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Demands and Strategies: The Impact of Immigration on the Public Educational System in Caxias do Sul</w:t>
      </w:r>
    </w:p>
    <w:p w:rsidR="00000000" w:rsidDel="00000000" w:rsidP="00000000" w:rsidRDefault="00000000" w:rsidRPr="00000000" w14:paraId="00000015">
      <w:pPr>
        <w:jc w:val="center"/>
        <w:rPr>
          <w:rFonts w:ascii="Times New Roman" w:cs="Times New Roman" w:eastAsia="Times New Roman" w:hAnsi="Times New Roman"/>
          <w:b w:val="1"/>
          <w:color w:val="404040"/>
          <w:sz w:val="24"/>
          <w:szCs w:val="24"/>
          <w:highlight w:val="white"/>
          <w:u w:val="single"/>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A">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B">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C">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D">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E">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1F">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0">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1">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2">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3">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4">
      <w:pPr>
        <w:jc w:val="center"/>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5">
      <w:pPr>
        <w:jc w:val="left"/>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6">
      <w:pPr>
        <w:jc w:val="left"/>
        <w:rPr>
          <w:rFonts w:ascii="Times New Roman" w:cs="Times New Roman" w:eastAsia="Times New Roman" w:hAnsi="Times New Roman"/>
          <w:color w:val="404040"/>
          <w:sz w:val="24"/>
          <w:szCs w:val="24"/>
          <w:highlight w:val="white"/>
        </w:rPr>
      </w:pPr>
      <w:r w:rsidDel="00000000" w:rsidR="00000000" w:rsidRPr="00000000">
        <w:rPr>
          <w:rtl w:val="0"/>
        </w:rPr>
      </w:r>
    </w:p>
    <w:p w:rsidR="00000000" w:rsidDel="00000000" w:rsidP="00000000" w:rsidRDefault="00000000" w:rsidRPr="00000000" w14:paraId="00000027">
      <w:pPr>
        <w:jc w:val="left"/>
        <w:rPr>
          <w:rFonts w:ascii="Times New Roman" w:cs="Times New Roman" w:eastAsia="Times New Roman" w:hAnsi="Times New Roman"/>
          <w:color w:val="212529"/>
          <w:sz w:val="24"/>
          <w:szCs w:val="24"/>
          <w:highlight w:val="white"/>
        </w:rPr>
      </w:pPr>
      <w:r w:rsidDel="00000000" w:rsidR="00000000" w:rsidRPr="00000000">
        <w:rPr>
          <w:rtl w:val="0"/>
        </w:rPr>
      </w:r>
    </w:p>
    <w:p w:rsidR="00000000" w:rsidDel="00000000" w:rsidP="00000000" w:rsidRDefault="00000000" w:rsidRPr="00000000" w14:paraId="00000028">
      <w:pPr>
        <w:jc w:val="center"/>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ECDA7003 - Research Methodology</w:t>
      </w:r>
    </w:p>
    <w:p w:rsidR="00000000" w:rsidDel="00000000" w:rsidP="00000000" w:rsidRDefault="00000000" w:rsidRPr="00000000" w14:paraId="00000029">
      <w:pPr>
        <w:jc w:val="center"/>
        <w:rPr>
          <w:rFonts w:ascii="Times New Roman" w:cs="Times New Roman" w:eastAsia="Times New Roman" w:hAnsi="Times New Roman"/>
          <w:b w:val="1"/>
          <w:color w:val="212529"/>
          <w:sz w:val="24"/>
          <w:szCs w:val="24"/>
          <w:highlight w:val="white"/>
        </w:rPr>
      </w:pPr>
      <w:r w:rsidDel="00000000" w:rsidR="00000000" w:rsidRPr="00000000">
        <w:rPr>
          <w:rFonts w:ascii="Times New Roman" w:cs="Times New Roman" w:eastAsia="Times New Roman" w:hAnsi="Times New Roman"/>
          <w:b w:val="1"/>
          <w:color w:val="212529"/>
          <w:sz w:val="24"/>
          <w:szCs w:val="24"/>
          <w:highlight w:val="white"/>
          <w:rtl w:val="0"/>
        </w:rPr>
        <w:t xml:space="preserve">Daniéle De Meneghi Da Meda</w:t>
      </w:r>
    </w:p>
    <w:p w:rsidR="00000000" w:rsidDel="00000000" w:rsidP="00000000" w:rsidRDefault="00000000" w:rsidRPr="00000000" w14:paraId="0000002A">
      <w:pPr>
        <w:jc w:val="center"/>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Student N. 1603783</w:t>
      </w:r>
    </w:p>
    <w:p w:rsidR="00000000" w:rsidDel="00000000" w:rsidP="00000000" w:rsidRDefault="00000000" w:rsidRPr="00000000" w14:paraId="0000002B">
      <w:pPr>
        <w:jc w:val="center"/>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January 2022</w:t>
      </w:r>
    </w:p>
    <w:p w:rsidR="00000000" w:rsidDel="00000000" w:rsidP="00000000" w:rsidRDefault="00000000" w:rsidRPr="00000000" w14:paraId="0000002C">
      <w:pPr>
        <w:jc w:val="left"/>
        <w:rPr>
          <w:rFonts w:ascii="Times New Roman" w:cs="Times New Roman" w:eastAsia="Times New Roman" w:hAnsi="Times New Roman"/>
          <w:color w:val="212529"/>
          <w:sz w:val="24"/>
          <w:szCs w:val="24"/>
          <w:highlight w:val="white"/>
        </w:rPr>
      </w:pPr>
      <w:r w:rsidDel="00000000" w:rsidR="00000000" w:rsidRPr="00000000">
        <w:rPr>
          <w:rtl w:val="0"/>
        </w:rPr>
      </w:r>
    </w:p>
    <w:p w:rsidR="00000000" w:rsidDel="00000000" w:rsidP="00000000" w:rsidRDefault="00000000" w:rsidRPr="00000000" w14:paraId="0000002D">
      <w:pPr>
        <w:jc w:val="center"/>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Demands and Strategies: The Impact of I</w:t>
      </w:r>
      <w:r w:rsidDel="00000000" w:rsidR="00000000" w:rsidRPr="00000000">
        <w:rPr>
          <w:rFonts w:ascii="Times New Roman" w:cs="Times New Roman" w:eastAsia="Times New Roman" w:hAnsi="Times New Roman"/>
          <w:b w:val="1"/>
          <w:sz w:val="24"/>
          <w:szCs w:val="24"/>
          <w:highlight w:val="white"/>
          <w:u w:val="single"/>
          <w:rtl w:val="0"/>
        </w:rPr>
        <w:t xml:space="preserve">mmigration on the Public Educational System in Caxias do Sul</w:t>
      </w:r>
    </w:p>
    <w:p w:rsidR="00000000" w:rsidDel="00000000" w:rsidP="00000000" w:rsidRDefault="00000000" w:rsidRPr="00000000" w14:paraId="0000002E">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F">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30">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31">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Research Context</w:t>
      </w:r>
    </w:p>
    <w:p w:rsidR="00000000" w:rsidDel="00000000" w:rsidP="00000000" w:rsidRDefault="00000000" w:rsidRPr="00000000" w14:paraId="00000032">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3">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One of the fundamental phenomena affecting many people all over the world is the need to move away from their home countries. Due to the economical and political situation that has been battering many nations around the world, there has been an increased number of people that have had to leave their home country, looking for better living conditions. According to the paper published by the UN entitled </w:t>
      </w:r>
      <w:r w:rsidDel="00000000" w:rsidR="00000000" w:rsidRPr="00000000">
        <w:rPr>
          <w:rFonts w:ascii="Times New Roman" w:cs="Times New Roman" w:eastAsia="Times New Roman" w:hAnsi="Times New Roman"/>
          <w:i w:val="1"/>
          <w:sz w:val="24"/>
          <w:szCs w:val="24"/>
          <w:highlight w:val="white"/>
          <w:rtl w:val="0"/>
        </w:rPr>
        <w:t xml:space="preserve">World Migration Report 2020, </w:t>
      </w:r>
      <w:r w:rsidDel="00000000" w:rsidR="00000000" w:rsidRPr="00000000">
        <w:rPr>
          <w:rFonts w:ascii="Times New Roman" w:cs="Times New Roman" w:eastAsia="Times New Roman" w:hAnsi="Times New Roman"/>
          <w:sz w:val="24"/>
          <w:szCs w:val="24"/>
          <w:highlight w:val="white"/>
          <w:rtl w:val="0"/>
        </w:rPr>
        <w:t xml:space="preserve">‘an estimated 3 million Venezuelans had left their country at the end of 2018 due to several factors, including violence, persecution and economic/political crisis.’ The paper adds that Venezuela was the ‘largest source country of asylum claims in the world in 2018.’</w:t>
      </w:r>
    </w:p>
    <w:p w:rsidR="00000000" w:rsidDel="00000000" w:rsidP="00000000" w:rsidRDefault="00000000" w:rsidRPr="00000000" w14:paraId="00000034">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report points out that most internal displacements within South America happened due to violence and conflicts, not disasters and, Venezuela, represents the most acute humanitarian crisis in the world. The Southern Common Market (MERCOSUL) which is an economic and political body comprising Argentina, Brazil, Paraguay, Uruguay and the Bolivarian Republic of Venezuela, facilitates regional displacement, among its participating countries, due to residence and </w:t>
      </w:r>
      <w:r w:rsidDel="00000000" w:rsidR="00000000" w:rsidRPr="00000000">
        <w:rPr>
          <w:rFonts w:ascii="Times New Roman" w:cs="Times New Roman" w:eastAsia="Times New Roman" w:hAnsi="Times New Roman"/>
          <w:sz w:val="24"/>
          <w:szCs w:val="24"/>
          <w:highlight w:val="white"/>
          <w:rtl w:val="0"/>
        </w:rPr>
        <w:t xml:space="preserve">labour</w:t>
      </w:r>
      <w:r w:rsidDel="00000000" w:rsidR="00000000" w:rsidRPr="00000000">
        <w:rPr>
          <w:rFonts w:ascii="Times New Roman" w:cs="Times New Roman" w:eastAsia="Times New Roman" w:hAnsi="Times New Roman"/>
          <w:sz w:val="24"/>
          <w:szCs w:val="24"/>
          <w:highlight w:val="white"/>
          <w:rtl w:val="0"/>
        </w:rPr>
        <w:t xml:space="preserve"> agreements established between them. </w:t>
      </w:r>
      <w:r w:rsidDel="00000000" w:rsidR="00000000" w:rsidRPr="00000000">
        <w:rPr>
          <w:rFonts w:ascii="Times New Roman" w:cs="Times New Roman" w:eastAsia="Times New Roman" w:hAnsi="Times New Roman"/>
          <w:sz w:val="24"/>
          <w:szCs w:val="24"/>
          <w:highlight w:val="white"/>
          <w:rtl w:val="0"/>
        </w:rPr>
        <w:t xml:space="preserve">In Brazil, the entry point to anyone coming from Venezuela into the country is located in Pacaraima, a bordering town in the Northwest state of Roraima. There, the UN and the Brazilian Federal Police (Policia Federal) have tents to help immigrants get their documentation to come into Brazil. According </w:t>
      </w:r>
      <w:r w:rsidDel="00000000" w:rsidR="00000000" w:rsidRPr="00000000">
        <w:rPr>
          <w:rFonts w:ascii="Times New Roman" w:cs="Times New Roman" w:eastAsia="Times New Roman" w:hAnsi="Times New Roman"/>
          <w:sz w:val="24"/>
          <w:szCs w:val="24"/>
          <w:highlight w:val="white"/>
          <w:rtl w:val="0"/>
        </w:rPr>
        <w:t xml:space="preserve">to the UNICEF´s</w:t>
      </w:r>
      <w:r w:rsidDel="00000000" w:rsidR="00000000" w:rsidRPr="00000000">
        <w:rPr>
          <w:rFonts w:ascii="Times New Roman" w:cs="Times New Roman" w:eastAsia="Times New Roman" w:hAnsi="Times New Roman"/>
          <w:sz w:val="24"/>
          <w:szCs w:val="24"/>
          <w:highlight w:val="white"/>
          <w:rtl w:val="0"/>
        </w:rPr>
        <w:t xml:space="preserve"> report, </w:t>
      </w:r>
      <w:r w:rsidDel="00000000" w:rsidR="00000000" w:rsidRPr="00000000">
        <w:rPr>
          <w:rFonts w:ascii="Times New Roman" w:cs="Times New Roman" w:eastAsia="Times New Roman" w:hAnsi="Times New Roman"/>
          <w:i w:val="1"/>
          <w:sz w:val="24"/>
          <w:szCs w:val="24"/>
          <w:highlight w:val="white"/>
          <w:rtl w:val="0"/>
        </w:rPr>
        <w:t xml:space="preserve">Increased Migration Influx in Pacaraima</w:t>
      </w:r>
      <w:r w:rsidDel="00000000" w:rsidR="00000000" w:rsidRPr="00000000">
        <w:rPr>
          <w:rFonts w:ascii="Times New Roman" w:cs="Times New Roman" w:eastAsia="Times New Roman" w:hAnsi="Times New Roman"/>
          <w:sz w:val="24"/>
          <w:szCs w:val="24"/>
          <w:highlight w:val="white"/>
          <w:rtl w:val="0"/>
        </w:rPr>
        <w:t xml:space="preserve">, published in September 2021, there are over 260,000 Venezuelan refugees and immigrants living in the largest country in South America. </w:t>
      </w:r>
    </w:p>
    <w:p w:rsidR="00000000" w:rsidDel="00000000" w:rsidP="00000000" w:rsidRDefault="00000000" w:rsidRPr="00000000" w14:paraId="00000036">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Due to these factors, this research paper will take place in Caxias do Sul, located up in the hills of Serra Gaucha, an economically prosperous town in the Southernmost state of Brazil. According to the last Census, taken in 2010, the population was </w:t>
      </w:r>
      <w:r w:rsidDel="00000000" w:rsidR="00000000" w:rsidRPr="00000000">
        <w:rPr>
          <w:rFonts w:ascii="Times New Roman" w:cs="Times New Roman" w:eastAsia="Times New Roman" w:hAnsi="Times New Roman"/>
          <w:sz w:val="24"/>
          <w:szCs w:val="24"/>
          <w:highlight w:val="white"/>
          <w:rtl w:val="0"/>
        </w:rPr>
        <w:t xml:space="preserve">435,564 (</w:t>
      </w:r>
      <w:hyperlink r:id="rId6">
        <w:r w:rsidDel="00000000" w:rsidR="00000000" w:rsidRPr="00000000">
          <w:rPr>
            <w:rFonts w:ascii="Times New Roman" w:cs="Times New Roman" w:eastAsia="Times New Roman" w:hAnsi="Times New Roman"/>
            <w:sz w:val="24"/>
            <w:szCs w:val="24"/>
            <w:highlight w:val="white"/>
            <w:rtl w:val="0"/>
          </w:rPr>
          <w:t xml:space="preserve">www.cidades.ibge.gov.br/brasil/rs/caxias-do-sul/panorama</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Caxias do Sul is a metal-mechanic pole in the state of Rio Grande do Sul and offers employment opportunities as the city also has many factories and slaughterhouses. According to local newspapers, the city has had a substantial influx of immigrants in the last decade, and especially since the beginning of the COVID-19 pandemic in 2020, many immigrants that fled their home countries can be observed begging for food and spare change in traffic lights across the town. Thus, as a result of the influx, many families have been arriving with children of school age and the education system is experiencing something never seen before. The research is relevant as this is a very recent development and by understanding what schools are doing and how they are coping, perhaps it can help authorities in supporting the learning process of migrant students.</w:t>
      </w:r>
      <w:r w:rsidDel="00000000" w:rsidR="00000000" w:rsidRPr="00000000">
        <w:rPr>
          <w:rtl w:val="0"/>
        </w:rPr>
      </w:r>
    </w:p>
    <w:p w:rsidR="00000000" w:rsidDel="00000000" w:rsidP="00000000" w:rsidRDefault="00000000" w:rsidRPr="00000000" w14:paraId="00000038">
      <w:pPr>
        <w:jc w:val="both"/>
        <w:rPr>
          <w:rFonts w:ascii="Times New Roman" w:cs="Times New Roman" w:eastAsia="Times New Roman" w:hAnsi="Times New Roman"/>
          <w:i w:val="1"/>
          <w:color w:val="333333"/>
          <w:sz w:val="24"/>
          <w:szCs w:val="24"/>
          <w:highlight w:val="white"/>
        </w:rPr>
      </w:pPr>
      <w:r w:rsidDel="00000000" w:rsidR="00000000" w:rsidRPr="00000000">
        <w:rPr>
          <w:rFonts w:ascii="Times New Roman" w:cs="Times New Roman" w:eastAsia="Times New Roman" w:hAnsi="Times New Roman"/>
          <w:i w:val="1"/>
          <w:color w:val="333333"/>
          <w:sz w:val="24"/>
          <w:szCs w:val="24"/>
          <w:highlight w:val="white"/>
          <w:rtl w:val="0"/>
        </w:rPr>
        <w:t xml:space="preserve">Aim</w:t>
      </w:r>
    </w:p>
    <w:p w:rsidR="00000000" w:rsidDel="00000000" w:rsidP="00000000" w:rsidRDefault="00000000" w:rsidRPr="00000000" w14:paraId="00000039">
      <w:pPr>
        <w:jc w:val="both"/>
        <w:rPr>
          <w:rFonts w:ascii="Times New Roman" w:cs="Times New Roman" w:eastAsia="Times New Roman" w:hAnsi="Times New Roman"/>
          <w:b w:val="1"/>
          <w:i w:val="1"/>
          <w:color w:val="333333"/>
          <w:sz w:val="24"/>
          <w:szCs w:val="24"/>
          <w:highlight w:val="white"/>
        </w:rPr>
      </w:pPr>
      <w:r w:rsidDel="00000000" w:rsidR="00000000" w:rsidRPr="00000000">
        <w:rPr>
          <w:rtl w:val="0"/>
        </w:rPr>
      </w:r>
    </w:p>
    <w:p w:rsidR="00000000" w:rsidDel="00000000" w:rsidP="00000000" w:rsidRDefault="00000000" w:rsidRPr="00000000" w14:paraId="0000003A">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research aims</w:t>
      </w:r>
      <w:r w:rsidDel="00000000" w:rsidR="00000000" w:rsidRPr="00000000">
        <w:rPr>
          <w:rFonts w:ascii="Times New Roman" w:cs="Times New Roman" w:eastAsia="Times New Roman" w:hAnsi="Times New Roman"/>
          <w:sz w:val="24"/>
          <w:szCs w:val="24"/>
          <w:highlight w:val="white"/>
          <w:rtl w:val="0"/>
        </w:rPr>
        <w:t xml:space="preserve"> to understand the current linguistic demands and  strategies being used in the public education sector in Caxias do Sul, due to the influx of migrant students from Venezuela, who do not speak Portuguese.</w:t>
      </w: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C">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Objectives</w:t>
      </w:r>
      <w:r w:rsidDel="00000000" w:rsidR="00000000" w:rsidRPr="00000000">
        <w:rPr>
          <w:rtl w:val="0"/>
        </w:rPr>
      </w:r>
    </w:p>
    <w:p w:rsidR="00000000" w:rsidDel="00000000" w:rsidP="00000000" w:rsidRDefault="00000000" w:rsidRPr="00000000" w14:paraId="0000003D">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3E">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research seeks to investigate </w:t>
      </w:r>
    </w:p>
    <w:p w:rsidR="00000000" w:rsidDel="00000000" w:rsidP="00000000" w:rsidRDefault="00000000" w:rsidRPr="00000000" w14:paraId="0000003F">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0">
      <w:pPr>
        <w:numPr>
          <w:ilvl w:val="0"/>
          <w:numId w:val="1"/>
        </w:numPr>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demographics of students who come from Venezuela and the languages spoken by them.</w:t>
      </w:r>
    </w:p>
    <w:p w:rsidR="00000000" w:rsidDel="00000000" w:rsidP="00000000" w:rsidRDefault="00000000" w:rsidRPr="00000000" w14:paraId="00000041">
      <w:pPr>
        <w:numPr>
          <w:ilvl w:val="0"/>
          <w:numId w:val="1"/>
        </w:numPr>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nature of actions that primary schools of the public sector take to support language barriers among students.</w:t>
      </w:r>
    </w:p>
    <w:p w:rsidR="00000000" w:rsidDel="00000000" w:rsidP="00000000" w:rsidRDefault="00000000" w:rsidRPr="00000000" w14:paraId="00000042">
      <w:pPr>
        <w:numPr>
          <w:ilvl w:val="0"/>
          <w:numId w:val="1"/>
        </w:numPr>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demands on teachers, families and students related to overcoming language struggles and supporting learning.</w:t>
      </w:r>
    </w:p>
    <w:p w:rsidR="00000000" w:rsidDel="00000000" w:rsidP="00000000" w:rsidRDefault="00000000" w:rsidRPr="00000000" w14:paraId="00000043">
      <w:pPr>
        <w:numPr>
          <w:ilvl w:val="0"/>
          <w:numId w:val="1"/>
        </w:numPr>
        <w:ind w:left="720" w:hanging="36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approach used in public primary schools towards language plurality.</w:t>
      </w:r>
    </w:p>
    <w:p w:rsidR="00000000" w:rsidDel="00000000" w:rsidP="00000000" w:rsidRDefault="00000000" w:rsidRPr="00000000" w14:paraId="00000044">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5">
      <w:pPr>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6">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Theoretical Framework</w:t>
      </w:r>
    </w:p>
    <w:p w:rsidR="00000000" w:rsidDel="00000000" w:rsidP="00000000" w:rsidRDefault="00000000" w:rsidRPr="00000000" w14:paraId="00000047">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8">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According to Baker (2011), when dealing with policies regarding immigrants’ languages or minority languages, there are usually two approaches taken by policymakers: assimilation and pluralism. Both involve social and economic questions, especially when dealing with bilingual education. The first affirms that the state tends to influence or even intervene in individuals’ values and culture as it dictates that ‘immigrants are expected to abandon their heritage language.’ (Baker 2011:391) By not having a policy where the immigrants’ language is used as a tool for communication, at school, for example, it is an extremely fast process where, especially for young children and teenagers, they will shift from their mother tongue into the main language, thus resulting in language shift. Baker (2011:391) suggests that this ideology tends to marginalize immigrants’ languages as policy makers see it as ‘divisive and potentially conflictive’. </w:t>
      </w:r>
    </w:p>
    <w:p w:rsidR="00000000" w:rsidDel="00000000" w:rsidP="00000000" w:rsidRDefault="00000000" w:rsidRPr="00000000" w14:paraId="00000049">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Baker (2011) brings up the term </w:t>
      </w:r>
      <w:r w:rsidDel="00000000" w:rsidR="00000000" w:rsidRPr="00000000">
        <w:rPr>
          <w:rFonts w:ascii="Times New Roman" w:cs="Times New Roman" w:eastAsia="Times New Roman" w:hAnsi="Times New Roman"/>
          <w:i w:val="1"/>
          <w:sz w:val="24"/>
          <w:szCs w:val="24"/>
          <w:highlight w:val="white"/>
          <w:rtl w:val="0"/>
        </w:rPr>
        <w:t xml:space="preserve">melting pot</w:t>
      </w:r>
      <w:r w:rsidDel="00000000" w:rsidR="00000000" w:rsidRPr="00000000">
        <w:rPr>
          <w:rFonts w:ascii="Times New Roman" w:cs="Times New Roman" w:eastAsia="Times New Roman" w:hAnsi="Times New Roman"/>
          <w:sz w:val="24"/>
          <w:szCs w:val="24"/>
          <w:highlight w:val="white"/>
          <w:rtl w:val="0"/>
        </w:rPr>
        <w:t xml:space="preserve"> (Dicker, 2003) which describes a situation where ‘diverse immigrant elements being merged to make a new homogenized whole’, thus every individual melts in a pot where there is one smooth substance, therefore one language. On the other hand, pluralism refers to the idea that immigrants’ languages and cultures are accepted and can be an asset to the whole community. The research will investigate the approach that is currently being used in the city regarding language plurality. By understanding how long Venezuelan immigrants have been in the country and included in the Brazilian education system, the research will be able to also show if the methodology of teaching applied in these circumstances has worked so far.  </w:t>
      </w:r>
    </w:p>
    <w:p w:rsidR="00000000" w:rsidDel="00000000" w:rsidP="00000000" w:rsidRDefault="00000000" w:rsidRPr="00000000" w14:paraId="0000004B">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C">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choice of public council schools was made due to the fact that immigrants, based primarily on economic factors, will normally send their children to public schools, which offer quality education free of charge. In Caxias do Sul there are council public schools and state public schools, the main difference being that the latter is run by the state and the first is run by the municipality. Another difference is that schools managed by the council offer education to young people up to 14-15 years old, whereas state-run schools go up to 18 years old. Thus, by focusing on city schools, which comprise </w:t>
      </w:r>
      <w:r w:rsidDel="00000000" w:rsidR="00000000" w:rsidRPr="00000000">
        <w:rPr>
          <w:rFonts w:ascii="Times New Roman" w:cs="Times New Roman" w:eastAsia="Times New Roman" w:hAnsi="Times New Roman"/>
          <w:i w:val="1"/>
          <w:sz w:val="24"/>
          <w:szCs w:val="24"/>
          <w:highlight w:val="white"/>
          <w:rtl w:val="0"/>
        </w:rPr>
        <w:t xml:space="preserve">Ensino Fundamental 1, </w:t>
      </w:r>
      <w:r w:rsidDel="00000000" w:rsidR="00000000" w:rsidRPr="00000000">
        <w:rPr>
          <w:rFonts w:ascii="Times New Roman" w:cs="Times New Roman" w:eastAsia="Times New Roman" w:hAnsi="Times New Roman"/>
          <w:sz w:val="24"/>
          <w:szCs w:val="24"/>
          <w:highlight w:val="white"/>
          <w:rtl w:val="0"/>
        </w:rPr>
        <w:t xml:space="preserve">students aged 6 to 10</w:t>
      </w:r>
      <w:r w:rsidDel="00000000" w:rsidR="00000000" w:rsidRPr="00000000">
        <w:rPr>
          <w:rFonts w:ascii="Times New Roman" w:cs="Times New Roman" w:eastAsia="Times New Roman" w:hAnsi="Times New Roman"/>
          <w:sz w:val="24"/>
          <w:szCs w:val="24"/>
          <w:highlight w:val="white"/>
          <w:rtl w:val="0"/>
        </w:rPr>
        <w:t xml:space="preserve"> and </w:t>
      </w:r>
      <w:r w:rsidDel="00000000" w:rsidR="00000000" w:rsidRPr="00000000">
        <w:rPr>
          <w:rFonts w:ascii="Times New Roman" w:cs="Times New Roman" w:eastAsia="Times New Roman" w:hAnsi="Times New Roman"/>
          <w:i w:val="1"/>
          <w:sz w:val="24"/>
          <w:szCs w:val="24"/>
          <w:highlight w:val="white"/>
          <w:rtl w:val="0"/>
        </w:rPr>
        <w:t xml:space="preserve">Ensino Fundamental 2</w:t>
      </w:r>
      <w:r w:rsidDel="00000000" w:rsidR="00000000" w:rsidRPr="00000000">
        <w:rPr>
          <w:rFonts w:ascii="Times New Roman" w:cs="Times New Roman" w:eastAsia="Times New Roman" w:hAnsi="Times New Roman"/>
          <w:sz w:val="24"/>
          <w:szCs w:val="24"/>
          <w:highlight w:val="white"/>
          <w:rtl w:val="0"/>
        </w:rPr>
        <w:t xml:space="preserve"> students aged 11 to 15 years old, the investigation will help have a clear view of the education system. The research project can help understand the linguistic reality faced by migrant students in Caxias do Sul, with the possibility of improving the education quality and support to teachers, students and families alike.</w:t>
      </w:r>
    </w:p>
    <w:p w:rsidR="00000000" w:rsidDel="00000000" w:rsidP="00000000" w:rsidRDefault="00000000" w:rsidRPr="00000000" w14:paraId="0000004D">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E">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Methodology</w:t>
      </w:r>
    </w:p>
    <w:p w:rsidR="00000000" w:rsidDel="00000000" w:rsidP="00000000" w:rsidRDefault="00000000" w:rsidRPr="00000000" w14:paraId="0000004F">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0">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research will adopt both qualitative and quantitative approaches. By using different paths, it will, hopefully, ‘lead to (the) confirmation of the findings from different sources of data.’ (Bell &amp; Waters, 2018: 25). The choice of using different research methods comes as a solid collection of data that will enable in-depth analyses surrounding the linguistic and cultural challenges faced by schools, teachers, and families. The use of mixed methods can help grasping both the demographics, as well as giving a sound overall understanding of the way people feel and perceive this reality. Thus, undertaking the research through a methodological triangulation, which is the combination of qualitative and quantitative data, leads to findings that can be better understood and the information can be crossed over. </w:t>
      </w:r>
    </w:p>
    <w:p w:rsidR="00000000" w:rsidDel="00000000" w:rsidP="00000000" w:rsidRDefault="00000000" w:rsidRPr="00000000" w14:paraId="00000051">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2">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According to Bell &amp; Waters (2018:140), methodological triangulation leads to an increase in </w:t>
      </w:r>
      <w:r w:rsidDel="00000000" w:rsidR="00000000" w:rsidRPr="00000000">
        <w:rPr>
          <w:rFonts w:ascii="Times New Roman" w:cs="Times New Roman" w:eastAsia="Times New Roman" w:hAnsi="Times New Roman"/>
          <w:i w:val="1"/>
          <w:sz w:val="24"/>
          <w:szCs w:val="24"/>
          <w:highlight w:val="white"/>
          <w:rtl w:val="0"/>
        </w:rPr>
        <w:t xml:space="preserve">validity</w:t>
      </w:r>
      <w:r w:rsidDel="00000000" w:rsidR="00000000" w:rsidRPr="00000000">
        <w:rPr>
          <w:rFonts w:ascii="Times New Roman" w:cs="Times New Roman" w:eastAsia="Times New Roman" w:hAnsi="Times New Roman"/>
          <w:sz w:val="24"/>
          <w:szCs w:val="24"/>
          <w:highlight w:val="white"/>
          <w:rtl w:val="0"/>
        </w:rPr>
        <w:t xml:space="preserve"> that ‘reflects the reality it claims to represent’ and </w:t>
      </w:r>
      <w:r w:rsidDel="00000000" w:rsidR="00000000" w:rsidRPr="00000000">
        <w:rPr>
          <w:rFonts w:ascii="Times New Roman" w:cs="Times New Roman" w:eastAsia="Times New Roman" w:hAnsi="Times New Roman"/>
          <w:i w:val="1"/>
          <w:sz w:val="24"/>
          <w:szCs w:val="24"/>
          <w:highlight w:val="white"/>
          <w:rtl w:val="0"/>
        </w:rPr>
        <w:t xml:space="preserve">reliability</w:t>
      </w:r>
      <w:r w:rsidDel="00000000" w:rsidR="00000000" w:rsidRPr="00000000">
        <w:rPr>
          <w:rFonts w:ascii="Times New Roman" w:cs="Times New Roman" w:eastAsia="Times New Roman" w:hAnsi="Times New Roman"/>
          <w:sz w:val="24"/>
          <w:szCs w:val="24"/>
          <w:highlight w:val="white"/>
          <w:rtl w:val="0"/>
        </w:rPr>
        <w:t xml:space="preserve"> that is ‘the extent to which an assessment tool, method or procedure produces stable and consistent results under constant conditions on all occasions.’ The use of questionnaires (quantitative method), interviews and observation (qualitative method) will enable ‘the </w:t>
      </w:r>
      <w:r w:rsidDel="00000000" w:rsidR="00000000" w:rsidRPr="00000000">
        <w:rPr>
          <w:rFonts w:ascii="Times New Roman" w:cs="Times New Roman" w:eastAsia="Times New Roman" w:hAnsi="Times New Roman"/>
          <w:sz w:val="24"/>
          <w:szCs w:val="24"/>
          <w:highlight w:val="white"/>
          <w:rtl w:val="0"/>
        </w:rPr>
        <w:t xml:space="preserve">researcher reach</w:t>
      </w:r>
      <w:r w:rsidDel="00000000" w:rsidR="00000000" w:rsidRPr="00000000">
        <w:rPr>
          <w:rFonts w:ascii="Times New Roman" w:cs="Times New Roman" w:eastAsia="Times New Roman" w:hAnsi="Times New Roman"/>
          <w:sz w:val="24"/>
          <w:szCs w:val="24"/>
          <w:highlight w:val="white"/>
          <w:rtl w:val="0"/>
        </w:rPr>
        <w:t xml:space="preserve"> a more comprehensive understanding of the topic and reduce the weakness of using either method on its own.’ (Bell &amp; Waters, 2018:25)</w:t>
      </w:r>
    </w:p>
    <w:p w:rsidR="00000000" w:rsidDel="00000000" w:rsidP="00000000" w:rsidRDefault="00000000" w:rsidRPr="00000000" w14:paraId="00000053">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54">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Research </w:t>
      </w:r>
      <w:r w:rsidDel="00000000" w:rsidR="00000000" w:rsidRPr="00000000">
        <w:rPr>
          <w:rFonts w:ascii="Times New Roman" w:cs="Times New Roman" w:eastAsia="Times New Roman" w:hAnsi="Times New Roman"/>
          <w:i w:val="1"/>
          <w:sz w:val="24"/>
          <w:szCs w:val="24"/>
          <w:highlight w:val="white"/>
          <w:rtl w:val="0"/>
        </w:rPr>
        <w:t xml:space="preserve">Methods</w:t>
      </w:r>
    </w:p>
    <w:p w:rsidR="00000000" w:rsidDel="00000000" w:rsidP="00000000" w:rsidRDefault="00000000" w:rsidRPr="00000000" w14:paraId="00000055">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56">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Quantitative - </w:t>
      </w:r>
      <w:r w:rsidDel="00000000" w:rsidR="00000000" w:rsidRPr="00000000">
        <w:rPr>
          <w:rFonts w:ascii="Times New Roman" w:cs="Times New Roman" w:eastAsia="Times New Roman" w:hAnsi="Times New Roman"/>
          <w:i w:val="1"/>
          <w:sz w:val="24"/>
          <w:szCs w:val="24"/>
          <w:highlight w:val="white"/>
          <w:rtl w:val="0"/>
        </w:rPr>
        <w:t xml:space="preserve">Questionnaires</w:t>
      </w:r>
    </w:p>
    <w:p w:rsidR="00000000" w:rsidDel="00000000" w:rsidP="00000000" w:rsidRDefault="00000000" w:rsidRPr="00000000" w14:paraId="00000057">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8">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order to obtain objective, far-reaching survey data, the research will involve questionnaires that will provide, according to Moser and Kalton (1971)  the ‘demographic characteristics’ as well as ‘the opinions and attitudes of some group of people’. Taking advantage of the easy accessibility and reachability of online surveys, the questionnaires will be carried out using Microsoft Forms, which as well as facilitating the access, there is no need to print out the questionnaires. The questionnaire will contain both closed-ended questions to gather information such as demographics - number of students at school, age groups, the origin of migrant students, the languages spoken by them (as many Venezuelans speak indigenous languages), number of years living in Brazil and in Caxias do Sul. This information will be acquired by having a variety of question types, as listed by Bell &amp; Waters (2018) including lists, ranking, quantity and categories. Also, the survey will include open-ended questions that will provide a more detailed overview regarding personal perceptions and experiences of the education system in Caxias do Sul. By using both open and closed questions, the data collected will contain information that can be crossed over and </w:t>
      </w:r>
      <w:r w:rsidDel="00000000" w:rsidR="00000000" w:rsidRPr="00000000">
        <w:rPr>
          <w:rFonts w:ascii="Times New Roman" w:cs="Times New Roman" w:eastAsia="Times New Roman" w:hAnsi="Times New Roman"/>
          <w:sz w:val="24"/>
          <w:szCs w:val="24"/>
          <w:highlight w:val="white"/>
          <w:rtl w:val="0"/>
        </w:rPr>
        <w:t xml:space="preserve">analysed</w:t>
      </w:r>
      <w:r w:rsidDel="00000000" w:rsidR="00000000" w:rsidRPr="00000000">
        <w:rPr>
          <w:rFonts w:ascii="Times New Roman" w:cs="Times New Roman" w:eastAsia="Times New Roman" w:hAnsi="Times New Roman"/>
          <w:sz w:val="24"/>
          <w:szCs w:val="24"/>
          <w:highlight w:val="white"/>
          <w:rtl w:val="0"/>
        </w:rPr>
        <w:t xml:space="preserve"> posteriorly. </w:t>
      </w:r>
    </w:p>
    <w:p w:rsidR="00000000" w:rsidDel="00000000" w:rsidP="00000000" w:rsidRDefault="00000000" w:rsidRPr="00000000" w14:paraId="00000059">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A">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Before sending out all the questionnaires to the chosen population, it is crucial, as stated by Bell &amp; Waters (2018) to pilot a survey as it enables the identification of any question that may be leading or presuming or even offensive. Piloting can also help the researcher understand if the questionnaire is too long,  not clear enough, or whether some adjustments to the language used are required. From the piloting results and by analyzing participants’ answers, any amends to the questionnaire can be made before the final version of the survey is sent out. The pilot for each questionnaire respectively will be done with some school headmasters, as well as some teachers and professional acquaintances who are Spanish speakers. </w:t>
      </w:r>
    </w:p>
    <w:p w:rsidR="00000000" w:rsidDel="00000000" w:rsidP="00000000" w:rsidRDefault="00000000" w:rsidRPr="00000000" w14:paraId="0000005B">
      <w:pPr>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5C">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questionnaires will be the starting point for this research as they will provide crucial information from which the other methods will derive. It is important to pinpoint that confidentiality will be preserved during the whole research process. The investigation will comply with the University of Wales Trinity Saint David’s </w:t>
      </w:r>
      <w:r w:rsidDel="00000000" w:rsidR="00000000" w:rsidRPr="00000000">
        <w:rPr>
          <w:rFonts w:ascii="Times New Roman" w:cs="Times New Roman" w:eastAsia="Times New Roman" w:hAnsi="Times New Roman"/>
          <w:sz w:val="24"/>
          <w:szCs w:val="24"/>
          <w:highlight w:val="white"/>
          <w:rtl w:val="0"/>
        </w:rPr>
        <w:t xml:space="preserve">Research Ethics Committee as well as the Confidentiality Term for researches carried out in Brazil and attached to the </w:t>
      </w:r>
      <w:r w:rsidDel="00000000" w:rsidR="00000000" w:rsidRPr="00000000">
        <w:rPr>
          <w:rFonts w:ascii="Times New Roman" w:cs="Times New Roman" w:eastAsia="Times New Roman" w:hAnsi="Times New Roman"/>
          <w:i w:val="1"/>
          <w:sz w:val="24"/>
          <w:szCs w:val="24"/>
          <w:highlight w:val="white"/>
          <w:rtl w:val="0"/>
        </w:rPr>
        <w:t xml:space="preserve">Plataforma Brasil, </w:t>
      </w:r>
      <w:r w:rsidDel="00000000" w:rsidR="00000000" w:rsidRPr="00000000">
        <w:rPr>
          <w:rFonts w:ascii="Times New Roman" w:cs="Times New Roman" w:eastAsia="Times New Roman" w:hAnsi="Times New Roman"/>
          <w:sz w:val="24"/>
          <w:szCs w:val="24"/>
          <w:highlight w:val="white"/>
          <w:rtl w:val="0"/>
        </w:rPr>
        <w:t xml:space="preserve">in conformity with the Brazilian requirements. Bell and Waters discuss the idea that the terms confidentiality and anonymity can sometimes be misunderstood and that can lead to a breach of Ethics. </w:t>
      </w:r>
      <w:r w:rsidDel="00000000" w:rsidR="00000000" w:rsidRPr="00000000">
        <w:rPr>
          <w:rFonts w:ascii="Times New Roman" w:cs="Times New Roman" w:eastAsia="Times New Roman" w:hAnsi="Times New Roman"/>
          <w:sz w:val="24"/>
          <w:szCs w:val="24"/>
          <w:highlight w:val="white"/>
          <w:rtl w:val="0"/>
        </w:rPr>
        <w:t xml:space="preserve">By confidentiality, Bell &amp; Waters (2018) state that it is a promise made to the participants that they won’t be identifiable anywhere in the research. However, to carry out interviews later on in the process, it is important to pinpoint that the questionnaires cannot be anonymous, as the name of the person needs to be known so that the researcher can invite the participant for an interview if necessary. </w:t>
      </w:r>
    </w:p>
    <w:p w:rsidR="00000000" w:rsidDel="00000000" w:rsidP="00000000" w:rsidRDefault="00000000" w:rsidRPr="00000000" w14:paraId="0000005D">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E">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To make sure the investigation is both reliable and valid there are going to be three questionnaires, each one destined to the different population. The reason to do so is based on the information needed from each one of the groups and each one will reflect each of the population's reality. Below is highlighted some examples of the sort of questions that will be asked in each questionnaire:</w:t>
      </w:r>
    </w:p>
    <w:p w:rsidR="00000000" w:rsidDel="00000000" w:rsidP="00000000" w:rsidRDefault="00000000" w:rsidRPr="00000000" w14:paraId="0000005F">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 school headmasters: demographics - number of immigrants, ages, school year, origin; perceptions - main difficulties encountered, support available, etc;</w:t>
      </w:r>
    </w:p>
    <w:p w:rsidR="00000000" w:rsidDel="00000000" w:rsidP="00000000" w:rsidRDefault="00000000" w:rsidRPr="00000000" w14:paraId="00000060">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 teachers: demographics - teaching subject, school year, years of teaching; perceptions -  strategies on dealing with language barrier, main difficulties, support available, demands from students;</w:t>
      </w:r>
    </w:p>
    <w:p w:rsidR="00000000" w:rsidDel="00000000" w:rsidP="00000000" w:rsidRDefault="00000000" w:rsidRPr="00000000" w14:paraId="00000061">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 families: demographics - origin, language, time living in Brazil, occupation, child/children’s ages; perceptions - support received upon arrival, language difficulties encountered, support child’s learning. </w:t>
      </w:r>
    </w:p>
    <w:p w:rsidR="00000000" w:rsidDel="00000000" w:rsidP="00000000" w:rsidRDefault="00000000" w:rsidRPr="00000000" w14:paraId="00000062">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3">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It is mandatory to obtain authorization to carry out the research at the schools and this will be done previously by contacting the Local Education Authority - SMED (Secretaria Municipal de Educação). Initially, questionnaires will be sent to all school headmasters via email. After getting the surveys back, data will be evaluated in order to select some schools. The criteria for selecting the schools will be made based on the larger population of immigrants. Once the selection has been made, the questionnaires will be sent to school staff and families. It is important to note that the questionnaires sent out to families will be bilingual, namely Spanish/Portuguese.</w:t>
      </w:r>
    </w:p>
    <w:p w:rsidR="00000000" w:rsidDel="00000000" w:rsidP="00000000" w:rsidRDefault="00000000" w:rsidRPr="00000000" w14:paraId="00000064">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65">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Qualitative Methods - Semi-structured interviews</w:t>
      </w:r>
    </w:p>
    <w:p w:rsidR="00000000" w:rsidDel="00000000" w:rsidP="00000000" w:rsidRDefault="00000000" w:rsidRPr="00000000" w14:paraId="00000066">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7">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After getting the questionnaires back from teachers and families, some will be invited for interviews. The criteria for choosing the interviewees will be made by trying to sample participants to obtain the representativeness of the sample. The interviews for teachers and families will be held separately, so each group will be more at ease. Teachers will be selected from different schools, varying from the school year they teach as well as the subjects they teach. Families will be chosen from different schools, with children in different school years and the amount of time that they have been living in the region. By having a stratified sample, the sub-groups will be established, ‘allowing the selection of individuals making sure that every sub-component is a representative percentage of the whole’ (Lewis, 2014). By doing so, the interviews will help get information that will reflect the wider community. For this, the choice of conducting semi-structured interviews will allow participants to express their feelings and opinions according to the reality of each individual in the group. Interviews have a major advantage as they are adaptable and can provide flexibility to “other important information (that) can still arise.’ (Dawson, 2019:58) This type of interview, according to Bell and Waters (2018) requires previous preparation of a schedule, which will allow the researcher to access information easily, summarize them to further </w:t>
      </w:r>
      <w:r w:rsidDel="00000000" w:rsidR="00000000" w:rsidRPr="00000000">
        <w:rPr>
          <w:rFonts w:ascii="Times New Roman" w:cs="Times New Roman" w:eastAsia="Times New Roman" w:hAnsi="Times New Roman"/>
          <w:sz w:val="24"/>
          <w:szCs w:val="24"/>
          <w:highlight w:val="white"/>
          <w:rtl w:val="0"/>
        </w:rPr>
        <w:t xml:space="preserve">analyse</w:t>
      </w:r>
      <w:r w:rsidDel="00000000" w:rsidR="00000000" w:rsidRPr="00000000">
        <w:rPr>
          <w:rFonts w:ascii="Times New Roman" w:cs="Times New Roman" w:eastAsia="Times New Roman" w:hAnsi="Times New Roman"/>
          <w:sz w:val="24"/>
          <w:szCs w:val="24"/>
          <w:highlight w:val="white"/>
          <w:rtl w:val="0"/>
        </w:rPr>
        <w:t xml:space="preserve"> the answers or comments. Through interviewees’ tone of voice, facial expression and even hesitation observed during the interviews, further information can be obtained where, perhaps, a written response wouldn't give. This can be achieved by establishing rapport where the participants will feel respected and treated with respect. (Dawson, 2019)</w:t>
      </w:r>
    </w:p>
    <w:p w:rsidR="00000000" w:rsidDel="00000000" w:rsidP="00000000" w:rsidRDefault="00000000" w:rsidRPr="00000000" w14:paraId="0000006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For this investigation, interviews will surely be an important method to further collect qualitative information. However, it is important to point out that a weakness this method presents is that if care is not taken, answers are highly subjective and, for its nature, there could be a danger of bias between questioning and interpreting. Shipman (1972) points out that 'the eager researcher will get the answers he wants'. This might happen when the participants, for one reason or the other, may feel that they have to 'please' the interviewer, or have to answer questions according to what is considered 'best practice' or even by a vague antagonism between the interviewer and respondents. For this, Bell &amp; Waters (2018; pg. 211) suggest that the language used during the interviews 'has to be understandable to the respondents.'</w:t>
      </w:r>
    </w:p>
    <w:p w:rsidR="00000000" w:rsidDel="00000000" w:rsidP="00000000" w:rsidRDefault="00000000" w:rsidRPr="00000000" w14:paraId="0000006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Obtaining informed consent will also be </w:t>
      </w:r>
      <w:r w:rsidDel="00000000" w:rsidR="00000000" w:rsidRPr="00000000">
        <w:rPr>
          <w:rFonts w:ascii="Times New Roman" w:cs="Times New Roman" w:eastAsia="Times New Roman" w:hAnsi="Times New Roman"/>
          <w:sz w:val="24"/>
          <w:szCs w:val="24"/>
          <w:highlight w:val="white"/>
          <w:rtl w:val="0"/>
        </w:rPr>
        <w:t xml:space="preserve">necessary and</w:t>
      </w:r>
      <w:r w:rsidDel="00000000" w:rsidR="00000000" w:rsidRPr="00000000">
        <w:rPr>
          <w:rFonts w:ascii="Times New Roman" w:cs="Times New Roman" w:eastAsia="Times New Roman" w:hAnsi="Times New Roman"/>
          <w:sz w:val="24"/>
          <w:szCs w:val="24"/>
          <w:highlight w:val="white"/>
          <w:rtl w:val="0"/>
        </w:rPr>
        <w:t xml:space="preserve">, following Bell &amp; Waters advice. Consentment forms will be sent before the interview so that 'respondents have an opportunity to query the meaning and implications of any statements - and even withdraw at that stage' (Bell &amp; Waters 2018: 211). This step is important to ensure that participants understand their rule on the research and the interviewer also comprehends the responsibility involved in interviewing people.</w:t>
      </w:r>
    </w:p>
    <w:p w:rsidR="00000000" w:rsidDel="00000000" w:rsidP="00000000" w:rsidRDefault="00000000" w:rsidRPr="00000000" w14:paraId="0000006C">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D">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Practical issues such as </w:t>
      </w:r>
      <w:r w:rsidDel="00000000" w:rsidR="00000000" w:rsidRPr="00000000">
        <w:rPr>
          <w:rFonts w:ascii="Times New Roman" w:cs="Times New Roman" w:eastAsia="Times New Roman" w:hAnsi="Times New Roman"/>
          <w:sz w:val="24"/>
          <w:szCs w:val="24"/>
          <w:highlight w:val="white"/>
          <w:rtl w:val="0"/>
        </w:rPr>
        <w:t xml:space="preserve">travelling</w:t>
      </w:r>
      <w:r w:rsidDel="00000000" w:rsidR="00000000" w:rsidRPr="00000000">
        <w:rPr>
          <w:rFonts w:ascii="Times New Roman" w:cs="Times New Roman" w:eastAsia="Times New Roman" w:hAnsi="Times New Roman"/>
          <w:sz w:val="24"/>
          <w:szCs w:val="24"/>
          <w:highlight w:val="white"/>
          <w:rtl w:val="0"/>
        </w:rPr>
        <w:t xml:space="preserve"> to and from the schools where interviews will take place will also have to be thought about as it requires time and the expenditure of funds. Due to the nature of the COVID-19 pandemic, it is important to emphasize that there might be restrictions on gathering people together for the interviews. In this case, interviews could be carried out online using specific platforms for this end as Zoom, Google Meet and Skype. If the interviews happen online there is the possibility of recording them, if agreed previously. The interview with parents might be carried out in Spanish, according to the language requirements of the participants. </w:t>
      </w:r>
    </w:p>
    <w:p w:rsidR="00000000" w:rsidDel="00000000" w:rsidP="00000000" w:rsidRDefault="00000000" w:rsidRPr="00000000" w14:paraId="0000006E">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6F">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During the interviews, codes of practice will be observed and participants will be made aware of their rights and the researcher’s responsibilities when conducting interviews. The interviews will be recorded to facilitate the access of information later on without the interviewer having to try and write everything down, thus allowing the interviewer to be more focused on listening than writing down all the information, as it will be able to be accessed posteriorly.  </w:t>
      </w:r>
    </w:p>
    <w:p w:rsidR="00000000" w:rsidDel="00000000" w:rsidP="00000000" w:rsidRDefault="00000000" w:rsidRPr="00000000" w14:paraId="00000070">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1">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Observations: </w:t>
      </w:r>
    </w:p>
    <w:p w:rsidR="00000000" w:rsidDel="00000000" w:rsidP="00000000" w:rsidRDefault="00000000" w:rsidRPr="00000000" w14:paraId="00000072">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3">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Ethnography is the field in research in which the researcher immerses into the community to observe </w:t>
      </w:r>
      <w:r w:rsidDel="00000000" w:rsidR="00000000" w:rsidRPr="00000000">
        <w:rPr>
          <w:rFonts w:ascii="Times New Roman" w:cs="Times New Roman" w:eastAsia="Times New Roman" w:hAnsi="Times New Roman"/>
          <w:sz w:val="24"/>
          <w:szCs w:val="24"/>
          <w:highlight w:val="white"/>
          <w:rtl w:val="0"/>
        </w:rPr>
        <w:t xml:space="preserve">behaviour</w:t>
      </w:r>
      <w:r w:rsidDel="00000000" w:rsidR="00000000" w:rsidRPr="00000000">
        <w:rPr>
          <w:rFonts w:ascii="Times New Roman" w:cs="Times New Roman" w:eastAsia="Times New Roman" w:hAnsi="Times New Roman"/>
          <w:sz w:val="24"/>
          <w:szCs w:val="24"/>
          <w:highlight w:val="white"/>
          <w:rtl w:val="0"/>
        </w:rPr>
        <w:t xml:space="preserve"> and interactions among participants. For this research, non-participant, structured observations will be carried out in order to understand how the language barrier is being dealt with and/or supported in the classroom. The aim of the observations is to witness the linguistic interaction, in the learning environment, between an immigrant student who is not a Portuguese speaker with his teachers and classmates and vice versa. In order to keep the focus on the interactions among participants, the observer will not interact, thus avoiding any kind of bias. Choosing the non-participant observation route will help keep focus and, as Denscombe (2010) points out ‘those being studied will not be aware of the research or their role in it.’ Notes taken from the observations will be evaluated and represent a fundamental additional contribution to this investigation.</w:t>
      </w:r>
    </w:p>
    <w:p w:rsidR="00000000" w:rsidDel="00000000" w:rsidP="00000000" w:rsidRDefault="00000000" w:rsidRPr="00000000" w14:paraId="00000074">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5">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Documented Evidence: </w:t>
      </w:r>
    </w:p>
    <w:p w:rsidR="00000000" w:rsidDel="00000000" w:rsidP="00000000" w:rsidRDefault="00000000" w:rsidRPr="00000000" w14:paraId="00000076">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7">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research will not use documented evidence as it is a subject that has not been widely researched before. There are some papers written in terms of the impact of migrants in Brazilian society, such as </w:t>
      </w:r>
      <w:r w:rsidDel="00000000" w:rsidR="00000000" w:rsidRPr="00000000">
        <w:rPr>
          <w:rFonts w:ascii="Times New Roman" w:cs="Times New Roman" w:eastAsia="Times New Roman" w:hAnsi="Times New Roman"/>
          <w:i w:val="1"/>
          <w:sz w:val="24"/>
          <w:szCs w:val="24"/>
          <w:highlight w:val="white"/>
          <w:rtl w:val="0"/>
        </w:rPr>
        <w:t xml:space="preserve">Economic and Fiscal Impacts of Venezuelan Refugees and Migrants in Brazil;  </w:t>
      </w:r>
      <w:r w:rsidDel="00000000" w:rsidR="00000000" w:rsidRPr="00000000">
        <w:rPr>
          <w:rFonts w:ascii="Times New Roman" w:cs="Times New Roman" w:eastAsia="Times New Roman" w:hAnsi="Times New Roman"/>
          <w:sz w:val="24"/>
          <w:szCs w:val="24"/>
          <w:highlight w:val="white"/>
          <w:rtl w:val="0"/>
        </w:rPr>
        <w:t xml:space="preserve">however, from an educational point of view, there is not much documentation available. In terms of demographics, it is important to point out that IBGE (Brazilian Institute for Geography and Statistics), the institution responsible for the national Census in Brazil, took the last Census in 2010, so the information regarding access to education, among all the other crucial information regarding the population of Brazil has not been updated since, thus, making it difficult to know exactly the numbers and how they impact people's daily lives. Documentation will be part of the research, but it will not be essential. </w:t>
      </w:r>
    </w:p>
    <w:p w:rsidR="00000000" w:rsidDel="00000000" w:rsidP="00000000" w:rsidRDefault="00000000" w:rsidRPr="00000000" w14:paraId="0000007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9">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Sample groups: </w:t>
      </w:r>
    </w:p>
    <w:p w:rsidR="00000000" w:rsidDel="00000000" w:rsidP="00000000" w:rsidRDefault="00000000" w:rsidRPr="00000000" w14:paraId="0000007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Sampling and choosing the participants for the research is extremely important, as they represent ‘the views and attitudes of the groups of people whom you hope to apply your </w:t>
      </w:r>
      <w:r w:rsidDel="00000000" w:rsidR="00000000" w:rsidRPr="00000000">
        <w:rPr>
          <w:rFonts w:ascii="Times New Roman" w:cs="Times New Roman" w:eastAsia="Times New Roman" w:hAnsi="Times New Roman"/>
          <w:sz w:val="24"/>
          <w:szCs w:val="24"/>
          <w:highlight w:val="white"/>
          <w:rtl w:val="0"/>
        </w:rPr>
        <w:t xml:space="preserve">research</w:t>
      </w:r>
      <w:r w:rsidDel="00000000" w:rsidR="00000000" w:rsidRPr="00000000">
        <w:rPr>
          <w:rFonts w:ascii="Times New Roman" w:cs="Times New Roman" w:eastAsia="Times New Roman" w:hAnsi="Times New Roman"/>
          <w:sz w:val="24"/>
          <w:szCs w:val="24"/>
          <w:highlight w:val="white"/>
          <w:rtl w:val="0"/>
        </w:rPr>
        <w:t xml:space="preserve">.’ (Dawson 2019:43) The contrary can lead to misleading results. This could happen in this research if, for instance, the sampling group was only to include schools in the city </w:t>
      </w:r>
      <w:r w:rsidDel="00000000" w:rsidR="00000000" w:rsidRPr="00000000">
        <w:rPr>
          <w:rFonts w:ascii="Times New Roman" w:cs="Times New Roman" w:eastAsia="Times New Roman" w:hAnsi="Times New Roman"/>
          <w:sz w:val="24"/>
          <w:szCs w:val="24"/>
          <w:highlight w:val="white"/>
          <w:rtl w:val="0"/>
        </w:rPr>
        <w:t xml:space="preserve">centre</w:t>
      </w:r>
      <w:r w:rsidDel="00000000" w:rsidR="00000000" w:rsidRPr="00000000">
        <w:rPr>
          <w:rFonts w:ascii="Times New Roman" w:cs="Times New Roman" w:eastAsia="Times New Roman" w:hAnsi="Times New Roman"/>
          <w:sz w:val="24"/>
          <w:szCs w:val="24"/>
          <w:highlight w:val="white"/>
          <w:rtl w:val="0"/>
        </w:rPr>
        <w:t xml:space="preserve"> and not on the peripheries of the city, where, for economic reasons, the majority of migrants study. For the initial part of the research, the chosen sample will be a probability sample as all the school principals from all city schools will be contacted. From their responses, the sample size will be known, allowing the usage of purposive sample, based on the schools where there is a higher number of non-Portuguese speakers. The data from the second questionnaire, which will be sent out to teachers and families from the selected schools, will be </w:t>
      </w:r>
      <w:r w:rsidDel="00000000" w:rsidR="00000000" w:rsidRPr="00000000">
        <w:rPr>
          <w:rFonts w:ascii="Times New Roman" w:cs="Times New Roman" w:eastAsia="Times New Roman" w:hAnsi="Times New Roman"/>
          <w:sz w:val="24"/>
          <w:szCs w:val="24"/>
          <w:highlight w:val="white"/>
          <w:rtl w:val="0"/>
        </w:rPr>
        <w:t xml:space="preserve">analysed</w:t>
      </w:r>
      <w:r w:rsidDel="00000000" w:rsidR="00000000" w:rsidRPr="00000000">
        <w:rPr>
          <w:rFonts w:ascii="Times New Roman" w:cs="Times New Roman" w:eastAsia="Times New Roman" w:hAnsi="Times New Roman"/>
          <w:sz w:val="24"/>
          <w:szCs w:val="24"/>
          <w:highlight w:val="white"/>
          <w:rtl w:val="0"/>
        </w:rPr>
        <w:t xml:space="preserve">, and, taking samples using the criteria established previously, participants will be invited to take part in the interview.</w:t>
      </w:r>
    </w:p>
    <w:p w:rsidR="00000000" w:rsidDel="00000000" w:rsidP="00000000" w:rsidRDefault="00000000" w:rsidRPr="00000000" w14:paraId="0000007C">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D">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By investigating the reality of education for teachers, families and above all migrant students, one can have a clearer understanding of how language is being dealt with and what help there is to support the newcomers. Many questions have arisen when writing this research project and it will, hopefully, address some issues in the best possible way to welcome, integrate and support migrants. </w:t>
      </w:r>
    </w:p>
    <w:p w:rsidR="00000000" w:rsidDel="00000000" w:rsidP="00000000" w:rsidRDefault="00000000" w:rsidRPr="00000000" w14:paraId="0000007E">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F">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80">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Timetable:</w:t>
      </w:r>
    </w:p>
    <w:p w:rsidR="00000000" w:rsidDel="00000000" w:rsidP="00000000" w:rsidRDefault="00000000" w:rsidRPr="00000000" w14:paraId="00000081">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2">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Below is a detailed schedule of the actions to be taken during the research. Some extra time has been allowed to tackle each task.</w:t>
      </w:r>
    </w:p>
    <w:p w:rsidR="00000000" w:rsidDel="00000000" w:rsidP="00000000" w:rsidRDefault="00000000" w:rsidRPr="00000000" w14:paraId="00000083">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4">
      <w:pPr>
        <w:jc w:val="both"/>
        <w:rPr>
          <w:rFonts w:ascii="Times New Roman" w:cs="Times New Roman" w:eastAsia="Times New Roman" w:hAnsi="Times New Roman"/>
          <w:sz w:val="24"/>
          <w:szCs w:val="24"/>
          <w:highlight w:val="white"/>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DATE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ACTION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14th to 26th February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Develop and pilot questionnaire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27th and 28th February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Analyse</w:t>
            </w:r>
            <w:r w:rsidDel="00000000" w:rsidR="00000000" w:rsidRPr="00000000">
              <w:rPr>
                <w:rFonts w:ascii="Times New Roman" w:cs="Times New Roman" w:eastAsia="Times New Roman" w:hAnsi="Times New Roman"/>
                <w:sz w:val="24"/>
                <w:szCs w:val="24"/>
                <w:highlight w:val="white"/>
                <w:rtl w:val="0"/>
              </w:rPr>
              <w:t xml:space="preserve"> and amend the questionnaires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1st to 19th March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Send out questionnaires to headmasters of schools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21st to 26th March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Analyse</w:t>
            </w:r>
            <w:r w:rsidDel="00000000" w:rsidR="00000000" w:rsidRPr="00000000">
              <w:rPr>
                <w:rFonts w:ascii="Times New Roman" w:cs="Times New Roman" w:eastAsia="Times New Roman" w:hAnsi="Times New Roman"/>
                <w:sz w:val="24"/>
                <w:szCs w:val="24"/>
                <w:highlight w:val="white"/>
                <w:rtl w:val="0"/>
              </w:rPr>
              <w:t xml:space="preserve"> results and select schools with the highest number of migrant students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28th March to 30th April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Conduct the interviews. This can be adapted to online meetings, in case pandemic restrictions are still in place.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2nd May to 21st May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Conduct the non-participant observations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23rd May to 3rd June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Data input and Data analysis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6th June to 16th July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Write the report and prepare oral presentation</w:t>
            </w:r>
          </w:p>
        </w:tc>
      </w:tr>
    </w:tbl>
    <w:p w:rsidR="00000000" w:rsidDel="00000000" w:rsidP="00000000" w:rsidRDefault="00000000" w:rsidRPr="00000000" w14:paraId="00000097">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9">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B">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C">
      <w:pPr>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References:</w:t>
      </w:r>
    </w:p>
    <w:p w:rsidR="00000000" w:rsidDel="00000000" w:rsidP="00000000" w:rsidRDefault="00000000" w:rsidRPr="00000000" w14:paraId="0000009D">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9E">
      <w:pPr>
        <w:jc w:val="both"/>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9F">
      <w:pPr>
        <w:spacing w:line="276"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Baker, C. </w:t>
      </w:r>
      <w:r w:rsidDel="00000000" w:rsidR="00000000" w:rsidRPr="00000000">
        <w:rPr>
          <w:rFonts w:ascii="Times New Roman" w:cs="Times New Roman" w:eastAsia="Times New Roman" w:hAnsi="Times New Roman"/>
          <w:i w:val="1"/>
          <w:sz w:val="24"/>
          <w:szCs w:val="24"/>
          <w:highlight w:val="white"/>
          <w:rtl w:val="0"/>
        </w:rPr>
        <w:t xml:space="preserve">Foundations of Bilingual Education and Bilingualism</w:t>
      </w:r>
      <w:r w:rsidDel="00000000" w:rsidR="00000000" w:rsidRPr="00000000">
        <w:rPr>
          <w:rFonts w:ascii="Times New Roman" w:cs="Times New Roman" w:eastAsia="Times New Roman" w:hAnsi="Times New Roman"/>
          <w:sz w:val="24"/>
          <w:szCs w:val="24"/>
          <w:highlight w:val="white"/>
          <w:rtl w:val="0"/>
        </w:rPr>
        <w:t xml:space="preserve">. Bristol: Multilingual Matters, 2011. (5th edition).</w:t>
      </w:r>
    </w:p>
    <w:p w:rsidR="00000000" w:rsidDel="00000000" w:rsidP="00000000" w:rsidRDefault="00000000" w:rsidRPr="00000000" w14:paraId="000000A0">
      <w:pPr>
        <w:spacing w:line="276"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1">
      <w:pPr>
        <w:spacing w:line="276"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Bell, J. &amp; Waters, S. </w:t>
      </w:r>
      <w:r w:rsidDel="00000000" w:rsidR="00000000" w:rsidRPr="00000000">
        <w:rPr>
          <w:rFonts w:ascii="Times New Roman" w:cs="Times New Roman" w:eastAsia="Times New Roman" w:hAnsi="Times New Roman"/>
          <w:i w:val="1"/>
          <w:sz w:val="24"/>
          <w:szCs w:val="24"/>
          <w:highlight w:val="white"/>
          <w:rtl w:val="0"/>
        </w:rPr>
        <w:t xml:space="preserve">Doing your Research Project: A Guide for First-time Researchers</w:t>
      </w:r>
      <w:r w:rsidDel="00000000" w:rsidR="00000000" w:rsidRPr="00000000">
        <w:rPr>
          <w:rFonts w:ascii="Times New Roman" w:cs="Times New Roman" w:eastAsia="Times New Roman" w:hAnsi="Times New Roman"/>
          <w:sz w:val="24"/>
          <w:szCs w:val="24"/>
          <w:highlight w:val="white"/>
          <w:rtl w:val="0"/>
        </w:rPr>
        <w:t xml:space="preserve">. London: McGraw-Hill Education. 2018 (7th edition).</w:t>
      </w:r>
    </w:p>
    <w:p w:rsidR="00000000" w:rsidDel="00000000" w:rsidP="00000000" w:rsidRDefault="00000000" w:rsidRPr="00000000" w14:paraId="000000A2">
      <w:pPr>
        <w:spacing w:line="276"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3">
      <w:pPr>
        <w:spacing w:line="276"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Dawson, C. </w:t>
      </w:r>
      <w:r w:rsidDel="00000000" w:rsidR="00000000" w:rsidRPr="00000000">
        <w:rPr>
          <w:rFonts w:ascii="Times New Roman" w:cs="Times New Roman" w:eastAsia="Times New Roman" w:hAnsi="Times New Roman"/>
          <w:i w:val="1"/>
          <w:sz w:val="24"/>
          <w:szCs w:val="24"/>
          <w:highlight w:val="white"/>
          <w:rtl w:val="0"/>
        </w:rPr>
        <w:t xml:space="preserve">Introduction to Research Methods: A Practical Guide for Anyone Undertaking a Research Project</w:t>
      </w:r>
      <w:r w:rsidDel="00000000" w:rsidR="00000000" w:rsidRPr="00000000">
        <w:rPr>
          <w:rFonts w:ascii="Times New Roman" w:cs="Times New Roman" w:eastAsia="Times New Roman" w:hAnsi="Times New Roman"/>
          <w:sz w:val="24"/>
          <w:szCs w:val="24"/>
          <w:highlight w:val="white"/>
          <w:rtl w:val="0"/>
        </w:rPr>
        <w:t xml:space="preserve">. London: Robinson. 2019. (5th edition).</w:t>
      </w:r>
    </w:p>
    <w:p w:rsidR="00000000" w:rsidDel="00000000" w:rsidP="00000000" w:rsidRDefault="00000000" w:rsidRPr="00000000" w14:paraId="000000A4">
      <w:pPr>
        <w:spacing w:line="276"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5">
      <w:pPr>
        <w:spacing w:line="276"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Denscombe, M. </w:t>
      </w:r>
      <w:r w:rsidDel="00000000" w:rsidR="00000000" w:rsidRPr="00000000">
        <w:rPr>
          <w:rFonts w:ascii="Times New Roman" w:cs="Times New Roman" w:eastAsia="Times New Roman" w:hAnsi="Times New Roman"/>
          <w:i w:val="1"/>
          <w:sz w:val="24"/>
          <w:szCs w:val="24"/>
          <w:highlight w:val="white"/>
          <w:rtl w:val="0"/>
        </w:rPr>
        <w:t xml:space="preserve">Ground Rules for Good Research: Guidelines for Good Practice</w:t>
      </w:r>
      <w:r w:rsidDel="00000000" w:rsidR="00000000" w:rsidRPr="00000000">
        <w:rPr>
          <w:rFonts w:ascii="Times New Roman" w:cs="Times New Roman" w:eastAsia="Times New Roman" w:hAnsi="Times New Roman"/>
          <w:sz w:val="24"/>
          <w:szCs w:val="24"/>
          <w:highlight w:val="white"/>
          <w:rtl w:val="0"/>
        </w:rPr>
        <w:t xml:space="preserve">. Maidenhead: Open University Press. 2010 (2nd edition)</w:t>
      </w:r>
    </w:p>
    <w:p w:rsidR="00000000" w:rsidDel="00000000" w:rsidP="00000000" w:rsidRDefault="00000000" w:rsidRPr="00000000" w14:paraId="000000A6">
      <w:pPr>
        <w:spacing w:line="276"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A7">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Lewis, H. G. </w:t>
      </w:r>
      <w:r w:rsidDel="00000000" w:rsidR="00000000" w:rsidRPr="00000000">
        <w:rPr>
          <w:rFonts w:ascii="Times New Roman" w:cs="Times New Roman" w:eastAsia="Times New Roman" w:hAnsi="Times New Roman"/>
          <w:i w:val="1"/>
          <w:sz w:val="24"/>
          <w:szCs w:val="24"/>
          <w:highlight w:val="white"/>
          <w:rtl w:val="0"/>
        </w:rPr>
        <w:t xml:space="preserve">ECDA7003: Research Methodology Handbook</w:t>
      </w:r>
      <w:r w:rsidDel="00000000" w:rsidR="00000000" w:rsidRPr="00000000">
        <w:rPr>
          <w:rFonts w:ascii="Times New Roman" w:cs="Times New Roman" w:eastAsia="Times New Roman" w:hAnsi="Times New Roman"/>
          <w:sz w:val="24"/>
          <w:szCs w:val="24"/>
          <w:highlight w:val="white"/>
          <w:rtl w:val="0"/>
        </w:rPr>
        <w:t xml:space="preserve">. Carmarthen: University of Wales Trinity Saint David. 2014. </w:t>
      </w:r>
    </w:p>
    <w:p w:rsidR="00000000" w:rsidDel="00000000" w:rsidP="00000000" w:rsidRDefault="00000000" w:rsidRPr="00000000" w14:paraId="000000A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Moser, C.A. and Kalton, G.</w:t>
      </w:r>
      <w:r w:rsidDel="00000000" w:rsidR="00000000" w:rsidRPr="00000000">
        <w:rPr>
          <w:rFonts w:ascii="Times New Roman" w:cs="Times New Roman" w:eastAsia="Times New Roman" w:hAnsi="Times New Roman"/>
          <w:i w:val="1"/>
          <w:sz w:val="24"/>
          <w:szCs w:val="24"/>
          <w:highlight w:val="white"/>
          <w:rtl w:val="0"/>
        </w:rPr>
        <w:t xml:space="preserve"> Survey Methods in Social Investigation.</w:t>
      </w:r>
      <w:r w:rsidDel="00000000" w:rsidR="00000000" w:rsidRPr="00000000">
        <w:rPr>
          <w:rFonts w:ascii="Times New Roman" w:cs="Times New Roman" w:eastAsia="Times New Roman" w:hAnsi="Times New Roman"/>
          <w:sz w:val="24"/>
          <w:szCs w:val="24"/>
          <w:highlight w:val="white"/>
          <w:rtl w:val="0"/>
        </w:rPr>
        <w:t xml:space="preserve"> London: Heinemann. 1971. 2nd edition.</w:t>
      </w:r>
    </w:p>
    <w:p w:rsidR="00000000" w:rsidDel="00000000" w:rsidP="00000000" w:rsidRDefault="00000000" w:rsidRPr="00000000" w14:paraId="000000AA">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Shipman, M.D. </w:t>
      </w:r>
      <w:r w:rsidDel="00000000" w:rsidR="00000000" w:rsidRPr="00000000">
        <w:rPr>
          <w:rFonts w:ascii="Times New Roman" w:cs="Times New Roman" w:eastAsia="Times New Roman" w:hAnsi="Times New Roman"/>
          <w:i w:val="1"/>
          <w:sz w:val="24"/>
          <w:szCs w:val="24"/>
          <w:highlight w:val="white"/>
          <w:rtl w:val="0"/>
        </w:rPr>
        <w:t xml:space="preserve">The Limitations of Social Research</w:t>
      </w:r>
      <w:r w:rsidDel="00000000" w:rsidR="00000000" w:rsidRPr="00000000">
        <w:rPr>
          <w:rFonts w:ascii="Times New Roman" w:cs="Times New Roman" w:eastAsia="Times New Roman" w:hAnsi="Times New Roman"/>
          <w:sz w:val="24"/>
          <w:szCs w:val="24"/>
          <w:highlight w:val="white"/>
          <w:rtl w:val="0"/>
        </w:rPr>
        <w:t xml:space="preserve">. London: Longman. 1972. 1st edition.</w:t>
      </w:r>
    </w:p>
    <w:p w:rsidR="00000000" w:rsidDel="00000000" w:rsidP="00000000" w:rsidRDefault="00000000" w:rsidRPr="00000000" w14:paraId="000000AC">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D">
      <w:pPr>
        <w:jc w:val="both"/>
        <w:rPr>
          <w:rFonts w:ascii="Times New Roman" w:cs="Times New Roman" w:eastAsia="Times New Roman" w:hAnsi="Times New Roman"/>
          <w:sz w:val="24"/>
          <w:szCs w:val="24"/>
          <w:highlight w:val="white"/>
        </w:rPr>
      </w:pPr>
      <w:hyperlink r:id="rId7">
        <w:r w:rsidDel="00000000" w:rsidR="00000000" w:rsidRPr="00000000">
          <w:rPr>
            <w:rFonts w:ascii="Times New Roman" w:cs="Times New Roman" w:eastAsia="Times New Roman" w:hAnsi="Times New Roman"/>
            <w:sz w:val="24"/>
            <w:szCs w:val="24"/>
            <w:highlight w:val="white"/>
            <w:rtl w:val="0"/>
          </w:rPr>
          <w:t xml:space="preserve">https://reliefweb.int/report/brazil/unicef-brazil-flash-situation-report-no-1-increased-migration-influx-pacaraima-28</w:t>
        </w:r>
      </w:hyperlink>
      <w:r w:rsidDel="00000000" w:rsidR="00000000" w:rsidRPr="00000000">
        <w:rPr>
          <w:rFonts w:ascii="Times New Roman" w:cs="Times New Roman" w:eastAsia="Times New Roman" w:hAnsi="Times New Roman"/>
          <w:sz w:val="24"/>
          <w:szCs w:val="24"/>
          <w:highlight w:val="white"/>
          <w:rtl w:val="0"/>
        </w:rPr>
        <w:t xml:space="preserve"> [accessed October 2021]</w:t>
      </w:r>
    </w:p>
    <w:p w:rsidR="00000000" w:rsidDel="00000000" w:rsidP="00000000" w:rsidRDefault="00000000" w:rsidRPr="00000000" w14:paraId="000000AE">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F">
      <w:pPr>
        <w:jc w:val="both"/>
        <w:rPr>
          <w:rFonts w:ascii="Times New Roman" w:cs="Times New Roman" w:eastAsia="Times New Roman" w:hAnsi="Times New Roman"/>
          <w:sz w:val="24"/>
          <w:szCs w:val="24"/>
          <w:highlight w:val="white"/>
        </w:rPr>
      </w:pPr>
      <w:hyperlink r:id="rId8">
        <w:r w:rsidDel="00000000" w:rsidR="00000000" w:rsidRPr="00000000">
          <w:rPr>
            <w:rFonts w:ascii="Times New Roman" w:cs="Times New Roman" w:eastAsia="Times New Roman" w:hAnsi="Times New Roman"/>
            <w:sz w:val="24"/>
            <w:szCs w:val="24"/>
            <w:highlight w:val="white"/>
            <w:rtl w:val="0"/>
          </w:rPr>
          <w:t xml:space="preserve">https://publications.iom.int/system/files/pdf/wmr_2020.pdf</w:t>
        </w:r>
      </w:hyperlink>
      <w:r w:rsidDel="00000000" w:rsidR="00000000" w:rsidRPr="00000000">
        <w:rPr>
          <w:rFonts w:ascii="Times New Roman" w:cs="Times New Roman" w:eastAsia="Times New Roman" w:hAnsi="Times New Roman"/>
          <w:sz w:val="24"/>
          <w:szCs w:val="24"/>
          <w:highlight w:val="white"/>
          <w:rtl w:val="0"/>
        </w:rPr>
        <w:t xml:space="preserve"> [accessed October 2021]</w:t>
      </w:r>
    </w:p>
    <w:p w:rsidR="00000000" w:rsidDel="00000000" w:rsidP="00000000" w:rsidRDefault="00000000" w:rsidRPr="00000000" w14:paraId="000000B0">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1">
      <w:pPr>
        <w:jc w:val="both"/>
        <w:rPr>
          <w:rFonts w:ascii="Times New Roman" w:cs="Times New Roman" w:eastAsia="Times New Roman" w:hAnsi="Times New Roman"/>
          <w:sz w:val="24"/>
          <w:szCs w:val="24"/>
          <w:highlight w:val="white"/>
        </w:rPr>
      </w:pPr>
      <w:hyperlink r:id="rId9">
        <w:r w:rsidDel="00000000" w:rsidR="00000000" w:rsidRPr="00000000">
          <w:rPr>
            <w:rFonts w:ascii="Times New Roman" w:cs="Times New Roman" w:eastAsia="Times New Roman" w:hAnsi="Times New Roman"/>
            <w:sz w:val="24"/>
            <w:szCs w:val="24"/>
            <w:highlight w:val="white"/>
            <w:rtl w:val="0"/>
          </w:rPr>
          <w:t xml:space="preserve">https://gauchazh.clicrbs.com.br/pioneiro/geral/noticia/2021/07/mercado-de-trabalho-esta-aberto-aos-imigrantes-em-caxias-do-sul-ckqmt63be00ax013b6a3efm3q.html</w:t>
        </w:r>
      </w:hyperlink>
      <w:r w:rsidDel="00000000" w:rsidR="00000000" w:rsidRPr="00000000">
        <w:rPr>
          <w:rFonts w:ascii="Times New Roman" w:cs="Times New Roman" w:eastAsia="Times New Roman" w:hAnsi="Times New Roman"/>
          <w:sz w:val="24"/>
          <w:szCs w:val="24"/>
          <w:highlight w:val="white"/>
          <w:rtl w:val="0"/>
        </w:rPr>
        <w:t xml:space="preserve"> [accessed October 2021]</w:t>
      </w:r>
    </w:p>
    <w:p w:rsidR="00000000" w:rsidDel="00000000" w:rsidP="00000000" w:rsidRDefault="00000000" w:rsidRPr="00000000" w14:paraId="000000B2">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3">
      <w:pPr>
        <w:jc w:val="both"/>
        <w:rPr>
          <w:rFonts w:ascii="Times New Roman" w:cs="Times New Roman" w:eastAsia="Times New Roman" w:hAnsi="Times New Roman"/>
          <w:sz w:val="24"/>
          <w:szCs w:val="24"/>
          <w:highlight w:val="white"/>
        </w:rPr>
      </w:pPr>
      <w:hyperlink r:id="rId10">
        <w:r w:rsidDel="00000000" w:rsidR="00000000" w:rsidRPr="00000000">
          <w:rPr>
            <w:rFonts w:ascii="Times New Roman" w:cs="Times New Roman" w:eastAsia="Times New Roman" w:hAnsi="Times New Roman"/>
            <w:sz w:val="24"/>
            <w:szCs w:val="24"/>
            <w:highlight w:val="white"/>
            <w:rtl w:val="0"/>
          </w:rPr>
          <w:t xml:space="preserve">https://openknowledge.worldbank.org/bitstream/handle/10986/36348/Economic-and-Fiscal-Impacts-of-Venezuelan-Refugees-and-Migrants-in-Brazil.pdf?sequence=1&amp;isAllowed8=y</w:t>
        </w:r>
      </w:hyperlink>
      <w:r w:rsidDel="00000000" w:rsidR="00000000" w:rsidRPr="00000000">
        <w:rPr>
          <w:rFonts w:ascii="Times New Roman" w:cs="Times New Roman" w:eastAsia="Times New Roman" w:hAnsi="Times New Roman"/>
          <w:sz w:val="24"/>
          <w:szCs w:val="24"/>
          <w:highlight w:val="white"/>
          <w:rtl w:val="0"/>
        </w:rPr>
        <w:t xml:space="preserve"> [accessed December 2021]</w:t>
      </w:r>
    </w:p>
    <w:p w:rsidR="00000000" w:rsidDel="00000000" w:rsidP="00000000" w:rsidRDefault="00000000" w:rsidRPr="00000000" w14:paraId="000000B4">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5">
      <w:pPr>
        <w:jc w:val="both"/>
        <w:rPr>
          <w:rFonts w:ascii="Times New Roman" w:cs="Times New Roman" w:eastAsia="Times New Roman" w:hAnsi="Times New Roman"/>
          <w:sz w:val="24"/>
          <w:szCs w:val="24"/>
          <w:highlight w:val="white"/>
        </w:rPr>
      </w:pPr>
      <w:hyperlink r:id="rId11">
        <w:r w:rsidDel="00000000" w:rsidR="00000000" w:rsidRPr="00000000">
          <w:rPr>
            <w:rFonts w:ascii="Times New Roman" w:cs="Times New Roman" w:eastAsia="Times New Roman" w:hAnsi="Times New Roman"/>
            <w:sz w:val="24"/>
            <w:szCs w:val="24"/>
            <w:highlight w:val="white"/>
            <w:rtl w:val="0"/>
          </w:rPr>
          <w:t xml:space="preserve">https://brazil.iom.int/monitoramento-pacaraima</w:t>
        </w:r>
      </w:hyperlink>
      <w:r w:rsidDel="00000000" w:rsidR="00000000" w:rsidRPr="00000000">
        <w:rPr>
          <w:rFonts w:ascii="Times New Roman" w:cs="Times New Roman" w:eastAsia="Times New Roman" w:hAnsi="Times New Roman"/>
          <w:sz w:val="24"/>
          <w:szCs w:val="24"/>
          <w:highlight w:val="white"/>
          <w:rtl w:val="0"/>
        </w:rPr>
        <w:t xml:space="preserve"> [accessed December 2021]</w:t>
      </w:r>
    </w:p>
    <w:p w:rsidR="00000000" w:rsidDel="00000000" w:rsidP="00000000" w:rsidRDefault="00000000" w:rsidRPr="00000000" w14:paraId="000000B6">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7">
      <w:pPr>
        <w:jc w:val="both"/>
        <w:rPr>
          <w:rFonts w:ascii="Times New Roman" w:cs="Times New Roman" w:eastAsia="Times New Roman" w:hAnsi="Times New Roman"/>
          <w:sz w:val="24"/>
          <w:szCs w:val="24"/>
          <w:highlight w:val="white"/>
        </w:rPr>
      </w:pPr>
      <w:hyperlink r:id="rId12">
        <w:r w:rsidDel="00000000" w:rsidR="00000000" w:rsidRPr="00000000">
          <w:rPr>
            <w:rFonts w:ascii="Times New Roman" w:cs="Times New Roman" w:eastAsia="Times New Roman" w:hAnsi="Times New Roman"/>
            <w:sz w:val="24"/>
            <w:szCs w:val="24"/>
            <w:highlight w:val="white"/>
            <w:rtl w:val="0"/>
          </w:rPr>
          <w:t xml:space="preserve">https://educacao.caxias.rs.gov.br/</w:t>
        </w:r>
      </w:hyperlink>
      <w:r w:rsidDel="00000000" w:rsidR="00000000" w:rsidRPr="00000000">
        <w:rPr>
          <w:rFonts w:ascii="Times New Roman" w:cs="Times New Roman" w:eastAsia="Times New Roman" w:hAnsi="Times New Roman"/>
          <w:sz w:val="24"/>
          <w:szCs w:val="24"/>
          <w:highlight w:val="white"/>
          <w:rtl w:val="0"/>
        </w:rPr>
        <w:t xml:space="preserve"> [accessed January 2022]</w:t>
      </w:r>
    </w:p>
    <w:p w:rsidR="00000000" w:rsidDel="00000000" w:rsidP="00000000" w:rsidRDefault="00000000" w:rsidRPr="00000000" w14:paraId="000000B8">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https://</w:t>
      </w:r>
      <w:hyperlink r:id="rId13">
        <w:r w:rsidDel="00000000" w:rsidR="00000000" w:rsidRPr="00000000">
          <w:rPr>
            <w:rFonts w:ascii="Times New Roman" w:cs="Times New Roman" w:eastAsia="Times New Roman" w:hAnsi="Times New Roman"/>
            <w:sz w:val="24"/>
            <w:szCs w:val="24"/>
            <w:highlight w:val="white"/>
            <w:rtl w:val="0"/>
          </w:rPr>
          <w:t xml:space="preserve">cidades.ibge.gov.br/brasil/rs/caxias-do-sul/panorama</w:t>
        </w:r>
      </w:hyperlink>
      <w:r w:rsidDel="00000000" w:rsidR="00000000" w:rsidRPr="00000000">
        <w:rPr>
          <w:rFonts w:ascii="Times New Roman" w:cs="Times New Roman" w:eastAsia="Times New Roman" w:hAnsi="Times New Roman"/>
          <w:sz w:val="24"/>
          <w:szCs w:val="24"/>
          <w:highlight w:val="white"/>
          <w:rtl w:val="0"/>
        </w:rPr>
        <w:t xml:space="preserve"> (accessed December 2021]</w:t>
      </w:r>
    </w:p>
    <w:sectPr>
      <w:footerReference r:id="rId14" w:type="default"/>
      <w:footerReference r:id="rId15"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A">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t_B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brazil.iom.int/monitoramento-pacaraima" TargetMode="External"/><Relationship Id="rId10" Type="http://schemas.openxmlformats.org/officeDocument/2006/relationships/hyperlink" Target="https://openknowledge.worldbank.org/bitstream/handle/10986/36348/Economic-and-Fiscal-Impacts-of-Venezuelan-Refugees-and-Migrants-in-Brazil.pdf?sequence=1&amp;isAllowed=y" TargetMode="External"/><Relationship Id="rId13" Type="http://schemas.openxmlformats.org/officeDocument/2006/relationships/hyperlink" Target="http://www.cidades.ibge.gov.br/brasil/rs/caxias-do-sul/panorama" TargetMode="External"/><Relationship Id="rId12" Type="http://schemas.openxmlformats.org/officeDocument/2006/relationships/hyperlink" Target="https://educacao.caxias.rs.gov.b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auchazh.clicrbs.com.br/pioneiro/geral/noticia/2021/07/mercado-de-trabalho-esta-aberto-aos-imigrantes-em-caxias-do-sul-ckqmt63be00ax013b6a3efm3q.html"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www.cidades.ibge.gov.br/brasil/rs/caxias-do-sul/panorama" TargetMode="External"/><Relationship Id="rId7" Type="http://schemas.openxmlformats.org/officeDocument/2006/relationships/hyperlink" Target="https://reliefweb.int/report/brazil/unicef-brazil-flash-situation-report-no-1-increased-migration-influx-pacaraima-28" TargetMode="External"/><Relationship Id="rId8" Type="http://schemas.openxmlformats.org/officeDocument/2006/relationships/hyperlink" Target="https://publications.iom.int/system/files/pdf/wmr_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