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76B6F4" w14:textId="2018FBF4" w:rsidR="00A13491" w:rsidRPr="00A13491" w:rsidRDefault="00A13491" w:rsidP="003D3871">
      <w:pPr>
        <w:spacing w:line="360" w:lineRule="auto"/>
        <w:ind w:left="360"/>
        <w:rPr>
          <w:sz w:val="22"/>
          <w:szCs w:val="22"/>
        </w:rPr>
      </w:pPr>
      <w:r w:rsidRPr="00A13491">
        <w:rPr>
          <w:sz w:val="22"/>
          <w:szCs w:val="22"/>
        </w:rPr>
        <w:t xml:space="preserve">Module code: </w:t>
      </w:r>
      <w:r w:rsidR="003D3871" w:rsidRPr="003D3871">
        <w:rPr>
          <w:sz w:val="22"/>
          <w:szCs w:val="22"/>
        </w:rPr>
        <w:t>BMHP5016</w:t>
      </w:r>
    </w:p>
    <w:p w14:paraId="2E55996A" w14:textId="77777777" w:rsidR="00A13491" w:rsidRPr="00A13491" w:rsidRDefault="00A13491" w:rsidP="003D3871">
      <w:pPr>
        <w:spacing w:line="360" w:lineRule="auto"/>
        <w:ind w:left="360"/>
        <w:rPr>
          <w:sz w:val="22"/>
          <w:szCs w:val="22"/>
        </w:rPr>
      </w:pPr>
      <w:proofErr w:type="spellStart"/>
      <w:r w:rsidRPr="00A13491">
        <w:rPr>
          <w:sz w:val="22"/>
          <w:szCs w:val="22"/>
        </w:rPr>
        <w:t>Meheret</w:t>
      </w:r>
      <w:proofErr w:type="spellEnd"/>
      <w:r w:rsidRPr="00A13491">
        <w:rPr>
          <w:sz w:val="22"/>
          <w:szCs w:val="22"/>
        </w:rPr>
        <w:t xml:space="preserve"> Zeleke</w:t>
      </w:r>
    </w:p>
    <w:p w14:paraId="24EB4B21" w14:textId="77777777" w:rsidR="00A13491" w:rsidRPr="00A13491" w:rsidRDefault="00A13491" w:rsidP="003D3871">
      <w:pPr>
        <w:spacing w:line="360" w:lineRule="auto"/>
        <w:ind w:left="360"/>
        <w:rPr>
          <w:sz w:val="22"/>
          <w:szCs w:val="22"/>
        </w:rPr>
      </w:pPr>
      <w:r w:rsidRPr="00A13491">
        <w:rPr>
          <w:sz w:val="22"/>
          <w:szCs w:val="22"/>
        </w:rPr>
        <w:t>Student number: 2426669</w:t>
      </w:r>
    </w:p>
    <w:p w14:paraId="3F4F20B1" w14:textId="77777777" w:rsidR="00F82A11" w:rsidRPr="003D3871" w:rsidRDefault="00F82A11" w:rsidP="003D3871">
      <w:pPr>
        <w:spacing w:line="360" w:lineRule="auto"/>
        <w:ind w:left="360"/>
        <w:rPr>
          <w:sz w:val="22"/>
          <w:szCs w:val="22"/>
        </w:rPr>
      </w:pPr>
      <w:r w:rsidRPr="003D3871">
        <w:rPr>
          <w:sz w:val="22"/>
          <w:szCs w:val="22"/>
        </w:rPr>
        <w:t>Component 2: Written Assignment (Report)</w:t>
      </w:r>
    </w:p>
    <w:p w14:paraId="3B38CBD4" w14:textId="2EAEF733" w:rsidR="00A13491" w:rsidRPr="00A13491" w:rsidRDefault="00A13491" w:rsidP="003D3871">
      <w:pPr>
        <w:spacing w:line="360" w:lineRule="auto"/>
        <w:ind w:left="360"/>
        <w:rPr>
          <w:sz w:val="22"/>
          <w:szCs w:val="22"/>
        </w:rPr>
      </w:pPr>
      <w:r w:rsidRPr="00A13491">
        <w:rPr>
          <w:sz w:val="22"/>
          <w:szCs w:val="22"/>
        </w:rPr>
        <w:t xml:space="preserve">Lecturer: </w:t>
      </w:r>
      <w:r w:rsidR="00C16238" w:rsidRPr="00C16238">
        <w:rPr>
          <w:sz w:val="22"/>
          <w:szCs w:val="22"/>
        </w:rPr>
        <w:t>Aishat Bakre</w:t>
      </w:r>
    </w:p>
    <w:p w14:paraId="3DEEE2F7" w14:textId="77777777" w:rsidR="0081099E" w:rsidRPr="003D3871" w:rsidRDefault="0081099E" w:rsidP="003D3871">
      <w:pPr>
        <w:spacing w:line="360" w:lineRule="auto"/>
        <w:rPr>
          <w:sz w:val="22"/>
          <w:szCs w:val="22"/>
        </w:rPr>
      </w:pPr>
    </w:p>
    <w:p w14:paraId="7AEDF672" w14:textId="77777777" w:rsidR="0081099E" w:rsidRPr="003D3871" w:rsidRDefault="0081099E" w:rsidP="003D3871">
      <w:pPr>
        <w:spacing w:line="360" w:lineRule="auto"/>
        <w:rPr>
          <w:sz w:val="22"/>
          <w:szCs w:val="22"/>
        </w:rPr>
      </w:pPr>
      <w:r w:rsidRPr="003D3871">
        <w:rPr>
          <w:sz w:val="22"/>
          <w:szCs w:val="22"/>
        </w:rPr>
        <w:br w:type="page"/>
      </w:r>
    </w:p>
    <w:p w14:paraId="3906DE76" w14:textId="1085DFF8" w:rsidR="0081099E" w:rsidRPr="003D3871" w:rsidRDefault="0081099E" w:rsidP="003D3871">
      <w:pPr>
        <w:spacing w:line="360" w:lineRule="auto"/>
        <w:rPr>
          <w:sz w:val="22"/>
          <w:szCs w:val="22"/>
        </w:rPr>
      </w:pPr>
      <w:r w:rsidRPr="003D3871">
        <w:rPr>
          <w:sz w:val="22"/>
          <w:szCs w:val="22"/>
        </w:rPr>
        <w:lastRenderedPageBreak/>
        <w:t>Introduction</w:t>
      </w:r>
    </w:p>
    <w:p w14:paraId="0897D7F0" w14:textId="170EFE40" w:rsidR="00546EFD" w:rsidRPr="003D3871" w:rsidRDefault="00546EFD" w:rsidP="003D3871">
      <w:pPr>
        <w:spacing w:line="360" w:lineRule="auto"/>
        <w:rPr>
          <w:sz w:val="22"/>
          <w:szCs w:val="22"/>
        </w:rPr>
      </w:pPr>
      <w:r w:rsidRPr="003D3871">
        <w:rPr>
          <w:sz w:val="22"/>
          <w:szCs w:val="22"/>
        </w:rPr>
        <w:t xml:space="preserve">Person-centred care (PCC) represents a fundamental shift in healthcare delivery, moving the focus from treating disease to understanding and supporting the </w:t>
      </w:r>
      <w:proofErr w:type="gramStart"/>
      <w:r w:rsidRPr="003D3871">
        <w:rPr>
          <w:sz w:val="22"/>
          <w:szCs w:val="22"/>
        </w:rPr>
        <w:t>individual as a whole</w:t>
      </w:r>
      <w:proofErr w:type="gramEnd"/>
      <w:r w:rsidRPr="003D3871">
        <w:rPr>
          <w:sz w:val="22"/>
          <w:szCs w:val="22"/>
        </w:rPr>
        <w:t>. By forming collaborative partnerships between patients and healthcare professionals, PCC aims to align care with each person’s unique values, needs, and preferences. In hospital settings, this approach is supported by ethical principles, theoretical frameworks such as Bradshaw’s taxonomy, and policy initiatives that promote integrated and coordinated care. However, while PCC offers clear benefits for patient outcomes and service efficiency, its implementation remains complex, requiring cultural, organisational, and practical changes within healthcare systems.</w:t>
      </w:r>
    </w:p>
    <w:p w14:paraId="59C8CC31" w14:textId="2D0BCEBC" w:rsidR="00B2506D" w:rsidRPr="003D3871" w:rsidRDefault="00B2506D" w:rsidP="003D3871">
      <w:pPr>
        <w:spacing w:line="360" w:lineRule="auto"/>
        <w:rPr>
          <w:sz w:val="22"/>
          <w:szCs w:val="22"/>
        </w:rPr>
      </w:pPr>
      <w:r w:rsidRPr="003D3871">
        <w:rPr>
          <w:sz w:val="22"/>
          <w:szCs w:val="22"/>
        </w:rPr>
        <w:t>Definition of PCC</w:t>
      </w:r>
    </w:p>
    <w:p w14:paraId="61AFD664" w14:textId="2082ECF2" w:rsidR="009B1423" w:rsidRPr="003D3871" w:rsidRDefault="009B1423" w:rsidP="003D3871">
      <w:pPr>
        <w:spacing w:line="360" w:lineRule="auto"/>
        <w:rPr>
          <w:sz w:val="22"/>
          <w:szCs w:val="22"/>
        </w:rPr>
      </w:pPr>
      <w:r w:rsidRPr="003D3871">
        <w:rPr>
          <w:sz w:val="22"/>
          <w:szCs w:val="22"/>
        </w:rPr>
        <w:t xml:space="preserve">Person-centred care (PCC) is a philosophy of care that shifts the focus from the disease to the person. It involves forming a partnership between healthcare providers and patients to co-create a care plan based on the patient’s unique values, preferences, and goals (Byrne, Baldwin and Harvey, 2020). This means seeing the person, not just the patient. The Gothenburg University Centre for Person-Centred Care model structures this approach through three core routines: initiating the partnership by listening to the patient’s narrative, working the partnership through shared decision-making, and safeguarding the partnership by documenting the agreed plan (Fridberg, Wallin and </w:t>
      </w:r>
      <w:proofErr w:type="spellStart"/>
      <w:r w:rsidRPr="003D3871">
        <w:rPr>
          <w:sz w:val="22"/>
          <w:szCs w:val="22"/>
        </w:rPr>
        <w:t>Tistad</w:t>
      </w:r>
      <w:proofErr w:type="spellEnd"/>
      <w:r w:rsidRPr="003D3871">
        <w:rPr>
          <w:sz w:val="22"/>
          <w:szCs w:val="22"/>
        </w:rPr>
        <w:t xml:space="preserve">, 2022). In a hospital, this moves care beyond standardised medical tasks to a tailored experience for </w:t>
      </w:r>
      <w:proofErr w:type="gramStart"/>
      <w:r w:rsidRPr="003D3871">
        <w:rPr>
          <w:sz w:val="22"/>
          <w:szCs w:val="22"/>
        </w:rPr>
        <w:t>each individual</w:t>
      </w:r>
      <w:proofErr w:type="gramEnd"/>
      <w:r w:rsidRPr="003D3871">
        <w:rPr>
          <w:sz w:val="22"/>
          <w:szCs w:val="22"/>
        </w:rPr>
        <w:t>.</w:t>
      </w:r>
    </w:p>
    <w:p w14:paraId="70516FA0" w14:textId="75DF91CE" w:rsidR="009B1423" w:rsidRPr="003D3871" w:rsidRDefault="009B1423" w:rsidP="003D3871">
      <w:pPr>
        <w:spacing w:line="360" w:lineRule="auto"/>
        <w:rPr>
          <w:sz w:val="22"/>
          <w:szCs w:val="22"/>
        </w:rPr>
      </w:pPr>
      <w:r w:rsidRPr="003D3871">
        <w:rPr>
          <w:sz w:val="22"/>
          <w:szCs w:val="22"/>
        </w:rPr>
        <w:t xml:space="preserve">The benefits of PCC are measurable and significant. One major benefit is improved patient health outcomes. A large survey of over 5,000 inpatients found that higher levels of PCC were strongly associated with better self-reported physical health (Odds Ratio = 4.154) and mental health (Odds Ratio = 5.642) (Yu et al., 2023). PCC also strengthens the patient-clinician relationship. By involving patients in their care, PCC builds trust and empowers patients to be active partners (Svab and </w:t>
      </w:r>
      <w:proofErr w:type="spellStart"/>
      <w:r w:rsidRPr="003D3871">
        <w:rPr>
          <w:sz w:val="22"/>
          <w:szCs w:val="22"/>
        </w:rPr>
        <w:t>Cerovecki</w:t>
      </w:r>
      <w:proofErr w:type="spellEnd"/>
      <w:r w:rsidRPr="003D3871">
        <w:rPr>
          <w:sz w:val="22"/>
          <w:szCs w:val="22"/>
        </w:rPr>
        <w:t>, 2024). This partnership directly enhances patient satisfaction and can lead to more efficient care. The same study showed PCC reduces wasteful or unnecessary medical interventions, such as duplicate tests (Odds Ratio = 0.320) and requests for patients to buy medicines outside the hospital (Odds Ratio = 0.415) (Yu et al., 2023). For a hospital, this means delivering higher quality care while also using resources more effectively.</w:t>
      </w:r>
    </w:p>
    <w:p w14:paraId="579358A1" w14:textId="52559B20" w:rsidR="009B1423" w:rsidRPr="003D3871" w:rsidRDefault="009B1423" w:rsidP="003D3871">
      <w:pPr>
        <w:spacing w:line="360" w:lineRule="auto"/>
        <w:rPr>
          <w:sz w:val="22"/>
          <w:szCs w:val="22"/>
        </w:rPr>
      </w:pPr>
      <w:r w:rsidRPr="003D3871">
        <w:rPr>
          <w:sz w:val="22"/>
          <w:szCs w:val="22"/>
        </w:rPr>
        <w:lastRenderedPageBreak/>
        <w:t>Despite its benefits, implementing PCC in a hospital faces real-world limitations. A primary limitation is the tension between the philosophy of PCC and the practical reality of task-oriented nursing. Nurses often view person-centred activities as "extra" work, prioritising clinical tasks and documentation over engaging with patients (Byrne, Baldwin and Harvey, 2020). This creates a theory-practice gap where the ideal of PCC is not consistently operationalised on the hospital ward.</w:t>
      </w:r>
    </w:p>
    <w:p w14:paraId="4ABBF2A0" w14:textId="0E6F4437" w:rsidR="009B1423" w:rsidRPr="003D3871" w:rsidRDefault="009B1423" w:rsidP="003D3871">
      <w:pPr>
        <w:spacing w:line="360" w:lineRule="auto"/>
        <w:rPr>
          <w:sz w:val="22"/>
          <w:szCs w:val="22"/>
        </w:rPr>
      </w:pPr>
      <w:r w:rsidRPr="003D3871">
        <w:rPr>
          <w:sz w:val="22"/>
          <w:szCs w:val="22"/>
        </w:rPr>
        <w:t xml:space="preserve">However, </w:t>
      </w:r>
      <w:r w:rsidR="00EE5503" w:rsidRPr="003D3871">
        <w:rPr>
          <w:sz w:val="22"/>
          <w:szCs w:val="22"/>
        </w:rPr>
        <w:t xml:space="preserve">the </w:t>
      </w:r>
      <w:r w:rsidRPr="003D3871">
        <w:rPr>
          <w:sz w:val="22"/>
          <w:szCs w:val="22"/>
        </w:rPr>
        <w:t xml:space="preserve">evidence suggests that when hospitals provide structured support, the implementation of PCC is feasible. The GPCC model, for example, demonstrates that by defining clear routines for initiating, working, and documenting the partnership, hospitals can integrate PCC into daily workflows without sacrificing efficiency (Fridberg, Wallin and </w:t>
      </w:r>
      <w:proofErr w:type="spellStart"/>
      <w:r w:rsidRPr="003D3871">
        <w:rPr>
          <w:sz w:val="22"/>
          <w:szCs w:val="22"/>
        </w:rPr>
        <w:t>Tistad</w:t>
      </w:r>
      <w:proofErr w:type="spellEnd"/>
      <w:r w:rsidRPr="003D3871">
        <w:rPr>
          <w:sz w:val="22"/>
          <w:szCs w:val="22"/>
        </w:rPr>
        <w:t>, 2022). The challenge is not that PCC is impossible in a hospital, but that it requires a deliberate strategy to embed it within existing systems and a commitment to support staff in making this cultural shift. Without this support, PCC risks remaining a rhetorical concept rather than a lived reality for patients.</w:t>
      </w:r>
    </w:p>
    <w:p w14:paraId="220CB899" w14:textId="5949A1E1" w:rsidR="00CD337A" w:rsidRPr="003D3871" w:rsidRDefault="00F0557A" w:rsidP="003D3871">
      <w:pPr>
        <w:spacing w:line="360" w:lineRule="auto"/>
        <w:rPr>
          <w:sz w:val="22"/>
          <w:szCs w:val="22"/>
        </w:rPr>
      </w:pPr>
      <w:r w:rsidRPr="003D3871">
        <w:rPr>
          <w:sz w:val="22"/>
          <w:szCs w:val="22"/>
        </w:rPr>
        <w:t>Relevant Theories</w:t>
      </w:r>
    </w:p>
    <w:p w14:paraId="7C80EB6D" w14:textId="0C3E6ADE" w:rsidR="00CF5C85" w:rsidRPr="003D3871" w:rsidRDefault="00CF5C85" w:rsidP="003D3871">
      <w:pPr>
        <w:spacing w:line="360" w:lineRule="auto"/>
        <w:rPr>
          <w:sz w:val="22"/>
          <w:szCs w:val="22"/>
        </w:rPr>
      </w:pPr>
      <w:r w:rsidRPr="003D3871">
        <w:rPr>
          <w:sz w:val="22"/>
          <w:szCs w:val="22"/>
        </w:rPr>
        <w:t>Bradshaw’s Taxonomy of Social Needs provides a structured way to understand the different dimensions of need, moving beyond a single definition.  Bradshaw’s taxonomy directly supports the core principles of Patient-Centred Care. PCC requires respecting patients’ values and preferences. The distinction between normative and felt needs is central to this. A professional may identify a normative need, such as the need for medication management (</w:t>
      </w:r>
      <w:proofErr w:type="spellStart"/>
      <w:r w:rsidRPr="003D3871">
        <w:rPr>
          <w:sz w:val="22"/>
          <w:szCs w:val="22"/>
        </w:rPr>
        <w:t>Bierhals</w:t>
      </w:r>
      <w:proofErr w:type="spellEnd"/>
      <w:r w:rsidRPr="003D3871">
        <w:rPr>
          <w:sz w:val="22"/>
          <w:szCs w:val="22"/>
        </w:rPr>
        <w:t xml:space="preserve"> et al., 2017). However, the patient may have a different felt need, such as a desire for more information about the side effects (</w:t>
      </w:r>
      <w:proofErr w:type="spellStart"/>
      <w:r w:rsidRPr="003D3871">
        <w:rPr>
          <w:sz w:val="22"/>
          <w:szCs w:val="22"/>
        </w:rPr>
        <w:t>Akuoko</w:t>
      </w:r>
      <w:proofErr w:type="spellEnd"/>
      <w:r w:rsidRPr="003D3871">
        <w:rPr>
          <w:sz w:val="22"/>
          <w:szCs w:val="22"/>
        </w:rPr>
        <w:t xml:space="preserve"> et al., 2022). A PCC approach uses the taxonomy to bridge this gap. It validates the patient’s felt needs while also ensuring normative needs are met, fostering a collaborative partnership. For instance, a study on advanced breast cancer used this taxonomy to understand that while professionals saw a normative need for treatment, patients expressed a </w:t>
      </w:r>
      <w:proofErr w:type="gramStart"/>
      <w:r w:rsidRPr="003D3871">
        <w:rPr>
          <w:sz w:val="22"/>
          <w:szCs w:val="22"/>
        </w:rPr>
        <w:t>deep felt</w:t>
      </w:r>
      <w:proofErr w:type="gramEnd"/>
      <w:r w:rsidRPr="003D3871">
        <w:rPr>
          <w:sz w:val="22"/>
          <w:szCs w:val="22"/>
        </w:rPr>
        <w:t xml:space="preserve"> need for spiritual guidance (</w:t>
      </w:r>
      <w:proofErr w:type="spellStart"/>
      <w:r w:rsidRPr="003D3871">
        <w:rPr>
          <w:sz w:val="22"/>
          <w:szCs w:val="22"/>
        </w:rPr>
        <w:t>Akuoko</w:t>
      </w:r>
      <w:proofErr w:type="spellEnd"/>
      <w:r w:rsidRPr="003D3871">
        <w:rPr>
          <w:sz w:val="22"/>
          <w:szCs w:val="22"/>
        </w:rPr>
        <w:t xml:space="preserve"> et al., 2022). True PCC requires addressing both.</w:t>
      </w:r>
    </w:p>
    <w:p w14:paraId="04B2CFFF" w14:textId="0524E78C" w:rsidR="00CF5C85" w:rsidRPr="003D3871" w:rsidRDefault="00CF5C85" w:rsidP="003D3871">
      <w:pPr>
        <w:spacing w:line="360" w:lineRule="auto"/>
        <w:rPr>
          <w:sz w:val="22"/>
          <w:szCs w:val="22"/>
        </w:rPr>
      </w:pPr>
      <w:r w:rsidRPr="003D3871">
        <w:rPr>
          <w:sz w:val="22"/>
          <w:szCs w:val="22"/>
        </w:rPr>
        <w:t xml:space="preserve">In a hospital, nurses can use this taxonomy to conduct a holistic needs assessment. Bradshaw’s Taxonomy can be used to uncover unmet needs that might otherwise be missed in a busy hospital ward. A standard admission assessment often focuses on the patient’s medical diagnosis, which is a normative need defined by the medical team. This can overlook the patient’s own felt needs. Consider a patient with type 2 diabetes admitted for an infection. The nurse’s normative assessment focuses on blood glucose monitoring and insulin administration </w:t>
      </w:r>
      <w:r w:rsidRPr="003D3871">
        <w:rPr>
          <w:sz w:val="22"/>
          <w:szCs w:val="22"/>
        </w:rPr>
        <w:lastRenderedPageBreak/>
        <w:t>(</w:t>
      </w:r>
      <w:proofErr w:type="spellStart"/>
      <w:r w:rsidRPr="003D3871">
        <w:rPr>
          <w:sz w:val="22"/>
          <w:szCs w:val="22"/>
        </w:rPr>
        <w:t>Bierhals</w:t>
      </w:r>
      <w:proofErr w:type="spellEnd"/>
      <w:r w:rsidRPr="003D3871">
        <w:rPr>
          <w:sz w:val="22"/>
          <w:szCs w:val="22"/>
        </w:rPr>
        <w:t xml:space="preserve"> et al., 2017). However, during a conversation, the patient expresses a felt need: they are worried about managing their insulin at home because they live alone and have poor eyesight. Using the taxonomy, the nurse identifies a gap. The normative need (medical management) is being met in the hospital, but the patient’s felt need (safe self-management post-discharge) is not. This patient’s felt need, if unaddressed, could become an expressed need only after a crisis. By identifying this, the nurse can apply the principle of PCC by creating a discharge plan that addresses the patient’s specific worry, such as arranging for a home care visit or providing a larger-print insulin pen. This ensures the care is truly centred on the patient’s lived reality, not just the clinical diagnosis (Rose et al., 2010).</w:t>
      </w:r>
    </w:p>
    <w:p w14:paraId="7E0C5564" w14:textId="3399C0B6" w:rsidR="00FD7E64" w:rsidRPr="003D3871" w:rsidRDefault="00FD7E64" w:rsidP="003D3871">
      <w:pPr>
        <w:spacing w:line="360" w:lineRule="auto"/>
        <w:rPr>
          <w:sz w:val="22"/>
          <w:szCs w:val="22"/>
        </w:rPr>
      </w:pPr>
      <w:r w:rsidRPr="003D3871">
        <w:rPr>
          <w:sz w:val="22"/>
          <w:szCs w:val="22"/>
        </w:rPr>
        <w:t>Ethical Fundamentals</w:t>
      </w:r>
    </w:p>
    <w:p w14:paraId="778310B7" w14:textId="77777777" w:rsidR="00F36A92" w:rsidRPr="003D3871" w:rsidRDefault="00F36A92" w:rsidP="003D3871">
      <w:pPr>
        <w:spacing w:line="360" w:lineRule="auto"/>
        <w:rPr>
          <w:sz w:val="22"/>
          <w:szCs w:val="22"/>
        </w:rPr>
      </w:pPr>
      <w:r w:rsidRPr="003D3871">
        <w:rPr>
          <w:sz w:val="22"/>
          <w:szCs w:val="22"/>
        </w:rPr>
        <w:t>Respect for autonomy means respecting a patient’s right to make their own decisions. In PCC, this shifts the patient from a passive recipient to an active partner in their care (Ulin et al. 2016). Partnership working operationalises this by requiring shared decision-making. In a hospital, a patient refusing a necessary wound vacuum-assisted closure (VAC) change presents an ethical dilemma. A clinician respecting only the patient’s decision might accept the refusal quickly (Humbyrd 2019). However, true respect for autonomy in PCC requires a deeper engagement. The clinician returns to the bedside, explores the patient’s reasons, and explains the risks of infection and sepsis. This builds a partnership where the patient, understanding the consequences, can make a truly informed choice.</w:t>
      </w:r>
    </w:p>
    <w:p w14:paraId="7A253A22" w14:textId="77777777" w:rsidR="00F36A92" w:rsidRPr="003D3871" w:rsidRDefault="00F36A92" w:rsidP="003D3871">
      <w:pPr>
        <w:spacing w:line="360" w:lineRule="auto"/>
        <w:rPr>
          <w:sz w:val="22"/>
          <w:szCs w:val="22"/>
        </w:rPr>
      </w:pPr>
      <w:r w:rsidRPr="003D3871">
        <w:rPr>
          <w:sz w:val="22"/>
          <w:szCs w:val="22"/>
        </w:rPr>
        <w:t>Beneficence (doing good) and non-maleficence (avoiding harm) are also central. The goal of PCC is to produce net benefit (Gillon 1994). In the hospital, the beneficent act is to heal the wound. Yet a paternalistic approach ignores the patient’s values. A structured PCC model, like the Gothenburg Person-Centred Care (</w:t>
      </w:r>
      <w:proofErr w:type="spellStart"/>
      <w:r w:rsidRPr="003D3871">
        <w:rPr>
          <w:sz w:val="22"/>
          <w:szCs w:val="22"/>
        </w:rPr>
        <w:t>gPCC</w:t>
      </w:r>
      <w:proofErr w:type="spellEnd"/>
      <w:r w:rsidRPr="003D3871">
        <w:rPr>
          <w:sz w:val="22"/>
          <w:szCs w:val="22"/>
        </w:rPr>
        <w:t>) approach, addresses this by creating a health plan based on the patient’s narrative and goals. This process identifies needs early and leads to better discharge outcomes (Ulin et al. 2016). Evidence suggests PCC initiatives can reduce falls and medication errors in hospital settings, thus enhancing safety and beneficence (Rossiter, Levett-Jones and Pich 2020).</w:t>
      </w:r>
    </w:p>
    <w:p w14:paraId="01341BB9" w14:textId="77777777" w:rsidR="00F36A92" w:rsidRPr="003D3871" w:rsidRDefault="00F36A92" w:rsidP="003D3871">
      <w:pPr>
        <w:spacing w:line="360" w:lineRule="auto"/>
        <w:rPr>
          <w:sz w:val="22"/>
          <w:szCs w:val="22"/>
        </w:rPr>
      </w:pPr>
      <w:r w:rsidRPr="003D3871">
        <w:rPr>
          <w:sz w:val="22"/>
          <w:szCs w:val="22"/>
        </w:rPr>
        <w:t xml:space="preserve">Justice demands fair distribution of care (Gillon 1994). A conflict arises when shared decision-making may lead to overuse of resources, such as antibiotics. This can harm others through resistance (Hansson and </w:t>
      </w:r>
      <w:proofErr w:type="spellStart"/>
      <w:r w:rsidRPr="003D3871">
        <w:rPr>
          <w:sz w:val="22"/>
          <w:szCs w:val="22"/>
        </w:rPr>
        <w:t>Froding</w:t>
      </w:r>
      <w:proofErr w:type="spellEnd"/>
      <w:r w:rsidRPr="003D3871">
        <w:rPr>
          <w:sz w:val="22"/>
          <w:szCs w:val="22"/>
        </w:rPr>
        <w:t xml:space="preserve"> 2021). Another justice issue is professional egalitarianism. If a clinician forms a closer personal relationship with one patient, they might unconsciously favour them, creating inequality (Hansson and </w:t>
      </w:r>
      <w:proofErr w:type="spellStart"/>
      <w:r w:rsidRPr="003D3871">
        <w:rPr>
          <w:sz w:val="22"/>
          <w:szCs w:val="22"/>
        </w:rPr>
        <w:t>Froding</w:t>
      </w:r>
      <w:proofErr w:type="spellEnd"/>
      <w:r w:rsidRPr="003D3871">
        <w:rPr>
          <w:sz w:val="22"/>
          <w:szCs w:val="22"/>
        </w:rPr>
        <w:t xml:space="preserve"> 2021). In a hospital, this means ensuring that all patients, regardless of their likeability, receive the same standard of care. The resolution is to </w:t>
      </w:r>
      <w:r w:rsidRPr="003D3871">
        <w:rPr>
          <w:sz w:val="22"/>
          <w:szCs w:val="22"/>
        </w:rPr>
        <w:lastRenderedPageBreak/>
        <w:t>maintain professional boundaries and ensure decisions are based on medical need, not personal feelings (Humbyrd 2019).</w:t>
      </w:r>
    </w:p>
    <w:p w14:paraId="58C2B1C4" w14:textId="4E39A424" w:rsidR="009400C7" w:rsidRPr="003D3871" w:rsidRDefault="009400C7" w:rsidP="003D3871">
      <w:pPr>
        <w:spacing w:line="360" w:lineRule="auto"/>
        <w:rPr>
          <w:sz w:val="22"/>
          <w:szCs w:val="22"/>
        </w:rPr>
      </w:pPr>
      <w:r w:rsidRPr="003D3871">
        <w:rPr>
          <w:sz w:val="22"/>
          <w:szCs w:val="22"/>
        </w:rPr>
        <w:t>Evaluation of Partnership working</w:t>
      </w:r>
    </w:p>
    <w:p w14:paraId="2352E44B" w14:textId="528D1962" w:rsidR="00DA0DAF" w:rsidRPr="003D3871" w:rsidRDefault="00DA0DAF" w:rsidP="003D3871">
      <w:pPr>
        <w:spacing w:line="360" w:lineRule="auto"/>
        <w:rPr>
          <w:sz w:val="22"/>
          <w:szCs w:val="22"/>
        </w:rPr>
      </w:pPr>
      <w:r w:rsidRPr="003D3871">
        <w:rPr>
          <w:sz w:val="22"/>
          <w:szCs w:val="22"/>
        </w:rPr>
        <w:t>Partnership working (PW) is the collaboration between organisations to achieve a shared goal. In health and social care, it means health services, local authorities, and the voluntary sector working together (Glasby and Dickinson, 2014). The aim is to break down the traditional divide between health and social care, which often leaves people with complex needs in a “no man’s land” between services (Glasby et al., 2011, p. 3). A current example is England’s Integrated Care Systems (ICSs). These are partnerships between the NHS, local government, and others, given the formal objective to reduce health inequalities (</w:t>
      </w:r>
      <w:proofErr w:type="spellStart"/>
      <w:r w:rsidRPr="003D3871">
        <w:rPr>
          <w:sz w:val="22"/>
          <w:szCs w:val="22"/>
        </w:rPr>
        <w:t>Alderwick</w:t>
      </w:r>
      <w:proofErr w:type="spellEnd"/>
      <w:r w:rsidRPr="003D3871">
        <w:rPr>
          <w:sz w:val="22"/>
          <w:szCs w:val="22"/>
        </w:rPr>
        <w:t xml:space="preserve"> et al., 2024).</w:t>
      </w:r>
      <w:r w:rsidR="00027CBC" w:rsidRPr="003D3871">
        <w:rPr>
          <w:sz w:val="22"/>
          <w:szCs w:val="22"/>
        </w:rPr>
        <w:t xml:space="preserve"> </w:t>
      </w:r>
      <w:r w:rsidRPr="003D3871">
        <w:rPr>
          <w:sz w:val="22"/>
          <w:szCs w:val="22"/>
        </w:rPr>
        <w:t>PW offers clear benefits, particularly in a hospital setting. It can enhance service delivery and improve patient outcomes. For example, specialist hospital discharge schemes for homeless people use multidisciplinary teams to coordinate care. This integrated approach has been shown to reduce hospital readmission rates (Cornes et al., 2018). By working together, services can provide a seamless transition from hospital to the community, preventing the fragmentation that often leads to poor outcomes.</w:t>
      </w:r>
    </w:p>
    <w:p w14:paraId="0C3CAF5D" w14:textId="533389D6" w:rsidR="00DA0DAF" w:rsidRPr="003D3871" w:rsidRDefault="00DA0DAF" w:rsidP="003D3871">
      <w:pPr>
        <w:spacing w:line="360" w:lineRule="auto"/>
        <w:rPr>
          <w:sz w:val="22"/>
          <w:szCs w:val="22"/>
        </w:rPr>
      </w:pPr>
      <w:r w:rsidRPr="003D3871">
        <w:rPr>
          <w:sz w:val="22"/>
          <w:szCs w:val="22"/>
        </w:rPr>
        <w:t>Despite its promise, PW faces significant challenges. A qualitative study of new ICSs found that cultural differences between the NHS and other sectors are a major barrier. The NHS has a top-down, hierarchical culture that can clash with local government’s way of working (</w:t>
      </w:r>
      <w:proofErr w:type="spellStart"/>
      <w:r w:rsidRPr="003D3871">
        <w:rPr>
          <w:sz w:val="22"/>
          <w:szCs w:val="22"/>
        </w:rPr>
        <w:t>Alderwick</w:t>
      </w:r>
      <w:proofErr w:type="spellEnd"/>
      <w:r w:rsidRPr="003D3871">
        <w:rPr>
          <w:sz w:val="22"/>
          <w:szCs w:val="22"/>
        </w:rPr>
        <w:t xml:space="preserve"> et al., 2024). Leaders reported that short-term pressures, like long ambulance waits, “crowded out” the work on health inequalities (</w:t>
      </w:r>
      <w:proofErr w:type="spellStart"/>
      <w:r w:rsidRPr="003D3871">
        <w:rPr>
          <w:sz w:val="22"/>
          <w:szCs w:val="22"/>
        </w:rPr>
        <w:t>Alderwick</w:t>
      </w:r>
      <w:proofErr w:type="spellEnd"/>
      <w:r w:rsidRPr="003D3871">
        <w:rPr>
          <w:sz w:val="22"/>
          <w:szCs w:val="22"/>
        </w:rPr>
        <w:t xml:space="preserve"> et al., 2024). This meant that despite a strong commitment to collaborate, the reality was often a struggle to move from rhetoric to concrete action.</w:t>
      </w:r>
    </w:p>
    <w:p w14:paraId="369AD1EA" w14:textId="704D3468" w:rsidR="00235697" w:rsidRPr="003D3871" w:rsidRDefault="00235697" w:rsidP="003D3871">
      <w:pPr>
        <w:spacing w:line="360" w:lineRule="auto"/>
        <w:rPr>
          <w:sz w:val="22"/>
          <w:szCs w:val="22"/>
        </w:rPr>
      </w:pPr>
      <w:r w:rsidRPr="003D3871">
        <w:rPr>
          <w:sz w:val="22"/>
          <w:szCs w:val="22"/>
        </w:rPr>
        <w:t>Policy and Legislation</w:t>
      </w:r>
    </w:p>
    <w:p w14:paraId="42CE350F" w14:textId="77777777" w:rsidR="00465FDD" w:rsidRPr="003D3871" w:rsidRDefault="00465FDD" w:rsidP="003D3871">
      <w:pPr>
        <w:spacing w:line="360" w:lineRule="auto"/>
        <w:rPr>
          <w:sz w:val="22"/>
          <w:szCs w:val="22"/>
        </w:rPr>
      </w:pPr>
      <w:r w:rsidRPr="003D3871">
        <w:rPr>
          <w:sz w:val="22"/>
          <w:szCs w:val="22"/>
        </w:rPr>
        <w:t xml:space="preserve">The Health and Care Act 2022 </w:t>
      </w:r>
      <w:proofErr w:type="gramStart"/>
      <w:r w:rsidRPr="003D3871">
        <w:rPr>
          <w:sz w:val="22"/>
          <w:szCs w:val="22"/>
        </w:rPr>
        <w:t>marks</w:t>
      </w:r>
      <w:proofErr w:type="gramEnd"/>
      <w:r w:rsidRPr="003D3871">
        <w:rPr>
          <w:sz w:val="22"/>
          <w:szCs w:val="22"/>
        </w:rPr>
        <w:t xml:space="preserve"> a formal shift from market competition to collaboration as the primary mode of coordination in the English National Health Service (Sanderson et al. 2023). This legislation established Integrated Care Systems (ICSs) as statutory bodies with responsibility for commissioning </w:t>
      </w:r>
      <w:proofErr w:type="gramStart"/>
      <w:r w:rsidRPr="003D3871">
        <w:rPr>
          <w:sz w:val="22"/>
          <w:szCs w:val="22"/>
        </w:rPr>
        <w:t>the majority of</w:t>
      </w:r>
      <w:proofErr w:type="gramEnd"/>
      <w:r w:rsidRPr="003D3871">
        <w:rPr>
          <w:sz w:val="22"/>
          <w:szCs w:val="22"/>
        </w:rPr>
        <w:t xml:space="preserve"> health services for local populations (Sanderson et al. 2023). For hospitals, this means moving away from competitive tendering and the Payment by Results tariff. Block contracts now allow for system-wide planning (Sanderson et al. 2023). This structure supports partnership working by creating formal governance </w:t>
      </w:r>
      <w:r w:rsidRPr="003D3871">
        <w:rPr>
          <w:sz w:val="22"/>
          <w:szCs w:val="22"/>
        </w:rPr>
        <w:lastRenderedPageBreak/>
        <w:t>arrangements that include local authorities. However, challenges remain in balancing organisational sovereignty with collective system goals (Sanderson et al. 2023).</w:t>
      </w:r>
    </w:p>
    <w:p w14:paraId="7BD66753" w14:textId="77777777" w:rsidR="00465FDD" w:rsidRPr="003D3871" w:rsidRDefault="00465FDD" w:rsidP="003D3871">
      <w:pPr>
        <w:spacing w:line="360" w:lineRule="auto"/>
        <w:rPr>
          <w:sz w:val="22"/>
          <w:szCs w:val="22"/>
        </w:rPr>
      </w:pPr>
      <w:r w:rsidRPr="003D3871">
        <w:rPr>
          <w:sz w:val="22"/>
          <w:szCs w:val="22"/>
        </w:rPr>
        <w:t>The Care Act 2014 promotes person-centred care (PCC) through a statutory duty to promote individual well-being (Barnes et al. 2017). The Act mandates assessments based on specified outcomes like maintaining personal hygiene and managing family relationships (Barnes et al. 2017). For hospital practice, this requires staff to view patients as partners in care. Personal budgets give individuals control over their support (Barnes et al. 2017). A national survey found over three-quarters of personal budget holders reported a positive impact on their lives (Barnes et al. 2017). This legislation directly supports PCC by requiring care plans to reflect patient goals rather than service availability.</w:t>
      </w:r>
    </w:p>
    <w:p w14:paraId="6B46C40D" w14:textId="77777777" w:rsidR="00465FDD" w:rsidRPr="003D3871" w:rsidRDefault="00465FDD" w:rsidP="003D3871">
      <w:pPr>
        <w:spacing w:line="360" w:lineRule="auto"/>
        <w:rPr>
          <w:sz w:val="22"/>
          <w:szCs w:val="22"/>
        </w:rPr>
      </w:pPr>
      <w:r w:rsidRPr="003D3871">
        <w:rPr>
          <w:sz w:val="22"/>
          <w:szCs w:val="22"/>
        </w:rPr>
        <w:t>The Health and Social Care Act 2012 previously introduced competition and top-down managerialism into the NHS (Cox 2015). This created a moral vacuum between commissioners and providers (Cox 2015). The focus on financial targets eroded relationship-based caring (Cox 2015). The Mid-Staffordshire NHS Foundation Trust scandal exemplified this failure. The Francis report called for a cultural change to place the patient first (Cox 2015). This earlier legislation hindered PCC by prioritising market mechanisms over compassionate care.</w:t>
      </w:r>
    </w:p>
    <w:p w14:paraId="14DC0BF4" w14:textId="77777777" w:rsidR="00465FDD" w:rsidRPr="003D3871" w:rsidRDefault="00465FDD" w:rsidP="003D3871">
      <w:pPr>
        <w:spacing w:line="360" w:lineRule="auto"/>
        <w:rPr>
          <w:sz w:val="22"/>
          <w:szCs w:val="22"/>
        </w:rPr>
      </w:pPr>
      <w:r w:rsidRPr="003D3871">
        <w:rPr>
          <w:sz w:val="22"/>
          <w:szCs w:val="22"/>
        </w:rPr>
        <w:t>These policies have direct implications for hospital care. The 2022 Act requires hospitals to collaborate with local authorities on discharge planning and capacity management (Sanderson et al. 2023). The 2014 Act requires hospitals to document patient narratives and co-create care plans (Tomaselli et al. 2020). When hospital staff listen to patient history and integrate social context, they practice relational ethics (Tomaselli et al. 2020). The shift from patient-centred to person-centred care requires hospitals to recognise patients as active partners with capabilities, not passive recipients (Tomaselli et al. 2020).</w:t>
      </w:r>
    </w:p>
    <w:p w14:paraId="34320350" w14:textId="77777777" w:rsidR="00C10671" w:rsidRPr="003D3871" w:rsidRDefault="00C10671" w:rsidP="003D3871">
      <w:pPr>
        <w:spacing w:line="360" w:lineRule="auto"/>
        <w:rPr>
          <w:sz w:val="22"/>
          <w:szCs w:val="22"/>
        </w:rPr>
      </w:pPr>
      <w:r w:rsidRPr="003D3871">
        <w:rPr>
          <w:sz w:val="22"/>
          <w:szCs w:val="22"/>
        </w:rPr>
        <w:t xml:space="preserve">Current person-centred care (PCC) often remains too passive. Patients and carers are condemned to subservient roles, preserving a power imbalance that favours systems and professionals (Goodwin et al. 2022). In hospitals, this manifests as fragmented involvement where programmes remain </w:t>
      </w:r>
      <w:proofErr w:type="gramStart"/>
      <w:r w:rsidRPr="003D3871">
        <w:rPr>
          <w:sz w:val="22"/>
          <w:szCs w:val="22"/>
        </w:rPr>
        <w:t>clinically-led</w:t>
      </w:r>
      <w:proofErr w:type="gramEnd"/>
      <w:r w:rsidRPr="003D3871">
        <w:rPr>
          <w:sz w:val="22"/>
          <w:szCs w:val="22"/>
        </w:rPr>
        <w:t xml:space="preserve"> with little ongoing user participation (Goodwin et al. 2022).</w:t>
      </w:r>
    </w:p>
    <w:p w14:paraId="559131C8" w14:textId="20FD6FCC" w:rsidR="00C52BBE" w:rsidRPr="003D3871" w:rsidRDefault="00C52BBE" w:rsidP="003D3871">
      <w:pPr>
        <w:spacing w:line="360" w:lineRule="auto"/>
        <w:rPr>
          <w:sz w:val="22"/>
          <w:szCs w:val="22"/>
        </w:rPr>
      </w:pPr>
      <w:r w:rsidRPr="003D3871">
        <w:rPr>
          <w:sz w:val="22"/>
          <w:szCs w:val="22"/>
        </w:rPr>
        <w:t>Recommendations</w:t>
      </w:r>
    </w:p>
    <w:p w14:paraId="5C22DA24" w14:textId="4FB320CB" w:rsidR="00C10671" w:rsidRPr="003D3871" w:rsidRDefault="00C10671" w:rsidP="003D3871">
      <w:pPr>
        <w:spacing w:line="360" w:lineRule="auto"/>
        <w:rPr>
          <w:sz w:val="22"/>
          <w:szCs w:val="22"/>
        </w:rPr>
      </w:pPr>
      <w:r w:rsidRPr="003D3871">
        <w:rPr>
          <w:sz w:val="22"/>
          <w:szCs w:val="22"/>
        </w:rPr>
        <w:t xml:space="preserve">Move from co-design to co-delivery. Implement a cyclic co-delivery framework where service users who have been involved in designing a service then help deliver it to others (Conquer et al. 2024). Hospitals should recruit peer supporters with lived experience to work alongside clinical </w:t>
      </w:r>
      <w:r w:rsidRPr="003D3871">
        <w:rPr>
          <w:sz w:val="22"/>
          <w:szCs w:val="22"/>
        </w:rPr>
        <w:lastRenderedPageBreak/>
        <w:t>teams on wards.</w:t>
      </w:r>
      <w:r w:rsidR="000E58E9" w:rsidRPr="003D3871">
        <w:rPr>
          <w:sz w:val="22"/>
          <w:szCs w:val="22"/>
        </w:rPr>
        <w:t xml:space="preserve"> </w:t>
      </w:r>
      <w:r w:rsidRPr="003D3871">
        <w:rPr>
          <w:sz w:val="22"/>
          <w:szCs w:val="22"/>
        </w:rPr>
        <w:t>Co-delivery with peer support embeds service user involvement at a higher level on the ladder of co-production. Studies show it increases ownership of transformations and acceptance of changes (Conquer et al. 2024).</w:t>
      </w:r>
      <w:r w:rsidR="000E58E9" w:rsidRPr="003D3871">
        <w:rPr>
          <w:sz w:val="22"/>
          <w:szCs w:val="22"/>
        </w:rPr>
        <w:t xml:space="preserve"> </w:t>
      </w:r>
      <w:r w:rsidRPr="003D3871">
        <w:rPr>
          <w:sz w:val="22"/>
          <w:szCs w:val="22"/>
        </w:rPr>
        <w:t>Staff may struggle to work in partnership and feel threatened by active patient involvement (Conquer et al. 2024).</w:t>
      </w:r>
    </w:p>
    <w:p w14:paraId="4E083406" w14:textId="3916E56D" w:rsidR="00C10671" w:rsidRPr="003D3871" w:rsidRDefault="00C10671" w:rsidP="003D3871">
      <w:pPr>
        <w:spacing w:line="360" w:lineRule="auto"/>
        <w:rPr>
          <w:sz w:val="22"/>
          <w:szCs w:val="22"/>
        </w:rPr>
      </w:pPr>
      <w:r w:rsidRPr="003D3871">
        <w:rPr>
          <w:sz w:val="22"/>
          <w:szCs w:val="22"/>
        </w:rPr>
        <w:t>Deploy artificial intelligence tools to manage noisy patient data. AI can sift through vast electronic records and present summaries to clinicians, acting as a clinical nudge rather than a replacement (Greenhalgh et al. 2025).</w:t>
      </w:r>
      <w:r w:rsidR="00300762" w:rsidRPr="003D3871">
        <w:rPr>
          <w:sz w:val="22"/>
          <w:szCs w:val="22"/>
        </w:rPr>
        <w:t xml:space="preserve"> </w:t>
      </w:r>
      <w:r w:rsidRPr="003D3871">
        <w:rPr>
          <w:sz w:val="22"/>
          <w:szCs w:val="22"/>
        </w:rPr>
        <w:t>Hospital clinicians face time pressure and overwhelming data volumes. AI can identify pertinent information to facilitate earlier diagnosis and improve patient outcomes (Greenhalgh et al. 2025).</w:t>
      </w:r>
      <w:r w:rsidR="00300762" w:rsidRPr="003D3871">
        <w:rPr>
          <w:sz w:val="22"/>
          <w:szCs w:val="22"/>
        </w:rPr>
        <w:t xml:space="preserve"> </w:t>
      </w:r>
      <w:r w:rsidRPr="003D3871">
        <w:rPr>
          <w:sz w:val="22"/>
          <w:szCs w:val="22"/>
        </w:rPr>
        <w:t>Clinicians worry about deskilling and data quality. Governance around liability and cybersecurity must be robust (Greenhalgh et al. 2025).</w:t>
      </w:r>
    </w:p>
    <w:p w14:paraId="3A6E2027" w14:textId="20DF8824" w:rsidR="001478D8" w:rsidRPr="003D3871" w:rsidRDefault="001478D8" w:rsidP="003D3871">
      <w:pPr>
        <w:spacing w:line="360" w:lineRule="auto"/>
        <w:rPr>
          <w:sz w:val="22"/>
          <w:szCs w:val="22"/>
        </w:rPr>
      </w:pPr>
      <w:r w:rsidRPr="003D3871">
        <w:rPr>
          <w:sz w:val="22"/>
          <w:szCs w:val="22"/>
        </w:rPr>
        <w:t>Conclusion</w:t>
      </w:r>
    </w:p>
    <w:p w14:paraId="295D0053" w14:textId="0BDB8E8A" w:rsidR="00EA447E" w:rsidRPr="003D3871" w:rsidRDefault="00EA447E" w:rsidP="003D3871">
      <w:pPr>
        <w:spacing w:line="360" w:lineRule="auto"/>
        <w:rPr>
          <w:sz w:val="22"/>
          <w:szCs w:val="22"/>
        </w:rPr>
      </w:pPr>
      <w:r w:rsidRPr="003D3871">
        <w:rPr>
          <w:sz w:val="22"/>
          <w:szCs w:val="22"/>
        </w:rPr>
        <w:t>In conclusion, person-centred care and partnership working have the potential to significantly improve patient experiences, outcomes, and system efficiency within hospitals. The integration of ethical principles, theoretical models, and supportive legislation highlights the importance of treating patients as active partners in their care. Nevertheless, ongoing challenges such as organisational barriers, workforce pressures, and gaps between theory and practice limit consistent implementation. To address this, hospitals must adopt structured strategies, invest in evaluation, and actively involve patients in both the design and delivery of services. Without sustained commitment, PCC risks remaining an ideal rather than becoming embedded in everyday clinical practice.</w:t>
      </w:r>
    </w:p>
    <w:p w14:paraId="19B91E28" w14:textId="133EEA99" w:rsidR="00203C5E" w:rsidRPr="003D3871" w:rsidRDefault="00203C5E" w:rsidP="003D3871">
      <w:pPr>
        <w:spacing w:line="360" w:lineRule="auto"/>
        <w:rPr>
          <w:sz w:val="22"/>
          <w:szCs w:val="22"/>
        </w:rPr>
      </w:pPr>
      <w:r w:rsidRPr="003D3871">
        <w:rPr>
          <w:sz w:val="22"/>
          <w:szCs w:val="22"/>
        </w:rPr>
        <w:br w:type="page"/>
      </w:r>
    </w:p>
    <w:p w14:paraId="6FBABD5B" w14:textId="77777777" w:rsidR="00C10671" w:rsidRPr="003D3871" w:rsidRDefault="00C10671" w:rsidP="003D3871">
      <w:pPr>
        <w:spacing w:line="360" w:lineRule="auto"/>
        <w:rPr>
          <w:sz w:val="22"/>
          <w:szCs w:val="22"/>
        </w:rPr>
      </w:pPr>
    </w:p>
    <w:p w14:paraId="2757D1AC" w14:textId="77777777" w:rsidR="009B1423" w:rsidRPr="003D3871" w:rsidRDefault="009B1423" w:rsidP="003D3871">
      <w:pPr>
        <w:spacing w:line="360" w:lineRule="auto"/>
        <w:rPr>
          <w:sz w:val="22"/>
          <w:szCs w:val="22"/>
        </w:rPr>
      </w:pPr>
    </w:p>
    <w:p w14:paraId="252362BC" w14:textId="580F656A" w:rsidR="009B1423" w:rsidRPr="003D3871" w:rsidRDefault="009B1423" w:rsidP="003D3871">
      <w:pPr>
        <w:spacing w:line="360" w:lineRule="auto"/>
        <w:rPr>
          <w:sz w:val="22"/>
          <w:szCs w:val="22"/>
        </w:rPr>
      </w:pPr>
    </w:p>
    <w:p w14:paraId="6F137C63" w14:textId="2211EFA5" w:rsidR="009B1423" w:rsidRPr="003D3871" w:rsidRDefault="009B1423" w:rsidP="003D3871">
      <w:pPr>
        <w:spacing w:line="360" w:lineRule="auto"/>
        <w:rPr>
          <w:sz w:val="22"/>
          <w:szCs w:val="22"/>
        </w:rPr>
      </w:pPr>
      <w:r w:rsidRPr="003D3871">
        <w:rPr>
          <w:sz w:val="22"/>
          <w:szCs w:val="22"/>
        </w:rPr>
        <w:t>References</w:t>
      </w:r>
    </w:p>
    <w:p w14:paraId="5997D80D" w14:textId="77777777" w:rsidR="009B1423" w:rsidRPr="003D3871" w:rsidRDefault="009B1423" w:rsidP="003D3871">
      <w:pPr>
        <w:spacing w:line="360" w:lineRule="auto"/>
        <w:rPr>
          <w:sz w:val="22"/>
          <w:szCs w:val="22"/>
        </w:rPr>
      </w:pPr>
    </w:p>
    <w:p w14:paraId="3E020865" w14:textId="362C8EBD" w:rsidR="009B1423" w:rsidRPr="003D3871" w:rsidRDefault="009B1423" w:rsidP="003D3871">
      <w:pPr>
        <w:spacing w:line="360" w:lineRule="auto"/>
        <w:rPr>
          <w:sz w:val="22"/>
          <w:szCs w:val="22"/>
        </w:rPr>
      </w:pPr>
      <w:r w:rsidRPr="003D3871">
        <w:rPr>
          <w:sz w:val="22"/>
          <w:szCs w:val="22"/>
        </w:rPr>
        <w:t>Byrne, A.L., Baldwin, A. and Harvey, C. (2020) 'Whose centre is it anyway? Defining person-centred care in nursing: An integrative review', PLOS ONE, 15(3), p. e0229923.</w:t>
      </w:r>
    </w:p>
    <w:p w14:paraId="4561ADFD" w14:textId="6A897F83" w:rsidR="009B1423" w:rsidRPr="003D3871" w:rsidRDefault="009B1423" w:rsidP="003D3871">
      <w:pPr>
        <w:spacing w:line="360" w:lineRule="auto"/>
        <w:rPr>
          <w:sz w:val="22"/>
          <w:szCs w:val="22"/>
        </w:rPr>
      </w:pPr>
      <w:r w:rsidRPr="003D3871">
        <w:rPr>
          <w:sz w:val="22"/>
          <w:szCs w:val="22"/>
        </w:rPr>
        <w:t xml:space="preserve">Fridberg, H., Wallin, L. and </w:t>
      </w:r>
      <w:proofErr w:type="spellStart"/>
      <w:r w:rsidRPr="003D3871">
        <w:rPr>
          <w:sz w:val="22"/>
          <w:szCs w:val="22"/>
        </w:rPr>
        <w:t>Tistad</w:t>
      </w:r>
      <w:proofErr w:type="spellEnd"/>
      <w:r w:rsidRPr="003D3871">
        <w:rPr>
          <w:sz w:val="22"/>
          <w:szCs w:val="22"/>
        </w:rPr>
        <w:t>, M. (2022) 'Operationalisation of person-centred care in a real-world setting: a case study with six embedded units', BMC Health Services Research, 22(1), p. 1160.</w:t>
      </w:r>
    </w:p>
    <w:p w14:paraId="2FD0B998" w14:textId="256FC296" w:rsidR="009B1423" w:rsidRPr="003D3871" w:rsidRDefault="009B1423" w:rsidP="003D3871">
      <w:pPr>
        <w:spacing w:line="360" w:lineRule="auto"/>
        <w:rPr>
          <w:sz w:val="22"/>
          <w:szCs w:val="22"/>
        </w:rPr>
      </w:pPr>
      <w:r w:rsidRPr="003D3871">
        <w:rPr>
          <w:sz w:val="22"/>
          <w:szCs w:val="22"/>
        </w:rPr>
        <w:t>Svab, I. and Cerovecki, V. (2024) 'Person-centred care, a core concept of family medicine', European Journal of General Practice, 30(1), p. 2393860.</w:t>
      </w:r>
    </w:p>
    <w:p w14:paraId="00675080" w14:textId="756CCF50" w:rsidR="00F25B36" w:rsidRPr="003D3871" w:rsidRDefault="009B1423" w:rsidP="003D3871">
      <w:pPr>
        <w:spacing w:line="360" w:lineRule="auto"/>
        <w:rPr>
          <w:sz w:val="22"/>
          <w:szCs w:val="22"/>
        </w:rPr>
      </w:pPr>
      <w:r w:rsidRPr="003D3871">
        <w:rPr>
          <w:sz w:val="22"/>
          <w:szCs w:val="22"/>
        </w:rPr>
        <w:t>Yu, C. et al. (2023) 'More patient-</w:t>
      </w:r>
      <w:proofErr w:type="spellStart"/>
      <w:r w:rsidRPr="003D3871">
        <w:rPr>
          <w:sz w:val="22"/>
          <w:szCs w:val="22"/>
        </w:rPr>
        <w:t>centered</w:t>
      </w:r>
      <w:proofErr w:type="spellEnd"/>
      <w:r w:rsidRPr="003D3871">
        <w:rPr>
          <w:sz w:val="22"/>
          <w:szCs w:val="22"/>
        </w:rPr>
        <w:t xml:space="preserve"> care, better healthcare: the association between patient-</w:t>
      </w:r>
      <w:proofErr w:type="spellStart"/>
      <w:r w:rsidRPr="003D3871">
        <w:rPr>
          <w:sz w:val="22"/>
          <w:szCs w:val="22"/>
        </w:rPr>
        <w:t>centered</w:t>
      </w:r>
      <w:proofErr w:type="spellEnd"/>
      <w:r w:rsidRPr="003D3871">
        <w:rPr>
          <w:sz w:val="22"/>
          <w:szCs w:val="22"/>
        </w:rPr>
        <w:t xml:space="preserve"> care and healthcare outcomes in inpatients', Frontiers in Public Health, 11, p. 1148277.</w:t>
      </w:r>
    </w:p>
    <w:p w14:paraId="0923C6BB" w14:textId="77777777" w:rsidR="0066351D" w:rsidRPr="003D3871" w:rsidRDefault="0066351D" w:rsidP="003D3871">
      <w:pPr>
        <w:spacing w:line="360" w:lineRule="auto"/>
        <w:rPr>
          <w:sz w:val="22"/>
          <w:szCs w:val="22"/>
        </w:rPr>
      </w:pPr>
      <w:proofErr w:type="spellStart"/>
      <w:r w:rsidRPr="003D3871">
        <w:rPr>
          <w:sz w:val="22"/>
          <w:szCs w:val="22"/>
        </w:rPr>
        <w:t>Akuoko</w:t>
      </w:r>
      <w:proofErr w:type="spellEnd"/>
      <w:r w:rsidRPr="003D3871">
        <w:rPr>
          <w:sz w:val="22"/>
          <w:szCs w:val="22"/>
        </w:rPr>
        <w:t>, C.P., Chambers, S. and Yates, P. (2022) ‘Healthcare providers’ perspectives of the supportive care needs of women with advanced breast cancer in Ghana’, </w:t>
      </w:r>
      <w:r w:rsidRPr="003D3871">
        <w:rPr>
          <w:i/>
          <w:iCs/>
          <w:sz w:val="22"/>
          <w:szCs w:val="22"/>
        </w:rPr>
        <w:t>BMC Women’s Health</w:t>
      </w:r>
      <w:r w:rsidRPr="003D3871">
        <w:rPr>
          <w:sz w:val="22"/>
          <w:szCs w:val="22"/>
        </w:rPr>
        <w:t>, 22(1), p. 350.</w:t>
      </w:r>
    </w:p>
    <w:p w14:paraId="3C8BBB0B" w14:textId="77777777" w:rsidR="0066351D" w:rsidRPr="003D3871" w:rsidRDefault="0066351D" w:rsidP="003D3871">
      <w:pPr>
        <w:spacing w:line="360" w:lineRule="auto"/>
        <w:rPr>
          <w:sz w:val="22"/>
          <w:szCs w:val="22"/>
        </w:rPr>
      </w:pPr>
      <w:proofErr w:type="spellStart"/>
      <w:r w:rsidRPr="003D3871">
        <w:rPr>
          <w:sz w:val="22"/>
          <w:szCs w:val="22"/>
        </w:rPr>
        <w:t>Bierhals</w:t>
      </w:r>
      <w:proofErr w:type="spellEnd"/>
      <w:r w:rsidRPr="003D3871">
        <w:rPr>
          <w:sz w:val="22"/>
          <w:szCs w:val="22"/>
        </w:rPr>
        <w:t xml:space="preserve">, C.C.B.K., Santos, N.O., Fengler, F.L., Raubustt, K.D., Forbes, D.A. and </w:t>
      </w:r>
      <w:proofErr w:type="spellStart"/>
      <w:r w:rsidRPr="003D3871">
        <w:rPr>
          <w:sz w:val="22"/>
          <w:szCs w:val="22"/>
        </w:rPr>
        <w:t>Paskulin</w:t>
      </w:r>
      <w:proofErr w:type="spellEnd"/>
      <w:r w:rsidRPr="003D3871">
        <w:rPr>
          <w:sz w:val="22"/>
          <w:szCs w:val="22"/>
        </w:rPr>
        <w:t>, L.M.G. (2017) ‘Needs of family caregivers in home care for older adults’, </w:t>
      </w:r>
      <w:r w:rsidRPr="003D3871">
        <w:rPr>
          <w:i/>
          <w:iCs/>
          <w:sz w:val="22"/>
          <w:szCs w:val="22"/>
        </w:rPr>
        <w:t>Revista Latino-Americana de Enfermagem</w:t>
      </w:r>
      <w:r w:rsidRPr="003D3871">
        <w:rPr>
          <w:sz w:val="22"/>
          <w:szCs w:val="22"/>
        </w:rPr>
        <w:t>, 25, p. e2870.</w:t>
      </w:r>
    </w:p>
    <w:p w14:paraId="579356EF" w14:textId="77777777" w:rsidR="0066351D" w:rsidRPr="003D3871" w:rsidRDefault="0066351D" w:rsidP="003D3871">
      <w:pPr>
        <w:spacing w:line="360" w:lineRule="auto"/>
        <w:rPr>
          <w:sz w:val="22"/>
          <w:szCs w:val="22"/>
        </w:rPr>
      </w:pPr>
      <w:r w:rsidRPr="003D3871">
        <w:rPr>
          <w:sz w:val="22"/>
          <w:szCs w:val="22"/>
        </w:rPr>
        <w:t>Bradshaw, J. (1972) ‘A taxonomy of social need’, in McLachlan, G. (ed.) </w:t>
      </w:r>
      <w:r w:rsidRPr="003D3871">
        <w:rPr>
          <w:i/>
          <w:iCs/>
          <w:sz w:val="22"/>
          <w:szCs w:val="22"/>
        </w:rPr>
        <w:t>Problems and Progress in Medical Care</w:t>
      </w:r>
      <w:r w:rsidRPr="003D3871">
        <w:rPr>
          <w:sz w:val="22"/>
          <w:szCs w:val="22"/>
        </w:rPr>
        <w:t>. 7th series. London: Oxford University Press, pp. 71-92.</w:t>
      </w:r>
    </w:p>
    <w:p w14:paraId="4A7AE2AB" w14:textId="77777777" w:rsidR="0066351D" w:rsidRPr="003D3871" w:rsidRDefault="0066351D" w:rsidP="003D3871">
      <w:pPr>
        <w:spacing w:line="360" w:lineRule="auto"/>
        <w:rPr>
          <w:sz w:val="22"/>
          <w:szCs w:val="22"/>
        </w:rPr>
      </w:pPr>
      <w:r w:rsidRPr="003D3871">
        <w:rPr>
          <w:sz w:val="22"/>
          <w:szCs w:val="22"/>
        </w:rPr>
        <w:t>Rose, U., Zimmermann, L., Pfeifer, R., Unterbrink, T. and Bauer, J. (2010) ‘Intention as an indicator for subjective need: a new pathway in need assessment’, </w:t>
      </w:r>
      <w:r w:rsidRPr="003D3871">
        <w:rPr>
          <w:i/>
          <w:iCs/>
          <w:sz w:val="22"/>
          <w:szCs w:val="22"/>
        </w:rPr>
        <w:t>BMC Health Services Research</w:t>
      </w:r>
      <w:r w:rsidRPr="003D3871">
        <w:rPr>
          <w:sz w:val="22"/>
          <w:szCs w:val="22"/>
        </w:rPr>
        <w:t>, 10, p. 192.</w:t>
      </w:r>
    </w:p>
    <w:p w14:paraId="761DEB47" w14:textId="77777777" w:rsidR="00F36A92" w:rsidRPr="003D3871" w:rsidRDefault="00F36A92" w:rsidP="003D3871">
      <w:pPr>
        <w:spacing w:line="360" w:lineRule="auto"/>
        <w:rPr>
          <w:sz w:val="22"/>
          <w:szCs w:val="22"/>
        </w:rPr>
      </w:pPr>
      <w:r w:rsidRPr="003D3871">
        <w:rPr>
          <w:sz w:val="22"/>
          <w:szCs w:val="22"/>
        </w:rPr>
        <w:t>Gillon, R. (1994) 'Medical ethics: four principles plus attention to scope', BMJ, 309(6948), pp. 184-188.</w:t>
      </w:r>
    </w:p>
    <w:p w14:paraId="74D7EAB7" w14:textId="77777777" w:rsidR="00F36A92" w:rsidRPr="003D3871" w:rsidRDefault="00F36A92" w:rsidP="003D3871">
      <w:pPr>
        <w:spacing w:line="360" w:lineRule="auto"/>
        <w:rPr>
          <w:sz w:val="22"/>
          <w:szCs w:val="22"/>
        </w:rPr>
      </w:pPr>
      <w:r w:rsidRPr="003D3871">
        <w:rPr>
          <w:sz w:val="22"/>
          <w:szCs w:val="22"/>
        </w:rPr>
        <w:lastRenderedPageBreak/>
        <w:t xml:space="preserve">Hansson, S.O. and </w:t>
      </w:r>
      <w:proofErr w:type="spellStart"/>
      <w:r w:rsidRPr="003D3871">
        <w:rPr>
          <w:sz w:val="22"/>
          <w:szCs w:val="22"/>
        </w:rPr>
        <w:t>Froding</w:t>
      </w:r>
      <w:proofErr w:type="spellEnd"/>
      <w:r w:rsidRPr="003D3871">
        <w:rPr>
          <w:sz w:val="22"/>
          <w:szCs w:val="22"/>
        </w:rPr>
        <w:t>, B. (2021) 'Ethical conflicts in patient-centred care', Clinical Ethics, 16(2), pp. 55-66.</w:t>
      </w:r>
    </w:p>
    <w:p w14:paraId="1A546C4A" w14:textId="77777777" w:rsidR="00F36A92" w:rsidRPr="003D3871" w:rsidRDefault="00F36A92" w:rsidP="003D3871">
      <w:pPr>
        <w:spacing w:line="360" w:lineRule="auto"/>
        <w:rPr>
          <w:sz w:val="22"/>
          <w:szCs w:val="22"/>
        </w:rPr>
      </w:pPr>
      <w:r w:rsidRPr="003D3871">
        <w:rPr>
          <w:sz w:val="22"/>
          <w:szCs w:val="22"/>
        </w:rPr>
        <w:t>Humbyrd, C.J. (2019) 'Virtue Ethics in a Value-driven World: Can I Respect Autonomy Without Respecting the Person?', Clinical Orthopaedics and Related Research, 477(2), pp. 293-295.</w:t>
      </w:r>
    </w:p>
    <w:p w14:paraId="33CB0576" w14:textId="77777777" w:rsidR="00F36A92" w:rsidRPr="003D3871" w:rsidRDefault="00F36A92" w:rsidP="003D3871">
      <w:pPr>
        <w:spacing w:line="360" w:lineRule="auto"/>
        <w:rPr>
          <w:sz w:val="22"/>
          <w:szCs w:val="22"/>
        </w:rPr>
      </w:pPr>
      <w:r w:rsidRPr="003D3871">
        <w:rPr>
          <w:sz w:val="22"/>
          <w:szCs w:val="22"/>
        </w:rPr>
        <w:t>Rossiter, C., Levett-Jones, T. and Pich, J. (2020) 'The impact of person-centred care on patient safety: An umbrella review of systematic reviews', International Journal of Nursing Studies, 109, p. 103658.</w:t>
      </w:r>
    </w:p>
    <w:p w14:paraId="0E9D4AA6" w14:textId="77777777" w:rsidR="00F36A92" w:rsidRPr="003D3871" w:rsidRDefault="00F36A92" w:rsidP="003D3871">
      <w:pPr>
        <w:spacing w:line="360" w:lineRule="auto"/>
        <w:rPr>
          <w:sz w:val="22"/>
          <w:szCs w:val="22"/>
        </w:rPr>
      </w:pPr>
      <w:r w:rsidRPr="003D3871">
        <w:rPr>
          <w:sz w:val="22"/>
          <w:szCs w:val="22"/>
        </w:rPr>
        <w:t>Ulin, K., Olsson, L.E., Wolf, A. and Ekman, I. (2016) 'Person-centred care - An approach that improves the discharge process', European Journal of Cardiovascular Nursing, 15(3), pp. e19-e26.</w:t>
      </w:r>
    </w:p>
    <w:p w14:paraId="417F7DB9" w14:textId="77777777" w:rsidR="00F555E6" w:rsidRPr="003D3871" w:rsidRDefault="00F555E6" w:rsidP="003D3871">
      <w:pPr>
        <w:spacing w:line="360" w:lineRule="auto"/>
        <w:rPr>
          <w:sz w:val="22"/>
          <w:szCs w:val="22"/>
        </w:rPr>
      </w:pPr>
      <w:proofErr w:type="spellStart"/>
      <w:r w:rsidRPr="003D3871">
        <w:rPr>
          <w:sz w:val="22"/>
          <w:szCs w:val="22"/>
        </w:rPr>
        <w:t>Alderwick</w:t>
      </w:r>
      <w:proofErr w:type="spellEnd"/>
      <w:r w:rsidRPr="003D3871">
        <w:rPr>
          <w:sz w:val="22"/>
          <w:szCs w:val="22"/>
        </w:rPr>
        <w:t>, H., Hutchings, A. and Mays, N. (2024) ‘Cross-sector collaboration to reduce health inequalities: a qualitative study of local collaboration between health care, social services, and other sectors under health system reforms in England’, BMC Public Health, 24(1), p. 20089.</w:t>
      </w:r>
    </w:p>
    <w:p w14:paraId="5306EEB5" w14:textId="77777777" w:rsidR="00F555E6" w:rsidRPr="003D3871" w:rsidRDefault="00F555E6" w:rsidP="003D3871">
      <w:pPr>
        <w:spacing w:line="360" w:lineRule="auto"/>
        <w:rPr>
          <w:sz w:val="22"/>
          <w:szCs w:val="22"/>
        </w:rPr>
      </w:pPr>
      <w:r w:rsidRPr="003D3871">
        <w:rPr>
          <w:sz w:val="22"/>
          <w:szCs w:val="22"/>
        </w:rPr>
        <w:t>Cornes, M. et al. (2018) ‘Improving hospital discharge arrangements for people who are homeless: A realist synthesis of the intermediate care literature’, Health &amp; Social Care in the Community, 26(3), pp. e345–e359.</w:t>
      </w:r>
    </w:p>
    <w:p w14:paraId="4C00810D" w14:textId="77777777" w:rsidR="00F555E6" w:rsidRPr="003D3871" w:rsidRDefault="00F555E6" w:rsidP="003D3871">
      <w:pPr>
        <w:spacing w:line="360" w:lineRule="auto"/>
        <w:rPr>
          <w:sz w:val="22"/>
          <w:szCs w:val="22"/>
        </w:rPr>
      </w:pPr>
      <w:r w:rsidRPr="003D3871">
        <w:rPr>
          <w:sz w:val="22"/>
          <w:szCs w:val="22"/>
        </w:rPr>
        <w:t xml:space="preserve">Glasby, J. and Dickinson, H. (2014) Partnership Working in Health and Social Care. 2nd </w:t>
      </w:r>
      <w:proofErr w:type="spellStart"/>
      <w:r w:rsidRPr="003D3871">
        <w:rPr>
          <w:sz w:val="22"/>
          <w:szCs w:val="22"/>
        </w:rPr>
        <w:t>edn</w:t>
      </w:r>
      <w:proofErr w:type="spellEnd"/>
      <w:r w:rsidRPr="003D3871">
        <w:rPr>
          <w:sz w:val="22"/>
          <w:szCs w:val="22"/>
        </w:rPr>
        <w:t>. Bristol: Policy Press.</w:t>
      </w:r>
    </w:p>
    <w:p w14:paraId="4A63ADC2" w14:textId="77777777" w:rsidR="00F555E6" w:rsidRPr="003D3871" w:rsidRDefault="00F555E6" w:rsidP="003D3871">
      <w:pPr>
        <w:spacing w:line="360" w:lineRule="auto"/>
        <w:rPr>
          <w:sz w:val="22"/>
          <w:szCs w:val="22"/>
        </w:rPr>
      </w:pPr>
      <w:r w:rsidRPr="003D3871">
        <w:rPr>
          <w:sz w:val="22"/>
          <w:szCs w:val="22"/>
        </w:rPr>
        <w:t>Glasby, J., Dickinson, H. and Miller, R. (2011) ‘Partnership working in England—where we are now and where we’ve come from’, International Journal of Integrated Care, 11(Special 10th Anniversary Edition), p. e002.</w:t>
      </w:r>
    </w:p>
    <w:p w14:paraId="6D0DC3BD" w14:textId="77777777" w:rsidR="00F555E6" w:rsidRPr="003D3871" w:rsidRDefault="00F555E6" w:rsidP="003D3871">
      <w:pPr>
        <w:spacing w:line="360" w:lineRule="auto"/>
        <w:rPr>
          <w:sz w:val="22"/>
          <w:szCs w:val="22"/>
        </w:rPr>
      </w:pPr>
      <w:r w:rsidRPr="003D3871">
        <w:rPr>
          <w:sz w:val="22"/>
          <w:szCs w:val="22"/>
        </w:rPr>
        <w:t>Stokes, J. et al. (2016) ‘Effectiveness of multidisciplinary team case management: difference-in-differences analysis’, BMJ Open, 6(4), p. e010468.</w:t>
      </w:r>
    </w:p>
    <w:p w14:paraId="52FF8655" w14:textId="77777777" w:rsidR="00312486" w:rsidRPr="003D3871" w:rsidRDefault="00312486" w:rsidP="003D3871">
      <w:pPr>
        <w:spacing w:line="360" w:lineRule="auto"/>
        <w:rPr>
          <w:sz w:val="22"/>
          <w:szCs w:val="22"/>
        </w:rPr>
      </w:pPr>
      <w:r w:rsidRPr="003D3871">
        <w:rPr>
          <w:sz w:val="22"/>
          <w:szCs w:val="22"/>
        </w:rPr>
        <w:t xml:space="preserve">Barnes, D., Boland, B., Linhart, K. and Wilson, K. (2017). Personalisation and social care assessment - the Care Act 2014. </w:t>
      </w:r>
      <w:proofErr w:type="spellStart"/>
      <w:r w:rsidRPr="003D3871">
        <w:rPr>
          <w:sz w:val="22"/>
          <w:szCs w:val="22"/>
        </w:rPr>
        <w:t>BJPsych</w:t>
      </w:r>
      <w:proofErr w:type="spellEnd"/>
      <w:r w:rsidRPr="003D3871">
        <w:rPr>
          <w:sz w:val="22"/>
          <w:szCs w:val="22"/>
        </w:rPr>
        <w:t xml:space="preserve"> Bulletin, 41(3), pp.176-180.</w:t>
      </w:r>
    </w:p>
    <w:p w14:paraId="2FD152F5" w14:textId="77777777" w:rsidR="00312486" w:rsidRPr="003D3871" w:rsidRDefault="00312486" w:rsidP="003D3871">
      <w:pPr>
        <w:spacing w:line="360" w:lineRule="auto"/>
        <w:rPr>
          <w:sz w:val="22"/>
          <w:szCs w:val="22"/>
        </w:rPr>
      </w:pPr>
      <w:r w:rsidRPr="003D3871">
        <w:rPr>
          <w:sz w:val="22"/>
          <w:szCs w:val="22"/>
        </w:rPr>
        <w:t>Cox, J. (2015). NHS values, compassion and quality indicators for relationship based person-centred healthcare: Comment on "Morality and markets in the NHS". International Journal of Health Policy and Management, 4(6), pp.407-408.</w:t>
      </w:r>
    </w:p>
    <w:p w14:paraId="0C683FF2" w14:textId="77777777" w:rsidR="00312486" w:rsidRPr="003D3871" w:rsidRDefault="00312486" w:rsidP="003D3871">
      <w:pPr>
        <w:spacing w:line="360" w:lineRule="auto"/>
        <w:rPr>
          <w:sz w:val="22"/>
          <w:szCs w:val="22"/>
        </w:rPr>
      </w:pPr>
      <w:r w:rsidRPr="003D3871">
        <w:rPr>
          <w:sz w:val="22"/>
          <w:szCs w:val="22"/>
        </w:rPr>
        <w:lastRenderedPageBreak/>
        <w:t xml:space="preserve">Sanderson, M., Allen, P., Osipovic, D., </w:t>
      </w:r>
      <w:proofErr w:type="spellStart"/>
      <w:r w:rsidRPr="003D3871">
        <w:rPr>
          <w:sz w:val="22"/>
          <w:szCs w:val="22"/>
        </w:rPr>
        <w:t>Petsoulas</w:t>
      </w:r>
      <w:proofErr w:type="spellEnd"/>
      <w:r w:rsidRPr="003D3871">
        <w:rPr>
          <w:sz w:val="22"/>
          <w:szCs w:val="22"/>
        </w:rPr>
        <w:t>, C., Boiko, O. and Lorne, C. (2023). Developing architecture of system management in the English NHS: evidence from a qualitative study of three Integrated Care Systems. BMJ Open, 13(3), e065993.</w:t>
      </w:r>
    </w:p>
    <w:p w14:paraId="1669F092" w14:textId="77777777" w:rsidR="00312486" w:rsidRPr="003D3871" w:rsidRDefault="00312486" w:rsidP="003D3871">
      <w:pPr>
        <w:spacing w:line="360" w:lineRule="auto"/>
        <w:rPr>
          <w:sz w:val="22"/>
          <w:szCs w:val="22"/>
        </w:rPr>
      </w:pPr>
      <w:r w:rsidRPr="003D3871">
        <w:rPr>
          <w:sz w:val="22"/>
          <w:szCs w:val="22"/>
        </w:rPr>
        <w:t>Tomaselli, G., Buttigieg, S.C., Rosano, A., Cassar, M. and Grima, G. (2020). Person-</w:t>
      </w:r>
      <w:proofErr w:type="spellStart"/>
      <w:r w:rsidRPr="003D3871">
        <w:rPr>
          <w:sz w:val="22"/>
          <w:szCs w:val="22"/>
        </w:rPr>
        <w:t>Centered</w:t>
      </w:r>
      <w:proofErr w:type="spellEnd"/>
      <w:r w:rsidRPr="003D3871">
        <w:rPr>
          <w:sz w:val="22"/>
          <w:szCs w:val="22"/>
        </w:rPr>
        <w:t xml:space="preserve"> Care </w:t>
      </w:r>
      <w:proofErr w:type="gramStart"/>
      <w:r w:rsidRPr="003D3871">
        <w:rPr>
          <w:sz w:val="22"/>
          <w:szCs w:val="22"/>
        </w:rPr>
        <w:t>From</w:t>
      </w:r>
      <w:proofErr w:type="gramEnd"/>
      <w:r w:rsidRPr="003D3871">
        <w:rPr>
          <w:sz w:val="22"/>
          <w:szCs w:val="22"/>
        </w:rPr>
        <w:t xml:space="preserve"> a Relational Ethics Perspective for the Delivery of High Quality and Safe Healthcare: A Scoping Review. Frontiers in Public Health, 8, p.44.</w:t>
      </w:r>
    </w:p>
    <w:p w14:paraId="1EDE91E5" w14:textId="77777777" w:rsidR="00054BE1" w:rsidRPr="003D3871" w:rsidRDefault="00054BE1" w:rsidP="003D3871">
      <w:pPr>
        <w:spacing w:line="360" w:lineRule="auto"/>
        <w:rPr>
          <w:sz w:val="22"/>
          <w:szCs w:val="22"/>
        </w:rPr>
      </w:pPr>
      <w:r w:rsidRPr="003D3871">
        <w:rPr>
          <w:sz w:val="22"/>
          <w:szCs w:val="22"/>
        </w:rPr>
        <w:t>Conquer, S., Iles, R., Windle, K., Heathershaw, R. and Ski, C.F. (2024) 'Transforming integrated care through co-production: a systematic review using meta-ethnography', </w:t>
      </w:r>
      <w:r w:rsidRPr="003D3871">
        <w:rPr>
          <w:i/>
          <w:iCs/>
          <w:sz w:val="22"/>
          <w:szCs w:val="22"/>
        </w:rPr>
        <w:t>International Journal of Integrated Care</w:t>
      </w:r>
      <w:r w:rsidRPr="003D3871">
        <w:rPr>
          <w:sz w:val="22"/>
          <w:szCs w:val="22"/>
        </w:rPr>
        <w:t>, 24(1), p. 17.</w:t>
      </w:r>
    </w:p>
    <w:p w14:paraId="5B8FCCA4" w14:textId="77777777" w:rsidR="00054BE1" w:rsidRPr="003D3871" w:rsidRDefault="00054BE1" w:rsidP="003D3871">
      <w:pPr>
        <w:spacing w:line="360" w:lineRule="auto"/>
        <w:rPr>
          <w:sz w:val="22"/>
          <w:szCs w:val="22"/>
        </w:rPr>
      </w:pPr>
      <w:r w:rsidRPr="003D3871">
        <w:rPr>
          <w:sz w:val="22"/>
          <w:szCs w:val="22"/>
        </w:rPr>
        <w:t xml:space="preserve">Fridberg, H., Wallin, L. and </w:t>
      </w:r>
      <w:proofErr w:type="spellStart"/>
      <w:r w:rsidRPr="003D3871">
        <w:rPr>
          <w:sz w:val="22"/>
          <w:szCs w:val="22"/>
        </w:rPr>
        <w:t>Tistad</w:t>
      </w:r>
      <w:proofErr w:type="spellEnd"/>
      <w:r w:rsidRPr="003D3871">
        <w:rPr>
          <w:sz w:val="22"/>
          <w:szCs w:val="22"/>
        </w:rPr>
        <w:t>, M. (2022) 'Tracking, naming, specifying, and comparing implementation strategies for person-centred care in a real-world setting: a case study with seven embedded units', </w:t>
      </w:r>
      <w:r w:rsidRPr="003D3871">
        <w:rPr>
          <w:i/>
          <w:iCs/>
          <w:sz w:val="22"/>
          <w:szCs w:val="22"/>
        </w:rPr>
        <w:t>BMC Health Services Research</w:t>
      </w:r>
      <w:r w:rsidRPr="003D3871">
        <w:rPr>
          <w:sz w:val="22"/>
          <w:szCs w:val="22"/>
        </w:rPr>
        <w:t>, 22, p. 1409.</w:t>
      </w:r>
    </w:p>
    <w:p w14:paraId="36AA903D" w14:textId="77777777" w:rsidR="00054BE1" w:rsidRPr="003D3871" w:rsidRDefault="00054BE1" w:rsidP="003D3871">
      <w:pPr>
        <w:spacing w:line="360" w:lineRule="auto"/>
        <w:rPr>
          <w:sz w:val="22"/>
          <w:szCs w:val="22"/>
        </w:rPr>
      </w:pPr>
      <w:r w:rsidRPr="003D3871">
        <w:rPr>
          <w:sz w:val="22"/>
          <w:szCs w:val="22"/>
        </w:rPr>
        <w:t>Goodwin, N., Brown, A., Johnson, H., Miller, R. and Stein, K.V. (2022) 'From people-centred to people-driven care: can integrated care achieve its promise without it?', </w:t>
      </w:r>
      <w:r w:rsidRPr="003D3871">
        <w:rPr>
          <w:i/>
          <w:iCs/>
          <w:sz w:val="22"/>
          <w:szCs w:val="22"/>
        </w:rPr>
        <w:t>International Journal of Integrated Care</w:t>
      </w:r>
      <w:r w:rsidRPr="003D3871">
        <w:rPr>
          <w:sz w:val="22"/>
          <w:szCs w:val="22"/>
        </w:rPr>
        <w:t>, 22(4), p. 17.</w:t>
      </w:r>
    </w:p>
    <w:p w14:paraId="486C33C6" w14:textId="77777777" w:rsidR="00054BE1" w:rsidRPr="003D3871" w:rsidRDefault="00054BE1" w:rsidP="003D3871">
      <w:pPr>
        <w:spacing w:line="360" w:lineRule="auto"/>
        <w:rPr>
          <w:sz w:val="22"/>
          <w:szCs w:val="22"/>
        </w:rPr>
      </w:pPr>
      <w:r w:rsidRPr="003D3871">
        <w:rPr>
          <w:sz w:val="22"/>
          <w:szCs w:val="22"/>
        </w:rPr>
        <w:t xml:space="preserve">Greenhalgh, S., Guo, L. and </w:t>
      </w:r>
      <w:proofErr w:type="spellStart"/>
      <w:r w:rsidRPr="003D3871">
        <w:rPr>
          <w:sz w:val="22"/>
          <w:szCs w:val="22"/>
        </w:rPr>
        <w:t>Yeowell</w:t>
      </w:r>
      <w:proofErr w:type="spellEnd"/>
      <w:r w:rsidRPr="003D3871">
        <w:rPr>
          <w:sz w:val="22"/>
          <w:szCs w:val="22"/>
        </w:rPr>
        <w:t>, G. (2025) 'Stakeholder perceptions of artificial intelligence in primary care: a qualitative study', </w:t>
      </w:r>
      <w:r w:rsidRPr="003D3871">
        <w:rPr>
          <w:i/>
          <w:iCs/>
          <w:sz w:val="22"/>
          <w:szCs w:val="22"/>
        </w:rPr>
        <w:t>Musculoskeletal Care</w:t>
      </w:r>
      <w:r w:rsidRPr="003D3871">
        <w:rPr>
          <w:sz w:val="22"/>
          <w:szCs w:val="22"/>
        </w:rPr>
        <w:t>, 23(2), p. e70092.</w:t>
      </w:r>
    </w:p>
    <w:p w14:paraId="7A0B14EF" w14:textId="77777777" w:rsidR="00054BE1" w:rsidRPr="003D3871" w:rsidRDefault="00054BE1" w:rsidP="003D3871">
      <w:pPr>
        <w:spacing w:line="360" w:lineRule="auto"/>
        <w:rPr>
          <w:sz w:val="22"/>
          <w:szCs w:val="22"/>
        </w:rPr>
      </w:pPr>
      <w:r w:rsidRPr="003D3871">
        <w:rPr>
          <w:sz w:val="22"/>
          <w:szCs w:val="22"/>
        </w:rPr>
        <w:t>Thomson, L.J.M. and Chatterjee, H.J. (2024) 'Barriers and enablers of integrated care in the UK: a rapid evidence review of review articles and grey literature 2018-2022', </w:t>
      </w:r>
      <w:r w:rsidRPr="003D3871">
        <w:rPr>
          <w:i/>
          <w:iCs/>
          <w:sz w:val="22"/>
          <w:szCs w:val="22"/>
        </w:rPr>
        <w:t>Frontiers in Public Health</w:t>
      </w:r>
      <w:r w:rsidRPr="003D3871">
        <w:rPr>
          <w:sz w:val="22"/>
          <w:szCs w:val="22"/>
        </w:rPr>
        <w:t>, 11, p. 1286479.</w:t>
      </w:r>
    </w:p>
    <w:p w14:paraId="53D37E18" w14:textId="77777777" w:rsidR="0066351D" w:rsidRPr="003D3871" w:rsidRDefault="0066351D" w:rsidP="003D3871">
      <w:pPr>
        <w:spacing w:line="360" w:lineRule="auto"/>
        <w:rPr>
          <w:sz w:val="22"/>
          <w:szCs w:val="22"/>
        </w:rPr>
      </w:pPr>
    </w:p>
    <w:sectPr w:rsidR="0066351D" w:rsidRPr="003D38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861797"/>
    <w:multiLevelType w:val="hybridMultilevel"/>
    <w:tmpl w:val="774C36F8"/>
    <w:lvl w:ilvl="0" w:tplc="1F125450">
      <w:start w:val="1"/>
      <w:numFmt w:val="bullet"/>
      <w:lvlText w:val="•"/>
      <w:lvlJc w:val="left"/>
      <w:pPr>
        <w:tabs>
          <w:tab w:val="num" w:pos="720"/>
        </w:tabs>
        <w:ind w:left="720" w:hanging="360"/>
      </w:pPr>
      <w:rPr>
        <w:rFonts w:ascii="Arial" w:hAnsi="Arial" w:hint="default"/>
      </w:rPr>
    </w:lvl>
    <w:lvl w:ilvl="1" w:tplc="F72E66E4" w:tentative="1">
      <w:start w:val="1"/>
      <w:numFmt w:val="bullet"/>
      <w:lvlText w:val="•"/>
      <w:lvlJc w:val="left"/>
      <w:pPr>
        <w:tabs>
          <w:tab w:val="num" w:pos="1440"/>
        </w:tabs>
        <w:ind w:left="1440" w:hanging="360"/>
      </w:pPr>
      <w:rPr>
        <w:rFonts w:ascii="Arial" w:hAnsi="Arial" w:hint="default"/>
      </w:rPr>
    </w:lvl>
    <w:lvl w:ilvl="2" w:tplc="8F0A018E" w:tentative="1">
      <w:start w:val="1"/>
      <w:numFmt w:val="bullet"/>
      <w:lvlText w:val="•"/>
      <w:lvlJc w:val="left"/>
      <w:pPr>
        <w:tabs>
          <w:tab w:val="num" w:pos="2160"/>
        </w:tabs>
        <w:ind w:left="2160" w:hanging="360"/>
      </w:pPr>
      <w:rPr>
        <w:rFonts w:ascii="Arial" w:hAnsi="Arial" w:hint="default"/>
      </w:rPr>
    </w:lvl>
    <w:lvl w:ilvl="3" w:tplc="EFB46FC2" w:tentative="1">
      <w:start w:val="1"/>
      <w:numFmt w:val="bullet"/>
      <w:lvlText w:val="•"/>
      <w:lvlJc w:val="left"/>
      <w:pPr>
        <w:tabs>
          <w:tab w:val="num" w:pos="2880"/>
        </w:tabs>
        <w:ind w:left="2880" w:hanging="360"/>
      </w:pPr>
      <w:rPr>
        <w:rFonts w:ascii="Arial" w:hAnsi="Arial" w:hint="default"/>
      </w:rPr>
    </w:lvl>
    <w:lvl w:ilvl="4" w:tplc="C03408FE" w:tentative="1">
      <w:start w:val="1"/>
      <w:numFmt w:val="bullet"/>
      <w:lvlText w:val="•"/>
      <w:lvlJc w:val="left"/>
      <w:pPr>
        <w:tabs>
          <w:tab w:val="num" w:pos="3600"/>
        </w:tabs>
        <w:ind w:left="3600" w:hanging="360"/>
      </w:pPr>
      <w:rPr>
        <w:rFonts w:ascii="Arial" w:hAnsi="Arial" w:hint="default"/>
      </w:rPr>
    </w:lvl>
    <w:lvl w:ilvl="5" w:tplc="43A20C7A" w:tentative="1">
      <w:start w:val="1"/>
      <w:numFmt w:val="bullet"/>
      <w:lvlText w:val="•"/>
      <w:lvlJc w:val="left"/>
      <w:pPr>
        <w:tabs>
          <w:tab w:val="num" w:pos="4320"/>
        </w:tabs>
        <w:ind w:left="4320" w:hanging="360"/>
      </w:pPr>
      <w:rPr>
        <w:rFonts w:ascii="Arial" w:hAnsi="Arial" w:hint="default"/>
      </w:rPr>
    </w:lvl>
    <w:lvl w:ilvl="6" w:tplc="F9B8ADC4" w:tentative="1">
      <w:start w:val="1"/>
      <w:numFmt w:val="bullet"/>
      <w:lvlText w:val="•"/>
      <w:lvlJc w:val="left"/>
      <w:pPr>
        <w:tabs>
          <w:tab w:val="num" w:pos="5040"/>
        </w:tabs>
        <w:ind w:left="5040" w:hanging="360"/>
      </w:pPr>
      <w:rPr>
        <w:rFonts w:ascii="Arial" w:hAnsi="Arial" w:hint="default"/>
      </w:rPr>
    </w:lvl>
    <w:lvl w:ilvl="7" w:tplc="BBCAE336" w:tentative="1">
      <w:start w:val="1"/>
      <w:numFmt w:val="bullet"/>
      <w:lvlText w:val="•"/>
      <w:lvlJc w:val="left"/>
      <w:pPr>
        <w:tabs>
          <w:tab w:val="num" w:pos="5760"/>
        </w:tabs>
        <w:ind w:left="5760" w:hanging="360"/>
      </w:pPr>
      <w:rPr>
        <w:rFonts w:ascii="Arial" w:hAnsi="Arial" w:hint="default"/>
      </w:rPr>
    </w:lvl>
    <w:lvl w:ilvl="8" w:tplc="35E87F5A" w:tentative="1">
      <w:start w:val="1"/>
      <w:numFmt w:val="bullet"/>
      <w:lvlText w:val="•"/>
      <w:lvlJc w:val="left"/>
      <w:pPr>
        <w:tabs>
          <w:tab w:val="num" w:pos="6480"/>
        </w:tabs>
        <w:ind w:left="6480" w:hanging="360"/>
      </w:pPr>
      <w:rPr>
        <w:rFonts w:ascii="Arial" w:hAnsi="Arial" w:hint="default"/>
      </w:rPr>
    </w:lvl>
  </w:abstractNum>
  <w:num w:numId="1" w16cid:durableId="41101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423"/>
    <w:rsid w:val="00027CBC"/>
    <w:rsid w:val="00036ED3"/>
    <w:rsid w:val="00054BE1"/>
    <w:rsid w:val="000E58E9"/>
    <w:rsid w:val="001478D8"/>
    <w:rsid w:val="00203C5E"/>
    <w:rsid w:val="00235697"/>
    <w:rsid w:val="00300762"/>
    <w:rsid w:val="00312486"/>
    <w:rsid w:val="003D3871"/>
    <w:rsid w:val="00465FDD"/>
    <w:rsid w:val="00474D61"/>
    <w:rsid w:val="005243B6"/>
    <w:rsid w:val="00546EFD"/>
    <w:rsid w:val="0066351D"/>
    <w:rsid w:val="006C4048"/>
    <w:rsid w:val="0081099E"/>
    <w:rsid w:val="00927074"/>
    <w:rsid w:val="009400C7"/>
    <w:rsid w:val="009B1423"/>
    <w:rsid w:val="009B46EB"/>
    <w:rsid w:val="009F3C2B"/>
    <w:rsid w:val="00A13491"/>
    <w:rsid w:val="00B12C12"/>
    <w:rsid w:val="00B2506D"/>
    <w:rsid w:val="00C10671"/>
    <w:rsid w:val="00C16238"/>
    <w:rsid w:val="00C52BBE"/>
    <w:rsid w:val="00CD337A"/>
    <w:rsid w:val="00CF5C85"/>
    <w:rsid w:val="00DA0DAF"/>
    <w:rsid w:val="00EA447E"/>
    <w:rsid w:val="00EE5503"/>
    <w:rsid w:val="00F0557A"/>
    <w:rsid w:val="00F25B36"/>
    <w:rsid w:val="00F36A92"/>
    <w:rsid w:val="00F555E6"/>
    <w:rsid w:val="00F82A11"/>
    <w:rsid w:val="00F96271"/>
    <w:rsid w:val="00FD7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0291E8"/>
  <w15:chartTrackingRefBased/>
  <w15:docId w15:val="{57429E8B-1B55-4967-8A6E-66BCD6F474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4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14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14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14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14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14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14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14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14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4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14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14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14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14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14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14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14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1423"/>
    <w:rPr>
      <w:rFonts w:eastAsiaTheme="majorEastAsia" w:cstheme="majorBidi"/>
      <w:color w:val="272727" w:themeColor="text1" w:themeTint="D8"/>
    </w:rPr>
  </w:style>
  <w:style w:type="paragraph" w:styleId="Title">
    <w:name w:val="Title"/>
    <w:basedOn w:val="Normal"/>
    <w:next w:val="Normal"/>
    <w:link w:val="TitleChar"/>
    <w:uiPriority w:val="10"/>
    <w:qFormat/>
    <w:rsid w:val="009B14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4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14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14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1423"/>
    <w:pPr>
      <w:spacing w:before="160"/>
      <w:jc w:val="center"/>
    </w:pPr>
    <w:rPr>
      <w:i/>
      <w:iCs/>
      <w:color w:val="404040" w:themeColor="text1" w:themeTint="BF"/>
    </w:rPr>
  </w:style>
  <w:style w:type="character" w:customStyle="1" w:styleId="QuoteChar">
    <w:name w:val="Quote Char"/>
    <w:basedOn w:val="DefaultParagraphFont"/>
    <w:link w:val="Quote"/>
    <w:uiPriority w:val="29"/>
    <w:rsid w:val="009B1423"/>
    <w:rPr>
      <w:i/>
      <w:iCs/>
      <w:color w:val="404040" w:themeColor="text1" w:themeTint="BF"/>
    </w:rPr>
  </w:style>
  <w:style w:type="paragraph" w:styleId="ListParagraph">
    <w:name w:val="List Paragraph"/>
    <w:basedOn w:val="Normal"/>
    <w:uiPriority w:val="34"/>
    <w:qFormat/>
    <w:rsid w:val="009B1423"/>
    <w:pPr>
      <w:ind w:left="720"/>
      <w:contextualSpacing/>
    </w:pPr>
  </w:style>
  <w:style w:type="character" w:styleId="IntenseEmphasis">
    <w:name w:val="Intense Emphasis"/>
    <w:basedOn w:val="DefaultParagraphFont"/>
    <w:uiPriority w:val="21"/>
    <w:qFormat/>
    <w:rsid w:val="009B1423"/>
    <w:rPr>
      <w:i/>
      <w:iCs/>
      <w:color w:val="0F4761" w:themeColor="accent1" w:themeShade="BF"/>
    </w:rPr>
  </w:style>
  <w:style w:type="paragraph" w:styleId="IntenseQuote">
    <w:name w:val="Intense Quote"/>
    <w:basedOn w:val="Normal"/>
    <w:next w:val="Normal"/>
    <w:link w:val="IntenseQuoteChar"/>
    <w:uiPriority w:val="30"/>
    <w:qFormat/>
    <w:rsid w:val="009B14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1423"/>
    <w:rPr>
      <w:i/>
      <w:iCs/>
      <w:color w:val="0F4761" w:themeColor="accent1" w:themeShade="BF"/>
    </w:rPr>
  </w:style>
  <w:style w:type="character" w:styleId="IntenseReference">
    <w:name w:val="Intense Reference"/>
    <w:basedOn w:val="DefaultParagraphFont"/>
    <w:uiPriority w:val="32"/>
    <w:qFormat/>
    <w:rsid w:val="009B142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db45c58-9334-49fb-969d-6e0fa05bf8a2"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9AC6DFFEF27F945BBAA62CAA10619FE" ma:contentTypeVersion="12" ma:contentTypeDescription="Create a new document." ma:contentTypeScope="" ma:versionID="f5261fe0caf9993cbde968c206eed538">
  <xsd:schema xmlns:xsd="http://www.w3.org/2001/XMLSchema" xmlns:xs="http://www.w3.org/2001/XMLSchema" xmlns:p="http://schemas.microsoft.com/office/2006/metadata/properties" xmlns:ns3="cdb45c58-9334-49fb-969d-6e0fa05bf8a2" targetNamespace="http://schemas.microsoft.com/office/2006/metadata/properties" ma:root="true" ma:fieldsID="4e9cfe2f99f1abec436b6e661cb788cc" ns3:_="">
    <xsd:import namespace="cdb45c58-9334-49fb-969d-6e0fa05bf8a2"/>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MediaServiceSystemTag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db45c58-9334-49fb-969d-6e0fa05bf8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SystemTags" ma:index="17" nillable="true" ma:displayName="MediaServiceSystemTags" ma:hidden="true" ma:internalName="MediaServiceSystemTags" ma:readOnly="true">
      <xsd:simpleType>
        <xsd:restriction base="dms:Note"/>
      </xsd:simpleType>
    </xsd:element>
    <xsd:element name="MediaLengthInSeconds" ma:index="18"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319D309-AF7C-40FC-BAF2-F0ABB61D9113}">
  <ds:schemaRefs>
    <ds:schemaRef ds:uri="http://schemas.microsoft.com/office/2006/metadata/properties"/>
    <ds:schemaRef ds:uri="http://schemas.microsoft.com/office/infopath/2007/PartnerControls"/>
    <ds:schemaRef ds:uri="cdb45c58-9334-49fb-969d-6e0fa05bf8a2"/>
  </ds:schemaRefs>
</ds:datastoreItem>
</file>

<file path=customXml/itemProps2.xml><?xml version="1.0" encoding="utf-8"?>
<ds:datastoreItem xmlns:ds="http://schemas.openxmlformats.org/officeDocument/2006/customXml" ds:itemID="{24C89F9B-073C-4FA8-B0EE-EF4B541E28A1}">
  <ds:schemaRefs>
    <ds:schemaRef ds:uri="http://schemas.microsoft.com/sharepoint/v3/contenttype/forms"/>
  </ds:schemaRefs>
</ds:datastoreItem>
</file>

<file path=customXml/itemProps3.xml><?xml version="1.0" encoding="utf-8"?>
<ds:datastoreItem xmlns:ds="http://schemas.openxmlformats.org/officeDocument/2006/customXml" ds:itemID="{730AA36A-0BB5-4B3E-A552-056B495FED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db45c58-9334-49fb-969d-6e0fa05bf8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0</TotalTime>
  <Pages>10</Pages>
  <Words>2994</Words>
  <Characters>17521</Characters>
  <Application>Microsoft Office Word</Application>
  <DocSecurity>0</DocSecurity>
  <Lines>287</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Yonathan Wondimu</dc:creator>
  <cp:keywords/>
  <dc:description/>
  <cp:lastModifiedBy>Yonathan Wondimu</cp:lastModifiedBy>
  <cp:revision>2</cp:revision>
  <dcterms:created xsi:type="dcterms:W3CDTF">2026-03-29T09:45:00Z</dcterms:created>
  <dcterms:modified xsi:type="dcterms:W3CDTF">2026-03-29T09:45:00Z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0x010100F9AC6DFFEF27F945BBAA62CAA10619FE</vt:lpwstr>
  </property>
</Properties>
</file>