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9997BE1" w:rsidR="00986B43" w:rsidRPr="00A22C1F"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A22C1F">
              <w:rPr>
                <w:rFonts w:ascii="Times New Roman" w:hAnsi="Times New Roman" w:cs="Times New Roman"/>
                <w:b/>
                <w:color w:val="auto"/>
                <w:sz w:val="44"/>
                <w:szCs w:val="18"/>
              </w:rPr>
              <w:t>Learner’s name:</w:t>
            </w:r>
            <w:r w:rsidR="00247265" w:rsidRPr="00A22C1F">
              <w:rPr>
                <w:rFonts w:ascii="Times New Roman" w:hAnsi="Times New Roman" w:cs="Times New Roman"/>
                <w:b/>
                <w:color w:val="auto"/>
                <w:sz w:val="44"/>
                <w:szCs w:val="18"/>
              </w:rPr>
              <w:t xml:space="preserve"> </w:t>
            </w:r>
            <w:r w:rsidR="009E3640" w:rsidRPr="00A22C1F">
              <w:rPr>
                <w:rFonts w:ascii="Times New Roman" w:hAnsi="Times New Roman" w:cs="Times New Roman"/>
                <w:b/>
                <w:color w:val="auto"/>
                <w:sz w:val="44"/>
                <w:szCs w:val="18"/>
              </w:rPr>
              <w:t>Vanessa Archer</w:t>
            </w:r>
          </w:p>
          <w:p w14:paraId="0B6CD0DB" w14:textId="689515B5" w:rsidR="009C337F" w:rsidRPr="00A22C1F"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511254E3" w:rsidR="009C337F" w:rsidRPr="00A22C1F"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A22C1F">
              <w:rPr>
                <w:rFonts w:ascii="Times New Roman" w:hAnsi="Times New Roman" w:cs="Times New Roman"/>
                <w:b/>
                <w:color w:val="auto"/>
                <w:sz w:val="44"/>
                <w:szCs w:val="18"/>
              </w:rPr>
              <w:t>Email address:</w:t>
            </w:r>
            <w:r w:rsidR="009E3640" w:rsidRPr="00A22C1F">
              <w:rPr>
                <w:rFonts w:ascii="Times New Roman" w:hAnsi="Times New Roman" w:cs="Times New Roman"/>
                <w:b/>
                <w:color w:val="auto"/>
                <w:sz w:val="44"/>
                <w:szCs w:val="18"/>
              </w:rPr>
              <w:t xml:space="preserve"> vanessa__archer@hotmail.co.uk</w:t>
            </w:r>
          </w:p>
          <w:p w14:paraId="22E38809" w14:textId="77777777" w:rsidR="00986B43" w:rsidRPr="00A22C1F"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3DAADC26" w:rsidR="00F927A1" w:rsidRPr="00A22C1F"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A22C1F">
              <w:rPr>
                <w:rFonts w:ascii="Times New Roman" w:hAnsi="Times New Roman" w:cs="Times New Roman"/>
                <w:b/>
                <w:color w:val="auto"/>
                <w:sz w:val="44"/>
                <w:szCs w:val="18"/>
              </w:rPr>
              <w:t>Learner’s University Registration</w:t>
            </w:r>
            <w:r w:rsidR="00F927A1" w:rsidRPr="00A22C1F">
              <w:rPr>
                <w:rFonts w:ascii="Times New Roman" w:hAnsi="Times New Roman" w:cs="Times New Roman"/>
                <w:b/>
                <w:color w:val="auto"/>
                <w:sz w:val="44"/>
                <w:szCs w:val="18"/>
              </w:rPr>
              <w:t xml:space="preserve"> Number:</w:t>
            </w:r>
            <w:r w:rsidR="00A22C1F">
              <w:rPr>
                <w:rFonts w:ascii="Times New Roman" w:hAnsi="Times New Roman" w:cs="Times New Roman"/>
                <w:b/>
                <w:color w:val="auto"/>
                <w:sz w:val="44"/>
                <w:szCs w:val="18"/>
              </w:rPr>
              <w:t xml:space="preserve"> </w:t>
            </w:r>
            <w:r w:rsidR="000217E4" w:rsidRPr="00A22C1F">
              <w:rPr>
                <w:rFonts w:ascii="Times New Roman" w:hAnsi="Times New Roman" w:cs="Times New Roman"/>
                <w:b/>
                <w:color w:val="auto"/>
                <w:sz w:val="44"/>
                <w:szCs w:val="18"/>
              </w:rPr>
              <w:t>2432839</w:t>
            </w:r>
          </w:p>
          <w:p w14:paraId="622FD17A" w14:textId="77777777" w:rsidR="0085230E" w:rsidRPr="00A22C1F"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A22C1F">
              <w:rPr>
                <w:rFonts w:ascii="Times New Roman" w:hAnsi="Times New Roman" w:cs="Times New Roman"/>
                <w:b/>
                <w:color w:val="auto"/>
                <w:sz w:val="44"/>
                <w:szCs w:val="18"/>
              </w:rPr>
              <w:t xml:space="preserve">Cohort: </w:t>
            </w:r>
            <w:r w:rsidR="0049374F" w:rsidRPr="00A22C1F">
              <w:rPr>
                <w:rFonts w:ascii="Times New Roman" w:hAnsi="Times New Roman" w:cs="Times New Roman"/>
                <w:b/>
                <w:color w:val="auto"/>
                <w:sz w:val="44"/>
                <w:szCs w:val="18"/>
              </w:rPr>
              <w:t>21</w:t>
            </w:r>
            <w:r w:rsidR="00AE6231" w:rsidRPr="00A22C1F">
              <w:rPr>
                <w:rFonts w:ascii="Times New Roman" w:hAnsi="Times New Roman" w:cs="Times New Roman"/>
                <w:b/>
                <w:color w:val="auto"/>
                <w:sz w:val="44"/>
                <w:szCs w:val="1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00164EA" w:rsidR="00FC0334" w:rsidRDefault="00CA32E6" w:rsidP="00FF7EBB">
            <w:pPr>
              <w:jc w:val="both"/>
              <w:rPr>
                <w:sz w:val="24"/>
                <w:szCs w:val="24"/>
              </w:rPr>
            </w:pPr>
            <w:r>
              <w:rPr>
                <w:sz w:val="24"/>
                <w:szCs w:val="24"/>
              </w:rPr>
              <w:t>Adult safeguarding in Wales is underpinned by legislation and policy which aims to protect adults</w:t>
            </w:r>
            <w:r w:rsidR="00C61D6C">
              <w:rPr>
                <w:sz w:val="24"/>
                <w:szCs w:val="24"/>
              </w:rPr>
              <w:t xml:space="preserve"> </w:t>
            </w:r>
            <w:r>
              <w:rPr>
                <w:sz w:val="24"/>
                <w:szCs w:val="24"/>
              </w:rPr>
              <w:t xml:space="preserve">at risk. The Social Services and Wellbeing (Wales) Act </w:t>
            </w:r>
            <w:r w:rsidR="00EA2589">
              <w:rPr>
                <w:sz w:val="24"/>
                <w:szCs w:val="24"/>
              </w:rPr>
              <w:t>(SSWB(W)</w:t>
            </w:r>
            <w:proofErr w:type="gramStart"/>
            <w:r w:rsidR="00EA2589">
              <w:rPr>
                <w:sz w:val="24"/>
                <w:szCs w:val="24"/>
              </w:rPr>
              <w:t>A)</w:t>
            </w:r>
            <w:r>
              <w:rPr>
                <w:sz w:val="24"/>
                <w:szCs w:val="24"/>
              </w:rPr>
              <w:t>(</w:t>
            </w:r>
            <w:proofErr w:type="gramEnd"/>
            <w:r>
              <w:rPr>
                <w:sz w:val="24"/>
                <w:szCs w:val="24"/>
              </w:rPr>
              <w:t xml:space="preserve">2014) </w:t>
            </w:r>
            <w:r w:rsidR="003A19BC">
              <w:rPr>
                <w:sz w:val="24"/>
                <w:szCs w:val="24"/>
              </w:rPr>
              <w:t xml:space="preserve">requires Local Authorities to create Safeguarding Boards, the objective of </w:t>
            </w:r>
            <w:r w:rsidR="00214EFE">
              <w:rPr>
                <w:sz w:val="24"/>
                <w:szCs w:val="24"/>
              </w:rPr>
              <w:t>which</w:t>
            </w:r>
            <w:r w:rsidR="00C61D6C">
              <w:rPr>
                <w:sz w:val="24"/>
                <w:szCs w:val="24"/>
              </w:rPr>
              <w:t xml:space="preserve"> is to improve</w:t>
            </w:r>
            <w:r w:rsidR="003A19BC">
              <w:rPr>
                <w:sz w:val="24"/>
                <w:szCs w:val="24"/>
              </w:rPr>
              <w:t xml:space="preserve"> </w:t>
            </w:r>
            <w:r w:rsidR="00C61D6C">
              <w:rPr>
                <w:sz w:val="24"/>
                <w:szCs w:val="24"/>
              </w:rPr>
              <w:t xml:space="preserve">safeguarding procedures </w:t>
            </w:r>
            <w:r w:rsidR="00CD366A">
              <w:rPr>
                <w:sz w:val="24"/>
                <w:szCs w:val="24"/>
              </w:rPr>
              <w:t xml:space="preserve">in order to prevent and protect </w:t>
            </w:r>
            <w:r w:rsidR="003A19BC">
              <w:rPr>
                <w:sz w:val="24"/>
                <w:szCs w:val="24"/>
              </w:rPr>
              <w:t xml:space="preserve">adults in its area who have care and support needs </w:t>
            </w:r>
            <w:r w:rsidR="00CD366A">
              <w:rPr>
                <w:sz w:val="24"/>
                <w:szCs w:val="24"/>
              </w:rPr>
              <w:t>from experiencing abuse and neglect</w:t>
            </w:r>
            <w:r w:rsidR="003A19BC">
              <w:rPr>
                <w:sz w:val="24"/>
                <w:szCs w:val="24"/>
              </w:rPr>
              <w:t xml:space="preserve"> (SSW</w:t>
            </w:r>
            <w:r w:rsidR="005F77C8">
              <w:rPr>
                <w:sz w:val="24"/>
                <w:szCs w:val="24"/>
              </w:rPr>
              <w:t>B</w:t>
            </w:r>
            <w:r w:rsidR="003A19BC">
              <w:rPr>
                <w:sz w:val="24"/>
                <w:szCs w:val="24"/>
              </w:rPr>
              <w:t>(W)A, 2014).</w:t>
            </w:r>
            <w:r w:rsidR="000205C7">
              <w:rPr>
                <w:sz w:val="24"/>
                <w:szCs w:val="24"/>
              </w:rPr>
              <w:t xml:space="preserve"> Safeguarding legislation </w:t>
            </w:r>
            <w:r w:rsidR="00DE4989">
              <w:rPr>
                <w:sz w:val="24"/>
                <w:szCs w:val="24"/>
              </w:rPr>
              <w:t xml:space="preserve">promotes early intervention and </w:t>
            </w:r>
            <w:r w:rsidR="00E450DA">
              <w:rPr>
                <w:sz w:val="24"/>
                <w:szCs w:val="24"/>
              </w:rPr>
              <w:t>prevention and</w:t>
            </w:r>
            <w:r w:rsidR="00DE4989">
              <w:rPr>
                <w:sz w:val="24"/>
                <w:szCs w:val="24"/>
              </w:rPr>
              <w:t xml:space="preserve"> puts a duty on Local Authorities to carry out an investigation when they have reason to believe an adult is at risk (SSWB(W)A,</w:t>
            </w:r>
            <w:r w:rsidR="005C50F6">
              <w:rPr>
                <w:sz w:val="24"/>
                <w:szCs w:val="24"/>
              </w:rPr>
              <w:t xml:space="preserve"> </w:t>
            </w:r>
            <w:r w:rsidR="00DE4989">
              <w:rPr>
                <w:sz w:val="24"/>
                <w:szCs w:val="24"/>
              </w:rPr>
              <w:t>2014</w:t>
            </w:r>
            <w:r w:rsidR="005C50F6">
              <w:rPr>
                <w:sz w:val="24"/>
                <w:szCs w:val="24"/>
              </w:rPr>
              <w:t xml:space="preserve"> s.126</w:t>
            </w:r>
            <w:r w:rsidR="00DE4989">
              <w:rPr>
                <w:sz w:val="24"/>
                <w:szCs w:val="24"/>
              </w:rPr>
              <w:t>).</w:t>
            </w:r>
            <w:r w:rsidR="00C61D6C">
              <w:rPr>
                <w:sz w:val="24"/>
                <w:szCs w:val="24"/>
              </w:rPr>
              <w:t xml:space="preserve"> Safeguarding boards promote a multi-agency approach to safeguarding, including partners from the local authority, police, health, probation, and other relevant agencies. As well as Local Safeguarding Boards, the National Independent Safeguarding Board Wales was established</w:t>
            </w:r>
            <w:r w:rsidR="00774F5D">
              <w:rPr>
                <w:sz w:val="24"/>
                <w:szCs w:val="24"/>
              </w:rPr>
              <w:t xml:space="preserve"> with the purpose of advising and supporting Local Safeguarding Boards, as well as monitoring their effectiveness and making recommendations for improvement (National Safeguarding Board Wales, 2026).</w:t>
            </w:r>
          </w:p>
          <w:p w14:paraId="0DD623C7" w14:textId="77777777" w:rsidR="007B0DB8" w:rsidRDefault="007B0DB8" w:rsidP="00FF7EBB">
            <w:pPr>
              <w:jc w:val="both"/>
              <w:rPr>
                <w:sz w:val="24"/>
                <w:szCs w:val="24"/>
              </w:rPr>
            </w:pPr>
          </w:p>
          <w:p w14:paraId="5A4AAF23" w14:textId="77777777" w:rsidR="007B0DB8" w:rsidRDefault="007B0DB8" w:rsidP="00FF7EBB">
            <w:pPr>
              <w:jc w:val="both"/>
              <w:rPr>
                <w:sz w:val="24"/>
                <w:szCs w:val="24"/>
              </w:rPr>
            </w:pPr>
          </w:p>
          <w:p w14:paraId="70F7D8AF" w14:textId="09B8F5F0" w:rsidR="00E450DA" w:rsidRDefault="00F14D1A" w:rsidP="00FF7EBB">
            <w:pPr>
              <w:jc w:val="both"/>
              <w:rPr>
                <w:sz w:val="24"/>
                <w:szCs w:val="24"/>
              </w:rPr>
            </w:pPr>
            <w:r>
              <w:rPr>
                <w:sz w:val="24"/>
                <w:szCs w:val="24"/>
              </w:rPr>
              <w:t xml:space="preserve">A </w:t>
            </w:r>
            <w:r w:rsidR="00721229">
              <w:rPr>
                <w:sz w:val="24"/>
                <w:szCs w:val="24"/>
              </w:rPr>
              <w:t>fundamental</w:t>
            </w:r>
            <w:r>
              <w:rPr>
                <w:sz w:val="24"/>
                <w:szCs w:val="24"/>
              </w:rPr>
              <w:t xml:space="preserve"> piece of </w:t>
            </w:r>
            <w:r w:rsidR="00721229">
              <w:rPr>
                <w:sz w:val="24"/>
                <w:szCs w:val="24"/>
              </w:rPr>
              <w:t>policy framework is the Wales Safeguarding Procedures</w:t>
            </w:r>
            <w:r w:rsidR="006D6B64">
              <w:rPr>
                <w:sz w:val="24"/>
                <w:szCs w:val="24"/>
              </w:rPr>
              <w:t xml:space="preserve"> (2019)</w:t>
            </w:r>
            <w:r w:rsidR="00721229">
              <w:rPr>
                <w:sz w:val="24"/>
                <w:szCs w:val="24"/>
              </w:rPr>
              <w:t>, which is aligned with the SSW</w:t>
            </w:r>
            <w:r w:rsidR="0000631A">
              <w:rPr>
                <w:sz w:val="24"/>
                <w:szCs w:val="24"/>
              </w:rPr>
              <w:t>B</w:t>
            </w:r>
            <w:r w:rsidR="00721229">
              <w:rPr>
                <w:sz w:val="24"/>
                <w:szCs w:val="24"/>
              </w:rPr>
              <w:t xml:space="preserve">(W)A (2014) and provides specific guidance for professionals working to safeguard both adults and children (Social Care Wales, 2019). </w:t>
            </w:r>
            <w:r w:rsidR="00407EA3">
              <w:rPr>
                <w:sz w:val="24"/>
                <w:szCs w:val="24"/>
              </w:rPr>
              <w:t>These procedures in relation to adults at risk provide “Pointers for Practice” for signs and indicators of abuse and neglect, the safeguarding process, having a person-centred approach, and guidance around early intervention and prevention (</w:t>
            </w:r>
            <w:r w:rsidR="000D7437">
              <w:rPr>
                <w:sz w:val="24"/>
                <w:szCs w:val="24"/>
              </w:rPr>
              <w:t>Social Care Wales, 2019). The procedures also reference the importance of assuming capacity for adults at risk and adhering to the Mental Capacity Act (2005). As well as providing guidance on the duties and responsibilities outlined in the SSWB(W)A they provide practical guidance for professionals working in adult safeguarding, specifying timescales</w:t>
            </w:r>
            <w:r w:rsidR="0089388B">
              <w:rPr>
                <w:sz w:val="24"/>
                <w:szCs w:val="24"/>
              </w:rPr>
              <w:t xml:space="preserve"> </w:t>
            </w:r>
            <w:r w:rsidR="000D7437">
              <w:rPr>
                <w:sz w:val="24"/>
                <w:szCs w:val="24"/>
              </w:rPr>
              <w:t>and key points for consideration on the specific elements of the adult protection process</w:t>
            </w:r>
            <w:r w:rsidR="0089388B">
              <w:rPr>
                <w:sz w:val="24"/>
                <w:szCs w:val="24"/>
              </w:rPr>
              <w:t>.</w:t>
            </w:r>
          </w:p>
          <w:p w14:paraId="206514B9" w14:textId="77777777" w:rsidR="00FC0334" w:rsidRDefault="00FC0334" w:rsidP="00FF7EBB">
            <w:pPr>
              <w:jc w:val="both"/>
              <w:rPr>
                <w:sz w:val="24"/>
                <w:szCs w:val="24"/>
              </w:rPr>
            </w:pPr>
          </w:p>
          <w:p w14:paraId="38B71EB7" w14:textId="55FE8A7E" w:rsidR="004B6689" w:rsidRDefault="000C6C7C" w:rsidP="00FF7EBB">
            <w:pPr>
              <w:jc w:val="both"/>
              <w:rPr>
                <w:sz w:val="24"/>
                <w:szCs w:val="24"/>
              </w:rPr>
            </w:pPr>
            <w:r>
              <w:rPr>
                <w:sz w:val="24"/>
                <w:szCs w:val="24"/>
              </w:rPr>
              <w:lastRenderedPageBreak/>
              <w:t>Indicators of abuse and neglect can pre</w:t>
            </w:r>
            <w:r w:rsidR="0089388B">
              <w:rPr>
                <w:sz w:val="24"/>
                <w:szCs w:val="24"/>
              </w:rPr>
              <w:t>s</w:t>
            </w:r>
            <w:r>
              <w:rPr>
                <w:sz w:val="24"/>
                <w:szCs w:val="24"/>
              </w:rPr>
              <w:t xml:space="preserve">ent in many different ways, both physically and psychologically, physical examples could include visible injuries, poor home conditions, ill-fitting clothes, appearing malnourished, and psychological examples could include a change in presentation or behaviour in the presence of specific people, self-harm, appearing withdrawn, </w:t>
            </w:r>
            <w:r w:rsidR="008B6BD3">
              <w:rPr>
                <w:sz w:val="24"/>
                <w:szCs w:val="24"/>
              </w:rPr>
              <w:t>low self-esteem</w:t>
            </w:r>
            <w:r w:rsidR="00745F48">
              <w:rPr>
                <w:sz w:val="24"/>
                <w:szCs w:val="24"/>
              </w:rPr>
              <w:t xml:space="preserve"> and</w:t>
            </w:r>
            <w:r w:rsidR="008B6BD3">
              <w:rPr>
                <w:sz w:val="24"/>
                <w:szCs w:val="24"/>
              </w:rPr>
              <w:t xml:space="preserve"> signs of distress (SSWB(W)A, 2014).</w:t>
            </w:r>
            <w:r w:rsidR="001F57ED">
              <w:rPr>
                <w:sz w:val="24"/>
                <w:szCs w:val="24"/>
              </w:rPr>
              <w:t xml:space="preserve"> </w:t>
            </w:r>
            <w:r w:rsidR="0049544D">
              <w:rPr>
                <w:sz w:val="24"/>
                <w:szCs w:val="24"/>
              </w:rPr>
              <w:t xml:space="preserve">When considering indicators of </w:t>
            </w:r>
            <w:r w:rsidR="009920F7">
              <w:rPr>
                <w:sz w:val="24"/>
                <w:szCs w:val="24"/>
              </w:rPr>
              <w:t>abuse,</w:t>
            </w:r>
            <w:r w:rsidR="0049544D">
              <w:rPr>
                <w:sz w:val="24"/>
                <w:szCs w:val="24"/>
              </w:rPr>
              <w:t xml:space="preserve"> it is important to </w:t>
            </w:r>
            <w:r w:rsidR="001D162B">
              <w:rPr>
                <w:sz w:val="24"/>
                <w:szCs w:val="24"/>
              </w:rPr>
              <w:t xml:space="preserve">assess the risk holistically, </w:t>
            </w:r>
            <w:r w:rsidR="00745F48">
              <w:rPr>
                <w:sz w:val="24"/>
                <w:szCs w:val="24"/>
              </w:rPr>
              <w:t>considering</w:t>
            </w:r>
            <w:r w:rsidR="001D162B">
              <w:rPr>
                <w:sz w:val="24"/>
                <w:szCs w:val="24"/>
              </w:rPr>
              <w:t xml:space="preserve"> previous enquiries, </w:t>
            </w:r>
            <w:r w:rsidR="005D2DEB">
              <w:rPr>
                <w:sz w:val="24"/>
                <w:szCs w:val="24"/>
              </w:rPr>
              <w:t xml:space="preserve">the </w:t>
            </w:r>
            <w:r w:rsidR="001D162B">
              <w:rPr>
                <w:sz w:val="24"/>
                <w:szCs w:val="24"/>
              </w:rPr>
              <w:t xml:space="preserve">current </w:t>
            </w:r>
            <w:r w:rsidR="009920F7">
              <w:rPr>
                <w:sz w:val="24"/>
                <w:szCs w:val="24"/>
              </w:rPr>
              <w:t>circumstances</w:t>
            </w:r>
            <w:r w:rsidR="001D162B">
              <w:rPr>
                <w:sz w:val="24"/>
                <w:szCs w:val="24"/>
              </w:rPr>
              <w:t xml:space="preserve"> and </w:t>
            </w:r>
            <w:r w:rsidR="009323F7">
              <w:rPr>
                <w:sz w:val="24"/>
                <w:szCs w:val="24"/>
              </w:rPr>
              <w:t xml:space="preserve">evidence and </w:t>
            </w:r>
            <w:r w:rsidR="001D162B">
              <w:rPr>
                <w:sz w:val="24"/>
                <w:szCs w:val="24"/>
              </w:rPr>
              <w:t xml:space="preserve">the likelihood of continuing </w:t>
            </w:r>
            <w:r w:rsidR="005D2DEB">
              <w:rPr>
                <w:sz w:val="24"/>
                <w:szCs w:val="24"/>
              </w:rPr>
              <w:t xml:space="preserve">risk of </w:t>
            </w:r>
            <w:r w:rsidR="001D162B">
              <w:rPr>
                <w:sz w:val="24"/>
                <w:szCs w:val="24"/>
              </w:rPr>
              <w:t xml:space="preserve">harm. </w:t>
            </w:r>
          </w:p>
          <w:p w14:paraId="60D8C669" w14:textId="77777777" w:rsidR="00FC0334" w:rsidRDefault="00FC0334" w:rsidP="00FF7EBB">
            <w:pPr>
              <w:jc w:val="both"/>
              <w:rPr>
                <w:sz w:val="24"/>
                <w:szCs w:val="24"/>
              </w:rPr>
            </w:pPr>
          </w:p>
          <w:p w14:paraId="774095BD" w14:textId="2113E376" w:rsidR="00FC0334" w:rsidRDefault="009920F7" w:rsidP="00FF7EBB">
            <w:pPr>
              <w:jc w:val="both"/>
              <w:rPr>
                <w:sz w:val="24"/>
                <w:szCs w:val="24"/>
              </w:rPr>
            </w:pPr>
            <w:r>
              <w:rPr>
                <w:sz w:val="24"/>
                <w:szCs w:val="24"/>
              </w:rPr>
              <w:t>The SSW</w:t>
            </w:r>
            <w:r w:rsidR="0000631A">
              <w:rPr>
                <w:sz w:val="24"/>
                <w:szCs w:val="24"/>
              </w:rPr>
              <w:t>B</w:t>
            </w:r>
            <w:r>
              <w:rPr>
                <w:sz w:val="24"/>
                <w:szCs w:val="24"/>
              </w:rPr>
              <w:t xml:space="preserve">(W)A (2014) puts a duty on social workers to work collaboratively with adults at risk and involve them fully in </w:t>
            </w:r>
            <w:r w:rsidR="00B85F30">
              <w:rPr>
                <w:sz w:val="24"/>
                <w:szCs w:val="24"/>
              </w:rPr>
              <w:t>developing their plan for care and support</w:t>
            </w:r>
            <w:r w:rsidR="009323F7">
              <w:rPr>
                <w:sz w:val="24"/>
                <w:szCs w:val="24"/>
              </w:rPr>
              <w:t>,</w:t>
            </w:r>
            <w:r w:rsidR="00237F5B">
              <w:rPr>
                <w:sz w:val="24"/>
                <w:szCs w:val="24"/>
              </w:rPr>
              <w:t xml:space="preserve"> as people are the experts of their own lives (Department for Health, 2015).</w:t>
            </w:r>
            <w:r w:rsidR="001E1684">
              <w:rPr>
                <w:sz w:val="24"/>
                <w:szCs w:val="24"/>
              </w:rPr>
              <w:t xml:space="preserve"> Capacity must be assumed, and a person has the right to make an unwise decision (Mental Capacity Act (MCA), 2005). If a mental capacity assessment has determined the adult lacks capacity to make decisions around their safety, any decisions must be made in their best interests (MCA, 2005).</w:t>
            </w:r>
            <w:r w:rsidR="00F236E0">
              <w:rPr>
                <w:sz w:val="24"/>
                <w:szCs w:val="24"/>
              </w:rPr>
              <w:t xml:space="preserve"> </w:t>
            </w:r>
            <w:r w:rsidR="00A1499D">
              <w:rPr>
                <w:sz w:val="24"/>
                <w:szCs w:val="24"/>
              </w:rPr>
              <w:t>The fundamental principles of the SSWB(W)A are around promoting the wellbeing and autonomy of individuals in their own lives, importance is held around establishing the preferred outcomes of the individuals whilst endeavouring to keep them safe from harm (SSWB(W)A, 2014).</w:t>
            </w:r>
          </w:p>
          <w:p w14:paraId="3A919C74" w14:textId="77777777" w:rsidR="00F90840" w:rsidRDefault="00F90840" w:rsidP="00FF7EBB">
            <w:pPr>
              <w:jc w:val="both"/>
              <w:rPr>
                <w:sz w:val="24"/>
                <w:szCs w:val="24"/>
              </w:rPr>
            </w:pPr>
          </w:p>
          <w:p w14:paraId="4FFCB60C" w14:textId="20638DCC" w:rsidR="00F90840" w:rsidRDefault="00F90840" w:rsidP="00FF7EBB">
            <w:pPr>
              <w:jc w:val="both"/>
              <w:rPr>
                <w:sz w:val="24"/>
                <w:szCs w:val="24"/>
              </w:rPr>
            </w:pPr>
            <w:r>
              <w:rPr>
                <w:sz w:val="24"/>
                <w:szCs w:val="24"/>
              </w:rPr>
              <w:t xml:space="preserve">In conclusion, adult safeguarding in Wales is </w:t>
            </w:r>
            <w:r w:rsidR="005E7DD2">
              <w:rPr>
                <w:sz w:val="24"/>
                <w:szCs w:val="24"/>
              </w:rPr>
              <w:t xml:space="preserve">governed by the statutory duties laid out in the relevant legislation and procedures, with a priority on early intervention, collaborative and multi-agency working, and the promotion of autonomy and wellbeing for </w:t>
            </w:r>
            <w:r w:rsidR="009323F7">
              <w:rPr>
                <w:sz w:val="24"/>
                <w:szCs w:val="24"/>
              </w:rPr>
              <w:t>individuals</w:t>
            </w:r>
            <w:r w:rsidR="005E7DD2">
              <w:rPr>
                <w:sz w:val="24"/>
                <w:szCs w:val="24"/>
              </w:rPr>
              <w:t>.</w:t>
            </w:r>
          </w:p>
          <w:p w14:paraId="6152D37C" w14:textId="77777777" w:rsidR="00F61F65" w:rsidRDefault="00F61F65" w:rsidP="00FF7EBB">
            <w:pPr>
              <w:jc w:val="both"/>
              <w:rPr>
                <w:sz w:val="24"/>
                <w:szCs w:val="24"/>
              </w:rPr>
            </w:pPr>
          </w:p>
          <w:p w14:paraId="1E74435A" w14:textId="71CEDD1A" w:rsidR="00F61F65" w:rsidRDefault="00F61F65" w:rsidP="00FF7EBB">
            <w:pPr>
              <w:jc w:val="both"/>
              <w:rPr>
                <w:sz w:val="24"/>
                <w:szCs w:val="24"/>
              </w:rPr>
            </w:pPr>
            <w:r>
              <w:rPr>
                <w:sz w:val="24"/>
                <w:szCs w:val="24"/>
              </w:rPr>
              <w:t>(Word count: 545)</w:t>
            </w:r>
            <w:r w:rsidR="0019577C">
              <w:rPr>
                <w:sz w:val="24"/>
                <w:szCs w:val="24"/>
              </w:rPr>
              <w:t>.</w:t>
            </w:r>
          </w:p>
          <w:p w14:paraId="17397805" w14:textId="77777777" w:rsidR="009920F7" w:rsidRPr="006108C9" w:rsidRDefault="009920F7"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432BE9FC" w14:textId="2184F737" w:rsidR="0098759E" w:rsidRDefault="008E1451" w:rsidP="00FC0334">
            <w:pPr>
              <w:jc w:val="both"/>
              <w:rPr>
                <w:sz w:val="24"/>
                <w:szCs w:val="24"/>
              </w:rPr>
            </w:pPr>
            <w:r>
              <w:rPr>
                <w:sz w:val="24"/>
                <w:szCs w:val="24"/>
              </w:rPr>
              <w:t>One of the main differences between safeguarding adults and children is capacity and consent.</w:t>
            </w:r>
            <w:r w:rsidR="001F632E">
              <w:rPr>
                <w:sz w:val="24"/>
                <w:szCs w:val="24"/>
              </w:rPr>
              <w:t xml:space="preserve"> For adults, capacity must be presumed unless established otherwise, and they</w:t>
            </w:r>
            <w:r>
              <w:rPr>
                <w:sz w:val="24"/>
                <w:szCs w:val="24"/>
              </w:rPr>
              <w:t xml:space="preserve"> have the legal right to make an “unwise decision”</w:t>
            </w:r>
            <w:r w:rsidR="00AB0EA5">
              <w:rPr>
                <w:sz w:val="24"/>
                <w:szCs w:val="24"/>
              </w:rPr>
              <w:t xml:space="preserve"> (</w:t>
            </w:r>
            <w:r w:rsidR="00FA1DDC">
              <w:rPr>
                <w:sz w:val="24"/>
                <w:szCs w:val="24"/>
              </w:rPr>
              <w:t>M</w:t>
            </w:r>
            <w:r w:rsidR="00AB0EA5">
              <w:rPr>
                <w:sz w:val="24"/>
                <w:szCs w:val="24"/>
              </w:rPr>
              <w:t>CA, 2005)</w:t>
            </w:r>
            <w:r w:rsidR="001F632E">
              <w:rPr>
                <w:sz w:val="24"/>
                <w:szCs w:val="24"/>
              </w:rPr>
              <w:t>.</w:t>
            </w:r>
            <w:r w:rsidR="00A31D75">
              <w:rPr>
                <w:sz w:val="24"/>
                <w:szCs w:val="24"/>
              </w:rPr>
              <w:t xml:space="preserve"> </w:t>
            </w:r>
            <w:r w:rsidR="001F632E">
              <w:rPr>
                <w:sz w:val="24"/>
                <w:szCs w:val="24"/>
              </w:rPr>
              <w:t>I</w:t>
            </w:r>
            <w:r w:rsidR="00A31D75">
              <w:rPr>
                <w:sz w:val="24"/>
                <w:szCs w:val="24"/>
              </w:rPr>
              <w:t xml:space="preserve">ntervention is limited without an established lack of capacity when safeguarding </w:t>
            </w:r>
            <w:r w:rsidR="00FA1DDC">
              <w:rPr>
                <w:sz w:val="24"/>
                <w:szCs w:val="24"/>
              </w:rPr>
              <w:t>a</w:t>
            </w:r>
            <w:r w:rsidR="00A31D75">
              <w:rPr>
                <w:sz w:val="24"/>
                <w:szCs w:val="24"/>
              </w:rPr>
              <w:t>dults</w:t>
            </w:r>
            <w:r w:rsidR="000314CF">
              <w:rPr>
                <w:sz w:val="24"/>
                <w:szCs w:val="24"/>
              </w:rPr>
              <w:t xml:space="preserve"> </w:t>
            </w:r>
            <w:r w:rsidR="001F632E">
              <w:rPr>
                <w:sz w:val="24"/>
                <w:szCs w:val="24"/>
              </w:rPr>
              <w:t xml:space="preserve">whereas in children’s safeguarding professionals have a duty to act in the child’s best interests and the welfare of the child is prioritised over consent </w:t>
            </w:r>
            <w:r w:rsidR="000314CF">
              <w:rPr>
                <w:sz w:val="24"/>
                <w:szCs w:val="24"/>
              </w:rPr>
              <w:t>(Social Cales Wales, 2019).</w:t>
            </w:r>
            <w:r w:rsidR="007C5855">
              <w:rPr>
                <w:sz w:val="24"/>
                <w:szCs w:val="24"/>
              </w:rPr>
              <w:t xml:space="preserve"> </w:t>
            </w:r>
            <w:r w:rsidR="0098759E">
              <w:rPr>
                <w:sz w:val="24"/>
                <w:szCs w:val="24"/>
              </w:rPr>
              <w:t xml:space="preserve"> A local authority has the responsibility to carry out child protection inquiries under section 47 of the Children Act (1989) where there is reason to believe a child is at risk of significant harm (Children Act, 1989). </w:t>
            </w:r>
            <w:r w:rsidR="00512D15">
              <w:rPr>
                <w:sz w:val="24"/>
                <w:szCs w:val="24"/>
              </w:rPr>
              <w:t>A</w:t>
            </w:r>
            <w:r w:rsidR="00404F35">
              <w:rPr>
                <w:sz w:val="24"/>
                <w:szCs w:val="24"/>
              </w:rPr>
              <w:t xml:space="preserve">ny intervention </w:t>
            </w:r>
            <w:r w:rsidR="00512D15">
              <w:rPr>
                <w:sz w:val="24"/>
                <w:szCs w:val="24"/>
              </w:rPr>
              <w:t xml:space="preserve">with children or adults </w:t>
            </w:r>
            <w:r w:rsidR="00404F35">
              <w:rPr>
                <w:sz w:val="24"/>
                <w:szCs w:val="24"/>
              </w:rPr>
              <w:t xml:space="preserve">should be in co-production with the individuals and families </w:t>
            </w:r>
            <w:r w:rsidR="009D06F6">
              <w:rPr>
                <w:sz w:val="24"/>
                <w:szCs w:val="24"/>
              </w:rPr>
              <w:t>involved</w:t>
            </w:r>
            <w:r w:rsidR="00404F35">
              <w:rPr>
                <w:sz w:val="24"/>
                <w:szCs w:val="24"/>
              </w:rPr>
              <w:t xml:space="preserve"> (SSWB(W)A, 2024).</w:t>
            </w:r>
            <w:r w:rsidR="00E443E4">
              <w:rPr>
                <w:sz w:val="24"/>
                <w:szCs w:val="24"/>
              </w:rPr>
              <w:t xml:space="preserve"> </w:t>
            </w:r>
          </w:p>
          <w:p w14:paraId="0031974B" w14:textId="77777777" w:rsidR="0098759E" w:rsidRDefault="0098759E" w:rsidP="00FC0334">
            <w:pPr>
              <w:jc w:val="both"/>
              <w:rPr>
                <w:sz w:val="24"/>
                <w:szCs w:val="24"/>
              </w:rPr>
            </w:pPr>
          </w:p>
          <w:p w14:paraId="7B1CED66" w14:textId="50B8FD98" w:rsidR="00F87B53" w:rsidRDefault="00E443E4" w:rsidP="00FC0334">
            <w:pPr>
              <w:jc w:val="both"/>
              <w:rPr>
                <w:sz w:val="24"/>
                <w:szCs w:val="24"/>
              </w:rPr>
            </w:pPr>
            <w:r>
              <w:rPr>
                <w:sz w:val="24"/>
                <w:szCs w:val="24"/>
              </w:rPr>
              <w:t xml:space="preserve">Practitioners should also take into consideration the child’s maturity and ability to make decisions that impact their own lives, this is known as Gillick competence (NSPCC, 2022). </w:t>
            </w:r>
            <w:r>
              <w:rPr>
                <w:sz w:val="24"/>
                <w:szCs w:val="24"/>
              </w:rPr>
              <w:lastRenderedPageBreak/>
              <w:t>Gillick competency was applied as a principle enabling a child to access medical treatment without the consent of a parent if they were deemed to be competent</w:t>
            </w:r>
            <w:r w:rsidR="00C70A50">
              <w:rPr>
                <w:sz w:val="24"/>
                <w:szCs w:val="24"/>
              </w:rPr>
              <w:t xml:space="preserve">, and </w:t>
            </w:r>
            <w:r w:rsidR="00744A87">
              <w:rPr>
                <w:sz w:val="24"/>
                <w:szCs w:val="24"/>
              </w:rPr>
              <w:t xml:space="preserve">this </w:t>
            </w:r>
            <w:r w:rsidR="00C70A50">
              <w:rPr>
                <w:sz w:val="24"/>
                <w:szCs w:val="24"/>
              </w:rPr>
              <w:t xml:space="preserve">can be </w:t>
            </w:r>
            <w:r w:rsidR="009D06F6">
              <w:rPr>
                <w:sz w:val="24"/>
                <w:szCs w:val="24"/>
              </w:rPr>
              <w:t>c</w:t>
            </w:r>
            <w:r w:rsidR="00C70A50">
              <w:rPr>
                <w:sz w:val="24"/>
                <w:szCs w:val="24"/>
              </w:rPr>
              <w:t>onsider</w:t>
            </w:r>
            <w:r w:rsidR="009D06F6">
              <w:rPr>
                <w:sz w:val="24"/>
                <w:szCs w:val="24"/>
              </w:rPr>
              <w:t xml:space="preserve">ed </w:t>
            </w:r>
            <w:r w:rsidR="00C70A50">
              <w:rPr>
                <w:sz w:val="24"/>
                <w:szCs w:val="24"/>
              </w:rPr>
              <w:t xml:space="preserve">within other settings where a child wishes to access support services. </w:t>
            </w:r>
            <w:r w:rsidR="00F87B53">
              <w:rPr>
                <w:sz w:val="24"/>
                <w:szCs w:val="24"/>
              </w:rPr>
              <w:t xml:space="preserve">The UNCRC also mandates that consideration is given to the child’s maturity, intelligence and understanding when making decisions </w:t>
            </w:r>
            <w:r w:rsidR="009D06F6">
              <w:rPr>
                <w:sz w:val="24"/>
                <w:szCs w:val="24"/>
              </w:rPr>
              <w:t>on</w:t>
            </w:r>
            <w:r w:rsidR="00F87B53">
              <w:rPr>
                <w:sz w:val="24"/>
                <w:szCs w:val="24"/>
              </w:rPr>
              <w:t xml:space="preserve"> their own lives (</w:t>
            </w:r>
            <w:r w:rsidR="00C06C8A">
              <w:rPr>
                <w:sz w:val="24"/>
                <w:szCs w:val="24"/>
              </w:rPr>
              <w:t>Griffith, 2015</w:t>
            </w:r>
            <w:r w:rsidR="004442A1">
              <w:rPr>
                <w:sz w:val="24"/>
                <w:szCs w:val="24"/>
              </w:rPr>
              <w:t>; UNCRC, 1989</w:t>
            </w:r>
            <w:r w:rsidR="00C06C8A">
              <w:rPr>
                <w:sz w:val="24"/>
                <w:szCs w:val="24"/>
              </w:rPr>
              <w:t>).</w:t>
            </w:r>
          </w:p>
          <w:p w14:paraId="26178CAC" w14:textId="77777777" w:rsidR="000217E4" w:rsidRDefault="000217E4" w:rsidP="00FC0334">
            <w:pPr>
              <w:jc w:val="both"/>
              <w:rPr>
                <w:sz w:val="24"/>
                <w:szCs w:val="24"/>
              </w:rPr>
            </w:pPr>
          </w:p>
          <w:p w14:paraId="706468B9" w14:textId="265370C2" w:rsidR="000217E4" w:rsidRDefault="000217E4" w:rsidP="00FC0334">
            <w:pPr>
              <w:jc w:val="both"/>
              <w:rPr>
                <w:sz w:val="24"/>
                <w:szCs w:val="24"/>
              </w:rPr>
            </w:pPr>
            <w:r>
              <w:rPr>
                <w:sz w:val="24"/>
                <w:szCs w:val="24"/>
              </w:rPr>
              <w:t>The Children (Abolition of Defence of Reasonable Punishment) (Wales) Act (2020), otherwise known as the “smacking ban” gives children the same protection assault as adults within the law (Welsh Government, 2022).</w:t>
            </w:r>
            <w:r w:rsidR="00E443E4">
              <w:rPr>
                <w:sz w:val="24"/>
                <w:szCs w:val="24"/>
              </w:rPr>
              <w:t xml:space="preserve"> </w:t>
            </w:r>
            <w:r w:rsidR="00E443E4" w:rsidRPr="00E443E4">
              <w:rPr>
                <w:sz w:val="24"/>
                <w:szCs w:val="24"/>
              </w:rPr>
              <w:t>This legislation empowers child protection services to intervene more effectively when children are physically harmed</w:t>
            </w:r>
            <w:r w:rsidR="00E443E4">
              <w:rPr>
                <w:sz w:val="24"/>
                <w:szCs w:val="24"/>
              </w:rPr>
              <w:t>.</w:t>
            </w:r>
          </w:p>
          <w:p w14:paraId="478D2F84" w14:textId="77777777" w:rsidR="00FC0334" w:rsidRDefault="00FC0334" w:rsidP="00FC0334">
            <w:pPr>
              <w:jc w:val="both"/>
              <w:rPr>
                <w:sz w:val="24"/>
                <w:szCs w:val="24"/>
              </w:rPr>
            </w:pPr>
          </w:p>
          <w:p w14:paraId="4847C39E" w14:textId="63E57EB4" w:rsidR="00FC0334" w:rsidRDefault="00744A87" w:rsidP="00FC0334">
            <w:pPr>
              <w:jc w:val="both"/>
              <w:rPr>
                <w:sz w:val="24"/>
                <w:szCs w:val="24"/>
              </w:rPr>
            </w:pPr>
            <w:r>
              <w:rPr>
                <w:sz w:val="24"/>
                <w:szCs w:val="24"/>
              </w:rPr>
              <w:t>Professionals must also recognise the indicators of abuse can be different in adults and children, for example</w:t>
            </w:r>
            <w:r w:rsidR="009D06F6">
              <w:rPr>
                <w:sz w:val="24"/>
                <w:szCs w:val="24"/>
              </w:rPr>
              <w:t>,</w:t>
            </w:r>
            <w:r>
              <w:rPr>
                <w:sz w:val="24"/>
                <w:szCs w:val="24"/>
              </w:rPr>
              <w:t xml:space="preserve"> for children this could present as developmental regression and frequent absence from school, in adults this could present as social withdrawal and self-neglect </w:t>
            </w:r>
            <w:r w:rsidR="00544061">
              <w:rPr>
                <w:sz w:val="24"/>
                <w:szCs w:val="24"/>
              </w:rPr>
              <w:t>(Social Care Institute for Excellence, 2015).</w:t>
            </w:r>
          </w:p>
          <w:p w14:paraId="179A39FC" w14:textId="77777777" w:rsidR="00544061" w:rsidRDefault="00544061" w:rsidP="00FC0334">
            <w:pPr>
              <w:jc w:val="both"/>
              <w:rPr>
                <w:sz w:val="24"/>
                <w:szCs w:val="24"/>
              </w:rPr>
            </w:pPr>
          </w:p>
          <w:p w14:paraId="04285720" w14:textId="2F63B7A8" w:rsidR="00FC0334" w:rsidRDefault="00FB099A" w:rsidP="00FC0334">
            <w:pPr>
              <w:jc w:val="both"/>
              <w:rPr>
                <w:sz w:val="24"/>
                <w:szCs w:val="24"/>
              </w:rPr>
            </w:pPr>
            <w:r w:rsidRPr="00FB099A">
              <w:rPr>
                <w:sz w:val="24"/>
                <w:szCs w:val="24"/>
              </w:rPr>
              <w:t>Multi-agency risk assessment conferences</w:t>
            </w:r>
            <w:r>
              <w:rPr>
                <w:sz w:val="24"/>
                <w:szCs w:val="24"/>
              </w:rPr>
              <w:t xml:space="preserve"> seek to protect individuals and their families who are experiencing high-risk domestic abuse (Family Justice Council, 2011). </w:t>
            </w:r>
            <w:r w:rsidR="0000750B">
              <w:rPr>
                <w:sz w:val="24"/>
                <w:szCs w:val="24"/>
              </w:rPr>
              <w:t>Consent is not needed from the adult at risk if the risk is high enough, however, the adult would need to be willing to engage with support or protection offered (Safe Lives, 2018)</w:t>
            </w:r>
            <w:r w:rsidR="000174BB">
              <w:rPr>
                <w:sz w:val="24"/>
                <w:szCs w:val="24"/>
              </w:rPr>
              <w:t xml:space="preserve">. If there is a child who is impacted by domestic abuse, </w:t>
            </w:r>
            <w:r w:rsidR="00586AF6">
              <w:rPr>
                <w:sz w:val="24"/>
                <w:szCs w:val="24"/>
              </w:rPr>
              <w:t xml:space="preserve">statutory intervention may be necessary </w:t>
            </w:r>
            <w:proofErr w:type="gramStart"/>
            <w:r w:rsidR="00586AF6">
              <w:rPr>
                <w:sz w:val="24"/>
                <w:szCs w:val="24"/>
              </w:rPr>
              <w:t>in order to</w:t>
            </w:r>
            <w:proofErr w:type="gramEnd"/>
            <w:r w:rsidR="00586AF6">
              <w:rPr>
                <w:sz w:val="24"/>
                <w:szCs w:val="24"/>
              </w:rPr>
              <w:t xml:space="preserve"> safeguard the child</w:t>
            </w:r>
            <w:r w:rsidR="00826E56">
              <w:rPr>
                <w:sz w:val="24"/>
                <w:szCs w:val="24"/>
              </w:rPr>
              <w:t xml:space="preserve"> regardless of consent (Welsh Government, 2022).</w:t>
            </w:r>
          </w:p>
          <w:p w14:paraId="1AA3081F" w14:textId="77777777" w:rsidR="00FC0334" w:rsidRDefault="00FC0334" w:rsidP="00FC0334">
            <w:pPr>
              <w:jc w:val="both"/>
              <w:rPr>
                <w:sz w:val="24"/>
                <w:szCs w:val="24"/>
              </w:rPr>
            </w:pPr>
          </w:p>
          <w:p w14:paraId="384C1EA1" w14:textId="2D1652EC" w:rsidR="00ED0DDF" w:rsidRDefault="00ED0DDF" w:rsidP="00FC0334">
            <w:pPr>
              <w:jc w:val="both"/>
              <w:rPr>
                <w:sz w:val="24"/>
                <w:szCs w:val="24"/>
              </w:rPr>
            </w:pPr>
            <w:r>
              <w:rPr>
                <w:sz w:val="24"/>
                <w:szCs w:val="24"/>
              </w:rPr>
              <w:t xml:space="preserve">Understanding the differences in safeguarding in adults and children aids professionals </w:t>
            </w:r>
            <w:r w:rsidR="00865FDA">
              <w:rPr>
                <w:sz w:val="24"/>
                <w:szCs w:val="24"/>
              </w:rPr>
              <w:t>to balance safety with autonomy and consent, protect</w:t>
            </w:r>
            <w:r w:rsidR="00EB40E3">
              <w:rPr>
                <w:sz w:val="24"/>
                <w:szCs w:val="24"/>
              </w:rPr>
              <w:t>ing</w:t>
            </w:r>
            <w:r w:rsidR="00865FDA">
              <w:rPr>
                <w:sz w:val="24"/>
                <w:szCs w:val="24"/>
              </w:rPr>
              <w:t xml:space="preserve"> the rights of adults and children whilst working in partnership to make decisions in their own lives.</w:t>
            </w:r>
          </w:p>
          <w:p w14:paraId="608E21DE" w14:textId="77777777" w:rsidR="00015B23" w:rsidRDefault="00015B23" w:rsidP="00FC0334">
            <w:pPr>
              <w:jc w:val="both"/>
              <w:rPr>
                <w:sz w:val="24"/>
                <w:szCs w:val="24"/>
              </w:rPr>
            </w:pPr>
          </w:p>
          <w:p w14:paraId="311852C6" w14:textId="71A46D4E" w:rsidR="00015B23" w:rsidRDefault="00015B23" w:rsidP="00FC0334">
            <w:pPr>
              <w:jc w:val="both"/>
              <w:rPr>
                <w:sz w:val="24"/>
                <w:szCs w:val="24"/>
              </w:rPr>
            </w:pPr>
            <w:r>
              <w:rPr>
                <w:sz w:val="24"/>
                <w:szCs w:val="24"/>
              </w:rPr>
              <w:t>(</w:t>
            </w:r>
            <w:r w:rsidR="00B21D54">
              <w:rPr>
                <w:sz w:val="24"/>
                <w:szCs w:val="24"/>
              </w:rPr>
              <w:t>Word count: 4</w:t>
            </w:r>
            <w:r w:rsidR="00EB40E3">
              <w:rPr>
                <w:sz w:val="24"/>
                <w:szCs w:val="24"/>
              </w:rPr>
              <w:t>38</w:t>
            </w:r>
            <w:r w:rsidR="00B21D54">
              <w:rPr>
                <w:sz w:val="24"/>
                <w:szCs w:val="24"/>
              </w:rPr>
              <w:t>)</w:t>
            </w:r>
            <w:r w:rsidR="00060E9B">
              <w:rPr>
                <w:sz w:val="24"/>
                <w:szCs w:val="24"/>
              </w:rPr>
              <w:t>.</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8DE84" w14:textId="77777777" w:rsidR="00777660" w:rsidRDefault="00777660">
      <w:r>
        <w:separator/>
      </w:r>
    </w:p>
  </w:endnote>
  <w:endnote w:type="continuationSeparator" w:id="0">
    <w:p w14:paraId="1A585B30" w14:textId="77777777" w:rsidR="00777660" w:rsidRDefault="007776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DD355B" w14:textId="77777777" w:rsidR="00777660" w:rsidRDefault="00777660">
      <w:r>
        <w:separator/>
      </w:r>
    </w:p>
  </w:footnote>
  <w:footnote w:type="continuationSeparator" w:id="0">
    <w:p w14:paraId="62CAC583" w14:textId="77777777" w:rsidR="00777660" w:rsidRDefault="007776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631A"/>
    <w:rsid w:val="0000750B"/>
    <w:rsid w:val="00011F6E"/>
    <w:rsid w:val="00012B16"/>
    <w:rsid w:val="00015B23"/>
    <w:rsid w:val="000174BB"/>
    <w:rsid w:val="000205C7"/>
    <w:rsid w:val="00020EEC"/>
    <w:rsid w:val="000217E4"/>
    <w:rsid w:val="0002440E"/>
    <w:rsid w:val="0002759A"/>
    <w:rsid w:val="00027B1F"/>
    <w:rsid w:val="0003088B"/>
    <w:rsid w:val="000314CF"/>
    <w:rsid w:val="000325D9"/>
    <w:rsid w:val="000372B2"/>
    <w:rsid w:val="0004079F"/>
    <w:rsid w:val="00043543"/>
    <w:rsid w:val="00045B87"/>
    <w:rsid w:val="00045C07"/>
    <w:rsid w:val="00045C40"/>
    <w:rsid w:val="00046861"/>
    <w:rsid w:val="00054A07"/>
    <w:rsid w:val="00055D43"/>
    <w:rsid w:val="00056FAC"/>
    <w:rsid w:val="00057751"/>
    <w:rsid w:val="00060E9B"/>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C7C"/>
    <w:rsid w:val="000C6FFE"/>
    <w:rsid w:val="000D0BB6"/>
    <w:rsid w:val="000D2ED2"/>
    <w:rsid w:val="000D5423"/>
    <w:rsid w:val="000D6653"/>
    <w:rsid w:val="000D7437"/>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5F67"/>
    <w:rsid w:val="00137BB5"/>
    <w:rsid w:val="00137E05"/>
    <w:rsid w:val="001447F6"/>
    <w:rsid w:val="00147DE3"/>
    <w:rsid w:val="00150794"/>
    <w:rsid w:val="00151DA6"/>
    <w:rsid w:val="001608C4"/>
    <w:rsid w:val="00164832"/>
    <w:rsid w:val="00171418"/>
    <w:rsid w:val="001772BF"/>
    <w:rsid w:val="001772DE"/>
    <w:rsid w:val="0019496C"/>
    <w:rsid w:val="0019577C"/>
    <w:rsid w:val="001961CF"/>
    <w:rsid w:val="001A59BB"/>
    <w:rsid w:val="001A607E"/>
    <w:rsid w:val="001A6A51"/>
    <w:rsid w:val="001A79C4"/>
    <w:rsid w:val="001B331A"/>
    <w:rsid w:val="001C0237"/>
    <w:rsid w:val="001C0E74"/>
    <w:rsid w:val="001C4DB8"/>
    <w:rsid w:val="001C50B8"/>
    <w:rsid w:val="001D162B"/>
    <w:rsid w:val="001D229F"/>
    <w:rsid w:val="001E1684"/>
    <w:rsid w:val="001E2EB6"/>
    <w:rsid w:val="001F4552"/>
    <w:rsid w:val="001F57ED"/>
    <w:rsid w:val="001F632E"/>
    <w:rsid w:val="002019EB"/>
    <w:rsid w:val="00204B58"/>
    <w:rsid w:val="00205051"/>
    <w:rsid w:val="00211F65"/>
    <w:rsid w:val="00214047"/>
    <w:rsid w:val="00214EFE"/>
    <w:rsid w:val="00216563"/>
    <w:rsid w:val="0021792F"/>
    <w:rsid w:val="00220D06"/>
    <w:rsid w:val="002246A0"/>
    <w:rsid w:val="00230439"/>
    <w:rsid w:val="00232A09"/>
    <w:rsid w:val="00235176"/>
    <w:rsid w:val="00236061"/>
    <w:rsid w:val="00237F5B"/>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307"/>
    <w:rsid w:val="00392F73"/>
    <w:rsid w:val="00393600"/>
    <w:rsid w:val="0039762B"/>
    <w:rsid w:val="003A0C37"/>
    <w:rsid w:val="003A19BC"/>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4F35"/>
    <w:rsid w:val="0040668F"/>
    <w:rsid w:val="00407EA3"/>
    <w:rsid w:val="00411EF7"/>
    <w:rsid w:val="00412677"/>
    <w:rsid w:val="00425160"/>
    <w:rsid w:val="00426C9B"/>
    <w:rsid w:val="00430DE3"/>
    <w:rsid w:val="004348AE"/>
    <w:rsid w:val="004376C0"/>
    <w:rsid w:val="0044223A"/>
    <w:rsid w:val="004442A1"/>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544D"/>
    <w:rsid w:val="004968E2"/>
    <w:rsid w:val="004A2A49"/>
    <w:rsid w:val="004A5A64"/>
    <w:rsid w:val="004B5553"/>
    <w:rsid w:val="004B600B"/>
    <w:rsid w:val="004B6689"/>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D15"/>
    <w:rsid w:val="00513C7D"/>
    <w:rsid w:val="00521123"/>
    <w:rsid w:val="00521221"/>
    <w:rsid w:val="005213E3"/>
    <w:rsid w:val="0052250B"/>
    <w:rsid w:val="005305C6"/>
    <w:rsid w:val="00540EEC"/>
    <w:rsid w:val="005414F4"/>
    <w:rsid w:val="00544061"/>
    <w:rsid w:val="00546187"/>
    <w:rsid w:val="00547B11"/>
    <w:rsid w:val="00557D77"/>
    <w:rsid w:val="00562EAA"/>
    <w:rsid w:val="00563B58"/>
    <w:rsid w:val="005640C4"/>
    <w:rsid w:val="0056684C"/>
    <w:rsid w:val="00574A0C"/>
    <w:rsid w:val="0057780F"/>
    <w:rsid w:val="00581E0A"/>
    <w:rsid w:val="00582CE2"/>
    <w:rsid w:val="00586AF6"/>
    <w:rsid w:val="00586D89"/>
    <w:rsid w:val="005877C8"/>
    <w:rsid w:val="00587923"/>
    <w:rsid w:val="00594F9F"/>
    <w:rsid w:val="005A1B4C"/>
    <w:rsid w:val="005A545C"/>
    <w:rsid w:val="005B271A"/>
    <w:rsid w:val="005B3A2D"/>
    <w:rsid w:val="005C1567"/>
    <w:rsid w:val="005C28D3"/>
    <w:rsid w:val="005C50F6"/>
    <w:rsid w:val="005C6CE5"/>
    <w:rsid w:val="005D2DEB"/>
    <w:rsid w:val="005D3F07"/>
    <w:rsid w:val="005D4A1E"/>
    <w:rsid w:val="005D4F72"/>
    <w:rsid w:val="005E13EA"/>
    <w:rsid w:val="005E17F1"/>
    <w:rsid w:val="005E7DD2"/>
    <w:rsid w:val="005F64AA"/>
    <w:rsid w:val="005F77C8"/>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0AB4"/>
    <w:rsid w:val="006C2EB5"/>
    <w:rsid w:val="006D18A3"/>
    <w:rsid w:val="006D5970"/>
    <w:rsid w:val="006D6B64"/>
    <w:rsid w:val="006E481E"/>
    <w:rsid w:val="006E795F"/>
    <w:rsid w:val="006F0862"/>
    <w:rsid w:val="006F1438"/>
    <w:rsid w:val="006F2A9E"/>
    <w:rsid w:val="006F5ED3"/>
    <w:rsid w:val="00700249"/>
    <w:rsid w:val="007069CD"/>
    <w:rsid w:val="00706BB5"/>
    <w:rsid w:val="0071231A"/>
    <w:rsid w:val="00712E90"/>
    <w:rsid w:val="00713B7E"/>
    <w:rsid w:val="00721229"/>
    <w:rsid w:val="00725E1F"/>
    <w:rsid w:val="0072678F"/>
    <w:rsid w:val="007276E5"/>
    <w:rsid w:val="00727C4C"/>
    <w:rsid w:val="00734809"/>
    <w:rsid w:val="0073714E"/>
    <w:rsid w:val="007374EF"/>
    <w:rsid w:val="007406E1"/>
    <w:rsid w:val="00743E40"/>
    <w:rsid w:val="00744A87"/>
    <w:rsid w:val="00745016"/>
    <w:rsid w:val="00745F48"/>
    <w:rsid w:val="0075031F"/>
    <w:rsid w:val="00751263"/>
    <w:rsid w:val="007544FC"/>
    <w:rsid w:val="00755427"/>
    <w:rsid w:val="00756548"/>
    <w:rsid w:val="0075673A"/>
    <w:rsid w:val="0075704F"/>
    <w:rsid w:val="00763B2D"/>
    <w:rsid w:val="00764C84"/>
    <w:rsid w:val="007710AD"/>
    <w:rsid w:val="00772924"/>
    <w:rsid w:val="00774F5D"/>
    <w:rsid w:val="00777660"/>
    <w:rsid w:val="0078112D"/>
    <w:rsid w:val="007872F2"/>
    <w:rsid w:val="007873F9"/>
    <w:rsid w:val="007908E0"/>
    <w:rsid w:val="00793EB3"/>
    <w:rsid w:val="00794205"/>
    <w:rsid w:val="0079422A"/>
    <w:rsid w:val="007A1F6A"/>
    <w:rsid w:val="007A628F"/>
    <w:rsid w:val="007B0411"/>
    <w:rsid w:val="007B0DB8"/>
    <w:rsid w:val="007B0DE3"/>
    <w:rsid w:val="007B1BFD"/>
    <w:rsid w:val="007B7191"/>
    <w:rsid w:val="007C1D94"/>
    <w:rsid w:val="007C556F"/>
    <w:rsid w:val="007C5855"/>
    <w:rsid w:val="007C5ABE"/>
    <w:rsid w:val="007C6A87"/>
    <w:rsid w:val="007D0A07"/>
    <w:rsid w:val="007D0F11"/>
    <w:rsid w:val="007D133D"/>
    <w:rsid w:val="007D3EB4"/>
    <w:rsid w:val="007D3F16"/>
    <w:rsid w:val="007E1ABC"/>
    <w:rsid w:val="007F10BD"/>
    <w:rsid w:val="007F312E"/>
    <w:rsid w:val="007F3F7E"/>
    <w:rsid w:val="007F4BA4"/>
    <w:rsid w:val="00813CEC"/>
    <w:rsid w:val="0081534C"/>
    <w:rsid w:val="00816CE7"/>
    <w:rsid w:val="008171E4"/>
    <w:rsid w:val="008208EA"/>
    <w:rsid w:val="00822B44"/>
    <w:rsid w:val="00824E67"/>
    <w:rsid w:val="00825A64"/>
    <w:rsid w:val="00826E56"/>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5FDA"/>
    <w:rsid w:val="00866B50"/>
    <w:rsid w:val="00867A63"/>
    <w:rsid w:val="008708F1"/>
    <w:rsid w:val="00871960"/>
    <w:rsid w:val="0087369F"/>
    <w:rsid w:val="00880539"/>
    <w:rsid w:val="008859E8"/>
    <w:rsid w:val="0088737B"/>
    <w:rsid w:val="00891078"/>
    <w:rsid w:val="00892716"/>
    <w:rsid w:val="00893067"/>
    <w:rsid w:val="008933DE"/>
    <w:rsid w:val="0089388B"/>
    <w:rsid w:val="00895FCE"/>
    <w:rsid w:val="00897F3E"/>
    <w:rsid w:val="008A21B4"/>
    <w:rsid w:val="008B07DE"/>
    <w:rsid w:val="008B1309"/>
    <w:rsid w:val="008B28E7"/>
    <w:rsid w:val="008B67F6"/>
    <w:rsid w:val="008B6BD3"/>
    <w:rsid w:val="008C14C7"/>
    <w:rsid w:val="008C2FFB"/>
    <w:rsid w:val="008C633F"/>
    <w:rsid w:val="008C6EEA"/>
    <w:rsid w:val="008C7770"/>
    <w:rsid w:val="008C79C7"/>
    <w:rsid w:val="008D03B0"/>
    <w:rsid w:val="008D2150"/>
    <w:rsid w:val="008D5813"/>
    <w:rsid w:val="008D5999"/>
    <w:rsid w:val="008D634E"/>
    <w:rsid w:val="008D778A"/>
    <w:rsid w:val="008D78C9"/>
    <w:rsid w:val="008E1451"/>
    <w:rsid w:val="008E3195"/>
    <w:rsid w:val="008E5A35"/>
    <w:rsid w:val="008F127E"/>
    <w:rsid w:val="008F32D9"/>
    <w:rsid w:val="00902A65"/>
    <w:rsid w:val="00903932"/>
    <w:rsid w:val="009079BD"/>
    <w:rsid w:val="00912BD9"/>
    <w:rsid w:val="00916FB2"/>
    <w:rsid w:val="00920E5B"/>
    <w:rsid w:val="00926436"/>
    <w:rsid w:val="00926C53"/>
    <w:rsid w:val="0093018C"/>
    <w:rsid w:val="009323F7"/>
    <w:rsid w:val="0094495F"/>
    <w:rsid w:val="009544C0"/>
    <w:rsid w:val="00954FA4"/>
    <w:rsid w:val="00956AE9"/>
    <w:rsid w:val="00964CC6"/>
    <w:rsid w:val="00967BFA"/>
    <w:rsid w:val="009709C0"/>
    <w:rsid w:val="0098262C"/>
    <w:rsid w:val="0098427C"/>
    <w:rsid w:val="00986B43"/>
    <w:rsid w:val="00986C0B"/>
    <w:rsid w:val="00986D46"/>
    <w:rsid w:val="0098759E"/>
    <w:rsid w:val="00991FDA"/>
    <w:rsid w:val="009920F7"/>
    <w:rsid w:val="00992ACA"/>
    <w:rsid w:val="009A5F3B"/>
    <w:rsid w:val="009A5F79"/>
    <w:rsid w:val="009A6F87"/>
    <w:rsid w:val="009B0B61"/>
    <w:rsid w:val="009B28C0"/>
    <w:rsid w:val="009B3178"/>
    <w:rsid w:val="009B3E46"/>
    <w:rsid w:val="009B7136"/>
    <w:rsid w:val="009C337F"/>
    <w:rsid w:val="009C53E7"/>
    <w:rsid w:val="009C6092"/>
    <w:rsid w:val="009C7342"/>
    <w:rsid w:val="009D06F6"/>
    <w:rsid w:val="009D4365"/>
    <w:rsid w:val="009D477B"/>
    <w:rsid w:val="009D4E3B"/>
    <w:rsid w:val="009D59C2"/>
    <w:rsid w:val="009D60BE"/>
    <w:rsid w:val="009D7BC9"/>
    <w:rsid w:val="009E122F"/>
    <w:rsid w:val="009E1982"/>
    <w:rsid w:val="009E3640"/>
    <w:rsid w:val="009E4D2C"/>
    <w:rsid w:val="009F0978"/>
    <w:rsid w:val="009F3AEC"/>
    <w:rsid w:val="009F6801"/>
    <w:rsid w:val="00A00081"/>
    <w:rsid w:val="00A06422"/>
    <w:rsid w:val="00A10D56"/>
    <w:rsid w:val="00A12AAE"/>
    <w:rsid w:val="00A12F22"/>
    <w:rsid w:val="00A1499D"/>
    <w:rsid w:val="00A16DD1"/>
    <w:rsid w:val="00A22441"/>
    <w:rsid w:val="00A22C1F"/>
    <w:rsid w:val="00A23F3B"/>
    <w:rsid w:val="00A24406"/>
    <w:rsid w:val="00A25B70"/>
    <w:rsid w:val="00A25F64"/>
    <w:rsid w:val="00A275F6"/>
    <w:rsid w:val="00A303B9"/>
    <w:rsid w:val="00A31D75"/>
    <w:rsid w:val="00A37416"/>
    <w:rsid w:val="00A40ED6"/>
    <w:rsid w:val="00A47621"/>
    <w:rsid w:val="00A479CD"/>
    <w:rsid w:val="00A50CFC"/>
    <w:rsid w:val="00A54D67"/>
    <w:rsid w:val="00A55A3F"/>
    <w:rsid w:val="00A5656A"/>
    <w:rsid w:val="00A60103"/>
    <w:rsid w:val="00A652F6"/>
    <w:rsid w:val="00A65861"/>
    <w:rsid w:val="00A67637"/>
    <w:rsid w:val="00A732EA"/>
    <w:rsid w:val="00A7489E"/>
    <w:rsid w:val="00A8015F"/>
    <w:rsid w:val="00A85039"/>
    <w:rsid w:val="00A906AA"/>
    <w:rsid w:val="00A94C5E"/>
    <w:rsid w:val="00AA252C"/>
    <w:rsid w:val="00AA666E"/>
    <w:rsid w:val="00AA7960"/>
    <w:rsid w:val="00AB0EA5"/>
    <w:rsid w:val="00AB3272"/>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A53"/>
    <w:rsid w:val="00B07E79"/>
    <w:rsid w:val="00B12295"/>
    <w:rsid w:val="00B137BE"/>
    <w:rsid w:val="00B15998"/>
    <w:rsid w:val="00B17FA0"/>
    <w:rsid w:val="00B21D54"/>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5F30"/>
    <w:rsid w:val="00B9256C"/>
    <w:rsid w:val="00B92BEF"/>
    <w:rsid w:val="00B94443"/>
    <w:rsid w:val="00B9689A"/>
    <w:rsid w:val="00B97056"/>
    <w:rsid w:val="00BA1DAD"/>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06D"/>
    <w:rsid w:val="00C01D14"/>
    <w:rsid w:val="00C01D97"/>
    <w:rsid w:val="00C025B4"/>
    <w:rsid w:val="00C029EC"/>
    <w:rsid w:val="00C06C8A"/>
    <w:rsid w:val="00C161FD"/>
    <w:rsid w:val="00C16D3E"/>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1D6C"/>
    <w:rsid w:val="00C63CAB"/>
    <w:rsid w:val="00C63D00"/>
    <w:rsid w:val="00C6441B"/>
    <w:rsid w:val="00C65921"/>
    <w:rsid w:val="00C65C0C"/>
    <w:rsid w:val="00C70A50"/>
    <w:rsid w:val="00C7108B"/>
    <w:rsid w:val="00C726A6"/>
    <w:rsid w:val="00C7421B"/>
    <w:rsid w:val="00C75883"/>
    <w:rsid w:val="00C77FA5"/>
    <w:rsid w:val="00C8089F"/>
    <w:rsid w:val="00C835FE"/>
    <w:rsid w:val="00C836CC"/>
    <w:rsid w:val="00C852D6"/>
    <w:rsid w:val="00C87A74"/>
    <w:rsid w:val="00C92C71"/>
    <w:rsid w:val="00C93F8F"/>
    <w:rsid w:val="00C94362"/>
    <w:rsid w:val="00CA0894"/>
    <w:rsid w:val="00CA32E6"/>
    <w:rsid w:val="00CA3593"/>
    <w:rsid w:val="00CA5726"/>
    <w:rsid w:val="00CA7E6A"/>
    <w:rsid w:val="00CB258E"/>
    <w:rsid w:val="00CB3C8F"/>
    <w:rsid w:val="00CC02F1"/>
    <w:rsid w:val="00CC1122"/>
    <w:rsid w:val="00CC11A6"/>
    <w:rsid w:val="00CC135E"/>
    <w:rsid w:val="00CC7226"/>
    <w:rsid w:val="00CD0735"/>
    <w:rsid w:val="00CD366A"/>
    <w:rsid w:val="00CD45E3"/>
    <w:rsid w:val="00CD4771"/>
    <w:rsid w:val="00CD5089"/>
    <w:rsid w:val="00CD5D3F"/>
    <w:rsid w:val="00CD7E1F"/>
    <w:rsid w:val="00CE4BC4"/>
    <w:rsid w:val="00CE7DA2"/>
    <w:rsid w:val="00CF2F8A"/>
    <w:rsid w:val="00CF3DB3"/>
    <w:rsid w:val="00D0274B"/>
    <w:rsid w:val="00D0503D"/>
    <w:rsid w:val="00D052BC"/>
    <w:rsid w:val="00D07026"/>
    <w:rsid w:val="00D13F3C"/>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19C0"/>
    <w:rsid w:val="00DD31C5"/>
    <w:rsid w:val="00DD5020"/>
    <w:rsid w:val="00DD63BE"/>
    <w:rsid w:val="00DE02D1"/>
    <w:rsid w:val="00DE4296"/>
    <w:rsid w:val="00DE4989"/>
    <w:rsid w:val="00DF2469"/>
    <w:rsid w:val="00DF7899"/>
    <w:rsid w:val="00E0524C"/>
    <w:rsid w:val="00E15751"/>
    <w:rsid w:val="00E17160"/>
    <w:rsid w:val="00E17D41"/>
    <w:rsid w:val="00E231D1"/>
    <w:rsid w:val="00E3288D"/>
    <w:rsid w:val="00E35112"/>
    <w:rsid w:val="00E35BEC"/>
    <w:rsid w:val="00E41A6A"/>
    <w:rsid w:val="00E443E4"/>
    <w:rsid w:val="00E450DA"/>
    <w:rsid w:val="00E50821"/>
    <w:rsid w:val="00E51F91"/>
    <w:rsid w:val="00E5498A"/>
    <w:rsid w:val="00E54E1E"/>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589"/>
    <w:rsid w:val="00EA4D48"/>
    <w:rsid w:val="00EA7ADF"/>
    <w:rsid w:val="00EB2173"/>
    <w:rsid w:val="00EB40E3"/>
    <w:rsid w:val="00EB62E6"/>
    <w:rsid w:val="00EB695F"/>
    <w:rsid w:val="00EC3A85"/>
    <w:rsid w:val="00EC4B89"/>
    <w:rsid w:val="00EC59A5"/>
    <w:rsid w:val="00EC6E15"/>
    <w:rsid w:val="00ED0DDF"/>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4D1A"/>
    <w:rsid w:val="00F15354"/>
    <w:rsid w:val="00F22AC5"/>
    <w:rsid w:val="00F236E0"/>
    <w:rsid w:val="00F254D1"/>
    <w:rsid w:val="00F32B82"/>
    <w:rsid w:val="00F34C86"/>
    <w:rsid w:val="00F4043E"/>
    <w:rsid w:val="00F41795"/>
    <w:rsid w:val="00F41BBC"/>
    <w:rsid w:val="00F444F0"/>
    <w:rsid w:val="00F446FF"/>
    <w:rsid w:val="00F45521"/>
    <w:rsid w:val="00F47AE9"/>
    <w:rsid w:val="00F50847"/>
    <w:rsid w:val="00F53F27"/>
    <w:rsid w:val="00F546D1"/>
    <w:rsid w:val="00F60281"/>
    <w:rsid w:val="00F61F65"/>
    <w:rsid w:val="00F66272"/>
    <w:rsid w:val="00F709C0"/>
    <w:rsid w:val="00F81FEC"/>
    <w:rsid w:val="00F87B53"/>
    <w:rsid w:val="00F90840"/>
    <w:rsid w:val="00F927A1"/>
    <w:rsid w:val="00F92E4D"/>
    <w:rsid w:val="00F95D08"/>
    <w:rsid w:val="00FA0497"/>
    <w:rsid w:val="00FA1DDC"/>
    <w:rsid w:val="00FA23BD"/>
    <w:rsid w:val="00FA3764"/>
    <w:rsid w:val="00FA41C7"/>
    <w:rsid w:val="00FA4A79"/>
    <w:rsid w:val="00FA56ED"/>
    <w:rsid w:val="00FB05DD"/>
    <w:rsid w:val="00FB099A"/>
    <w:rsid w:val="00FB0F7C"/>
    <w:rsid w:val="00FB24EA"/>
    <w:rsid w:val="00FB5FA6"/>
    <w:rsid w:val="00FC0334"/>
    <w:rsid w:val="00FC1310"/>
    <w:rsid w:val="00FC2FF3"/>
    <w:rsid w:val="00FC3263"/>
    <w:rsid w:val="00FC4250"/>
    <w:rsid w:val="00FC51F9"/>
    <w:rsid w:val="00FC5B40"/>
    <w:rsid w:val="00FC5FF8"/>
    <w:rsid w:val="00FD271B"/>
    <w:rsid w:val="00FD3D7C"/>
    <w:rsid w:val="00FD4F8F"/>
    <w:rsid w:val="00FE0C16"/>
    <w:rsid w:val="00FE14B1"/>
    <w:rsid w:val="00FE4D97"/>
    <w:rsid w:val="00FE5F90"/>
    <w:rsid w:val="00FF0070"/>
    <w:rsid w:val="00FF07C3"/>
    <w:rsid w:val="00FF3F9C"/>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2864</TotalTime>
  <Pages>4</Pages>
  <Words>1197</Words>
  <Characters>6826</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Vanessa Archer</cp:lastModifiedBy>
  <cp:revision>51</cp:revision>
  <cp:lastPrinted>2020-02-11T19:20:00Z</cp:lastPrinted>
  <dcterms:created xsi:type="dcterms:W3CDTF">2026-01-18T09:56:00Z</dcterms:created>
  <dcterms:modified xsi:type="dcterms:W3CDTF">2026-01-26T08:29:00Z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