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0366E" w14:textId="4CA22C4F" w:rsidR="003174CD" w:rsidRDefault="003779F9" w:rsidP="00191068">
      <w:pPr>
        <w:pStyle w:val="NoSpacing"/>
        <w:spacing w:line="240" w:lineRule="auto"/>
        <w:ind w:left="703" w:right="703"/>
        <w:jc w:val="right"/>
        <w:rPr>
          <w:rFonts w:ascii="Arial" w:hAnsi="Arial" w:cs="Arial"/>
          <w:sz w:val="28"/>
          <w:szCs w:val="28"/>
          <w:lang w:val="en-GB" w:bidi="en-GB"/>
        </w:rPr>
      </w:pPr>
      <w:r w:rsidRPr="00C20047">
        <w:rPr>
          <w:rFonts w:ascii="Arial" w:hAnsi="Arial" w:cs="Arial"/>
          <w:sz w:val="28"/>
          <w:szCs w:val="28"/>
          <w:lang w:val="en-GB" w:bidi="en-GB"/>
        </w:rPr>
        <w:t>Imran Anwar</w:t>
      </w:r>
    </w:p>
    <w:p w14:paraId="048A9DDB" w14:textId="1CF0DF45" w:rsidR="0073487E" w:rsidRPr="00C20047" w:rsidRDefault="0073487E" w:rsidP="00191068">
      <w:pPr>
        <w:pStyle w:val="NoSpacing"/>
        <w:spacing w:line="240" w:lineRule="auto"/>
        <w:ind w:left="703" w:right="703"/>
        <w:jc w:val="right"/>
        <w:rPr>
          <w:rFonts w:ascii="Arial" w:hAnsi="Arial" w:cs="Arial"/>
          <w:sz w:val="28"/>
          <w:szCs w:val="28"/>
        </w:rPr>
      </w:pPr>
      <w:r>
        <w:rPr>
          <w:rFonts w:ascii="Arial" w:hAnsi="Arial" w:cs="Arial"/>
          <w:sz w:val="28"/>
          <w:szCs w:val="28"/>
          <w:lang w:val="en-GB" w:bidi="en-GB"/>
        </w:rPr>
        <w:t>(1102620)</w:t>
      </w:r>
    </w:p>
    <w:p w14:paraId="2DD61FA1" w14:textId="77777777" w:rsidR="00191068" w:rsidRDefault="00191068" w:rsidP="00C20047">
      <w:pPr>
        <w:pStyle w:val="NoSpacing"/>
        <w:ind w:left="703" w:right="703"/>
        <w:jc w:val="right"/>
        <w:rPr>
          <w:rFonts w:ascii="Arial" w:hAnsi="Arial" w:cs="Arial"/>
          <w:sz w:val="28"/>
          <w:szCs w:val="28"/>
          <w:lang w:val="en-GB" w:bidi="en-GB"/>
        </w:rPr>
      </w:pPr>
    </w:p>
    <w:p w14:paraId="1344DB7D" w14:textId="300EFB48" w:rsidR="003174CD" w:rsidRPr="00C20047" w:rsidRDefault="00191068" w:rsidP="00C20047">
      <w:pPr>
        <w:pStyle w:val="NoSpacing"/>
        <w:ind w:left="703" w:right="703"/>
        <w:jc w:val="right"/>
        <w:rPr>
          <w:rFonts w:ascii="Arial" w:hAnsi="Arial" w:cs="Arial"/>
          <w:sz w:val="28"/>
          <w:szCs w:val="28"/>
        </w:rPr>
      </w:pPr>
      <w:r>
        <w:rPr>
          <w:rFonts w:ascii="Arial" w:hAnsi="Arial" w:cs="Arial"/>
          <w:sz w:val="28"/>
          <w:szCs w:val="28"/>
          <w:lang w:val="en-GB" w:bidi="en-GB"/>
        </w:rPr>
        <w:t xml:space="preserve">Dr </w:t>
      </w:r>
      <w:r w:rsidR="003779F9" w:rsidRPr="00C20047">
        <w:rPr>
          <w:rFonts w:ascii="Arial" w:hAnsi="Arial" w:cs="Arial"/>
          <w:sz w:val="28"/>
          <w:szCs w:val="28"/>
          <w:lang w:val="en-GB" w:bidi="en-GB"/>
        </w:rPr>
        <w:t>Angus Slater</w:t>
      </w:r>
    </w:p>
    <w:p w14:paraId="53A50B1C" w14:textId="49CAD624" w:rsidR="003174CD" w:rsidRDefault="003779F9" w:rsidP="0073487E">
      <w:pPr>
        <w:pStyle w:val="NoSpacing"/>
        <w:spacing w:line="240" w:lineRule="auto"/>
        <w:ind w:left="703" w:right="703"/>
        <w:jc w:val="right"/>
        <w:rPr>
          <w:rFonts w:ascii="Arial" w:hAnsi="Arial" w:cs="Arial"/>
          <w:sz w:val="28"/>
          <w:szCs w:val="28"/>
          <w:lang w:val="en-GB" w:bidi="en-GB"/>
        </w:rPr>
      </w:pPr>
      <w:r w:rsidRPr="00C20047">
        <w:rPr>
          <w:rFonts w:ascii="Arial" w:hAnsi="Arial" w:cs="Arial"/>
          <w:sz w:val="28"/>
          <w:szCs w:val="28"/>
          <w:lang w:val="en-GB" w:bidi="en-GB"/>
        </w:rPr>
        <w:t>TRDL6017: Study Skills and Research Methods in Bible and Theology</w:t>
      </w:r>
    </w:p>
    <w:p w14:paraId="05860CE1" w14:textId="77777777" w:rsidR="00191068" w:rsidRPr="00C20047" w:rsidRDefault="00191068" w:rsidP="0073487E">
      <w:pPr>
        <w:pStyle w:val="NoSpacing"/>
        <w:spacing w:line="240" w:lineRule="auto"/>
        <w:ind w:left="703" w:right="703"/>
        <w:jc w:val="right"/>
        <w:rPr>
          <w:rFonts w:ascii="Arial" w:hAnsi="Arial" w:cs="Arial"/>
          <w:sz w:val="28"/>
          <w:szCs w:val="28"/>
        </w:rPr>
      </w:pPr>
    </w:p>
    <w:p w14:paraId="7DA8184F" w14:textId="4C50A3A1" w:rsidR="003174CD" w:rsidRPr="00C20047" w:rsidRDefault="00AA49A5" w:rsidP="00C20047">
      <w:pPr>
        <w:pStyle w:val="NoSpacing"/>
        <w:ind w:left="703" w:right="703"/>
        <w:jc w:val="right"/>
        <w:rPr>
          <w:rFonts w:ascii="Arial" w:hAnsi="Arial" w:cs="Arial"/>
          <w:sz w:val="28"/>
          <w:szCs w:val="28"/>
          <w:lang w:val="en-GB" w:bidi="en-GB"/>
        </w:rPr>
      </w:pPr>
      <w:r w:rsidRPr="00C20047">
        <w:rPr>
          <w:rFonts w:ascii="Arial" w:hAnsi="Arial" w:cs="Arial"/>
          <w:sz w:val="28"/>
          <w:szCs w:val="28"/>
          <w:lang w:val="en-GB" w:bidi="en-GB"/>
        </w:rPr>
        <w:t>June 11</w:t>
      </w:r>
      <w:r w:rsidRPr="00C20047">
        <w:rPr>
          <w:rFonts w:ascii="Arial" w:hAnsi="Arial" w:cs="Arial"/>
          <w:sz w:val="28"/>
          <w:szCs w:val="28"/>
          <w:vertAlign w:val="superscript"/>
          <w:lang w:val="en-GB" w:bidi="en-GB"/>
        </w:rPr>
        <w:t>th</w:t>
      </w:r>
      <w:proofErr w:type="gramStart"/>
      <w:r w:rsidR="0066158A" w:rsidRPr="00C20047">
        <w:rPr>
          <w:rFonts w:ascii="Arial" w:hAnsi="Arial" w:cs="Arial"/>
          <w:sz w:val="28"/>
          <w:szCs w:val="28"/>
          <w:lang w:val="en-GB" w:bidi="en-GB"/>
        </w:rPr>
        <w:t xml:space="preserve"> 2021</w:t>
      </w:r>
      <w:proofErr w:type="gramEnd"/>
    </w:p>
    <w:p w14:paraId="28359F39" w14:textId="23B96AF5" w:rsidR="003779F9" w:rsidRDefault="003779F9" w:rsidP="0073487E">
      <w:pPr>
        <w:pStyle w:val="NoSpacing"/>
        <w:spacing w:line="240" w:lineRule="auto"/>
        <w:ind w:left="703" w:right="703"/>
        <w:jc w:val="right"/>
        <w:rPr>
          <w:rFonts w:ascii="Arial" w:hAnsi="Arial" w:cs="Arial"/>
          <w:sz w:val="28"/>
          <w:szCs w:val="28"/>
        </w:rPr>
      </w:pPr>
    </w:p>
    <w:p w14:paraId="1B48ED3B" w14:textId="57C1BB10" w:rsidR="00191068" w:rsidRDefault="00191068" w:rsidP="0073487E">
      <w:pPr>
        <w:pStyle w:val="NoSpacing"/>
        <w:spacing w:line="240" w:lineRule="auto"/>
        <w:ind w:left="703" w:right="703"/>
        <w:jc w:val="right"/>
        <w:rPr>
          <w:rFonts w:ascii="Arial" w:hAnsi="Arial" w:cs="Arial"/>
          <w:sz w:val="28"/>
          <w:szCs w:val="28"/>
        </w:rPr>
      </w:pPr>
    </w:p>
    <w:p w14:paraId="3E322B5B" w14:textId="77777777" w:rsidR="00191068" w:rsidRPr="00C20047" w:rsidRDefault="00191068" w:rsidP="0073487E">
      <w:pPr>
        <w:pStyle w:val="NoSpacing"/>
        <w:spacing w:line="240" w:lineRule="auto"/>
        <w:ind w:left="703" w:right="703"/>
        <w:jc w:val="right"/>
        <w:rPr>
          <w:rFonts w:ascii="Arial" w:hAnsi="Arial" w:cs="Arial"/>
          <w:sz w:val="28"/>
          <w:szCs w:val="28"/>
        </w:rPr>
      </w:pPr>
    </w:p>
    <w:p w14:paraId="07A2BB8E" w14:textId="457589BF" w:rsidR="00A96A9C" w:rsidRDefault="003779F9" w:rsidP="0073487E">
      <w:pPr>
        <w:spacing w:line="240" w:lineRule="auto"/>
        <w:ind w:left="703" w:right="703"/>
        <w:jc w:val="right"/>
        <w:rPr>
          <w:rFonts w:ascii="Arial" w:eastAsiaTheme="majorEastAsia" w:hAnsi="Arial" w:cs="Arial"/>
          <w:spacing w:val="-10"/>
          <w:kern w:val="28"/>
          <w:sz w:val="28"/>
          <w:szCs w:val="28"/>
          <w:lang w:bidi="en-GB"/>
        </w:rPr>
      </w:pPr>
      <w:bookmarkStart w:id="0" w:name="_Hlk73687655"/>
      <w:r w:rsidRPr="00C20047">
        <w:rPr>
          <w:rFonts w:ascii="Arial" w:eastAsiaTheme="majorEastAsia" w:hAnsi="Arial" w:cs="Arial"/>
          <w:spacing w:val="-10"/>
          <w:kern w:val="28"/>
          <w:sz w:val="28"/>
          <w:szCs w:val="28"/>
          <w:lang w:bidi="en-GB"/>
        </w:rPr>
        <w:t xml:space="preserve">Report on Accessing an Online Concordance and different Biblical Translations for the Theme </w:t>
      </w:r>
      <w:r w:rsidR="00BE6031" w:rsidRPr="00C20047">
        <w:rPr>
          <w:rFonts w:ascii="Arial" w:eastAsiaTheme="majorEastAsia" w:hAnsi="Arial" w:cs="Arial"/>
          <w:spacing w:val="-10"/>
          <w:kern w:val="28"/>
          <w:sz w:val="28"/>
          <w:szCs w:val="28"/>
          <w:lang w:bidi="en-GB"/>
        </w:rPr>
        <w:t>Spirit</w:t>
      </w:r>
      <w:r w:rsidR="00615AE6" w:rsidRPr="00C20047">
        <w:rPr>
          <w:rFonts w:ascii="Arial" w:eastAsiaTheme="majorEastAsia" w:hAnsi="Arial" w:cs="Arial"/>
          <w:spacing w:val="-10"/>
          <w:kern w:val="28"/>
          <w:sz w:val="28"/>
          <w:szCs w:val="28"/>
          <w:lang w:bidi="en-GB"/>
        </w:rPr>
        <w:t xml:space="preserve"> (in the context of Pnuematology.)</w:t>
      </w:r>
      <w:r w:rsidRPr="00C20047">
        <w:rPr>
          <w:rFonts w:ascii="Arial" w:eastAsiaTheme="majorEastAsia" w:hAnsi="Arial" w:cs="Arial"/>
          <w:spacing w:val="-10"/>
          <w:kern w:val="28"/>
          <w:sz w:val="28"/>
          <w:szCs w:val="28"/>
          <w:lang w:bidi="en-GB"/>
        </w:rPr>
        <w:t xml:space="preserve"> </w:t>
      </w:r>
    </w:p>
    <w:p w14:paraId="49324246" w14:textId="77777777" w:rsidR="00E20461" w:rsidRDefault="00E20461" w:rsidP="0073487E">
      <w:pPr>
        <w:spacing w:line="240" w:lineRule="auto"/>
        <w:ind w:left="703" w:right="703"/>
        <w:jc w:val="right"/>
        <w:rPr>
          <w:rFonts w:ascii="Arial" w:eastAsiaTheme="majorEastAsia" w:hAnsi="Arial" w:cs="Arial"/>
          <w:spacing w:val="-10"/>
          <w:kern w:val="28"/>
          <w:sz w:val="28"/>
          <w:szCs w:val="28"/>
          <w:lang w:bidi="en-GB"/>
        </w:rPr>
      </w:pPr>
    </w:p>
    <w:p w14:paraId="22ACBB19" w14:textId="2CA80932" w:rsidR="00191068" w:rsidRPr="00C20047" w:rsidRDefault="00E20461" w:rsidP="0073487E">
      <w:pPr>
        <w:spacing w:line="240" w:lineRule="auto"/>
        <w:ind w:left="703" w:right="703"/>
        <w:jc w:val="right"/>
        <w:rPr>
          <w:rFonts w:ascii="Arial" w:eastAsiaTheme="majorEastAsia" w:hAnsi="Arial" w:cs="Arial"/>
          <w:spacing w:val="-10"/>
          <w:kern w:val="28"/>
          <w:sz w:val="28"/>
          <w:szCs w:val="28"/>
          <w:lang w:bidi="en-GB"/>
        </w:rPr>
      </w:pPr>
      <w:r>
        <w:rPr>
          <w:rFonts w:ascii="Arial" w:eastAsiaTheme="majorEastAsia" w:hAnsi="Arial" w:cs="Arial"/>
          <w:spacing w:val="-10"/>
          <w:kern w:val="28"/>
          <w:sz w:val="28"/>
          <w:szCs w:val="28"/>
          <w:lang w:bidi="en-GB"/>
        </w:rPr>
        <w:t>[</w:t>
      </w:r>
      <w:r w:rsidR="00191068">
        <w:rPr>
          <w:rFonts w:ascii="Arial" w:eastAsiaTheme="majorEastAsia" w:hAnsi="Arial" w:cs="Arial"/>
          <w:spacing w:val="-10"/>
          <w:kern w:val="28"/>
          <w:sz w:val="28"/>
          <w:szCs w:val="28"/>
          <w:lang w:bidi="en-GB"/>
        </w:rPr>
        <w:t>III</w:t>
      </w:r>
      <w:r>
        <w:rPr>
          <w:rFonts w:ascii="Arial" w:eastAsiaTheme="majorEastAsia" w:hAnsi="Arial" w:cs="Arial"/>
          <w:spacing w:val="-10"/>
          <w:kern w:val="28"/>
          <w:sz w:val="28"/>
          <w:szCs w:val="28"/>
          <w:lang w:bidi="en-GB"/>
        </w:rPr>
        <w:t>]</w:t>
      </w:r>
    </w:p>
    <w:bookmarkEnd w:id="0"/>
    <w:p w14:paraId="69BE5913" w14:textId="77777777" w:rsidR="00A96A9C" w:rsidRDefault="00A96A9C" w:rsidP="00C20047">
      <w:pPr>
        <w:suppressAutoHyphens w:val="0"/>
        <w:ind w:left="703" w:right="703"/>
        <w:rPr>
          <w:rFonts w:asciiTheme="majorHAnsi" w:eastAsiaTheme="majorEastAsia" w:hAnsiTheme="majorHAnsi" w:cstheme="majorBidi"/>
          <w:spacing w:val="-10"/>
          <w:kern w:val="28"/>
          <w:lang w:bidi="en-GB"/>
        </w:rPr>
      </w:pPr>
      <w:r>
        <w:rPr>
          <w:rFonts w:asciiTheme="majorHAnsi" w:eastAsiaTheme="majorEastAsia" w:hAnsiTheme="majorHAnsi" w:cstheme="majorBidi"/>
          <w:spacing w:val="-10"/>
          <w:kern w:val="28"/>
          <w:lang w:bidi="en-GB"/>
        </w:rPr>
        <w:br w:type="page"/>
      </w:r>
    </w:p>
    <w:p w14:paraId="65EFC600" w14:textId="07C28940" w:rsidR="003779F9" w:rsidRDefault="00615AE6" w:rsidP="00C20047">
      <w:pPr>
        <w:spacing w:line="240" w:lineRule="auto"/>
        <w:ind w:left="703" w:right="703" w:firstLine="0"/>
        <w:jc w:val="center"/>
        <w:rPr>
          <w:rFonts w:ascii="Arial" w:eastAsiaTheme="majorEastAsia" w:hAnsi="Arial" w:cs="Arial"/>
          <w:spacing w:val="-10"/>
          <w:kern w:val="28"/>
          <w:sz w:val="28"/>
          <w:szCs w:val="28"/>
          <w:lang w:bidi="en-GB"/>
        </w:rPr>
      </w:pPr>
      <w:r w:rsidRPr="00615AE6">
        <w:rPr>
          <w:rFonts w:ascii="Arial" w:eastAsiaTheme="majorEastAsia" w:hAnsi="Arial" w:cs="Arial"/>
          <w:spacing w:val="-10"/>
          <w:kern w:val="28"/>
          <w:sz w:val="28"/>
          <w:szCs w:val="28"/>
          <w:lang w:bidi="en-GB"/>
        </w:rPr>
        <w:lastRenderedPageBreak/>
        <w:t>Report on Accessing an Online Concordance and different Biblical Translations for the Theme</w:t>
      </w:r>
      <w:r w:rsidR="00694C58">
        <w:rPr>
          <w:rFonts w:ascii="Arial" w:eastAsiaTheme="majorEastAsia" w:hAnsi="Arial" w:cs="Arial"/>
          <w:spacing w:val="-10"/>
          <w:kern w:val="28"/>
          <w:sz w:val="28"/>
          <w:szCs w:val="28"/>
          <w:lang w:bidi="en-GB"/>
        </w:rPr>
        <w:t xml:space="preserve"> of</w:t>
      </w:r>
      <w:r w:rsidRPr="00615AE6">
        <w:rPr>
          <w:rFonts w:ascii="Arial" w:eastAsiaTheme="majorEastAsia" w:hAnsi="Arial" w:cs="Arial"/>
          <w:spacing w:val="-10"/>
          <w:kern w:val="28"/>
          <w:sz w:val="28"/>
          <w:szCs w:val="28"/>
          <w:lang w:bidi="en-GB"/>
        </w:rPr>
        <w:t xml:space="preserve"> </w:t>
      </w:r>
      <w:r w:rsidR="0023225A">
        <w:rPr>
          <w:rFonts w:ascii="Arial" w:eastAsiaTheme="majorEastAsia" w:hAnsi="Arial" w:cs="Arial"/>
          <w:spacing w:val="-10"/>
          <w:kern w:val="28"/>
          <w:sz w:val="28"/>
          <w:szCs w:val="28"/>
          <w:lang w:bidi="en-GB"/>
        </w:rPr>
        <w:t>'</w:t>
      </w:r>
      <w:r w:rsidRPr="00615AE6">
        <w:rPr>
          <w:rFonts w:ascii="Arial" w:eastAsiaTheme="majorEastAsia" w:hAnsi="Arial" w:cs="Arial"/>
          <w:spacing w:val="-10"/>
          <w:kern w:val="28"/>
          <w:sz w:val="28"/>
          <w:szCs w:val="28"/>
          <w:lang w:bidi="en-GB"/>
        </w:rPr>
        <w:t>Spirit</w:t>
      </w:r>
      <w:r w:rsidR="0023225A">
        <w:rPr>
          <w:rFonts w:ascii="Arial" w:eastAsiaTheme="majorEastAsia" w:hAnsi="Arial" w:cs="Arial"/>
          <w:spacing w:val="-10"/>
          <w:kern w:val="28"/>
          <w:sz w:val="28"/>
          <w:szCs w:val="28"/>
          <w:lang w:bidi="en-GB"/>
        </w:rPr>
        <w:t>'</w:t>
      </w:r>
      <w:r w:rsidRPr="00615AE6">
        <w:rPr>
          <w:rFonts w:ascii="Arial" w:eastAsiaTheme="majorEastAsia" w:hAnsi="Arial" w:cs="Arial"/>
          <w:spacing w:val="-10"/>
          <w:kern w:val="28"/>
          <w:sz w:val="28"/>
          <w:szCs w:val="28"/>
          <w:lang w:bidi="en-GB"/>
        </w:rPr>
        <w:t xml:space="preserve"> (in the context of Pn</w:t>
      </w:r>
      <w:r w:rsidR="00710358">
        <w:rPr>
          <w:rFonts w:ascii="Arial" w:eastAsiaTheme="majorEastAsia" w:hAnsi="Arial" w:cs="Arial"/>
          <w:spacing w:val="-10"/>
          <w:kern w:val="28"/>
          <w:sz w:val="28"/>
          <w:szCs w:val="28"/>
          <w:lang w:bidi="en-GB"/>
        </w:rPr>
        <w:t>eu</w:t>
      </w:r>
      <w:r w:rsidRPr="00615AE6">
        <w:rPr>
          <w:rFonts w:ascii="Arial" w:eastAsiaTheme="majorEastAsia" w:hAnsi="Arial" w:cs="Arial"/>
          <w:spacing w:val="-10"/>
          <w:kern w:val="28"/>
          <w:sz w:val="28"/>
          <w:szCs w:val="28"/>
          <w:lang w:bidi="en-GB"/>
        </w:rPr>
        <w:t xml:space="preserve">matology.) </w:t>
      </w:r>
      <w:r w:rsidR="000835A5">
        <w:rPr>
          <w:rFonts w:ascii="Arial" w:eastAsiaTheme="majorEastAsia" w:hAnsi="Arial" w:cs="Arial"/>
          <w:spacing w:val="-10"/>
          <w:kern w:val="28"/>
          <w:sz w:val="28"/>
          <w:szCs w:val="28"/>
          <w:lang w:bidi="en-GB"/>
        </w:rPr>
        <w:t xml:space="preserve"> </w:t>
      </w:r>
      <w:r w:rsidR="000835A5">
        <w:rPr>
          <w:rStyle w:val="EndnoteReference"/>
          <w:rFonts w:ascii="Times New Roman" w:hAnsi="Times New Roman" w:cs="Times New Roman"/>
          <w:i/>
          <w:iCs/>
        </w:rPr>
        <w:endnoteReference w:id="1"/>
      </w:r>
      <w:r w:rsidR="000835A5">
        <w:rPr>
          <w:rFonts w:ascii="Arial" w:eastAsiaTheme="majorEastAsia" w:hAnsi="Arial" w:cs="Arial"/>
          <w:spacing w:val="-10"/>
          <w:kern w:val="28"/>
          <w:sz w:val="28"/>
          <w:szCs w:val="28"/>
          <w:lang w:bidi="en-GB"/>
        </w:rPr>
        <w:t xml:space="preserve"> </w:t>
      </w:r>
      <w:r w:rsidR="00182089">
        <w:rPr>
          <w:rStyle w:val="EndnoteReference"/>
          <w:rFonts w:ascii="Times New Roman" w:hAnsi="Times New Roman" w:cs="Times New Roman"/>
          <w:i/>
          <w:iCs/>
        </w:rPr>
        <w:endnoteReference w:id="2"/>
      </w:r>
    </w:p>
    <w:p w14:paraId="527570CC" w14:textId="77777777" w:rsidR="00ED012E" w:rsidRDefault="00ED012E" w:rsidP="00C20047">
      <w:pPr>
        <w:spacing w:line="240" w:lineRule="auto"/>
        <w:ind w:left="703" w:right="703" w:firstLine="0"/>
        <w:jc w:val="center"/>
        <w:rPr>
          <w:rFonts w:ascii="Arial" w:eastAsiaTheme="majorEastAsia" w:hAnsi="Arial" w:cs="Arial"/>
          <w:spacing w:val="-10"/>
          <w:kern w:val="28"/>
          <w:sz w:val="28"/>
          <w:szCs w:val="28"/>
          <w:lang w:bidi="en-GB"/>
        </w:rPr>
      </w:pPr>
    </w:p>
    <w:p w14:paraId="38A2A6DF" w14:textId="77777777" w:rsidR="00A96A9C" w:rsidRPr="00A96A9C" w:rsidRDefault="00A96A9C" w:rsidP="00C20047">
      <w:pPr>
        <w:spacing w:line="240" w:lineRule="auto"/>
        <w:ind w:left="703" w:right="703" w:firstLine="0"/>
        <w:jc w:val="center"/>
        <w:rPr>
          <w:rFonts w:ascii="Arial" w:eastAsiaTheme="majorEastAsia" w:hAnsi="Arial" w:cs="Arial"/>
          <w:spacing w:val="-10"/>
          <w:kern w:val="28"/>
          <w:sz w:val="28"/>
          <w:szCs w:val="28"/>
          <w:lang w:bidi="en-GB"/>
        </w:rPr>
      </w:pPr>
    </w:p>
    <w:p w14:paraId="36882868" w14:textId="2DBEDEE6" w:rsidR="00A96A9C" w:rsidRDefault="000318CA" w:rsidP="00C20047">
      <w:pPr>
        <w:ind w:left="703" w:right="703" w:firstLine="1440"/>
        <w:jc w:val="both"/>
        <w:rPr>
          <w:rFonts w:ascii="Times New Roman" w:hAnsi="Times New Roman" w:cs="Times New Roman"/>
        </w:rPr>
      </w:pPr>
      <w:r>
        <w:t xml:space="preserve">The concept </w:t>
      </w:r>
      <w:r w:rsidR="002C5702">
        <w:t>of</w:t>
      </w:r>
      <w:r>
        <w:t xml:space="preserve"> </w:t>
      </w:r>
      <w:r w:rsidR="0023225A">
        <w:t>'</w:t>
      </w:r>
      <w:r>
        <w:t>spirit</w:t>
      </w:r>
      <w:r w:rsidR="0023225A">
        <w:t>'</w:t>
      </w:r>
      <w:r w:rsidR="002C5702">
        <w:t xml:space="preserve"> has recurrence and </w:t>
      </w:r>
      <w:r w:rsidR="00A96A9C" w:rsidRPr="002C5702">
        <w:rPr>
          <w:rFonts w:ascii="Times New Roman" w:hAnsi="Times New Roman" w:cs="Times New Roman"/>
        </w:rPr>
        <w:t>central</w:t>
      </w:r>
      <w:r w:rsidR="002C5702" w:rsidRPr="002C5702">
        <w:rPr>
          <w:rFonts w:ascii="Times New Roman" w:hAnsi="Times New Roman" w:cs="Times New Roman"/>
        </w:rPr>
        <w:t xml:space="preserve">ity </w:t>
      </w:r>
      <w:r w:rsidR="00A96A9C" w:rsidRPr="002C5702">
        <w:rPr>
          <w:rFonts w:ascii="Times New Roman" w:hAnsi="Times New Roman" w:cs="Times New Roman"/>
        </w:rPr>
        <w:t>throughout the Judaeo- Christian canon</w:t>
      </w:r>
      <w:r w:rsidR="002C5702" w:rsidRPr="002C5702">
        <w:rPr>
          <w:rFonts w:ascii="Times New Roman" w:hAnsi="Times New Roman" w:cs="Times New Roman"/>
        </w:rPr>
        <w:t>,</w:t>
      </w:r>
      <w:r w:rsidR="00A96A9C" w:rsidRPr="002C5702">
        <w:rPr>
          <w:rFonts w:ascii="Times New Roman" w:hAnsi="Times New Roman" w:cs="Times New Roman"/>
        </w:rPr>
        <w:t xml:space="preserve"> not only</w:t>
      </w:r>
      <w:r w:rsidR="0033450C" w:rsidRPr="002C5702">
        <w:rPr>
          <w:rFonts w:ascii="Times New Roman" w:hAnsi="Times New Roman" w:cs="Times New Roman"/>
        </w:rPr>
        <w:t xml:space="preserve"> within</w:t>
      </w:r>
      <w:r w:rsidR="00A96A9C" w:rsidRPr="002C5702">
        <w:rPr>
          <w:rFonts w:ascii="Times New Roman" w:hAnsi="Times New Roman" w:cs="Times New Roman"/>
        </w:rPr>
        <w:t xml:space="preserve"> the Hebrew Bible and the New Testament but also </w:t>
      </w:r>
      <w:r w:rsidR="002C5702" w:rsidRPr="002C5702">
        <w:rPr>
          <w:rFonts w:ascii="Times New Roman" w:hAnsi="Times New Roman" w:cs="Times New Roman"/>
        </w:rPr>
        <w:t xml:space="preserve">within </w:t>
      </w:r>
      <w:r w:rsidR="00A96A9C" w:rsidRPr="002C5702">
        <w:rPr>
          <w:rFonts w:ascii="Times New Roman" w:hAnsi="Times New Roman" w:cs="Times New Roman"/>
        </w:rPr>
        <w:t xml:space="preserve">Deuterocanonical (Apocryphal) literature. </w:t>
      </w:r>
      <w:r w:rsidR="00A96A9C" w:rsidRPr="00E97F80">
        <w:rPr>
          <w:rFonts w:ascii="Times New Roman" w:hAnsi="Times New Roman" w:cs="Times New Roman"/>
        </w:rPr>
        <w:t xml:space="preserve">This endeavour </w:t>
      </w:r>
      <w:r w:rsidR="0033450C" w:rsidRPr="00E97F80">
        <w:rPr>
          <w:rFonts w:ascii="Times New Roman" w:hAnsi="Times New Roman" w:cs="Times New Roman"/>
        </w:rPr>
        <w:t>shall</w:t>
      </w:r>
      <w:r w:rsidR="00A96A9C" w:rsidRPr="00E97F80">
        <w:rPr>
          <w:rFonts w:ascii="Times New Roman" w:hAnsi="Times New Roman" w:cs="Times New Roman"/>
        </w:rPr>
        <w:t xml:space="preserve"> </w:t>
      </w:r>
      <w:r w:rsidR="002C5702" w:rsidRPr="00E97F80">
        <w:rPr>
          <w:rFonts w:ascii="Times New Roman" w:hAnsi="Times New Roman" w:cs="Times New Roman"/>
        </w:rPr>
        <w:t>report</w:t>
      </w:r>
      <w:r w:rsidR="00A96A9C" w:rsidRPr="00E97F80">
        <w:rPr>
          <w:rFonts w:ascii="Times New Roman" w:hAnsi="Times New Roman" w:cs="Times New Roman"/>
        </w:rPr>
        <w:t xml:space="preserve"> the importance of using a diverse range of on</w:t>
      </w:r>
      <w:r w:rsidR="00710358">
        <w:rPr>
          <w:rFonts w:ascii="Times New Roman" w:hAnsi="Times New Roman" w:cs="Times New Roman"/>
        </w:rPr>
        <w:t>line media for scholarly Biblical research and drawing reference to other internet-based resources, using</w:t>
      </w:r>
      <w:r w:rsidR="00A96A9C" w:rsidRPr="00E97F80">
        <w:rPr>
          <w:rFonts w:ascii="Times New Roman" w:hAnsi="Times New Roman" w:cs="Times New Roman"/>
        </w:rPr>
        <w:t xml:space="preserve"> the theme of </w:t>
      </w:r>
      <w:r w:rsidR="0023225A">
        <w:rPr>
          <w:rFonts w:ascii="Times New Roman" w:hAnsi="Times New Roman" w:cs="Times New Roman"/>
        </w:rPr>
        <w:t>'</w:t>
      </w:r>
      <w:r w:rsidR="00592BA5">
        <w:rPr>
          <w:rFonts w:ascii="Times New Roman" w:hAnsi="Times New Roman" w:cs="Times New Roman"/>
        </w:rPr>
        <w:t>s</w:t>
      </w:r>
      <w:r w:rsidR="008D2944">
        <w:rPr>
          <w:rFonts w:ascii="Times New Roman" w:hAnsi="Times New Roman" w:cs="Times New Roman"/>
        </w:rPr>
        <w:t>pirit</w:t>
      </w:r>
      <w:r w:rsidR="0023225A">
        <w:rPr>
          <w:rFonts w:ascii="Times New Roman" w:hAnsi="Times New Roman" w:cs="Times New Roman"/>
        </w:rPr>
        <w:t>'</w:t>
      </w:r>
      <w:r w:rsidR="00612CC1">
        <w:rPr>
          <w:rFonts w:ascii="Times New Roman" w:hAnsi="Times New Roman" w:cs="Times New Roman"/>
        </w:rPr>
        <w:t xml:space="preserve">, from the </w:t>
      </w:r>
      <w:r w:rsidR="006B2BBB">
        <w:rPr>
          <w:rFonts w:ascii="Times New Roman" w:hAnsi="Times New Roman" w:cs="Times New Roman"/>
        </w:rPr>
        <w:t xml:space="preserve">perspective of </w:t>
      </w:r>
      <w:r w:rsidR="00F12428">
        <w:rPr>
          <w:rFonts w:ascii="Times New Roman" w:hAnsi="Times New Roman" w:cs="Times New Roman"/>
        </w:rPr>
        <w:t>Pneumatological</w:t>
      </w:r>
      <w:r w:rsidR="006B2BBB">
        <w:rPr>
          <w:rFonts w:ascii="Times New Roman" w:hAnsi="Times New Roman" w:cs="Times New Roman"/>
        </w:rPr>
        <w:t xml:space="preserve"> </w:t>
      </w:r>
      <w:r w:rsidR="00F12428">
        <w:rPr>
          <w:rFonts w:ascii="Times New Roman" w:hAnsi="Times New Roman" w:cs="Times New Roman"/>
        </w:rPr>
        <w:t>Theology</w:t>
      </w:r>
      <w:r w:rsidR="006B2BBB">
        <w:rPr>
          <w:rFonts w:ascii="Times New Roman" w:hAnsi="Times New Roman" w:cs="Times New Roman"/>
        </w:rPr>
        <w:t xml:space="preserve"> </w:t>
      </w:r>
      <w:r w:rsidR="00F12428">
        <w:rPr>
          <w:rFonts w:ascii="Times New Roman" w:hAnsi="Times New Roman" w:cs="Times New Roman"/>
        </w:rPr>
        <w:t>as the exemplary.</w:t>
      </w:r>
      <w:r w:rsidR="00612CC1">
        <w:rPr>
          <w:rFonts w:ascii="Times New Roman" w:hAnsi="Times New Roman" w:cs="Times New Roman"/>
        </w:rPr>
        <w:t xml:space="preserve"> </w:t>
      </w:r>
      <w:r w:rsidR="00A96A9C" w:rsidRPr="00E97F80">
        <w:rPr>
          <w:rFonts w:ascii="Times New Roman" w:hAnsi="Times New Roman" w:cs="Times New Roman"/>
        </w:rPr>
        <w:t xml:space="preserve"> </w:t>
      </w:r>
    </w:p>
    <w:p w14:paraId="46C5AD91" w14:textId="77777777" w:rsidR="00846DB8" w:rsidRDefault="00DA5925" w:rsidP="00C20047">
      <w:pPr>
        <w:ind w:left="703" w:right="703" w:firstLine="0"/>
        <w:rPr>
          <w:lang w:bidi="en-GB"/>
        </w:rPr>
      </w:pPr>
      <w:r>
        <w:rPr>
          <w:rFonts w:ascii="Times New Roman" w:hAnsi="Times New Roman" w:cs="Times New Roman"/>
        </w:rPr>
        <w:t xml:space="preserve"> </w:t>
      </w:r>
    </w:p>
    <w:p w14:paraId="03D068C2" w14:textId="58BB9DE2" w:rsidR="0023476D" w:rsidRPr="00846DB8" w:rsidRDefault="00536AB0" w:rsidP="00C20047">
      <w:pPr>
        <w:ind w:left="703" w:right="703" w:firstLine="0"/>
        <w:rPr>
          <w:lang w:bidi="en-GB"/>
        </w:rPr>
      </w:pPr>
      <w:r>
        <w:rPr>
          <w:rFonts w:ascii="Times New Roman" w:hAnsi="Times New Roman" w:cs="Times New Roman"/>
        </w:rPr>
        <w:t>The</w:t>
      </w:r>
      <w:r w:rsidR="00ED012E" w:rsidRPr="000F227D">
        <w:rPr>
          <w:rFonts w:ascii="Times New Roman" w:hAnsi="Times New Roman" w:cs="Times New Roman"/>
        </w:rPr>
        <w:t xml:space="preserve"> </w:t>
      </w:r>
      <w:r w:rsidR="007A5474">
        <w:rPr>
          <w:rFonts w:ascii="Times New Roman" w:hAnsi="Times New Roman" w:cs="Times New Roman"/>
        </w:rPr>
        <w:t>i</w:t>
      </w:r>
      <w:r w:rsidR="00ED012E" w:rsidRPr="000F227D">
        <w:rPr>
          <w:rFonts w:ascii="Times New Roman" w:hAnsi="Times New Roman" w:cs="Times New Roman"/>
        </w:rPr>
        <w:t>nternet is a more than valuable</w:t>
      </w:r>
      <w:r w:rsidR="00EE5E67">
        <w:rPr>
          <w:rFonts w:ascii="Times New Roman" w:hAnsi="Times New Roman" w:cs="Times New Roman"/>
        </w:rPr>
        <w:t xml:space="preserve"> research</w:t>
      </w:r>
      <w:r w:rsidR="00ED012E" w:rsidRPr="000F227D">
        <w:rPr>
          <w:rFonts w:ascii="Times New Roman" w:hAnsi="Times New Roman" w:cs="Times New Roman"/>
        </w:rPr>
        <w:t xml:space="preserve"> tool </w:t>
      </w:r>
      <w:r>
        <w:rPr>
          <w:rFonts w:ascii="Times New Roman" w:hAnsi="Times New Roman" w:cs="Times New Roman"/>
        </w:rPr>
        <w:t>or</w:t>
      </w:r>
      <w:r w:rsidR="00ED012E" w:rsidRPr="000F227D">
        <w:rPr>
          <w:rFonts w:ascii="Times New Roman" w:hAnsi="Times New Roman" w:cs="Times New Roman"/>
        </w:rPr>
        <w:t xml:space="preserve"> resource</w:t>
      </w:r>
      <w:r w:rsidR="00EE5E67">
        <w:rPr>
          <w:rFonts w:ascii="Times New Roman" w:hAnsi="Times New Roman" w:cs="Times New Roman"/>
        </w:rPr>
        <w:t xml:space="preserve"> for any given discipline</w:t>
      </w:r>
      <w:r w:rsidR="00A24B39">
        <w:rPr>
          <w:rFonts w:ascii="Times New Roman" w:hAnsi="Times New Roman" w:cs="Times New Roman"/>
        </w:rPr>
        <w:t xml:space="preserve">, </w:t>
      </w:r>
      <w:r w:rsidR="009D76C2">
        <w:rPr>
          <w:rFonts w:ascii="Times New Roman" w:hAnsi="Times New Roman" w:cs="Times New Roman"/>
        </w:rPr>
        <w:t>particularly</w:t>
      </w:r>
      <w:r w:rsidR="00A24B39">
        <w:rPr>
          <w:rFonts w:ascii="Times New Roman" w:hAnsi="Times New Roman" w:cs="Times New Roman"/>
        </w:rPr>
        <w:t xml:space="preserve"> those</w:t>
      </w:r>
      <w:r w:rsidR="00830834">
        <w:rPr>
          <w:rFonts w:ascii="Times New Roman" w:hAnsi="Times New Roman" w:cs="Times New Roman"/>
        </w:rPr>
        <w:t xml:space="preserve"> </w:t>
      </w:r>
      <w:r w:rsidR="00710358">
        <w:rPr>
          <w:rFonts w:ascii="Times New Roman" w:hAnsi="Times New Roman" w:cs="Times New Roman"/>
        </w:rPr>
        <w:t>that fall within the humanities, often lacking</w:t>
      </w:r>
      <w:r w:rsidR="00A24B39">
        <w:rPr>
          <w:rFonts w:ascii="Times New Roman" w:hAnsi="Times New Roman" w:cs="Times New Roman"/>
        </w:rPr>
        <w:t xml:space="preserve"> </w:t>
      </w:r>
      <w:r w:rsidR="00E6541A">
        <w:rPr>
          <w:rFonts w:ascii="Times New Roman" w:hAnsi="Times New Roman" w:cs="Times New Roman"/>
        </w:rPr>
        <w:t xml:space="preserve">the </w:t>
      </w:r>
      <w:r w:rsidR="008A5EFF">
        <w:rPr>
          <w:rFonts w:ascii="Times New Roman" w:hAnsi="Times New Roman" w:cs="Times New Roman"/>
        </w:rPr>
        <w:t>quantifiable data</w:t>
      </w:r>
      <w:r w:rsidR="00E6541A">
        <w:rPr>
          <w:rFonts w:ascii="Times New Roman" w:hAnsi="Times New Roman" w:cs="Times New Roman"/>
        </w:rPr>
        <w:t xml:space="preserve"> </w:t>
      </w:r>
      <w:r w:rsidR="00EB3A0A">
        <w:rPr>
          <w:rFonts w:ascii="Times New Roman" w:hAnsi="Times New Roman" w:cs="Times New Roman"/>
        </w:rPr>
        <w:t>favoured by the</w:t>
      </w:r>
      <w:r w:rsidR="005A706D">
        <w:rPr>
          <w:rFonts w:ascii="Times New Roman" w:hAnsi="Times New Roman" w:cs="Times New Roman"/>
        </w:rPr>
        <w:t>ir</w:t>
      </w:r>
      <w:r w:rsidR="00EB3A0A">
        <w:rPr>
          <w:rFonts w:ascii="Times New Roman" w:hAnsi="Times New Roman" w:cs="Times New Roman"/>
        </w:rPr>
        <w:t xml:space="preserve"> </w:t>
      </w:r>
      <w:r w:rsidR="00E6541A">
        <w:rPr>
          <w:rFonts w:ascii="Times New Roman" w:hAnsi="Times New Roman" w:cs="Times New Roman"/>
        </w:rPr>
        <w:t xml:space="preserve">more </w:t>
      </w:r>
      <w:r w:rsidR="0023225A">
        <w:rPr>
          <w:rFonts w:ascii="Times New Roman" w:hAnsi="Times New Roman" w:cs="Times New Roman"/>
        </w:rPr>
        <w:t>'</w:t>
      </w:r>
      <w:r w:rsidR="00E6541A">
        <w:rPr>
          <w:rFonts w:ascii="Times New Roman" w:hAnsi="Times New Roman" w:cs="Times New Roman"/>
        </w:rPr>
        <w:t>practical</w:t>
      </w:r>
      <w:r w:rsidR="00EB3A0A">
        <w:rPr>
          <w:rFonts w:ascii="Times New Roman" w:hAnsi="Times New Roman" w:cs="Times New Roman"/>
        </w:rPr>
        <w:t>ly</w:t>
      </w:r>
      <w:r w:rsidR="0023225A">
        <w:rPr>
          <w:rFonts w:ascii="Times New Roman" w:hAnsi="Times New Roman" w:cs="Times New Roman"/>
        </w:rPr>
        <w:t>'</w:t>
      </w:r>
      <w:r w:rsidR="00BE1B99">
        <w:rPr>
          <w:rFonts w:ascii="Times New Roman" w:hAnsi="Times New Roman" w:cs="Times New Roman"/>
        </w:rPr>
        <w:t xml:space="preserve"> based STEM </w:t>
      </w:r>
      <w:r w:rsidR="005A706D">
        <w:rPr>
          <w:rFonts w:ascii="Times New Roman" w:hAnsi="Times New Roman" w:cs="Times New Roman"/>
        </w:rPr>
        <w:t>counterparts</w:t>
      </w:r>
      <w:r w:rsidR="00ED012E" w:rsidRPr="000F227D">
        <w:rPr>
          <w:rFonts w:ascii="Times New Roman" w:hAnsi="Times New Roman" w:cs="Times New Roman"/>
        </w:rPr>
        <w:t>.</w:t>
      </w:r>
      <w:r w:rsidR="009D76C2">
        <w:rPr>
          <w:rFonts w:ascii="Times New Roman" w:hAnsi="Times New Roman" w:cs="Times New Roman"/>
        </w:rPr>
        <w:t xml:space="preserve"> </w:t>
      </w:r>
      <w:r w:rsidR="009D76C2">
        <w:rPr>
          <w:rStyle w:val="FootnoteReference"/>
          <w:rFonts w:ascii="Times New Roman" w:hAnsi="Times New Roman" w:cs="Times New Roman"/>
        </w:rPr>
        <w:footnoteReference w:id="1"/>
      </w:r>
      <w:r w:rsidR="009D76C2">
        <w:rPr>
          <w:rFonts w:ascii="Times New Roman" w:hAnsi="Times New Roman" w:cs="Times New Roman"/>
        </w:rPr>
        <w:t xml:space="preserve"> </w:t>
      </w:r>
      <w:r w:rsidR="00ED012E" w:rsidRPr="000F227D">
        <w:rPr>
          <w:rFonts w:ascii="Times New Roman" w:hAnsi="Times New Roman" w:cs="Times New Roman"/>
        </w:rPr>
        <w:t xml:space="preserve"> </w:t>
      </w:r>
      <w:r w:rsidR="005300CB">
        <w:rPr>
          <w:rFonts w:ascii="Times New Roman" w:hAnsi="Times New Roman" w:cs="Times New Roman"/>
        </w:rPr>
        <w:t>It is paramount</w:t>
      </w:r>
      <w:r w:rsidR="007A5474">
        <w:rPr>
          <w:rFonts w:ascii="Times New Roman" w:hAnsi="Times New Roman" w:cs="Times New Roman"/>
        </w:rPr>
        <w:t>,</w:t>
      </w:r>
      <w:r w:rsidR="005300CB">
        <w:rPr>
          <w:rFonts w:ascii="Times New Roman" w:hAnsi="Times New Roman" w:cs="Times New Roman"/>
        </w:rPr>
        <w:t xml:space="preserve"> h</w:t>
      </w:r>
      <w:r w:rsidR="00ED012E" w:rsidRPr="000F227D">
        <w:rPr>
          <w:rFonts w:ascii="Times New Roman" w:hAnsi="Times New Roman" w:cs="Times New Roman"/>
        </w:rPr>
        <w:t>owever</w:t>
      </w:r>
      <w:r w:rsidR="007A5474">
        <w:rPr>
          <w:rFonts w:ascii="Times New Roman" w:hAnsi="Times New Roman" w:cs="Times New Roman"/>
        </w:rPr>
        <w:t>,</w:t>
      </w:r>
      <w:r w:rsidR="005300CB">
        <w:rPr>
          <w:rFonts w:ascii="Times New Roman" w:hAnsi="Times New Roman" w:cs="Times New Roman"/>
        </w:rPr>
        <w:t xml:space="preserve"> to note that</w:t>
      </w:r>
      <w:r w:rsidR="0023476D">
        <w:rPr>
          <w:rFonts w:ascii="Times New Roman" w:hAnsi="Times New Roman" w:cs="Times New Roman"/>
        </w:rPr>
        <w:t xml:space="preserve"> the internet </w:t>
      </w:r>
      <w:r w:rsidR="00287B26">
        <w:rPr>
          <w:rFonts w:ascii="Times New Roman" w:hAnsi="Times New Roman" w:cs="Times New Roman"/>
        </w:rPr>
        <w:t>should not be used without caution</w:t>
      </w:r>
      <w:r w:rsidR="00ED012E" w:rsidRPr="000F227D">
        <w:rPr>
          <w:rFonts w:ascii="Times New Roman" w:hAnsi="Times New Roman" w:cs="Times New Roman"/>
        </w:rPr>
        <w:t xml:space="preserve">. </w:t>
      </w:r>
    </w:p>
    <w:p w14:paraId="3B06C160" w14:textId="77777777" w:rsidR="00945D50" w:rsidRDefault="00945D50" w:rsidP="00C20047">
      <w:pPr>
        <w:ind w:left="703" w:right="703"/>
        <w:jc w:val="both"/>
        <w:rPr>
          <w:rFonts w:ascii="Times New Roman" w:hAnsi="Times New Roman" w:cs="Times New Roman"/>
        </w:rPr>
      </w:pPr>
    </w:p>
    <w:p w14:paraId="5E205C6C" w14:textId="2BE15AF0" w:rsidR="00F97EAF" w:rsidRDefault="00847452" w:rsidP="00C20047">
      <w:pPr>
        <w:ind w:left="703" w:right="703" w:firstLine="0"/>
        <w:jc w:val="both"/>
        <w:rPr>
          <w:rFonts w:ascii="Times New Roman" w:hAnsi="Times New Roman" w:cs="Times New Roman"/>
        </w:rPr>
      </w:pPr>
      <w:r>
        <w:rPr>
          <w:rFonts w:ascii="Times New Roman" w:hAnsi="Times New Roman" w:cs="Times New Roman"/>
        </w:rPr>
        <w:t xml:space="preserve">Advantageous of internet-based </w:t>
      </w:r>
      <w:r w:rsidR="00646DC0">
        <w:rPr>
          <w:rFonts w:ascii="Times New Roman" w:hAnsi="Times New Roman" w:cs="Times New Roman"/>
        </w:rPr>
        <w:t xml:space="preserve">research </w:t>
      </w:r>
      <w:r w:rsidR="00ED012E" w:rsidRPr="00287B26">
        <w:rPr>
          <w:rFonts w:ascii="Times New Roman" w:hAnsi="Times New Roman" w:cs="Times New Roman"/>
        </w:rPr>
        <w:t>is that it saves copious amounts of time that would otherwise be spent</w:t>
      </w:r>
      <w:r w:rsidR="00646DC0">
        <w:rPr>
          <w:rFonts w:ascii="Times New Roman" w:hAnsi="Times New Roman" w:cs="Times New Roman"/>
        </w:rPr>
        <w:t xml:space="preserve"> sifting</w:t>
      </w:r>
      <w:r w:rsidR="00ED012E" w:rsidRPr="00287B26">
        <w:rPr>
          <w:rFonts w:ascii="Times New Roman" w:hAnsi="Times New Roman" w:cs="Times New Roman"/>
        </w:rPr>
        <w:t xml:space="preserve"> through different media resources such as </w:t>
      </w:r>
      <w:r w:rsidR="00646DC0">
        <w:rPr>
          <w:rFonts w:ascii="Times New Roman" w:hAnsi="Times New Roman" w:cs="Times New Roman"/>
        </w:rPr>
        <w:t>physical (no</w:t>
      </w:r>
      <w:r w:rsidR="00A14A09">
        <w:rPr>
          <w:rFonts w:ascii="Times New Roman" w:hAnsi="Times New Roman" w:cs="Times New Roman"/>
        </w:rPr>
        <w:t>n-</w:t>
      </w:r>
      <w:r w:rsidR="00646DC0">
        <w:rPr>
          <w:rFonts w:ascii="Times New Roman" w:hAnsi="Times New Roman" w:cs="Times New Roman"/>
        </w:rPr>
        <w:t xml:space="preserve">electronic) </w:t>
      </w:r>
      <w:r w:rsidR="00E77EA3">
        <w:rPr>
          <w:rFonts w:ascii="Times New Roman" w:hAnsi="Times New Roman" w:cs="Times New Roman"/>
        </w:rPr>
        <w:t>items, such as books, journals</w:t>
      </w:r>
      <w:r w:rsidR="007266F6">
        <w:rPr>
          <w:rFonts w:ascii="Times New Roman" w:hAnsi="Times New Roman" w:cs="Times New Roman"/>
        </w:rPr>
        <w:t>, encyclopaedias</w:t>
      </w:r>
      <w:r w:rsidR="007A5474">
        <w:rPr>
          <w:rFonts w:ascii="Times New Roman" w:hAnsi="Times New Roman" w:cs="Times New Roman"/>
        </w:rPr>
        <w:t>,</w:t>
      </w:r>
      <w:r w:rsidR="007266F6">
        <w:rPr>
          <w:rFonts w:ascii="Times New Roman" w:hAnsi="Times New Roman" w:cs="Times New Roman"/>
        </w:rPr>
        <w:t xml:space="preserve"> etcetera </w:t>
      </w:r>
      <w:r w:rsidR="0001281F">
        <w:rPr>
          <w:rFonts w:ascii="Times New Roman" w:hAnsi="Times New Roman" w:cs="Times New Roman"/>
        </w:rPr>
        <w:t xml:space="preserve">to </w:t>
      </w:r>
      <w:r w:rsidR="00B84509">
        <w:rPr>
          <w:rFonts w:ascii="Times New Roman" w:hAnsi="Times New Roman" w:cs="Times New Roman"/>
        </w:rPr>
        <w:t>at</w:t>
      </w:r>
      <w:r w:rsidR="002C0F38">
        <w:rPr>
          <w:rFonts w:ascii="Times New Roman" w:hAnsi="Times New Roman" w:cs="Times New Roman"/>
        </w:rPr>
        <w:t>tain</w:t>
      </w:r>
      <w:r w:rsidR="00B84509">
        <w:rPr>
          <w:rFonts w:ascii="Times New Roman" w:hAnsi="Times New Roman" w:cs="Times New Roman"/>
        </w:rPr>
        <w:t xml:space="preserve"> </w:t>
      </w:r>
      <w:r w:rsidR="002C0F38">
        <w:rPr>
          <w:rFonts w:ascii="Times New Roman" w:hAnsi="Times New Roman" w:cs="Times New Roman"/>
        </w:rPr>
        <w:t>like information</w:t>
      </w:r>
      <w:r w:rsidR="00ED012E" w:rsidRPr="00287B26">
        <w:rPr>
          <w:rFonts w:ascii="Times New Roman" w:hAnsi="Times New Roman" w:cs="Times New Roman"/>
        </w:rPr>
        <w:t>.</w:t>
      </w:r>
      <w:r w:rsidR="003A6DA8">
        <w:rPr>
          <w:rFonts w:ascii="Times New Roman" w:hAnsi="Times New Roman" w:cs="Times New Roman"/>
        </w:rPr>
        <w:t xml:space="preserve">, using an </w:t>
      </w:r>
      <w:r w:rsidR="00976FE0">
        <w:rPr>
          <w:rFonts w:ascii="Times New Roman" w:hAnsi="Times New Roman" w:cs="Times New Roman"/>
        </w:rPr>
        <w:t>uncomplex</w:t>
      </w:r>
      <w:r w:rsidR="005C3613">
        <w:rPr>
          <w:rFonts w:ascii="Times New Roman" w:hAnsi="Times New Roman" w:cs="Times New Roman"/>
        </w:rPr>
        <w:t xml:space="preserve"> </w:t>
      </w:r>
      <w:r w:rsidR="007F1EDD">
        <w:rPr>
          <w:rFonts w:ascii="Times New Roman" w:hAnsi="Times New Roman" w:cs="Times New Roman"/>
        </w:rPr>
        <w:t xml:space="preserve">digital interface, </w:t>
      </w:r>
      <w:r w:rsidR="00976FE0">
        <w:rPr>
          <w:rFonts w:ascii="Times New Roman" w:hAnsi="Times New Roman" w:cs="Times New Roman"/>
        </w:rPr>
        <w:t xml:space="preserve">and </w:t>
      </w:r>
      <w:r w:rsidR="00CF490B">
        <w:rPr>
          <w:rFonts w:ascii="Times New Roman" w:hAnsi="Times New Roman" w:cs="Times New Roman"/>
        </w:rPr>
        <w:t xml:space="preserve">entering a </w:t>
      </w:r>
      <w:r w:rsidR="007F1EDD">
        <w:rPr>
          <w:rFonts w:ascii="Times New Roman" w:hAnsi="Times New Roman" w:cs="Times New Roman"/>
        </w:rPr>
        <w:t>search query</w:t>
      </w:r>
      <w:r w:rsidR="00CF490B">
        <w:rPr>
          <w:rFonts w:ascii="Times New Roman" w:hAnsi="Times New Roman" w:cs="Times New Roman"/>
        </w:rPr>
        <w:t xml:space="preserve"> either by typing</w:t>
      </w:r>
      <w:r w:rsidR="007A5474">
        <w:rPr>
          <w:rFonts w:ascii="Times New Roman" w:hAnsi="Times New Roman" w:cs="Times New Roman"/>
        </w:rPr>
        <w:t xml:space="preserve"> or even dictating it with modern technological advancement, brings forth many</w:t>
      </w:r>
      <w:r w:rsidR="00C13755">
        <w:rPr>
          <w:rFonts w:ascii="Times New Roman" w:hAnsi="Times New Roman" w:cs="Times New Roman"/>
        </w:rPr>
        <w:t xml:space="preserve"> results in </w:t>
      </w:r>
      <w:r w:rsidR="00090513">
        <w:rPr>
          <w:rFonts w:ascii="Times New Roman" w:hAnsi="Times New Roman" w:cs="Times New Roman"/>
        </w:rPr>
        <w:t xml:space="preserve">a limited time as </w:t>
      </w:r>
      <w:r w:rsidR="00C13755">
        <w:rPr>
          <w:rFonts w:ascii="Times New Roman" w:hAnsi="Times New Roman" w:cs="Times New Roman"/>
        </w:rPr>
        <w:t>fractions of seconds</w:t>
      </w:r>
      <w:r w:rsidR="00980A5B">
        <w:rPr>
          <w:rFonts w:ascii="Times New Roman" w:hAnsi="Times New Roman" w:cs="Times New Roman"/>
        </w:rPr>
        <w:t xml:space="preserve">. This </w:t>
      </w:r>
      <w:r w:rsidR="00D1771C">
        <w:rPr>
          <w:rFonts w:ascii="Times New Roman" w:hAnsi="Times New Roman" w:cs="Times New Roman"/>
        </w:rPr>
        <w:t xml:space="preserve">notion </w:t>
      </w:r>
      <w:r w:rsidR="00980A5B">
        <w:rPr>
          <w:rFonts w:ascii="Times New Roman" w:hAnsi="Times New Roman" w:cs="Times New Roman"/>
        </w:rPr>
        <w:t>converse</w:t>
      </w:r>
      <w:r w:rsidR="00C13755">
        <w:rPr>
          <w:rFonts w:ascii="Times New Roman" w:hAnsi="Times New Roman" w:cs="Times New Roman"/>
        </w:rPr>
        <w:t xml:space="preserve"> to the</w:t>
      </w:r>
      <w:r w:rsidR="00A823A5">
        <w:rPr>
          <w:rFonts w:ascii="Times New Roman" w:hAnsi="Times New Roman" w:cs="Times New Roman"/>
        </w:rPr>
        <w:t xml:space="preserve"> </w:t>
      </w:r>
      <w:r w:rsidR="00A73F1A">
        <w:rPr>
          <w:rFonts w:ascii="Times New Roman" w:hAnsi="Times New Roman" w:cs="Times New Roman"/>
        </w:rPr>
        <w:t>much lengthier time</w:t>
      </w:r>
      <w:r w:rsidR="00A823A5">
        <w:rPr>
          <w:rFonts w:ascii="Times New Roman" w:hAnsi="Times New Roman" w:cs="Times New Roman"/>
        </w:rPr>
        <w:t xml:space="preserve"> would be required </w:t>
      </w:r>
      <w:r w:rsidR="00993995">
        <w:rPr>
          <w:rFonts w:ascii="Times New Roman" w:hAnsi="Times New Roman" w:cs="Times New Roman"/>
        </w:rPr>
        <w:t>otherwise.</w:t>
      </w:r>
      <w:r w:rsidR="003D69C3">
        <w:rPr>
          <w:rFonts w:ascii="Times New Roman" w:hAnsi="Times New Roman" w:cs="Times New Roman"/>
        </w:rPr>
        <w:t xml:space="preserve"> </w:t>
      </w:r>
      <w:r w:rsidR="005E2E57">
        <w:rPr>
          <w:rStyle w:val="FootnoteReference"/>
          <w:rFonts w:ascii="Times New Roman" w:hAnsi="Times New Roman" w:cs="Times New Roman"/>
        </w:rPr>
        <w:footnoteReference w:id="2"/>
      </w:r>
      <w:r w:rsidR="00993995">
        <w:rPr>
          <w:rFonts w:ascii="Times New Roman" w:hAnsi="Times New Roman" w:cs="Times New Roman"/>
        </w:rPr>
        <w:t xml:space="preserve"> </w:t>
      </w:r>
      <w:r w:rsidR="0020589B">
        <w:rPr>
          <w:rFonts w:ascii="Times New Roman" w:hAnsi="Times New Roman" w:cs="Times New Roman"/>
        </w:rPr>
        <w:t>A diminished need to own or transport typically hefty tomes and voluminous series (unabridged)</w:t>
      </w:r>
      <w:r w:rsidR="006E5DEF" w:rsidRPr="006E5DEF">
        <w:rPr>
          <w:rFonts w:ascii="Times New Roman" w:hAnsi="Times New Roman" w:cs="Times New Roman"/>
        </w:rPr>
        <w:t xml:space="preserve"> would need to be scoured through along with the</w:t>
      </w:r>
      <w:r w:rsidR="0096332E">
        <w:rPr>
          <w:rFonts w:ascii="Times New Roman" w:hAnsi="Times New Roman" w:cs="Times New Roman"/>
        </w:rPr>
        <w:t>ir</w:t>
      </w:r>
      <w:r w:rsidR="00A63338">
        <w:rPr>
          <w:rFonts w:ascii="Times New Roman" w:hAnsi="Times New Roman" w:cs="Times New Roman"/>
        </w:rPr>
        <w:t xml:space="preserve"> min</w:t>
      </w:r>
      <w:r w:rsidR="0020589B">
        <w:rPr>
          <w:rFonts w:ascii="Times New Roman" w:hAnsi="Times New Roman" w:cs="Times New Roman"/>
        </w:rPr>
        <w:t>u</w:t>
      </w:r>
      <w:r w:rsidR="00A63338">
        <w:rPr>
          <w:rFonts w:ascii="Times New Roman" w:hAnsi="Times New Roman" w:cs="Times New Roman"/>
        </w:rPr>
        <w:t xml:space="preserve">scule </w:t>
      </w:r>
      <w:r w:rsidR="006E5DEF" w:rsidRPr="006E5DEF">
        <w:rPr>
          <w:rFonts w:ascii="Times New Roman" w:hAnsi="Times New Roman" w:cs="Times New Roman"/>
        </w:rPr>
        <w:t>print typeface used.</w:t>
      </w:r>
      <w:r w:rsidR="009A544F">
        <w:rPr>
          <w:rFonts w:ascii="Times New Roman" w:hAnsi="Times New Roman" w:cs="Times New Roman"/>
        </w:rPr>
        <w:t xml:space="preserve"> </w:t>
      </w:r>
      <w:r w:rsidR="009A544F">
        <w:rPr>
          <w:rStyle w:val="FootnoteReference"/>
          <w:rFonts w:ascii="Times New Roman" w:hAnsi="Times New Roman" w:cs="Times New Roman"/>
        </w:rPr>
        <w:footnoteReference w:id="3"/>
      </w:r>
      <w:r w:rsidR="006E5DEF" w:rsidRPr="006E5DEF">
        <w:rPr>
          <w:rFonts w:ascii="Times New Roman" w:hAnsi="Times New Roman" w:cs="Times New Roman"/>
        </w:rPr>
        <w:t xml:space="preserve">  </w:t>
      </w:r>
      <w:r w:rsidR="00B41142">
        <w:rPr>
          <w:rFonts w:ascii="Times New Roman" w:hAnsi="Times New Roman" w:cs="Times New Roman"/>
        </w:rPr>
        <w:t>With this a</w:t>
      </w:r>
      <w:r w:rsidR="00351BC6">
        <w:rPr>
          <w:rFonts w:ascii="Times New Roman" w:hAnsi="Times New Roman" w:cs="Times New Roman"/>
        </w:rPr>
        <w:t>re</w:t>
      </w:r>
      <w:r w:rsidR="00B61010">
        <w:rPr>
          <w:rFonts w:ascii="Times New Roman" w:hAnsi="Times New Roman" w:cs="Times New Roman"/>
        </w:rPr>
        <w:t xml:space="preserve"> </w:t>
      </w:r>
      <w:r w:rsidR="00B41142">
        <w:rPr>
          <w:rFonts w:ascii="Times New Roman" w:hAnsi="Times New Roman" w:cs="Times New Roman"/>
        </w:rPr>
        <w:t xml:space="preserve">the </w:t>
      </w:r>
      <w:r w:rsidR="00B61010">
        <w:rPr>
          <w:rFonts w:ascii="Times New Roman" w:hAnsi="Times New Roman" w:cs="Times New Roman"/>
        </w:rPr>
        <w:t xml:space="preserve">storage and logistical benefits of </w:t>
      </w:r>
      <w:r w:rsidR="00320951">
        <w:rPr>
          <w:rFonts w:ascii="Times New Roman" w:hAnsi="Times New Roman" w:cs="Times New Roman"/>
        </w:rPr>
        <w:t>owning or using free online resources</w:t>
      </w:r>
      <w:r w:rsidR="00B6160E">
        <w:rPr>
          <w:rFonts w:ascii="Times New Roman" w:hAnsi="Times New Roman" w:cs="Times New Roman"/>
        </w:rPr>
        <w:t>. There is minimal</w:t>
      </w:r>
      <w:r w:rsidR="00320951">
        <w:rPr>
          <w:rFonts w:ascii="Times New Roman" w:hAnsi="Times New Roman" w:cs="Times New Roman"/>
        </w:rPr>
        <w:t xml:space="preserve"> </w:t>
      </w:r>
      <w:r w:rsidR="0023225A">
        <w:rPr>
          <w:rFonts w:ascii="Times New Roman" w:hAnsi="Times New Roman" w:cs="Times New Roman"/>
        </w:rPr>
        <w:t>'</w:t>
      </w:r>
      <w:r w:rsidR="00320951">
        <w:rPr>
          <w:rFonts w:ascii="Times New Roman" w:hAnsi="Times New Roman" w:cs="Times New Roman"/>
        </w:rPr>
        <w:t>physical</w:t>
      </w:r>
      <w:r w:rsidR="0023225A">
        <w:rPr>
          <w:rFonts w:ascii="Times New Roman" w:hAnsi="Times New Roman" w:cs="Times New Roman"/>
        </w:rPr>
        <w:t>'</w:t>
      </w:r>
      <w:r w:rsidR="00320951">
        <w:rPr>
          <w:rFonts w:ascii="Times New Roman" w:hAnsi="Times New Roman" w:cs="Times New Roman"/>
        </w:rPr>
        <w:t xml:space="preserve"> space required to house them</w:t>
      </w:r>
      <w:r w:rsidR="00FF2E88">
        <w:rPr>
          <w:rFonts w:ascii="Times New Roman" w:hAnsi="Times New Roman" w:cs="Times New Roman"/>
        </w:rPr>
        <w:t>. It is possible that</w:t>
      </w:r>
      <w:r w:rsidR="00320951">
        <w:rPr>
          <w:rFonts w:ascii="Times New Roman" w:hAnsi="Times New Roman" w:cs="Times New Roman"/>
        </w:rPr>
        <w:t xml:space="preserve"> </w:t>
      </w:r>
      <w:r w:rsidR="00BC056B">
        <w:rPr>
          <w:rFonts w:ascii="Times New Roman" w:hAnsi="Times New Roman" w:cs="Times New Roman"/>
        </w:rPr>
        <w:t xml:space="preserve">entire libraries may be </w:t>
      </w:r>
      <w:r w:rsidR="00983C43">
        <w:rPr>
          <w:rFonts w:ascii="Times New Roman" w:hAnsi="Times New Roman" w:cs="Times New Roman"/>
        </w:rPr>
        <w:t xml:space="preserve">added to or accessed by </w:t>
      </w:r>
      <w:r w:rsidR="008E5F90">
        <w:rPr>
          <w:rFonts w:ascii="Times New Roman" w:hAnsi="Times New Roman" w:cs="Times New Roman"/>
        </w:rPr>
        <w:t xml:space="preserve">devices </w:t>
      </w:r>
      <w:r w:rsidR="00FF2E88">
        <w:rPr>
          <w:rFonts w:ascii="Times New Roman" w:hAnsi="Times New Roman" w:cs="Times New Roman"/>
        </w:rPr>
        <w:t xml:space="preserve">no </w:t>
      </w:r>
      <w:r w:rsidR="0020589B">
        <w:rPr>
          <w:rFonts w:ascii="Times New Roman" w:hAnsi="Times New Roman" w:cs="Times New Roman"/>
        </w:rPr>
        <w:t>more significant</w:t>
      </w:r>
      <w:r w:rsidR="00FF2E88">
        <w:rPr>
          <w:rFonts w:ascii="Times New Roman" w:hAnsi="Times New Roman" w:cs="Times New Roman"/>
        </w:rPr>
        <w:t xml:space="preserve"> </w:t>
      </w:r>
      <w:r w:rsidR="00AC05B4">
        <w:rPr>
          <w:rFonts w:ascii="Times New Roman" w:hAnsi="Times New Roman" w:cs="Times New Roman"/>
        </w:rPr>
        <w:t xml:space="preserve">than the size of </w:t>
      </w:r>
      <w:r w:rsidR="0020589B">
        <w:rPr>
          <w:rFonts w:ascii="Times New Roman" w:hAnsi="Times New Roman" w:cs="Times New Roman"/>
        </w:rPr>
        <w:t xml:space="preserve">an </w:t>
      </w:r>
      <w:r w:rsidR="00AC05B4">
        <w:rPr>
          <w:rFonts w:ascii="Times New Roman" w:hAnsi="Times New Roman" w:cs="Times New Roman"/>
        </w:rPr>
        <w:t>average human hand</w:t>
      </w:r>
      <w:r w:rsidR="0020589B">
        <w:rPr>
          <w:rFonts w:ascii="Times New Roman" w:hAnsi="Times New Roman" w:cs="Times New Roman"/>
        </w:rPr>
        <w:t>,</w:t>
      </w:r>
      <w:r w:rsidR="00AC05B4">
        <w:rPr>
          <w:rFonts w:ascii="Times New Roman" w:hAnsi="Times New Roman" w:cs="Times New Roman"/>
        </w:rPr>
        <w:t xml:space="preserve"> </w:t>
      </w:r>
      <w:r w:rsidR="00983C43">
        <w:rPr>
          <w:rFonts w:ascii="Times New Roman" w:hAnsi="Times New Roman" w:cs="Times New Roman"/>
        </w:rPr>
        <w:t>such as mobile telephone</w:t>
      </w:r>
      <w:r w:rsidR="009374BF">
        <w:rPr>
          <w:rFonts w:ascii="Times New Roman" w:hAnsi="Times New Roman" w:cs="Times New Roman"/>
        </w:rPr>
        <w:t>s</w:t>
      </w:r>
      <w:r w:rsidR="00983C43">
        <w:rPr>
          <w:rFonts w:ascii="Times New Roman" w:hAnsi="Times New Roman" w:cs="Times New Roman"/>
        </w:rPr>
        <w:t xml:space="preserve"> or </w:t>
      </w:r>
      <w:r w:rsidR="008E5F90">
        <w:rPr>
          <w:rFonts w:ascii="Times New Roman" w:hAnsi="Times New Roman" w:cs="Times New Roman"/>
        </w:rPr>
        <w:t>tablet computer</w:t>
      </w:r>
      <w:r w:rsidR="009374BF">
        <w:rPr>
          <w:rFonts w:ascii="Times New Roman" w:hAnsi="Times New Roman" w:cs="Times New Roman"/>
        </w:rPr>
        <w:t>s</w:t>
      </w:r>
      <w:r w:rsidR="008E5F90">
        <w:rPr>
          <w:rFonts w:ascii="Times New Roman" w:hAnsi="Times New Roman" w:cs="Times New Roman"/>
        </w:rPr>
        <w:t>.</w:t>
      </w:r>
    </w:p>
    <w:p w14:paraId="2B3F3849" w14:textId="77777777" w:rsidR="00E04352" w:rsidRDefault="00E04352" w:rsidP="00C20047">
      <w:pPr>
        <w:ind w:left="703" w:right="703" w:firstLine="0"/>
        <w:jc w:val="both"/>
        <w:rPr>
          <w:rFonts w:ascii="Times New Roman" w:hAnsi="Times New Roman" w:cs="Times New Roman"/>
        </w:rPr>
      </w:pPr>
    </w:p>
    <w:p w14:paraId="08E630E1" w14:textId="47883685" w:rsidR="00B7661C" w:rsidRDefault="00B16F7F" w:rsidP="00C20047">
      <w:pPr>
        <w:spacing w:line="240" w:lineRule="auto"/>
        <w:ind w:left="703" w:right="703" w:firstLine="0"/>
        <w:jc w:val="center"/>
        <w:rPr>
          <w:rFonts w:ascii="Arial" w:hAnsi="Arial" w:cs="Arial"/>
        </w:rPr>
      </w:pPr>
      <w:r>
        <w:rPr>
          <w:rFonts w:ascii="Arial" w:hAnsi="Arial" w:cs="Arial"/>
        </w:rPr>
        <w:t xml:space="preserve">1A. </w:t>
      </w:r>
      <w:r w:rsidR="00846DB8" w:rsidRPr="00846DB8">
        <w:rPr>
          <w:rFonts w:ascii="Arial" w:hAnsi="Arial" w:cs="Arial"/>
        </w:rPr>
        <w:t xml:space="preserve">The utility of </w:t>
      </w:r>
      <w:r w:rsidR="00B7661C">
        <w:rPr>
          <w:rFonts w:ascii="Arial" w:hAnsi="Arial" w:cs="Arial"/>
        </w:rPr>
        <w:t xml:space="preserve">an </w:t>
      </w:r>
      <w:r w:rsidR="00846DB8" w:rsidRPr="00846DB8">
        <w:rPr>
          <w:rFonts w:ascii="Arial" w:hAnsi="Arial" w:cs="Arial"/>
        </w:rPr>
        <w:t>online Concordance</w:t>
      </w:r>
      <w:r w:rsidR="00FD019B">
        <w:rPr>
          <w:rFonts w:ascii="Arial" w:hAnsi="Arial" w:cs="Arial"/>
        </w:rPr>
        <w:t xml:space="preserve"> </w:t>
      </w:r>
    </w:p>
    <w:p w14:paraId="33EA0434" w14:textId="6EAAA30A" w:rsidR="00F97EAF" w:rsidRPr="00B7661C" w:rsidRDefault="00FD019B" w:rsidP="00C20047">
      <w:pPr>
        <w:spacing w:line="240" w:lineRule="auto"/>
        <w:ind w:left="703" w:right="703" w:firstLine="0"/>
        <w:jc w:val="center"/>
        <w:rPr>
          <w:rFonts w:ascii="Arial" w:hAnsi="Arial" w:cs="Arial"/>
          <w:vertAlign w:val="subscript"/>
        </w:rPr>
      </w:pPr>
      <w:r w:rsidRPr="00B7661C">
        <w:rPr>
          <w:rFonts w:ascii="Arial" w:hAnsi="Arial" w:cs="Arial"/>
          <w:vertAlign w:val="subscript"/>
        </w:rPr>
        <w:t>(</w:t>
      </w:r>
      <w:r w:rsidR="00B7661C" w:rsidRPr="00B7661C">
        <w:rPr>
          <w:rFonts w:ascii="Arial" w:hAnsi="Arial" w:cs="Arial"/>
          <w:vertAlign w:val="subscript"/>
        </w:rPr>
        <w:t>Anglici</w:t>
      </w:r>
      <w:r w:rsidR="0020589B">
        <w:rPr>
          <w:rFonts w:ascii="Arial" w:hAnsi="Arial" w:cs="Arial"/>
          <w:vertAlign w:val="subscript"/>
        </w:rPr>
        <w:t>s</w:t>
      </w:r>
      <w:r w:rsidR="00B7661C" w:rsidRPr="00B7661C">
        <w:rPr>
          <w:rFonts w:ascii="Arial" w:hAnsi="Arial" w:cs="Arial"/>
          <w:vertAlign w:val="subscript"/>
        </w:rPr>
        <w:t>ed</w:t>
      </w:r>
      <w:r w:rsidR="00FA0F4C" w:rsidRPr="00B7661C">
        <w:rPr>
          <w:rFonts w:ascii="Arial" w:hAnsi="Arial" w:cs="Arial"/>
          <w:vertAlign w:val="subscript"/>
        </w:rPr>
        <w:t xml:space="preserve"> New Revised Standard </w:t>
      </w:r>
      <w:r w:rsidR="00B7661C" w:rsidRPr="00B7661C">
        <w:rPr>
          <w:rFonts w:ascii="Arial" w:hAnsi="Arial" w:cs="Arial"/>
          <w:vertAlign w:val="subscript"/>
        </w:rPr>
        <w:t>Version- NRSVA)</w:t>
      </w:r>
    </w:p>
    <w:p w14:paraId="03751E42" w14:textId="77777777" w:rsidR="00FD019B" w:rsidRPr="00846DB8" w:rsidRDefault="00FD019B" w:rsidP="00C20047">
      <w:pPr>
        <w:spacing w:line="240" w:lineRule="auto"/>
        <w:ind w:left="703" w:right="703" w:firstLine="0"/>
        <w:jc w:val="center"/>
        <w:rPr>
          <w:rFonts w:ascii="Arial" w:hAnsi="Arial" w:cs="Arial"/>
        </w:rPr>
      </w:pPr>
    </w:p>
    <w:p w14:paraId="5CCF8F92" w14:textId="2F7C3157" w:rsidR="007164CF" w:rsidRDefault="00D043FC" w:rsidP="00C20047">
      <w:pPr>
        <w:ind w:left="703" w:right="703" w:firstLine="0"/>
        <w:jc w:val="both"/>
        <w:rPr>
          <w:rFonts w:ascii="SBL Hebrew" w:hAnsi="SBL Hebrew" w:cs="SBL Hebrew"/>
        </w:rPr>
      </w:pPr>
      <w:r>
        <w:rPr>
          <w:rFonts w:ascii="Times New Roman" w:hAnsi="Times New Roman" w:cs="Times New Roman"/>
        </w:rPr>
        <w:t xml:space="preserve"> </w:t>
      </w:r>
      <w:r w:rsidR="002140DF">
        <w:rPr>
          <w:rFonts w:ascii="Times New Roman" w:hAnsi="Times New Roman" w:cs="Times New Roman"/>
        </w:rPr>
        <w:t>Despite the</w:t>
      </w:r>
      <w:r w:rsidR="008030F3">
        <w:rPr>
          <w:rFonts w:ascii="Times New Roman" w:hAnsi="Times New Roman" w:cs="Times New Roman"/>
        </w:rPr>
        <w:t xml:space="preserve"> bounties of using online</w:t>
      </w:r>
      <w:r w:rsidR="003040C4">
        <w:rPr>
          <w:rFonts w:ascii="Times New Roman" w:hAnsi="Times New Roman" w:cs="Times New Roman"/>
        </w:rPr>
        <w:t xml:space="preserve"> resources such as</w:t>
      </w:r>
      <w:r w:rsidR="008030F3">
        <w:rPr>
          <w:rFonts w:ascii="Times New Roman" w:hAnsi="Times New Roman" w:cs="Times New Roman"/>
        </w:rPr>
        <w:t xml:space="preserve"> concordances, there are </w:t>
      </w:r>
      <w:r w:rsidR="007D2468">
        <w:rPr>
          <w:rFonts w:ascii="Times New Roman" w:hAnsi="Times New Roman" w:cs="Times New Roman"/>
        </w:rPr>
        <w:t xml:space="preserve">obvious pitfalls </w:t>
      </w:r>
      <w:r w:rsidR="003040C4">
        <w:rPr>
          <w:rFonts w:ascii="Times New Roman" w:hAnsi="Times New Roman" w:cs="Times New Roman"/>
        </w:rPr>
        <w:t xml:space="preserve">to </w:t>
      </w:r>
      <w:r w:rsidR="0020589B">
        <w:rPr>
          <w:rFonts w:ascii="Times New Roman" w:hAnsi="Times New Roman" w:cs="Times New Roman"/>
        </w:rPr>
        <w:t>using</w:t>
      </w:r>
      <w:r w:rsidR="008E5B99">
        <w:rPr>
          <w:rFonts w:ascii="Times New Roman" w:hAnsi="Times New Roman" w:cs="Times New Roman"/>
        </w:rPr>
        <w:t xml:space="preserve"> </w:t>
      </w:r>
      <w:r w:rsidR="00274C41">
        <w:rPr>
          <w:rFonts w:ascii="Times New Roman" w:hAnsi="Times New Roman" w:cs="Times New Roman"/>
        </w:rPr>
        <w:t xml:space="preserve">such </w:t>
      </w:r>
      <w:r>
        <w:rPr>
          <w:rFonts w:ascii="Times New Roman" w:hAnsi="Times New Roman" w:cs="Times New Roman"/>
        </w:rPr>
        <w:t>technology</w:t>
      </w:r>
      <w:r w:rsidR="00274C41">
        <w:rPr>
          <w:rFonts w:ascii="Times New Roman" w:hAnsi="Times New Roman" w:cs="Times New Roman"/>
        </w:rPr>
        <w:t xml:space="preserve"> for academic study and research</w:t>
      </w:r>
      <w:r w:rsidR="00F913FF">
        <w:rPr>
          <w:rFonts w:ascii="Times New Roman" w:hAnsi="Times New Roman" w:cs="Times New Roman"/>
        </w:rPr>
        <w:t xml:space="preserve">, the most problematic perhaps </w:t>
      </w:r>
      <w:r w:rsidR="00241A7E">
        <w:rPr>
          <w:rFonts w:ascii="Times New Roman" w:hAnsi="Times New Roman" w:cs="Times New Roman"/>
        </w:rPr>
        <w:t>about</w:t>
      </w:r>
      <w:r w:rsidR="00F913FF">
        <w:rPr>
          <w:rFonts w:ascii="Times New Roman" w:hAnsi="Times New Roman" w:cs="Times New Roman"/>
        </w:rPr>
        <w:t xml:space="preserve"> the </w:t>
      </w:r>
      <w:r w:rsidR="00ED012E" w:rsidRPr="00BB7B46">
        <w:rPr>
          <w:rFonts w:ascii="Times New Roman" w:hAnsi="Times New Roman" w:cs="Times New Roman"/>
        </w:rPr>
        <w:t>legitimi</w:t>
      </w:r>
      <w:r w:rsidR="00E85783" w:rsidRPr="00BB7B46">
        <w:rPr>
          <w:rFonts w:ascii="Times New Roman" w:hAnsi="Times New Roman" w:cs="Times New Roman"/>
        </w:rPr>
        <w:t>s</w:t>
      </w:r>
      <w:r w:rsidR="00ED012E" w:rsidRPr="00BB7B46">
        <w:rPr>
          <w:rFonts w:ascii="Times New Roman" w:hAnsi="Times New Roman" w:cs="Times New Roman"/>
        </w:rPr>
        <w:t xml:space="preserve">ation of </w:t>
      </w:r>
      <w:r w:rsidR="00241A7E">
        <w:rPr>
          <w:rFonts w:ascii="Times New Roman" w:hAnsi="Times New Roman" w:cs="Times New Roman"/>
        </w:rPr>
        <w:t>specific</w:t>
      </w:r>
      <w:r w:rsidR="00ED012E" w:rsidRPr="00BB7B46">
        <w:rPr>
          <w:rFonts w:ascii="Times New Roman" w:hAnsi="Times New Roman" w:cs="Times New Roman"/>
        </w:rPr>
        <w:t xml:space="preserve"> online resource</w:t>
      </w:r>
      <w:r w:rsidR="009E2DF3" w:rsidRPr="00BB7B46">
        <w:rPr>
          <w:rFonts w:ascii="Times New Roman" w:hAnsi="Times New Roman" w:cs="Times New Roman"/>
        </w:rPr>
        <w:t>s</w:t>
      </w:r>
      <w:r w:rsidR="00C01451">
        <w:rPr>
          <w:rFonts w:ascii="Times New Roman" w:hAnsi="Times New Roman" w:cs="Times New Roman"/>
        </w:rPr>
        <w:t xml:space="preserve"> </w:t>
      </w:r>
      <w:r w:rsidR="00477366">
        <w:rPr>
          <w:rFonts w:ascii="Times New Roman" w:hAnsi="Times New Roman" w:cs="Times New Roman"/>
        </w:rPr>
        <w:t>and assessing the</w:t>
      </w:r>
      <w:r w:rsidR="00ED012E" w:rsidRPr="00BB7B46">
        <w:rPr>
          <w:rFonts w:ascii="Times New Roman" w:hAnsi="Times New Roman" w:cs="Times New Roman"/>
        </w:rPr>
        <w:t xml:space="preserve"> </w:t>
      </w:r>
      <w:r w:rsidR="00BB7B46" w:rsidRPr="00BB7B46">
        <w:rPr>
          <w:rFonts w:ascii="Times New Roman" w:hAnsi="Times New Roman" w:cs="Times New Roman"/>
        </w:rPr>
        <w:t xml:space="preserve">scope of </w:t>
      </w:r>
      <w:r w:rsidR="00ED012E" w:rsidRPr="00BB7B46">
        <w:rPr>
          <w:rFonts w:ascii="Times New Roman" w:hAnsi="Times New Roman" w:cs="Times New Roman"/>
        </w:rPr>
        <w:t>their utility.</w:t>
      </w:r>
      <w:r w:rsidR="007A7BAB">
        <w:rPr>
          <w:rFonts w:ascii="Times New Roman" w:hAnsi="Times New Roman" w:cs="Times New Roman"/>
        </w:rPr>
        <w:t xml:space="preserve"> There is </w:t>
      </w:r>
      <w:r w:rsidR="00DE5D9E">
        <w:rPr>
          <w:rFonts w:ascii="Times New Roman" w:hAnsi="Times New Roman" w:cs="Times New Roman"/>
        </w:rPr>
        <w:t>often</w:t>
      </w:r>
      <w:r w:rsidR="00C2214B">
        <w:rPr>
          <w:rFonts w:ascii="Times New Roman" w:hAnsi="Times New Roman" w:cs="Times New Roman"/>
        </w:rPr>
        <w:t xml:space="preserve"> either an inundation of results or</w:t>
      </w:r>
      <w:r w:rsidR="00241A7E">
        <w:rPr>
          <w:rFonts w:ascii="Times New Roman" w:hAnsi="Times New Roman" w:cs="Times New Roman"/>
        </w:rPr>
        <w:t>,</w:t>
      </w:r>
      <w:r w:rsidR="009A285F">
        <w:rPr>
          <w:rFonts w:ascii="Times New Roman" w:hAnsi="Times New Roman" w:cs="Times New Roman"/>
        </w:rPr>
        <w:t xml:space="preserve"> in contra, too few results to draw significance from, </w:t>
      </w:r>
      <w:r w:rsidR="0002475C">
        <w:rPr>
          <w:rFonts w:ascii="Times New Roman" w:hAnsi="Times New Roman" w:cs="Times New Roman"/>
        </w:rPr>
        <w:t xml:space="preserve">leading to </w:t>
      </w:r>
      <w:r w:rsidR="00FD1D03">
        <w:rPr>
          <w:rFonts w:ascii="Times New Roman" w:hAnsi="Times New Roman" w:cs="Times New Roman"/>
        </w:rPr>
        <w:t xml:space="preserve">inconclusiveness or additional </w:t>
      </w:r>
      <w:r w:rsidR="00DE5D9E">
        <w:rPr>
          <w:rFonts w:ascii="Times New Roman" w:hAnsi="Times New Roman" w:cs="Times New Roman"/>
        </w:rPr>
        <w:t>problems</w:t>
      </w:r>
      <w:r w:rsidR="00FD1D03">
        <w:rPr>
          <w:rFonts w:ascii="Times New Roman" w:hAnsi="Times New Roman" w:cs="Times New Roman"/>
        </w:rPr>
        <w:t xml:space="preserve"> with a </w:t>
      </w:r>
      <w:r w:rsidR="00DE5D9E">
        <w:rPr>
          <w:rFonts w:ascii="Times New Roman" w:hAnsi="Times New Roman" w:cs="Times New Roman"/>
        </w:rPr>
        <w:t>specific</w:t>
      </w:r>
      <w:r w:rsidR="00FD1D03">
        <w:rPr>
          <w:rFonts w:ascii="Times New Roman" w:hAnsi="Times New Roman" w:cs="Times New Roman"/>
        </w:rPr>
        <w:t xml:space="preserve"> study</w:t>
      </w:r>
      <w:r w:rsidR="009A285F">
        <w:rPr>
          <w:rFonts w:ascii="Times New Roman" w:hAnsi="Times New Roman" w:cs="Times New Roman"/>
        </w:rPr>
        <w:t xml:space="preserve">. </w:t>
      </w:r>
      <w:r w:rsidR="0026528D">
        <w:rPr>
          <w:rFonts w:ascii="Times New Roman" w:hAnsi="Times New Roman" w:cs="Times New Roman"/>
        </w:rPr>
        <w:t xml:space="preserve"> </w:t>
      </w:r>
      <w:r w:rsidR="00DE5D9E">
        <w:rPr>
          <w:rFonts w:ascii="Times New Roman" w:hAnsi="Times New Roman" w:cs="Times New Roman"/>
        </w:rPr>
        <w:t xml:space="preserve">Exemplarily </w:t>
      </w:r>
      <w:r w:rsidR="0026528D">
        <w:rPr>
          <w:rFonts w:ascii="Times New Roman" w:hAnsi="Times New Roman" w:cs="Times New Roman"/>
        </w:rPr>
        <w:t xml:space="preserve">here, </w:t>
      </w:r>
      <w:r w:rsidR="0023225A">
        <w:rPr>
          <w:rFonts w:ascii="Times New Roman" w:hAnsi="Times New Roman" w:cs="Times New Roman"/>
        </w:rPr>
        <w:t>'</w:t>
      </w:r>
      <w:r w:rsidR="0026528D">
        <w:rPr>
          <w:rFonts w:ascii="Times New Roman" w:hAnsi="Times New Roman" w:cs="Times New Roman"/>
        </w:rPr>
        <w:t>spirit</w:t>
      </w:r>
      <w:r w:rsidR="0023225A">
        <w:rPr>
          <w:rFonts w:ascii="Times New Roman" w:hAnsi="Times New Roman" w:cs="Times New Roman"/>
        </w:rPr>
        <w:t>'</w:t>
      </w:r>
      <w:r w:rsidR="00705C14">
        <w:rPr>
          <w:rFonts w:ascii="Times New Roman" w:hAnsi="Times New Roman" w:cs="Times New Roman"/>
        </w:rPr>
        <w:t xml:space="preserve">, </w:t>
      </w:r>
      <w:r w:rsidR="0028486A">
        <w:rPr>
          <w:rFonts w:ascii="Times New Roman" w:hAnsi="Times New Roman" w:cs="Times New Roman"/>
        </w:rPr>
        <w:t>using the online NRSV(A) Oremus Bible Browser</w:t>
      </w:r>
      <w:r w:rsidR="00705C14">
        <w:rPr>
          <w:rFonts w:ascii="Times New Roman" w:hAnsi="Times New Roman" w:cs="Times New Roman"/>
        </w:rPr>
        <w:t>, indiscriminately providing</w:t>
      </w:r>
      <w:r w:rsidR="0026528D">
        <w:rPr>
          <w:rFonts w:ascii="Times New Roman" w:hAnsi="Times New Roman" w:cs="Times New Roman"/>
        </w:rPr>
        <w:t xml:space="preserve"> </w:t>
      </w:r>
      <w:r w:rsidR="0083403E">
        <w:rPr>
          <w:rFonts w:ascii="Times New Roman" w:hAnsi="Times New Roman" w:cs="Times New Roman"/>
        </w:rPr>
        <w:t xml:space="preserve">393 results </w:t>
      </w:r>
      <w:r w:rsidR="007E64D6">
        <w:rPr>
          <w:rFonts w:ascii="Times New Roman" w:hAnsi="Times New Roman" w:cs="Times New Roman"/>
        </w:rPr>
        <w:t xml:space="preserve">without </w:t>
      </w:r>
      <w:r w:rsidR="00C4301F">
        <w:rPr>
          <w:rFonts w:ascii="Times New Roman" w:hAnsi="Times New Roman" w:cs="Times New Roman"/>
        </w:rPr>
        <w:t xml:space="preserve">accounting </w:t>
      </w:r>
      <w:r w:rsidR="003E2157">
        <w:rPr>
          <w:rFonts w:ascii="Times New Roman" w:hAnsi="Times New Roman" w:cs="Times New Roman"/>
        </w:rPr>
        <w:t>context</w:t>
      </w:r>
      <w:r w:rsidR="00727FBB">
        <w:rPr>
          <w:rFonts w:ascii="Times New Roman" w:hAnsi="Times New Roman" w:cs="Times New Roman"/>
        </w:rPr>
        <w:t>uality</w:t>
      </w:r>
      <w:r w:rsidR="000360ED">
        <w:rPr>
          <w:rFonts w:ascii="Times New Roman" w:hAnsi="Times New Roman" w:cs="Times New Roman"/>
        </w:rPr>
        <w:t>,</w:t>
      </w:r>
      <w:r w:rsidR="0083403E">
        <w:rPr>
          <w:rFonts w:ascii="Times New Roman" w:hAnsi="Times New Roman" w:cs="Times New Roman"/>
        </w:rPr>
        <w:t xml:space="preserve"> </w:t>
      </w:r>
      <w:r w:rsidR="00FE76BE">
        <w:rPr>
          <w:rFonts w:ascii="Times New Roman" w:hAnsi="Times New Roman" w:cs="Times New Roman"/>
        </w:rPr>
        <w:t>considering</w:t>
      </w:r>
      <w:r w:rsidR="000360ED">
        <w:rPr>
          <w:rFonts w:ascii="Times New Roman" w:hAnsi="Times New Roman" w:cs="Times New Roman"/>
        </w:rPr>
        <w:t xml:space="preserve"> the</w:t>
      </w:r>
      <w:r w:rsidR="00955050">
        <w:rPr>
          <w:rFonts w:ascii="Times New Roman" w:hAnsi="Times New Roman" w:cs="Times New Roman"/>
        </w:rPr>
        <w:t xml:space="preserve"> two instances of</w:t>
      </w:r>
      <w:r w:rsidR="008B02E9">
        <w:rPr>
          <w:rFonts w:ascii="Times New Roman" w:hAnsi="Times New Roman" w:cs="Times New Roman"/>
        </w:rPr>
        <w:t xml:space="preserve"> </w:t>
      </w:r>
      <w:r w:rsidR="0023225A">
        <w:rPr>
          <w:rFonts w:ascii="Times New Roman" w:hAnsi="Times New Roman" w:cs="Times New Roman"/>
        </w:rPr>
        <w:t>'</w:t>
      </w:r>
      <w:r w:rsidR="00BC224E" w:rsidRPr="00C8755E">
        <w:rPr>
          <w:rFonts w:ascii="Times New Roman" w:hAnsi="Times New Roman" w:cs="Times New Roman"/>
        </w:rPr>
        <w:t>Ḥesed</w:t>
      </w:r>
      <w:r w:rsidR="0023225A">
        <w:rPr>
          <w:rFonts w:ascii="Times New Roman" w:hAnsi="Times New Roman" w:cs="Times New Roman"/>
        </w:rPr>
        <w:t>'</w:t>
      </w:r>
      <w:r w:rsidR="00C8755E">
        <w:rPr>
          <w:rFonts w:ascii="Times New Roman" w:hAnsi="Times New Roman" w:cs="Times New Roman"/>
        </w:rPr>
        <w:t xml:space="preserve"> (</w:t>
      </w:r>
      <w:r w:rsidR="008F7C82">
        <w:rPr>
          <w:rFonts w:ascii="Times New Roman" w:hAnsi="Times New Roman" w:cs="Times New Roman"/>
        </w:rPr>
        <w:t xml:space="preserve">taken to be </w:t>
      </w:r>
      <w:r w:rsidR="008F7C82" w:rsidRPr="008F7C82">
        <w:rPr>
          <w:rFonts w:ascii="Times New Roman" w:hAnsi="Times New Roman" w:cs="Times New Roman"/>
        </w:rPr>
        <w:t>YHWH</w:t>
      </w:r>
      <w:r w:rsidR="0023225A">
        <w:rPr>
          <w:rFonts w:ascii="Times New Roman" w:hAnsi="Times New Roman" w:cs="Times New Roman"/>
        </w:rPr>
        <w:t>'</w:t>
      </w:r>
      <w:r w:rsidR="008F7C82" w:rsidRPr="008F7C82">
        <w:rPr>
          <w:rFonts w:ascii="Times New Roman" w:hAnsi="Times New Roman" w:cs="Times New Roman"/>
        </w:rPr>
        <w:t xml:space="preserve">s </w:t>
      </w:r>
      <w:r w:rsidR="008F7C82">
        <w:rPr>
          <w:rFonts w:ascii="Times New Roman" w:hAnsi="Times New Roman" w:cs="Times New Roman"/>
          <w:i/>
          <w:iCs/>
        </w:rPr>
        <w:t>Loving Kindness)</w:t>
      </w:r>
      <w:r w:rsidR="00F419F2">
        <w:rPr>
          <w:rFonts w:ascii="Times New Roman" w:hAnsi="Times New Roman" w:cs="Times New Roman"/>
          <w:i/>
          <w:iCs/>
        </w:rPr>
        <w:t xml:space="preserve"> </w:t>
      </w:r>
      <w:r w:rsidR="00F419F2">
        <w:rPr>
          <w:rFonts w:ascii="Times New Roman" w:hAnsi="Times New Roman" w:cs="Times New Roman"/>
        </w:rPr>
        <w:t>using</w:t>
      </w:r>
      <w:r w:rsidR="00166A7F">
        <w:rPr>
          <w:rFonts w:ascii="Times New Roman" w:hAnsi="Times New Roman" w:cs="Times New Roman"/>
        </w:rPr>
        <w:t xml:space="preserve"> Bible Study Tools</w:t>
      </w:r>
      <w:r w:rsidR="0023225A">
        <w:rPr>
          <w:rFonts w:ascii="Times New Roman" w:hAnsi="Times New Roman" w:cs="Times New Roman"/>
        </w:rPr>
        <w:t>'</w:t>
      </w:r>
      <w:r w:rsidR="005B4037">
        <w:rPr>
          <w:rFonts w:ascii="Times New Roman" w:hAnsi="Times New Roman" w:cs="Times New Roman"/>
        </w:rPr>
        <w:t xml:space="preserve"> online concordance</w:t>
      </w:r>
      <w:r w:rsidR="00E825EC">
        <w:rPr>
          <w:rFonts w:ascii="Times New Roman" w:hAnsi="Times New Roman" w:cs="Times New Roman"/>
        </w:rPr>
        <w:t>.</w:t>
      </w:r>
      <w:r w:rsidR="00E825EC">
        <w:rPr>
          <w:rStyle w:val="FootnoteReference"/>
          <w:rFonts w:ascii="Times New Roman" w:hAnsi="Times New Roman" w:cs="Times New Roman"/>
        </w:rPr>
        <w:footnoteReference w:id="4"/>
      </w:r>
      <w:r w:rsidR="00E825EC">
        <w:rPr>
          <w:rFonts w:ascii="Times New Roman" w:hAnsi="Times New Roman" w:cs="Times New Roman"/>
        </w:rPr>
        <w:t xml:space="preserve"> </w:t>
      </w:r>
      <w:r w:rsidR="00702AAF">
        <w:rPr>
          <w:rFonts w:ascii="Times New Roman" w:hAnsi="Times New Roman" w:cs="Times New Roman"/>
        </w:rPr>
        <w:t xml:space="preserve"> </w:t>
      </w:r>
      <w:r w:rsidR="00B875ED">
        <w:rPr>
          <w:rFonts w:ascii="Times New Roman" w:hAnsi="Times New Roman" w:cs="Times New Roman"/>
        </w:rPr>
        <w:t xml:space="preserve">This latter example </w:t>
      </w:r>
      <w:r w:rsidR="00CE5FD9">
        <w:rPr>
          <w:rFonts w:ascii="Times New Roman" w:hAnsi="Times New Roman" w:cs="Times New Roman"/>
        </w:rPr>
        <w:t>on</w:t>
      </w:r>
      <w:r w:rsidR="00B875ED">
        <w:rPr>
          <w:rFonts w:ascii="Times New Roman" w:hAnsi="Times New Roman" w:cs="Times New Roman"/>
        </w:rPr>
        <w:t xml:space="preserve"> </w:t>
      </w:r>
      <w:r w:rsidR="003B2554">
        <w:rPr>
          <w:rFonts w:ascii="Times New Roman" w:hAnsi="Times New Roman" w:cs="Times New Roman"/>
        </w:rPr>
        <w:t xml:space="preserve">proper names of </w:t>
      </w:r>
      <w:r w:rsidR="00923196">
        <w:rPr>
          <w:rFonts w:ascii="Times New Roman" w:hAnsi="Times New Roman" w:cs="Times New Roman"/>
        </w:rPr>
        <w:t xml:space="preserve">biblical </w:t>
      </w:r>
      <w:r w:rsidR="00705C14">
        <w:rPr>
          <w:rFonts w:ascii="Times New Roman" w:hAnsi="Times New Roman" w:cs="Times New Roman"/>
        </w:rPr>
        <w:t>personages,</w:t>
      </w:r>
      <w:r w:rsidR="005559B5">
        <w:rPr>
          <w:rFonts w:ascii="Times New Roman" w:hAnsi="Times New Roman" w:cs="Times New Roman"/>
        </w:rPr>
        <w:t xml:space="preserve"> as opposed to the overarching theme of YHWH</w:t>
      </w:r>
      <w:r w:rsidR="0023225A">
        <w:rPr>
          <w:rFonts w:ascii="Times New Roman" w:hAnsi="Times New Roman" w:cs="Times New Roman"/>
        </w:rPr>
        <w:t>'</w:t>
      </w:r>
      <w:r w:rsidR="005559B5">
        <w:rPr>
          <w:rFonts w:ascii="Times New Roman" w:hAnsi="Times New Roman" w:cs="Times New Roman"/>
        </w:rPr>
        <w:t xml:space="preserve">s </w:t>
      </w:r>
      <w:r w:rsidR="00902654">
        <w:rPr>
          <w:rFonts w:ascii="Times New Roman" w:hAnsi="Times New Roman" w:cs="Times New Roman"/>
        </w:rPr>
        <w:t xml:space="preserve">divine </w:t>
      </w:r>
      <w:r w:rsidR="003075E1">
        <w:rPr>
          <w:rFonts w:ascii="Times New Roman" w:hAnsi="Times New Roman" w:cs="Times New Roman"/>
          <w:i/>
          <w:iCs/>
        </w:rPr>
        <w:t>love,</w:t>
      </w:r>
      <w:r w:rsidR="00705C14">
        <w:rPr>
          <w:rFonts w:ascii="Times New Roman" w:hAnsi="Times New Roman" w:cs="Times New Roman"/>
        </w:rPr>
        <w:t xml:space="preserve"> </w:t>
      </w:r>
      <w:r w:rsidR="00CE5FD9">
        <w:rPr>
          <w:rFonts w:ascii="Times New Roman" w:hAnsi="Times New Roman" w:cs="Times New Roman"/>
        </w:rPr>
        <w:t>is a structural pillar that underpins Judaeo- Christian scripture, thought,</w:t>
      </w:r>
      <w:r w:rsidR="00907D38">
        <w:rPr>
          <w:rFonts w:ascii="Times New Roman" w:hAnsi="Times New Roman" w:cs="Times New Roman"/>
        </w:rPr>
        <w:t xml:space="preserve"> and </w:t>
      </w:r>
      <w:r w:rsidR="009D59C7">
        <w:rPr>
          <w:rFonts w:ascii="Times New Roman" w:hAnsi="Times New Roman" w:cs="Times New Roman"/>
        </w:rPr>
        <w:t>theology</w:t>
      </w:r>
      <w:r w:rsidR="00214D66">
        <w:rPr>
          <w:rFonts w:ascii="Times New Roman" w:hAnsi="Times New Roman" w:cs="Times New Roman"/>
        </w:rPr>
        <w:t>.</w:t>
      </w:r>
      <w:r w:rsidR="008B5737">
        <w:rPr>
          <w:rStyle w:val="FootnoteReference"/>
          <w:rFonts w:ascii="Times New Roman" w:hAnsi="Times New Roman" w:cs="Times New Roman"/>
        </w:rPr>
        <w:footnoteReference w:id="5"/>
      </w:r>
      <w:r w:rsidR="00E91FA6">
        <w:rPr>
          <w:rFonts w:ascii="SBL Hebrew" w:hAnsi="SBL Hebrew" w:cs="SBL Hebrew"/>
        </w:rPr>
        <w:t xml:space="preserve"> </w:t>
      </w:r>
    </w:p>
    <w:p w14:paraId="4A7D98D7" w14:textId="15ADF686" w:rsidR="00B748D7" w:rsidRPr="0028004F" w:rsidRDefault="00B748D7" w:rsidP="00C20047">
      <w:pPr>
        <w:ind w:left="703" w:right="703" w:firstLine="0"/>
        <w:jc w:val="both"/>
        <w:rPr>
          <w:rFonts w:cstheme="minorHAnsi"/>
        </w:rPr>
      </w:pPr>
      <w:r w:rsidRPr="0028004F">
        <w:rPr>
          <w:rFonts w:cstheme="minorHAnsi"/>
        </w:rPr>
        <w:t xml:space="preserve">Using </w:t>
      </w:r>
      <w:proofErr w:type="gramStart"/>
      <w:r w:rsidRPr="0028004F">
        <w:rPr>
          <w:rFonts w:cstheme="minorHAnsi"/>
        </w:rPr>
        <w:t>Strong’s</w:t>
      </w:r>
      <w:proofErr w:type="gramEnd"/>
      <w:r w:rsidRPr="0028004F">
        <w:rPr>
          <w:rFonts w:cstheme="minorHAnsi"/>
        </w:rPr>
        <w:t xml:space="preserve"> it </w:t>
      </w:r>
      <w:r w:rsidR="00C926E2" w:rsidRPr="0028004F">
        <w:rPr>
          <w:rFonts w:cstheme="minorHAnsi"/>
        </w:rPr>
        <w:t>was noted that ‘Rua</w:t>
      </w:r>
      <w:r w:rsidR="00B76F21" w:rsidRPr="0028004F">
        <w:rPr>
          <w:rFonts w:cstheme="minorHAnsi"/>
        </w:rPr>
        <w:t>c</w:t>
      </w:r>
      <w:r w:rsidR="00C926E2" w:rsidRPr="0028004F">
        <w:rPr>
          <w:rFonts w:cstheme="minorHAnsi"/>
        </w:rPr>
        <w:t>h’ (Heb. ‘Spirit’)</w:t>
      </w:r>
      <w:r w:rsidR="00A90EA4" w:rsidRPr="0028004F">
        <w:rPr>
          <w:rFonts w:cstheme="minorHAnsi"/>
        </w:rPr>
        <w:t xml:space="preserve"> could be catalogued with </w:t>
      </w:r>
      <w:r w:rsidR="00F968ED" w:rsidRPr="0028004F">
        <w:rPr>
          <w:rFonts w:cstheme="minorHAnsi"/>
        </w:rPr>
        <w:t xml:space="preserve">any of </w:t>
      </w:r>
      <w:r w:rsidR="00B76F21" w:rsidRPr="0028004F">
        <w:rPr>
          <w:rFonts w:cstheme="minorHAnsi"/>
        </w:rPr>
        <w:t>three</w:t>
      </w:r>
      <w:r w:rsidR="00F968ED" w:rsidRPr="0028004F">
        <w:rPr>
          <w:rFonts w:cstheme="minorHAnsi"/>
        </w:rPr>
        <w:t xml:space="preserve"> indexing </w:t>
      </w:r>
      <w:r w:rsidR="00B76F21" w:rsidRPr="0028004F">
        <w:rPr>
          <w:rFonts w:cstheme="minorHAnsi"/>
        </w:rPr>
        <w:t>numbers</w:t>
      </w:r>
      <w:r w:rsidR="00F968ED" w:rsidRPr="0028004F">
        <w:rPr>
          <w:rFonts w:cstheme="minorHAnsi"/>
        </w:rPr>
        <w:t xml:space="preserve"> (</w:t>
      </w:r>
      <w:r w:rsidR="00984DA7" w:rsidRPr="0028004F">
        <w:rPr>
          <w:rFonts w:cstheme="minorHAnsi"/>
        </w:rPr>
        <w:t>#7306-#730</w:t>
      </w:r>
      <w:r w:rsidR="00923D3C">
        <w:rPr>
          <w:rFonts w:cstheme="minorHAnsi"/>
        </w:rPr>
        <w:t>8</w:t>
      </w:r>
      <w:r w:rsidR="006A4CC7" w:rsidRPr="0028004F">
        <w:rPr>
          <w:rFonts w:cstheme="minorHAnsi"/>
        </w:rPr>
        <w:t>) all having</w:t>
      </w:r>
      <w:r w:rsidR="0028004F">
        <w:rPr>
          <w:rFonts w:cstheme="minorHAnsi"/>
        </w:rPr>
        <w:t xml:space="preserve"> similar </w:t>
      </w:r>
      <w:r w:rsidR="00EA3925">
        <w:rPr>
          <w:rFonts w:cstheme="minorHAnsi"/>
        </w:rPr>
        <w:t xml:space="preserve">Hebrew graphemes and identical </w:t>
      </w:r>
      <w:r w:rsidR="00155C26">
        <w:rPr>
          <w:rFonts w:cstheme="minorHAnsi"/>
        </w:rPr>
        <w:t xml:space="preserve">phonic </w:t>
      </w:r>
      <w:r w:rsidR="00923D3C">
        <w:rPr>
          <w:rFonts w:cstheme="minorHAnsi"/>
        </w:rPr>
        <w:t>articulation,</w:t>
      </w:r>
      <w:r w:rsidR="00B76F21" w:rsidRPr="0028004F">
        <w:rPr>
          <w:rFonts w:cstheme="minorHAnsi"/>
        </w:rPr>
        <w:t xml:space="preserve"> </w:t>
      </w:r>
      <w:r w:rsidR="008E5AB4">
        <w:rPr>
          <w:rFonts w:cstheme="minorHAnsi"/>
        </w:rPr>
        <w:t>‘</w:t>
      </w:r>
      <w:proofErr w:type="spellStart"/>
      <w:r w:rsidR="00155C26">
        <w:rPr>
          <w:rFonts w:cstheme="minorHAnsi"/>
        </w:rPr>
        <w:t>roo’akh</w:t>
      </w:r>
      <w:proofErr w:type="spellEnd"/>
      <w:r w:rsidR="008E5AB4">
        <w:rPr>
          <w:rFonts w:cstheme="minorHAnsi"/>
        </w:rPr>
        <w:t xml:space="preserve">.’ It is not until one looks deeper into the information provided to understand that </w:t>
      </w:r>
      <w:r w:rsidR="00B35672">
        <w:rPr>
          <w:rFonts w:cstheme="minorHAnsi"/>
        </w:rPr>
        <w:t xml:space="preserve">#7306 takes a verbal form. In this instance, it shows that using a concordance as a tool, without additional instruction can be </w:t>
      </w:r>
      <w:r w:rsidR="000D4A93">
        <w:rPr>
          <w:rFonts w:cstheme="minorHAnsi"/>
        </w:rPr>
        <w:t>of not much use.</w:t>
      </w:r>
      <w:r w:rsidR="00115BD0">
        <w:rPr>
          <w:rFonts w:cstheme="minorHAnsi"/>
        </w:rPr>
        <w:t xml:space="preserve"> </w:t>
      </w:r>
      <w:r w:rsidR="0016170B">
        <w:rPr>
          <w:rFonts w:cstheme="minorHAnsi"/>
        </w:rPr>
        <w:t>Deciphering</w:t>
      </w:r>
      <w:r w:rsidR="00FB0EAF">
        <w:rPr>
          <w:rFonts w:cstheme="minorHAnsi"/>
        </w:rPr>
        <w:t xml:space="preserve"> differentiation</w:t>
      </w:r>
      <w:r w:rsidR="0016170B">
        <w:rPr>
          <w:rFonts w:cstheme="minorHAnsi"/>
        </w:rPr>
        <w:t xml:space="preserve"> </w:t>
      </w:r>
      <w:r w:rsidR="00115BD0">
        <w:rPr>
          <w:rFonts w:cstheme="minorHAnsi"/>
        </w:rPr>
        <w:t>becomes less difficult when consulting an</w:t>
      </w:r>
      <w:r w:rsidR="00FB0EAF">
        <w:rPr>
          <w:rFonts w:cstheme="minorHAnsi"/>
        </w:rPr>
        <w:t xml:space="preserve"> online</w:t>
      </w:r>
      <w:r w:rsidR="00115BD0">
        <w:rPr>
          <w:rFonts w:cstheme="minorHAnsi"/>
        </w:rPr>
        <w:t xml:space="preserve"> interlinear</w:t>
      </w:r>
      <w:r w:rsidR="00FB0EAF">
        <w:rPr>
          <w:rFonts w:cstheme="minorHAnsi"/>
        </w:rPr>
        <w:t xml:space="preserve"> edition</w:t>
      </w:r>
      <w:r w:rsidR="00115BD0">
        <w:rPr>
          <w:rFonts w:cstheme="minorHAnsi"/>
        </w:rPr>
        <w:t xml:space="preserve"> </w:t>
      </w:r>
      <w:r w:rsidR="0016170B">
        <w:rPr>
          <w:rFonts w:cstheme="minorHAnsi"/>
        </w:rPr>
        <w:t>alongside the concordance</w:t>
      </w:r>
      <w:r w:rsidR="0000264F">
        <w:rPr>
          <w:rFonts w:cstheme="minorHAnsi"/>
        </w:rPr>
        <w:t xml:space="preserve">, as not only are examples of the term given, but they can then also be seen in their native contexts. </w:t>
      </w:r>
      <w:r w:rsidR="00353C43">
        <w:rPr>
          <w:rStyle w:val="FootnoteReference"/>
          <w:rFonts w:cstheme="minorHAnsi"/>
        </w:rPr>
        <w:footnoteReference w:id="6"/>
      </w:r>
    </w:p>
    <w:p w14:paraId="4690027E" w14:textId="77777777" w:rsidR="00BD0921" w:rsidRPr="00923196" w:rsidRDefault="00BD0921" w:rsidP="00C20047">
      <w:pPr>
        <w:ind w:left="703" w:right="703" w:firstLine="0"/>
        <w:jc w:val="both"/>
        <w:rPr>
          <w:rFonts w:ascii="Times New Roman" w:hAnsi="Times New Roman" w:cs="Times New Roman"/>
        </w:rPr>
      </w:pPr>
    </w:p>
    <w:p w14:paraId="71345E1E" w14:textId="75B94BBA" w:rsidR="00FD019B" w:rsidRDefault="00B16F7F" w:rsidP="00C20047">
      <w:pPr>
        <w:spacing w:line="240" w:lineRule="auto"/>
        <w:ind w:left="703" w:right="703" w:firstLine="0"/>
        <w:jc w:val="center"/>
        <w:rPr>
          <w:rFonts w:ascii="Arial" w:hAnsi="Arial" w:cs="Arial"/>
        </w:rPr>
      </w:pPr>
      <w:r>
        <w:rPr>
          <w:rFonts w:ascii="Arial" w:hAnsi="Arial" w:cs="Arial"/>
        </w:rPr>
        <w:t>1</w:t>
      </w:r>
      <w:r>
        <w:rPr>
          <w:rFonts w:ascii="Arial" w:hAnsi="Arial" w:cs="Arial"/>
        </w:rPr>
        <w:t>B</w:t>
      </w:r>
      <w:r>
        <w:rPr>
          <w:rFonts w:ascii="Arial" w:hAnsi="Arial" w:cs="Arial"/>
        </w:rPr>
        <w:t xml:space="preserve">. </w:t>
      </w:r>
      <w:r w:rsidRPr="00846DB8">
        <w:rPr>
          <w:rFonts w:ascii="Arial" w:hAnsi="Arial" w:cs="Arial"/>
        </w:rPr>
        <w:t xml:space="preserve">The utility of </w:t>
      </w:r>
      <w:r w:rsidR="006C645A">
        <w:rPr>
          <w:rFonts w:ascii="Arial" w:hAnsi="Arial" w:cs="Arial"/>
        </w:rPr>
        <w:t xml:space="preserve">other </w:t>
      </w:r>
      <w:r w:rsidRPr="00846DB8">
        <w:rPr>
          <w:rFonts w:ascii="Arial" w:hAnsi="Arial" w:cs="Arial"/>
        </w:rPr>
        <w:t>online</w:t>
      </w:r>
      <w:r w:rsidR="00CB44D1">
        <w:rPr>
          <w:rFonts w:ascii="Arial" w:hAnsi="Arial" w:cs="Arial"/>
        </w:rPr>
        <w:t xml:space="preserve"> </w:t>
      </w:r>
      <w:r w:rsidR="00E140DE">
        <w:rPr>
          <w:rFonts w:ascii="Arial" w:hAnsi="Arial" w:cs="Arial"/>
        </w:rPr>
        <w:t xml:space="preserve">resources </w:t>
      </w:r>
    </w:p>
    <w:p w14:paraId="0DE5DBC4" w14:textId="0D1DDC20" w:rsidR="00B16F7F" w:rsidRPr="00FD019B" w:rsidRDefault="008350A5" w:rsidP="00C20047">
      <w:pPr>
        <w:spacing w:line="240" w:lineRule="auto"/>
        <w:ind w:left="703" w:right="703" w:firstLine="0"/>
        <w:jc w:val="center"/>
        <w:rPr>
          <w:rFonts w:ascii="Arial" w:hAnsi="Arial" w:cs="Arial"/>
          <w:vertAlign w:val="subscript"/>
        </w:rPr>
      </w:pPr>
      <w:r w:rsidRPr="00FD019B">
        <w:rPr>
          <w:rFonts w:ascii="Arial" w:hAnsi="Arial" w:cs="Arial"/>
          <w:vertAlign w:val="subscript"/>
        </w:rPr>
        <w:t>(</w:t>
      </w:r>
      <w:r w:rsidR="00FD019B" w:rsidRPr="00FD019B">
        <w:rPr>
          <w:rFonts w:ascii="Arial" w:hAnsi="Arial" w:cs="Arial"/>
          <w:vertAlign w:val="subscript"/>
        </w:rPr>
        <w:t>Dictionary</w:t>
      </w:r>
      <w:r w:rsidR="006C645A" w:rsidRPr="00FD019B">
        <w:rPr>
          <w:rFonts w:ascii="Arial" w:hAnsi="Arial" w:cs="Arial"/>
          <w:vertAlign w:val="subscript"/>
        </w:rPr>
        <w:t xml:space="preserve"> and encyclopaedia</w:t>
      </w:r>
      <w:r w:rsidRPr="00FD019B">
        <w:rPr>
          <w:rFonts w:ascii="Arial" w:hAnsi="Arial" w:cs="Arial"/>
          <w:vertAlign w:val="subscript"/>
        </w:rPr>
        <w:t xml:space="preserve"> entries</w:t>
      </w:r>
      <w:r w:rsidR="00FD019B" w:rsidRPr="00FD019B">
        <w:rPr>
          <w:rFonts w:ascii="Arial" w:hAnsi="Arial" w:cs="Arial"/>
          <w:vertAlign w:val="subscript"/>
        </w:rPr>
        <w:t>)</w:t>
      </w:r>
      <w:r w:rsidR="00B16F7F" w:rsidRPr="00FD019B">
        <w:rPr>
          <w:rFonts w:ascii="Arial" w:hAnsi="Arial" w:cs="Arial"/>
          <w:vertAlign w:val="subscript"/>
        </w:rPr>
        <w:t xml:space="preserve"> </w:t>
      </w:r>
    </w:p>
    <w:p w14:paraId="78715E16" w14:textId="77777777" w:rsidR="005B3A54" w:rsidRPr="00FD019B" w:rsidRDefault="005B3A54" w:rsidP="00C20047">
      <w:pPr>
        <w:ind w:left="703" w:right="703" w:firstLine="0"/>
        <w:rPr>
          <w:rFonts w:ascii="SBL Hebrew" w:hAnsi="SBL Hebrew" w:cs="SBL Hebrew"/>
          <w:vertAlign w:val="subscript"/>
        </w:rPr>
      </w:pPr>
    </w:p>
    <w:p w14:paraId="72FDFB5B" w14:textId="3F820218" w:rsidR="00B844DE" w:rsidRDefault="00722247" w:rsidP="009434C4">
      <w:pPr>
        <w:ind w:left="703" w:right="703" w:firstLine="0"/>
        <w:jc w:val="both"/>
        <w:rPr>
          <w:rFonts w:ascii="Times New Roman" w:hAnsi="Times New Roman" w:cs="Times New Roman"/>
        </w:rPr>
      </w:pPr>
      <w:r w:rsidRPr="005A77B8">
        <w:rPr>
          <w:rFonts w:ascii="Times New Roman" w:hAnsi="Times New Roman" w:cs="Times New Roman"/>
        </w:rPr>
        <w:t xml:space="preserve">Online theological dictionaries and encyclopaedias </w:t>
      </w:r>
      <w:r w:rsidR="00F71A08">
        <w:rPr>
          <w:rFonts w:ascii="Times New Roman" w:hAnsi="Times New Roman" w:cs="Times New Roman"/>
        </w:rPr>
        <w:t xml:space="preserve">can </w:t>
      </w:r>
      <w:r w:rsidR="005846F7">
        <w:rPr>
          <w:rFonts w:ascii="Times New Roman" w:hAnsi="Times New Roman" w:cs="Times New Roman"/>
        </w:rPr>
        <w:t>vary</w:t>
      </w:r>
      <w:r w:rsidRPr="005A77B8">
        <w:rPr>
          <w:rFonts w:ascii="Times New Roman" w:hAnsi="Times New Roman" w:cs="Times New Roman"/>
        </w:rPr>
        <w:t xml:space="preserve"> substantially in </w:t>
      </w:r>
      <w:r w:rsidR="005846F7">
        <w:rPr>
          <w:rFonts w:ascii="Times New Roman" w:hAnsi="Times New Roman" w:cs="Times New Roman"/>
        </w:rPr>
        <w:t>useful information</w:t>
      </w:r>
      <w:r w:rsidRPr="005A77B8">
        <w:rPr>
          <w:rFonts w:ascii="Times New Roman" w:hAnsi="Times New Roman" w:cs="Times New Roman"/>
        </w:rPr>
        <w:t xml:space="preserve"> for </w:t>
      </w:r>
      <w:r w:rsidR="005846F7">
        <w:rPr>
          <w:rFonts w:ascii="Times New Roman" w:hAnsi="Times New Roman" w:cs="Times New Roman"/>
        </w:rPr>
        <w:t>a</w:t>
      </w:r>
      <w:r w:rsidR="005205F0">
        <w:rPr>
          <w:rFonts w:ascii="Times New Roman" w:hAnsi="Times New Roman" w:cs="Times New Roman"/>
        </w:rPr>
        <w:t xml:space="preserve"> search inquiry</w:t>
      </w:r>
      <w:r w:rsidRPr="005A77B8">
        <w:rPr>
          <w:rFonts w:ascii="Times New Roman" w:hAnsi="Times New Roman" w:cs="Times New Roman"/>
        </w:rPr>
        <w:t xml:space="preserve">. </w:t>
      </w:r>
      <w:r w:rsidR="00B00EEB">
        <w:rPr>
          <w:rFonts w:ascii="Times New Roman" w:hAnsi="Times New Roman" w:cs="Times New Roman"/>
        </w:rPr>
        <w:t>The</w:t>
      </w:r>
      <w:r w:rsidR="00220E51">
        <w:rPr>
          <w:rFonts w:ascii="Times New Roman" w:hAnsi="Times New Roman" w:cs="Times New Roman"/>
        </w:rPr>
        <w:t xml:space="preserve"> </w:t>
      </w:r>
      <w:r w:rsidR="00334925">
        <w:rPr>
          <w:rFonts w:ascii="Times New Roman" w:hAnsi="Times New Roman" w:cs="Times New Roman"/>
        </w:rPr>
        <w:t>is</w:t>
      </w:r>
      <w:r w:rsidRPr="009141B8">
        <w:rPr>
          <w:rFonts w:ascii="Times New Roman" w:hAnsi="Times New Roman" w:cs="Times New Roman"/>
        </w:rPr>
        <w:t xml:space="preserve"> </w:t>
      </w:r>
      <w:r w:rsidR="005205F0">
        <w:rPr>
          <w:rFonts w:ascii="Times New Roman" w:hAnsi="Times New Roman" w:cs="Times New Roman"/>
        </w:rPr>
        <w:t>potentially</w:t>
      </w:r>
      <w:r w:rsidR="00D94E5F">
        <w:rPr>
          <w:rFonts w:ascii="Times New Roman" w:hAnsi="Times New Roman" w:cs="Times New Roman"/>
        </w:rPr>
        <w:t xml:space="preserve"> </w:t>
      </w:r>
      <w:r w:rsidRPr="009141B8">
        <w:rPr>
          <w:rFonts w:ascii="Times New Roman" w:hAnsi="Times New Roman" w:cs="Times New Roman"/>
        </w:rPr>
        <w:t xml:space="preserve">problematic </w:t>
      </w:r>
      <w:r w:rsidR="007D32EE">
        <w:rPr>
          <w:rFonts w:ascii="Times New Roman" w:hAnsi="Times New Roman" w:cs="Times New Roman"/>
        </w:rPr>
        <w:t xml:space="preserve">for </w:t>
      </w:r>
      <w:r w:rsidRPr="009141B8">
        <w:rPr>
          <w:rFonts w:ascii="Times New Roman" w:hAnsi="Times New Roman" w:cs="Times New Roman"/>
        </w:rPr>
        <w:t>academic research</w:t>
      </w:r>
      <w:r w:rsidR="00D24FC8">
        <w:rPr>
          <w:rFonts w:ascii="Times New Roman" w:hAnsi="Times New Roman" w:cs="Times New Roman"/>
        </w:rPr>
        <w:t>, whether in Biblical Studies or an</w:t>
      </w:r>
      <w:r w:rsidR="00CA1FC8">
        <w:rPr>
          <w:rFonts w:ascii="Times New Roman" w:hAnsi="Times New Roman" w:cs="Times New Roman"/>
        </w:rPr>
        <w:t>y</w:t>
      </w:r>
      <w:r w:rsidRPr="009141B8">
        <w:rPr>
          <w:rFonts w:ascii="Times New Roman" w:hAnsi="Times New Roman" w:cs="Times New Roman"/>
        </w:rPr>
        <w:t xml:space="preserve"> such associate discipline </w:t>
      </w:r>
      <w:r w:rsidR="009141B8">
        <w:rPr>
          <w:rFonts w:ascii="Times New Roman" w:hAnsi="Times New Roman" w:cs="Times New Roman"/>
        </w:rPr>
        <w:t xml:space="preserve">as </w:t>
      </w:r>
      <w:r w:rsidRPr="009141B8">
        <w:rPr>
          <w:rFonts w:ascii="Times New Roman" w:hAnsi="Times New Roman" w:cs="Times New Roman"/>
        </w:rPr>
        <w:t xml:space="preserve">confusion arises- why with </w:t>
      </w:r>
      <w:r w:rsidR="00D94E5F">
        <w:rPr>
          <w:rFonts w:ascii="Times New Roman" w:hAnsi="Times New Roman" w:cs="Times New Roman"/>
        </w:rPr>
        <w:t>some</w:t>
      </w:r>
      <w:r w:rsidRPr="009141B8">
        <w:rPr>
          <w:rFonts w:ascii="Times New Roman" w:hAnsi="Times New Roman" w:cs="Times New Roman"/>
        </w:rPr>
        <w:t xml:space="preserve"> theme</w:t>
      </w:r>
      <w:r w:rsidR="00D94E5F">
        <w:rPr>
          <w:rFonts w:ascii="Times New Roman" w:hAnsi="Times New Roman" w:cs="Times New Roman"/>
        </w:rPr>
        <w:t>s</w:t>
      </w:r>
      <w:r w:rsidRPr="009141B8">
        <w:rPr>
          <w:rFonts w:ascii="Times New Roman" w:hAnsi="Times New Roman" w:cs="Times New Roman"/>
        </w:rPr>
        <w:t xml:space="preserve"> being of utmost importance are there so few limited and viable resources?</w:t>
      </w:r>
      <w:r w:rsidR="00071A4A">
        <w:rPr>
          <w:rFonts w:ascii="Times New Roman" w:hAnsi="Times New Roman" w:cs="Times New Roman"/>
        </w:rPr>
        <w:t xml:space="preserve"> </w:t>
      </w:r>
      <w:r w:rsidR="00071A4A">
        <w:rPr>
          <w:rStyle w:val="FootnoteReference"/>
          <w:rFonts w:ascii="Times New Roman" w:hAnsi="Times New Roman" w:cs="Times New Roman"/>
        </w:rPr>
        <w:footnoteReference w:id="7"/>
      </w:r>
      <w:r w:rsidR="00C039CE">
        <w:rPr>
          <w:rFonts w:ascii="Times New Roman" w:hAnsi="Times New Roman" w:cs="Times New Roman"/>
        </w:rPr>
        <w:t xml:space="preserve"> One would suggest here </w:t>
      </w:r>
      <w:r w:rsidR="00A201B8">
        <w:rPr>
          <w:rFonts w:ascii="Times New Roman" w:hAnsi="Times New Roman" w:cs="Times New Roman"/>
        </w:rPr>
        <w:t>a</w:t>
      </w:r>
      <w:r w:rsidRPr="00C039CE">
        <w:rPr>
          <w:rFonts w:ascii="Times New Roman" w:hAnsi="Times New Roman" w:cs="Times New Roman"/>
        </w:rPr>
        <w:t xml:space="preserve"> deficit of such resources stems from linguistic difference, not only between </w:t>
      </w:r>
      <w:r w:rsidR="00A201B8">
        <w:rPr>
          <w:rFonts w:ascii="Times New Roman" w:hAnsi="Times New Roman" w:cs="Times New Roman"/>
        </w:rPr>
        <w:t>b</w:t>
      </w:r>
      <w:r w:rsidRPr="00C039CE">
        <w:rPr>
          <w:rFonts w:ascii="Times New Roman" w:hAnsi="Times New Roman" w:cs="Times New Roman"/>
        </w:rPr>
        <w:t>iblical editions</w:t>
      </w:r>
      <w:r w:rsidR="00905124">
        <w:rPr>
          <w:rFonts w:ascii="Times New Roman" w:hAnsi="Times New Roman" w:cs="Times New Roman"/>
        </w:rPr>
        <w:t>,</w:t>
      </w:r>
      <w:r w:rsidRPr="00C039CE">
        <w:rPr>
          <w:rFonts w:ascii="Times New Roman" w:hAnsi="Times New Roman" w:cs="Times New Roman"/>
        </w:rPr>
        <w:t xml:space="preserve"> but the traditional interlingual renderings from the language compositions of primacy (this in the basal being the pathway from the Masoretic text, leading to the Greek Septuagint and New Testament before arriving at the Latin Vulgate).</w:t>
      </w:r>
      <w:r w:rsidR="00C63F95">
        <w:rPr>
          <w:rFonts w:ascii="Times New Roman" w:hAnsi="Times New Roman" w:cs="Times New Roman"/>
        </w:rPr>
        <w:t xml:space="preserve"> </w:t>
      </w:r>
      <w:r w:rsidR="008A56BB">
        <w:rPr>
          <w:rFonts w:ascii="Times New Roman" w:hAnsi="Times New Roman" w:cs="Times New Roman"/>
        </w:rPr>
        <w:t xml:space="preserve">This then </w:t>
      </w:r>
      <w:r w:rsidR="006E6C14">
        <w:rPr>
          <w:rFonts w:ascii="Times New Roman" w:hAnsi="Times New Roman" w:cs="Times New Roman"/>
        </w:rPr>
        <w:t xml:space="preserve">meaning that one source cannot and should not be seen as a ‘stand alone.’ </w:t>
      </w:r>
      <w:r w:rsidR="00185962">
        <w:rPr>
          <w:rFonts w:ascii="Times New Roman" w:hAnsi="Times New Roman" w:cs="Times New Roman"/>
        </w:rPr>
        <w:t xml:space="preserve">The greater the diversity of media used for a particular </w:t>
      </w:r>
      <w:r w:rsidR="000D7E78">
        <w:rPr>
          <w:rFonts w:ascii="Times New Roman" w:hAnsi="Times New Roman" w:cs="Times New Roman"/>
        </w:rPr>
        <w:t xml:space="preserve">piece </w:t>
      </w:r>
      <w:r w:rsidR="00185962">
        <w:rPr>
          <w:rFonts w:ascii="Times New Roman" w:hAnsi="Times New Roman" w:cs="Times New Roman"/>
        </w:rPr>
        <w:t>research (account</w:t>
      </w:r>
      <w:r w:rsidR="000D7E78">
        <w:rPr>
          <w:rFonts w:ascii="Times New Roman" w:hAnsi="Times New Roman" w:cs="Times New Roman"/>
        </w:rPr>
        <w:t xml:space="preserve">ing for </w:t>
      </w:r>
      <w:r w:rsidR="00185962">
        <w:rPr>
          <w:rFonts w:ascii="Times New Roman" w:hAnsi="Times New Roman" w:cs="Times New Roman"/>
        </w:rPr>
        <w:t xml:space="preserve">the </w:t>
      </w:r>
      <w:r w:rsidR="000D7E78">
        <w:rPr>
          <w:rFonts w:ascii="Times New Roman" w:hAnsi="Times New Roman" w:cs="Times New Roman"/>
        </w:rPr>
        <w:t>accuracy and validity of the sources), the more holistic</w:t>
      </w:r>
      <w:r w:rsidR="0052100C">
        <w:rPr>
          <w:rFonts w:ascii="Times New Roman" w:hAnsi="Times New Roman" w:cs="Times New Roman"/>
        </w:rPr>
        <w:t xml:space="preserve"> a view of the overarching theme or topic will be attained. It was also seen form this, that, although there are </w:t>
      </w:r>
      <w:r w:rsidR="00073B00">
        <w:rPr>
          <w:rFonts w:ascii="Times New Roman" w:hAnsi="Times New Roman" w:cs="Times New Roman"/>
          <w:i/>
          <w:iCs/>
        </w:rPr>
        <w:t>subject-specific</w:t>
      </w:r>
      <w:r w:rsidR="00073B00">
        <w:rPr>
          <w:rFonts w:ascii="Times New Roman" w:hAnsi="Times New Roman" w:cs="Times New Roman"/>
        </w:rPr>
        <w:t xml:space="preserve"> dictionaries and encyclopaedias, that more generalised </w:t>
      </w:r>
      <w:r w:rsidR="00D03551">
        <w:rPr>
          <w:rFonts w:ascii="Times New Roman" w:hAnsi="Times New Roman" w:cs="Times New Roman"/>
        </w:rPr>
        <w:t>resources can still have their use in research. With the hum</w:t>
      </w:r>
      <w:r w:rsidR="008F1A32">
        <w:rPr>
          <w:rFonts w:ascii="Times New Roman" w:hAnsi="Times New Roman" w:cs="Times New Roman"/>
        </w:rPr>
        <w:t xml:space="preserve">anities resources, there is also a noteworthy overlap with details that can be found. </w:t>
      </w:r>
      <w:r w:rsidR="00474462">
        <w:rPr>
          <w:rFonts w:ascii="Times New Roman" w:hAnsi="Times New Roman" w:cs="Times New Roman"/>
        </w:rPr>
        <w:t xml:space="preserve">For example, just as there was </w:t>
      </w:r>
      <w:r w:rsidR="00474462">
        <w:rPr>
          <w:rFonts w:ascii="Times New Roman" w:hAnsi="Times New Roman" w:cs="Times New Roman"/>
          <w:i/>
          <w:iCs/>
        </w:rPr>
        <w:t>limited</w:t>
      </w:r>
      <w:r w:rsidR="00474462">
        <w:rPr>
          <w:rFonts w:ascii="Times New Roman" w:hAnsi="Times New Roman" w:cs="Times New Roman"/>
        </w:rPr>
        <w:t xml:space="preserve"> information</w:t>
      </w:r>
      <w:r w:rsidR="00A66B4C">
        <w:rPr>
          <w:rFonts w:ascii="Times New Roman" w:hAnsi="Times New Roman" w:cs="Times New Roman"/>
        </w:rPr>
        <w:t xml:space="preserve"> regarding transmission and translational routes between </w:t>
      </w:r>
      <w:r w:rsidR="00BE4DAA">
        <w:rPr>
          <w:rFonts w:ascii="Times New Roman" w:hAnsi="Times New Roman" w:cs="Times New Roman"/>
        </w:rPr>
        <w:t xml:space="preserve">biblical Hebrew and Greek texts (cf. </w:t>
      </w:r>
      <w:r w:rsidR="00C57E9D">
        <w:rPr>
          <w:rFonts w:ascii="Times New Roman" w:hAnsi="Times New Roman" w:cs="Times New Roman"/>
        </w:rPr>
        <w:t xml:space="preserve">the initial translation of the LXX, </w:t>
      </w:r>
      <w:r w:rsidR="00156262">
        <w:rPr>
          <w:rFonts w:ascii="Times New Roman" w:hAnsi="Times New Roman" w:cs="Times New Roman"/>
        </w:rPr>
        <w:t xml:space="preserve">setting finer details </w:t>
      </w:r>
      <w:r w:rsidR="00C350E6">
        <w:rPr>
          <w:rFonts w:ascii="Times New Roman" w:hAnsi="Times New Roman" w:cs="Times New Roman"/>
        </w:rPr>
        <w:t xml:space="preserve">of the </w:t>
      </w:r>
      <w:r w:rsidR="00C350E6">
        <w:rPr>
          <w:rFonts w:ascii="Times New Roman" w:hAnsi="Times New Roman" w:cs="Times New Roman"/>
          <w:i/>
          <w:iCs/>
        </w:rPr>
        <w:t>mythos</w:t>
      </w:r>
      <w:r w:rsidR="00C350E6">
        <w:rPr>
          <w:rFonts w:ascii="Times New Roman" w:hAnsi="Times New Roman" w:cs="Times New Roman"/>
        </w:rPr>
        <w:t xml:space="preserve"> aside)</w:t>
      </w:r>
      <w:r w:rsidR="00655FA2">
        <w:rPr>
          <w:rFonts w:ascii="Times New Roman" w:hAnsi="Times New Roman" w:cs="Times New Roman"/>
        </w:rPr>
        <w:t xml:space="preserve"> within archetypal Dictionaries </w:t>
      </w:r>
      <w:r w:rsidR="00E66B87">
        <w:rPr>
          <w:rFonts w:ascii="Times New Roman" w:hAnsi="Times New Roman" w:cs="Times New Roman"/>
        </w:rPr>
        <w:t xml:space="preserve">of Religion, there was much greater detail in a Dictionary of </w:t>
      </w:r>
      <w:r w:rsidR="008B0DF4">
        <w:rPr>
          <w:rFonts w:ascii="Times New Roman" w:hAnsi="Times New Roman" w:cs="Times New Roman"/>
        </w:rPr>
        <w:t>Classics or the Ency</w:t>
      </w:r>
      <w:r w:rsidR="00233070">
        <w:rPr>
          <w:rFonts w:ascii="Times New Roman" w:hAnsi="Times New Roman" w:cs="Times New Roman"/>
        </w:rPr>
        <w:t xml:space="preserve">clopaedia of the Ancient World. These </w:t>
      </w:r>
      <w:r w:rsidR="002455DA">
        <w:rPr>
          <w:rFonts w:ascii="Times New Roman" w:hAnsi="Times New Roman" w:cs="Times New Roman"/>
        </w:rPr>
        <w:t xml:space="preserve">other such resources </w:t>
      </w:r>
      <w:r w:rsidR="00233070">
        <w:rPr>
          <w:rFonts w:ascii="Times New Roman" w:hAnsi="Times New Roman" w:cs="Times New Roman"/>
        </w:rPr>
        <w:t xml:space="preserve">should not </w:t>
      </w:r>
      <w:r w:rsidR="002455DA">
        <w:rPr>
          <w:rFonts w:ascii="Times New Roman" w:hAnsi="Times New Roman" w:cs="Times New Roman"/>
        </w:rPr>
        <w:t>go</w:t>
      </w:r>
      <w:r w:rsidR="00233070">
        <w:rPr>
          <w:rFonts w:ascii="Times New Roman" w:hAnsi="Times New Roman" w:cs="Times New Roman"/>
        </w:rPr>
        <w:t xml:space="preserve"> overlooked</w:t>
      </w:r>
      <w:r w:rsidR="002455DA">
        <w:rPr>
          <w:rFonts w:ascii="Times New Roman" w:hAnsi="Times New Roman" w:cs="Times New Roman"/>
        </w:rPr>
        <w:t xml:space="preserve">, </w:t>
      </w:r>
      <w:r w:rsidR="007C3B7F">
        <w:rPr>
          <w:rFonts w:ascii="Times New Roman" w:hAnsi="Times New Roman" w:cs="Times New Roman"/>
        </w:rPr>
        <w:t>due to not having a specific theological/ biblical titular element</w:t>
      </w:r>
      <w:r w:rsidR="00233070">
        <w:rPr>
          <w:rFonts w:ascii="Times New Roman" w:hAnsi="Times New Roman" w:cs="Times New Roman"/>
        </w:rPr>
        <w:t xml:space="preserve">. </w:t>
      </w:r>
      <w:r w:rsidR="007C3B7F">
        <w:rPr>
          <w:rFonts w:ascii="Times New Roman" w:hAnsi="Times New Roman" w:cs="Times New Roman"/>
        </w:rPr>
        <w:t xml:space="preserve">The same holds true </w:t>
      </w:r>
      <w:r w:rsidR="009E42FF">
        <w:rPr>
          <w:rFonts w:ascii="Times New Roman" w:hAnsi="Times New Roman" w:cs="Times New Roman"/>
        </w:rPr>
        <w:t xml:space="preserve">with older dictionaries and </w:t>
      </w:r>
      <w:r w:rsidR="007B28CE">
        <w:rPr>
          <w:rFonts w:ascii="Times New Roman" w:hAnsi="Times New Roman" w:cs="Times New Roman"/>
        </w:rPr>
        <w:t>encyclopaedias</w:t>
      </w:r>
      <w:r w:rsidR="009E42FF">
        <w:rPr>
          <w:rFonts w:ascii="Times New Roman" w:hAnsi="Times New Roman" w:cs="Times New Roman"/>
        </w:rPr>
        <w:t xml:space="preserve">. Although research may change and update, there </w:t>
      </w:r>
      <w:r w:rsidR="00753AFA">
        <w:rPr>
          <w:rFonts w:ascii="Times New Roman" w:hAnsi="Times New Roman" w:cs="Times New Roman"/>
        </w:rPr>
        <w:t xml:space="preserve">can still be great utility in sources that ordinarily might be rejected. </w:t>
      </w:r>
      <w:r w:rsidR="00712C29">
        <w:rPr>
          <w:rFonts w:ascii="Times New Roman" w:hAnsi="Times New Roman" w:cs="Times New Roman"/>
        </w:rPr>
        <w:t xml:space="preserve">When referring to modern scholarship, it is the way of the academy to shun research that </w:t>
      </w:r>
      <w:r w:rsidR="00B80740">
        <w:rPr>
          <w:rFonts w:ascii="Times New Roman" w:hAnsi="Times New Roman" w:cs="Times New Roman"/>
        </w:rPr>
        <w:t xml:space="preserve">at times can be as little as three to five years than the study in question, at fear of </w:t>
      </w:r>
      <w:r w:rsidR="005F705D">
        <w:rPr>
          <w:rFonts w:ascii="Times New Roman" w:hAnsi="Times New Roman" w:cs="Times New Roman"/>
        </w:rPr>
        <w:t>research being outdated. However, when undertaking biblical</w:t>
      </w:r>
      <w:r w:rsidR="00373D51">
        <w:rPr>
          <w:rFonts w:ascii="Times New Roman" w:hAnsi="Times New Roman" w:cs="Times New Roman"/>
        </w:rPr>
        <w:t xml:space="preserve">/ theological </w:t>
      </w:r>
      <w:r w:rsidR="005F705D">
        <w:rPr>
          <w:rFonts w:ascii="Times New Roman" w:hAnsi="Times New Roman" w:cs="Times New Roman"/>
        </w:rPr>
        <w:t xml:space="preserve">study that is of a </w:t>
      </w:r>
      <w:r w:rsidR="006D1440">
        <w:rPr>
          <w:rFonts w:ascii="Times New Roman" w:hAnsi="Times New Roman" w:cs="Times New Roman"/>
        </w:rPr>
        <w:t>more linguistic</w:t>
      </w:r>
      <w:r w:rsidR="00373D51">
        <w:rPr>
          <w:rFonts w:ascii="Times New Roman" w:hAnsi="Times New Roman" w:cs="Times New Roman"/>
        </w:rPr>
        <w:t xml:space="preserve"> nature, there is still much to be gleaned </w:t>
      </w:r>
      <w:r w:rsidR="000D09FA">
        <w:rPr>
          <w:rFonts w:ascii="Times New Roman" w:hAnsi="Times New Roman" w:cs="Times New Roman"/>
        </w:rPr>
        <w:t>from</w:t>
      </w:r>
      <w:r w:rsidR="00373D51">
        <w:rPr>
          <w:rFonts w:ascii="Times New Roman" w:hAnsi="Times New Roman" w:cs="Times New Roman"/>
        </w:rPr>
        <w:t xml:space="preserve"> older accounts of </w:t>
      </w:r>
      <w:r w:rsidR="009703C5">
        <w:rPr>
          <w:rFonts w:ascii="Times New Roman" w:hAnsi="Times New Roman" w:cs="Times New Roman"/>
        </w:rPr>
        <w:t xml:space="preserve">etymologies and aetiologies (particularly with place names or </w:t>
      </w:r>
      <w:r w:rsidR="007B28CE">
        <w:rPr>
          <w:rFonts w:ascii="Times New Roman" w:hAnsi="Times New Roman" w:cs="Times New Roman"/>
        </w:rPr>
        <w:t xml:space="preserve">biblical characters and personages). </w:t>
      </w:r>
      <w:r w:rsidR="009703C5">
        <w:rPr>
          <w:rFonts w:ascii="Times New Roman" w:hAnsi="Times New Roman" w:cs="Times New Roman"/>
        </w:rPr>
        <w:t xml:space="preserve"> </w:t>
      </w:r>
      <w:r w:rsidR="000D09FA">
        <w:rPr>
          <w:rFonts w:ascii="Times New Roman" w:hAnsi="Times New Roman" w:cs="Times New Roman"/>
        </w:rPr>
        <w:t xml:space="preserve"> </w:t>
      </w:r>
    </w:p>
    <w:p w14:paraId="05181E5B" w14:textId="32013293" w:rsidR="00371FF1" w:rsidRDefault="00371FF1" w:rsidP="006D1440">
      <w:pPr>
        <w:spacing w:line="240" w:lineRule="auto"/>
        <w:ind w:right="703" w:firstLine="0"/>
        <w:rPr>
          <w:rFonts w:ascii="Arial" w:hAnsi="Arial" w:cs="Arial"/>
        </w:rPr>
      </w:pPr>
      <w:r>
        <w:rPr>
          <w:rFonts w:ascii="Arial" w:hAnsi="Arial" w:cs="Arial"/>
        </w:rPr>
        <w:t>Section Two</w:t>
      </w:r>
    </w:p>
    <w:p w14:paraId="0ED96AEF" w14:textId="77777777" w:rsidR="00371FF1" w:rsidRDefault="00371FF1" w:rsidP="00C20047">
      <w:pPr>
        <w:spacing w:line="240" w:lineRule="auto"/>
        <w:ind w:left="703" w:right="703" w:firstLine="0"/>
        <w:jc w:val="center"/>
        <w:rPr>
          <w:rFonts w:ascii="Arial" w:hAnsi="Arial" w:cs="Arial"/>
        </w:rPr>
      </w:pPr>
    </w:p>
    <w:p w14:paraId="044E6B8A" w14:textId="00133F21" w:rsidR="006E16EF" w:rsidRDefault="006E16EF" w:rsidP="00C20047">
      <w:pPr>
        <w:spacing w:line="240" w:lineRule="auto"/>
        <w:ind w:left="703" w:right="703" w:firstLine="0"/>
        <w:jc w:val="center"/>
        <w:rPr>
          <w:rFonts w:ascii="Arial" w:hAnsi="Arial" w:cs="Arial"/>
        </w:rPr>
      </w:pPr>
      <w:r>
        <w:rPr>
          <w:rFonts w:ascii="Arial" w:hAnsi="Arial" w:cs="Arial"/>
        </w:rPr>
        <w:t>2A</w:t>
      </w:r>
      <w:r>
        <w:rPr>
          <w:rFonts w:ascii="Arial" w:hAnsi="Arial" w:cs="Arial"/>
        </w:rPr>
        <w:t xml:space="preserve">. </w:t>
      </w:r>
      <w:r w:rsidR="0023225A">
        <w:rPr>
          <w:rFonts w:ascii="Arial" w:hAnsi="Arial" w:cs="Arial"/>
        </w:rPr>
        <w:t>'</w:t>
      </w:r>
      <w:r w:rsidR="00736792">
        <w:rPr>
          <w:rFonts w:ascii="Arial" w:hAnsi="Arial" w:cs="Arial"/>
        </w:rPr>
        <w:t>Spirit</w:t>
      </w:r>
      <w:r w:rsidR="0023225A">
        <w:rPr>
          <w:rFonts w:ascii="Arial" w:hAnsi="Arial" w:cs="Arial"/>
        </w:rPr>
        <w:t>'</w:t>
      </w:r>
      <w:r w:rsidR="00736792">
        <w:rPr>
          <w:rFonts w:ascii="Arial" w:hAnsi="Arial" w:cs="Arial"/>
        </w:rPr>
        <w:t xml:space="preserve"> as </w:t>
      </w:r>
      <w:r w:rsidR="00CE5FD9">
        <w:rPr>
          <w:rFonts w:ascii="Arial" w:hAnsi="Arial" w:cs="Arial"/>
        </w:rPr>
        <w:t xml:space="preserve">a </w:t>
      </w:r>
      <w:r w:rsidR="00736792">
        <w:rPr>
          <w:rFonts w:ascii="Arial" w:hAnsi="Arial" w:cs="Arial"/>
        </w:rPr>
        <w:t>theme</w:t>
      </w:r>
    </w:p>
    <w:p w14:paraId="4F803ECF" w14:textId="688BD744" w:rsidR="006E16EF" w:rsidRDefault="006E16EF" w:rsidP="00C20047">
      <w:pPr>
        <w:spacing w:line="240" w:lineRule="auto"/>
        <w:ind w:left="703" w:right="703" w:firstLine="0"/>
        <w:jc w:val="center"/>
        <w:rPr>
          <w:rFonts w:ascii="Arial" w:hAnsi="Arial" w:cs="Arial"/>
          <w:vertAlign w:val="subscript"/>
        </w:rPr>
      </w:pPr>
      <w:r w:rsidRPr="00FD019B">
        <w:rPr>
          <w:rFonts w:ascii="Arial" w:hAnsi="Arial" w:cs="Arial"/>
          <w:vertAlign w:val="subscript"/>
        </w:rPr>
        <w:t>(</w:t>
      </w:r>
      <w:r w:rsidR="001B1BBD">
        <w:rPr>
          <w:rFonts w:ascii="Arial" w:hAnsi="Arial" w:cs="Arial"/>
          <w:vertAlign w:val="subscript"/>
        </w:rPr>
        <w:t xml:space="preserve">Consolidating its </w:t>
      </w:r>
      <w:r w:rsidR="005954E7">
        <w:rPr>
          <w:rFonts w:ascii="Arial" w:hAnsi="Arial" w:cs="Arial"/>
          <w:vertAlign w:val="subscript"/>
        </w:rPr>
        <w:t>scriptural significance</w:t>
      </w:r>
      <w:r w:rsidRPr="00FD019B">
        <w:rPr>
          <w:rFonts w:ascii="Arial" w:hAnsi="Arial" w:cs="Arial"/>
          <w:vertAlign w:val="subscript"/>
        </w:rPr>
        <w:t xml:space="preserve">) </w:t>
      </w:r>
    </w:p>
    <w:p w14:paraId="57CE4A1B" w14:textId="77777777" w:rsidR="00C44795" w:rsidRPr="00596F9E" w:rsidRDefault="00C44795" w:rsidP="00C20047">
      <w:pPr>
        <w:spacing w:line="240" w:lineRule="auto"/>
        <w:ind w:left="703" w:right="703" w:firstLine="0"/>
        <w:jc w:val="center"/>
        <w:rPr>
          <w:rFonts w:ascii="Arial" w:hAnsi="Arial" w:cs="Arial"/>
          <w:b/>
          <w:bCs/>
          <w:color w:val="FF0000"/>
          <w:highlight w:val="yellow"/>
          <w:vertAlign w:val="subscript"/>
        </w:rPr>
      </w:pPr>
    </w:p>
    <w:p w14:paraId="14ADA812" w14:textId="77777777" w:rsidR="00751C28" w:rsidRDefault="00C44795" w:rsidP="00751C28">
      <w:pPr>
        <w:suppressAutoHyphens w:val="0"/>
        <w:ind w:left="703" w:right="703"/>
        <w:jc w:val="both"/>
        <w:rPr>
          <w:rFonts w:ascii="Times New Roman" w:hAnsi="Times New Roman" w:cs="Times New Roman"/>
        </w:rPr>
      </w:pPr>
      <w:r>
        <w:rPr>
          <w:rFonts w:ascii="Times New Roman" w:hAnsi="Times New Roman" w:cs="Times New Roman"/>
        </w:rPr>
        <w:t>As with other major theological concepts</w:t>
      </w:r>
      <w:r w:rsidR="005F727E">
        <w:rPr>
          <w:rFonts w:ascii="Times New Roman" w:hAnsi="Times New Roman" w:cs="Times New Roman"/>
        </w:rPr>
        <w:t xml:space="preserve"> such as eschatology or soteriology</w:t>
      </w:r>
      <w:r w:rsidR="00E26056">
        <w:rPr>
          <w:rFonts w:ascii="Times New Roman" w:hAnsi="Times New Roman" w:cs="Times New Roman"/>
        </w:rPr>
        <w:t>, there is a</w:t>
      </w:r>
      <w:r w:rsidR="00EC0CE5">
        <w:rPr>
          <w:rFonts w:ascii="Times New Roman" w:hAnsi="Times New Roman" w:cs="Times New Roman"/>
        </w:rPr>
        <w:t xml:space="preserve">n ongoing </w:t>
      </w:r>
      <w:r w:rsidR="00520A85">
        <w:rPr>
          <w:rFonts w:ascii="Times New Roman" w:hAnsi="Times New Roman" w:cs="Times New Roman"/>
        </w:rPr>
        <w:t>developmental</w:t>
      </w:r>
      <w:r w:rsidR="00E26056">
        <w:rPr>
          <w:rFonts w:ascii="Times New Roman" w:hAnsi="Times New Roman" w:cs="Times New Roman"/>
        </w:rPr>
        <w:t xml:space="preserve"> process behind the</w:t>
      </w:r>
      <w:r w:rsidR="0041645C">
        <w:rPr>
          <w:rFonts w:ascii="Times New Roman" w:hAnsi="Times New Roman" w:cs="Times New Roman"/>
        </w:rPr>
        <w:t xml:space="preserve"> notion of </w:t>
      </w:r>
      <w:r w:rsidR="0023225A">
        <w:rPr>
          <w:rFonts w:ascii="Times New Roman" w:hAnsi="Times New Roman" w:cs="Times New Roman"/>
        </w:rPr>
        <w:t>'</w:t>
      </w:r>
      <w:r w:rsidR="0041645C">
        <w:rPr>
          <w:rFonts w:ascii="Times New Roman" w:hAnsi="Times New Roman" w:cs="Times New Roman"/>
        </w:rPr>
        <w:t>Spirit</w:t>
      </w:r>
      <w:r w:rsidR="0023225A">
        <w:rPr>
          <w:rFonts w:ascii="Times New Roman" w:hAnsi="Times New Roman" w:cs="Times New Roman"/>
        </w:rPr>
        <w:t>'</w:t>
      </w:r>
      <w:r w:rsidR="00E26056">
        <w:rPr>
          <w:rFonts w:ascii="Times New Roman" w:hAnsi="Times New Roman" w:cs="Times New Roman"/>
        </w:rPr>
        <w:t xml:space="preserve"> that </w:t>
      </w:r>
      <w:r w:rsidR="00520A85">
        <w:rPr>
          <w:rFonts w:ascii="Times New Roman" w:hAnsi="Times New Roman" w:cs="Times New Roman"/>
        </w:rPr>
        <w:t xml:space="preserve">can be </w:t>
      </w:r>
      <w:r w:rsidR="00EC0CE5">
        <w:rPr>
          <w:rFonts w:ascii="Times New Roman" w:hAnsi="Times New Roman" w:cs="Times New Roman"/>
        </w:rPr>
        <w:t>traced successively through scripture</w:t>
      </w:r>
      <w:r w:rsidR="009925D5">
        <w:rPr>
          <w:rFonts w:ascii="Times New Roman" w:hAnsi="Times New Roman" w:cs="Times New Roman"/>
        </w:rPr>
        <w:t xml:space="preserve"> not only </w:t>
      </w:r>
      <w:r w:rsidR="0038630A">
        <w:rPr>
          <w:rFonts w:ascii="Times New Roman" w:hAnsi="Times New Roman" w:cs="Times New Roman"/>
        </w:rPr>
        <w:t>with its</w:t>
      </w:r>
      <w:r w:rsidR="00A075D9">
        <w:rPr>
          <w:rFonts w:ascii="Times New Roman" w:hAnsi="Times New Roman" w:cs="Times New Roman"/>
        </w:rPr>
        <w:t xml:space="preserve"> </w:t>
      </w:r>
      <w:r w:rsidR="00DD3F86">
        <w:rPr>
          <w:rFonts w:ascii="Times New Roman" w:hAnsi="Times New Roman" w:cs="Times New Roman"/>
        </w:rPr>
        <w:t xml:space="preserve">etymology and successive </w:t>
      </w:r>
      <w:r w:rsidR="009925D5">
        <w:rPr>
          <w:rFonts w:ascii="Times New Roman" w:hAnsi="Times New Roman" w:cs="Times New Roman"/>
        </w:rPr>
        <w:t>linguistic</w:t>
      </w:r>
      <w:r w:rsidR="002146F1">
        <w:rPr>
          <w:rFonts w:ascii="Times New Roman" w:hAnsi="Times New Roman" w:cs="Times New Roman"/>
        </w:rPr>
        <w:t xml:space="preserve"> morphology but also</w:t>
      </w:r>
      <w:r w:rsidR="00DD3F86">
        <w:rPr>
          <w:rFonts w:ascii="Times New Roman" w:hAnsi="Times New Roman" w:cs="Times New Roman"/>
        </w:rPr>
        <w:t xml:space="preserve"> the impact that it has </w:t>
      </w:r>
      <w:r w:rsidR="003E5D1B">
        <w:rPr>
          <w:rFonts w:ascii="Times New Roman" w:hAnsi="Times New Roman" w:cs="Times New Roman"/>
        </w:rPr>
        <w:t>on Biblical studies</w:t>
      </w:r>
      <w:r w:rsidR="00750EA4">
        <w:rPr>
          <w:rFonts w:ascii="Times New Roman" w:hAnsi="Times New Roman" w:cs="Times New Roman"/>
        </w:rPr>
        <w:t>, academic theological st</w:t>
      </w:r>
      <w:r w:rsidR="00584B66">
        <w:rPr>
          <w:rFonts w:ascii="Times New Roman" w:hAnsi="Times New Roman" w:cs="Times New Roman"/>
        </w:rPr>
        <w:t xml:space="preserve">udy as well as the </w:t>
      </w:r>
      <w:r w:rsidR="005D7A7C">
        <w:rPr>
          <w:rFonts w:ascii="Times New Roman" w:hAnsi="Times New Roman" w:cs="Times New Roman"/>
        </w:rPr>
        <w:t>effects</w:t>
      </w:r>
      <w:r w:rsidR="00584B66">
        <w:rPr>
          <w:rFonts w:ascii="Times New Roman" w:hAnsi="Times New Roman" w:cs="Times New Roman"/>
        </w:rPr>
        <w:t xml:space="preserve"> on </w:t>
      </w:r>
      <w:r w:rsidR="00146DB3">
        <w:rPr>
          <w:rFonts w:ascii="Times New Roman" w:hAnsi="Times New Roman" w:cs="Times New Roman"/>
        </w:rPr>
        <w:t>faithful adherents</w:t>
      </w:r>
      <w:r w:rsidR="00A52B69">
        <w:rPr>
          <w:rFonts w:ascii="Times New Roman" w:hAnsi="Times New Roman" w:cs="Times New Roman"/>
        </w:rPr>
        <w:t xml:space="preserve"> throughout a </w:t>
      </w:r>
      <w:r w:rsidR="00584B66">
        <w:rPr>
          <w:rFonts w:ascii="Times New Roman" w:hAnsi="Times New Roman" w:cs="Times New Roman"/>
        </w:rPr>
        <w:t xml:space="preserve">wider Christendom </w:t>
      </w:r>
      <w:r w:rsidR="00A52B69">
        <w:rPr>
          <w:rFonts w:ascii="Times New Roman" w:hAnsi="Times New Roman" w:cs="Times New Roman"/>
        </w:rPr>
        <w:t xml:space="preserve">in successive </w:t>
      </w:r>
      <w:r w:rsidR="005D7A7C">
        <w:rPr>
          <w:rFonts w:ascii="Times New Roman" w:hAnsi="Times New Roman" w:cs="Times New Roman"/>
        </w:rPr>
        <w:t xml:space="preserve">societal epochs. </w:t>
      </w:r>
      <w:r w:rsidR="00750EA4">
        <w:rPr>
          <w:rFonts w:ascii="Times New Roman" w:hAnsi="Times New Roman" w:cs="Times New Roman"/>
        </w:rPr>
        <w:t xml:space="preserve"> </w:t>
      </w:r>
    </w:p>
    <w:p w14:paraId="030D76EA" w14:textId="77777777" w:rsidR="00751C28" w:rsidRDefault="00751C28" w:rsidP="00751C28">
      <w:pPr>
        <w:suppressAutoHyphens w:val="0"/>
        <w:ind w:left="703" w:right="703"/>
        <w:jc w:val="both"/>
        <w:rPr>
          <w:rFonts w:ascii="Times New Roman" w:hAnsi="Times New Roman" w:cs="Times New Roman"/>
        </w:rPr>
      </w:pPr>
    </w:p>
    <w:p w14:paraId="1525498C" w14:textId="36978F61" w:rsidR="00AA5434" w:rsidRDefault="00AA5434" w:rsidP="00751C28">
      <w:pPr>
        <w:suppressAutoHyphens w:val="0"/>
        <w:ind w:left="703" w:right="703"/>
        <w:jc w:val="center"/>
        <w:rPr>
          <w:rFonts w:ascii="Arial" w:hAnsi="Arial" w:cs="Arial"/>
        </w:rPr>
      </w:pPr>
      <w:r>
        <w:rPr>
          <w:rFonts w:ascii="Arial" w:hAnsi="Arial" w:cs="Arial"/>
        </w:rPr>
        <w:t>2</w:t>
      </w:r>
      <w:r>
        <w:rPr>
          <w:rFonts w:ascii="Arial" w:hAnsi="Arial" w:cs="Arial"/>
        </w:rPr>
        <w:t>B</w:t>
      </w:r>
      <w:r>
        <w:rPr>
          <w:rFonts w:ascii="Arial" w:hAnsi="Arial" w:cs="Arial"/>
        </w:rPr>
        <w:t xml:space="preserve">. </w:t>
      </w:r>
      <w:r w:rsidR="00027C8D">
        <w:rPr>
          <w:rFonts w:ascii="Arial" w:hAnsi="Arial" w:cs="Arial"/>
        </w:rPr>
        <w:t>Tracing the</w:t>
      </w:r>
      <w:r w:rsidR="005D71DB">
        <w:rPr>
          <w:rFonts w:ascii="Arial" w:hAnsi="Arial" w:cs="Arial"/>
        </w:rPr>
        <w:t xml:space="preserve"> </w:t>
      </w:r>
      <w:r w:rsidR="0023225A">
        <w:rPr>
          <w:rFonts w:ascii="Arial" w:hAnsi="Arial" w:cs="Arial"/>
        </w:rPr>
        <w:t>'</w:t>
      </w:r>
      <w:r>
        <w:rPr>
          <w:rFonts w:ascii="Arial" w:hAnsi="Arial" w:cs="Arial"/>
        </w:rPr>
        <w:t>Spirit</w:t>
      </w:r>
      <w:r w:rsidR="00A62320">
        <w:rPr>
          <w:rFonts w:ascii="Arial" w:hAnsi="Arial" w:cs="Arial"/>
        </w:rPr>
        <w:t>.</w:t>
      </w:r>
      <w:r w:rsidR="0023225A">
        <w:rPr>
          <w:rFonts w:ascii="Arial" w:hAnsi="Arial" w:cs="Arial"/>
        </w:rPr>
        <w:t>'</w:t>
      </w:r>
    </w:p>
    <w:p w14:paraId="5283428B" w14:textId="355D0991" w:rsidR="00AA5434" w:rsidRDefault="00AA5434" w:rsidP="00C20047">
      <w:pPr>
        <w:spacing w:line="240" w:lineRule="auto"/>
        <w:ind w:left="703" w:right="703" w:firstLine="0"/>
        <w:jc w:val="center"/>
        <w:rPr>
          <w:rFonts w:ascii="Arial" w:hAnsi="Arial" w:cs="Arial"/>
          <w:vertAlign w:val="subscript"/>
        </w:rPr>
      </w:pPr>
      <w:r w:rsidRPr="00FD019B">
        <w:rPr>
          <w:rFonts w:ascii="Arial" w:hAnsi="Arial" w:cs="Arial"/>
          <w:vertAlign w:val="subscript"/>
        </w:rPr>
        <w:t>(</w:t>
      </w:r>
      <w:r w:rsidR="002D6D4C">
        <w:rPr>
          <w:rFonts w:ascii="Arial" w:hAnsi="Arial" w:cs="Arial"/>
          <w:vertAlign w:val="subscript"/>
        </w:rPr>
        <w:t>F</w:t>
      </w:r>
      <w:r w:rsidR="00027C8D">
        <w:rPr>
          <w:rFonts w:ascii="Arial" w:hAnsi="Arial" w:cs="Arial"/>
          <w:vertAlign w:val="subscript"/>
        </w:rPr>
        <w:t xml:space="preserve">ollowing the </w:t>
      </w:r>
      <w:r w:rsidR="00F520DC">
        <w:rPr>
          <w:rFonts w:ascii="Arial" w:hAnsi="Arial" w:cs="Arial"/>
          <w:vertAlign w:val="subscript"/>
        </w:rPr>
        <w:t xml:space="preserve">theme of </w:t>
      </w:r>
      <w:r w:rsidR="0023225A">
        <w:rPr>
          <w:rFonts w:ascii="Arial" w:hAnsi="Arial" w:cs="Arial"/>
          <w:vertAlign w:val="subscript"/>
        </w:rPr>
        <w:t>'</w:t>
      </w:r>
      <w:r w:rsidR="00F520DC">
        <w:rPr>
          <w:rFonts w:ascii="Arial" w:hAnsi="Arial" w:cs="Arial"/>
          <w:vertAlign w:val="subscript"/>
        </w:rPr>
        <w:t>Spirit</w:t>
      </w:r>
      <w:r w:rsidR="0023225A">
        <w:rPr>
          <w:rFonts w:ascii="Arial" w:hAnsi="Arial" w:cs="Arial"/>
          <w:vertAlign w:val="subscript"/>
        </w:rPr>
        <w:t>'</w:t>
      </w:r>
      <w:r w:rsidR="00F520DC">
        <w:rPr>
          <w:rFonts w:ascii="Arial" w:hAnsi="Arial" w:cs="Arial"/>
          <w:vertAlign w:val="subscript"/>
        </w:rPr>
        <w:t xml:space="preserve"> through </w:t>
      </w:r>
      <w:r w:rsidR="002D6D4C">
        <w:rPr>
          <w:rFonts w:ascii="Arial" w:hAnsi="Arial" w:cs="Arial"/>
          <w:vertAlign w:val="subscript"/>
        </w:rPr>
        <w:t>concordance references</w:t>
      </w:r>
      <w:r w:rsidRPr="00FD019B">
        <w:rPr>
          <w:rFonts w:ascii="Arial" w:hAnsi="Arial" w:cs="Arial"/>
          <w:vertAlign w:val="subscript"/>
        </w:rPr>
        <w:t xml:space="preserve">) </w:t>
      </w:r>
    </w:p>
    <w:p w14:paraId="2F82708B" w14:textId="3A245113" w:rsidR="002F24E1" w:rsidRDefault="002F24E1" w:rsidP="00C20047">
      <w:pPr>
        <w:spacing w:line="240" w:lineRule="auto"/>
        <w:ind w:left="703" w:right="703" w:firstLine="0"/>
        <w:jc w:val="center"/>
        <w:rPr>
          <w:rFonts w:ascii="Arial" w:hAnsi="Arial" w:cs="Arial"/>
          <w:vertAlign w:val="subscript"/>
        </w:rPr>
      </w:pPr>
    </w:p>
    <w:p w14:paraId="1E4711CF" w14:textId="22C275DC" w:rsidR="002F24E1" w:rsidRDefault="00E65097" w:rsidP="00C20047">
      <w:pPr>
        <w:spacing w:line="360" w:lineRule="auto"/>
        <w:ind w:left="703" w:right="703" w:firstLine="0"/>
        <w:jc w:val="both"/>
        <w:rPr>
          <w:rFonts w:cstheme="minorHAnsi"/>
        </w:rPr>
      </w:pPr>
      <w:r>
        <w:rPr>
          <w:rFonts w:cstheme="minorHAnsi"/>
        </w:rPr>
        <w:t>Suitably</w:t>
      </w:r>
      <w:r w:rsidR="00EA767C">
        <w:rPr>
          <w:rFonts w:cstheme="minorHAnsi"/>
        </w:rPr>
        <w:t xml:space="preserve">, </w:t>
      </w:r>
      <w:r>
        <w:rPr>
          <w:rFonts w:cstheme="minorHAnsi"/>
        </w:rPr>
        <w:t xml:space="preserve">online NRSV(A) </w:t>
      </w:r>
      <w:r w:rsidR="0028372F">
        <w:rPr>
          <w:rFonts w:cstheme="minorHAnsi"/>
        </w:rPr>
        <w:t>concordance references flow in scriptural order</w:t>
      </w:r>
      <w:r w:rsidR="009A6A36">
        <w:rPr>
          <w:rFonts w:cstheme="minorHAnsi"/>
        </w:rPr>
        <w:t>, akin to their</w:t>
      </w:r>
      <w:r w:rsidR="0028372F">
        <w:rPr>
          <w:rFonts w:cstheme="minorHAnsi"/>
        </w:rPr>
        <w:t xml:space="preserve"> </w:t>
      </w:r>
      <w:r w:rsidR="00EA767C">
        <w:rPr>
          <w:rFonts w:cstheme="minorHAnsi"/>
        </w:rPr>
        <w:t xml:space="preserve">canonical </w:t>
      </w:r>
      <w:r w:rsidR="0028372F">
        <w:rPr>
          <w:rFonts w:cstheme="minorHAnsi"/>
        </w:rPr>
        <w:t>position</w:t>
      </w:r>
      <w:r w:rsidR="009E60DF">
        <w:rPr>
          <w:rFonts w:cstheme="minorHAnsi"/>
        </w:rPr>
        <w:t>, thus adding ease to the task of following</w:t>
      </w:r>
      <w:r w:rsidR="00E96CEE">
        <w:rPr>
          <w:rFonts w:cstheme="minorHAnsi"/>
        </w:rPr>
        <w:t xml:space="preserve"> </w:t>
      </w:r>
      <w:r w:rsidR="0023225A">
        <w:rPr>
          <w:rFonts w:cstheme="minorHAnsi"/>
        </w:rPr>
        <w:t>'</w:t>
      </w:r>
      <w:r w:rsidR="00E96CEE">
        <w:rPr>
          <w:rFonts w:cstheme="minorHAnsi"/>
        </w:rPr>
        <w:t>spirit</w:t>
      </w:r>
      <w:r w:rsidR="0023225A">
        <w:rPr>
          <w:rFonts w:cstheme="minorHAnsi"/>
        </w:rPr>
        <w:t>'</w:t>
      </w:r>
      <w:r w:rsidR="00E96CEE">
        <w:rPr>
          <w:rFonts w:cstheme="minorHAnsi"/>
        </w:rPr>
        <w:t xml:space="preserve"> </w:t>
      </w:r>
      <w:r w:rsidR="009E60DF">
        <w:rPr>
          <w:rFonts w:cstheme="minorHAnsi"/>
        </w:rPr>
        <w:t>through</w:t>
      </w:r>
      <w:r w:rsidR="00E96CEE">
        <w:rPr>
          <w:rFonts w:cstheme="minorHAnsi"/>
        </w:rPr>
        <w:t>out</w:t>
      </w:r>
      <w:r w:rsidR="00EA767C">
        <w:rPr>
          <w:rFonts w:cstheme="minorHAnsi"/>
        </w:rPr>
        <w:t>.</w:t>
      </w:r>
      <w:r w:rsidR="008D7F24">
        <w:rPr>
          <w:rFonts w:cstheme="minorHAnsi"/>
        </w:rPr>
        <w:t xml:space="preserve"> </w:t>
      </w:r>
      <w:r w:rsidR="00E966B3">
        <w:rPr>
          <w:rFonts w:cstheme="minorHAnsi"/>
        </w:rPr>
        <w:t xml:space="preserve">Confusion occurred </w:t>
      </w:r>
      <w:r w:rsidR="008D7F24">
        <w:rPr>
          <w:rFonts w:cstheme="minorHAnsi"/>
        </w:rPr>
        <w:t>when selecting</w:t>
      </w:r>
      <w:r w:rsidR="00E966B3">
        <w:rPr>
          <w:rFonts w:cstheme="minorHAnsi"/>
        </w:rPr>
        <w:t xml:space="preserve"> </w:t>
      </w:r>
      <w:r w:rsidR="00C12424">
        <w:rPr>
          <w:rFonts w:cstheme="minorHAnsi"/>
        </w:rPr>
        <w:t xml:space="preserve">which </w:t>
      </w:r>
      <w:r w:rsidR="001078C3">
        <w:rPr>
          <w:rFonts w:cstheme="minorHAnsi"/>
        </w:rPr>
        <w:t>context</w:t>
      </w:r>
      <w:r w:rsidR="00187F99">
        <w:rPr>
          <w:rFonts w:cstheme="minorHAnsi"/>
        </w:rPr>
        <w:t>ual meaning</w:t>
      </w:r>
      <w:r w:rsidR="001078C3">
        <w:rPr>
          <w:rFonts w:cstheme="minorHAnsi"/>
        </w:rPr>
        <w:t xml:space="preserve"> </w:t>
      </w:r>
      <w:r w:rsidR="0023225A">
        <w:rPr>
          <w:rFonts w:cstheme="minorHAnsi"/>
        </w:rPr>
        <w:t>'</w:t>
      </w:r>
      <w:r w:rsidR="001078C3">
        <w:rPr>
          <w:rFonts w:cstheme="minorHAnsi"/>
        </w:rPr>
        <w:t>spirit</w:t>
      </w:r>
      <w:r w:rsidR="0023225A">
        <w:rPr>
          <w:rFonts w:cstheme="minorHAnsi"/>
        </w:rPr>
        <w:t>'</w:t>
      </w:r>
      <w:r w:rsidR="001078C3">
        <w:rPr>
          <w:rFonts w:cstheme="minorHAnsi"/>
        </w:rPr>
        <w:t xml:space="preserve"> was </w:t>
      </w:r>
      <w:r w:rsidR="00A62320">
        <w:rPr>
          <w:rFonts w:cstheme="minorHAnsi"/>
        </w:rPr>
        <w:t>about</w:t>
      </w:r>
      <w:r w:rsidR="00CA2D65">
        <w:rPr>
          <w:rFonts w:cstheme="minorHAnsi"/>
        </w:rPr>
        <w:t xml:space="preserve">. </w:t>
      </w:r>
      <w:r w:rsidR="002A2460">
        <w:rPr>
          <w:rFonts w:cstheme="minorHAnsi"/>
        </w:rPr>
        <w:t>P</w:t>
      </w:r>
      <w:r w:rsidR="0094773D">
        <w:rPr>
          <w:rFonts w:cstheme="minorHAnsi"/>
        </w:rPr>
        <w:t xml:space="preserve">redomination </w:t>
      </w:r>
      <w:r w:rsidR="002A2460">
        <w:rPr>
          <w:rFonts w:cstheme="minorHAnsi"/>
        </w:rPr>
        <w:t xml:space="preserve">of </w:t>
      </w:r>
      <w:r w:rsidR="0023225A">
        <w:rPr>
          <w:rFonts w:cstheme="minorHAnsi"/>
        </w:rPr>
        <w:t>'</w:t>
      </w:r>
      <w:r w:rsidR="002A2460">
        <w:rPr>
          <w:rFonts w:cstheme="minorHAnsi"/>
        </w:rPr>
        <w:t>spirit</w:t>
      </w:r>
      <w:r w:rsidR="0023225A">
        <w:rPr>
          <w:rFonts w:cstheme="minorHAnsi"/>
        </w:rPr>
        <w:t>'</w:t>
      </w:r>
      <w:r w:rsidR="002A2460">
        <w:rPr>
          <w:rFonts w:cstheme="minorHAnsi"/>
        </w:rPr>
        <w:t xml:space="preserve"> within this</w:t>
      </w:r>
      <w:r w:rsidR="00CA2D65">
        <w:rPr>
          <w:rFonts w:cstheme="minorHAnsi"/>
        </w:rPr>
        <w:t xml:space="preserve"> study</w:t>
      </w:r>
      <w:r w:rsidR="005E1EC8">
        <w:rPr>
          <w:rFonts w:cstheme="minorHAnsi"/>
        </w:rPr>
        <w:t xml:space="preserve"> focuses on the translation of spirit </w:t>
      </w:r>
      <w:r w:rsidR="002A2460">
        <w:rPr>
          <w:rFonts w:cstheme="minorHAnsi"/>
        </w:rPr>
        <w:t>associated</w:t>
      </w:r>
      <w:r w:rsidR="00470BB4">
        <w:rPr>
          <w:rFonts w:cstheme="minorHAnsi"/>
        </w:rPr>
        <w:t xml:space="preserve"> </w:t>
      </w:r>
      <w:r w:rsidR="00A62320">
        <w:rPr>
          <w:rFonts w:cstheme="minorHAnsi"/>
        </w:rPr>
        <w:t>with Pneumatology's theological discipline</w:t>
      </w:r>
      <w:r w:rsidR="00470BB4">
        <w:rPr>
          <w:rFonts w:cstheme="minorHAnsi"/>
        </w:rPr>
        <w:t xml:space="preserve">, the systematic study of the </w:t>
      </w:r>
      <w:r w:rsidR="00B84895">
        <w:rPr>
          <w:rFonts w:cstheme="minorHAnsi"/>
        </w:rPr>
        <w:t xml:space="preserve">Holy Spirit. </w:t>
      </w:r>
      <w:r w:rsidR="00B95244">
        <w:rPr>
          <w:rFonts w:cstheme="minorHAnsi"/>
        </w:rPr>
        <w:t xml:space="preserve">Respective of this, the hypothesis </w:t>
      </w:r>
      <w:r w:rsidR="003525EB">
        <w:rPr>
          <w:rFonts w:cstheme="minorHAnsi"/>
        </w:rPr>
        <w:t>held was that there would</w:t>
      </w:r>
      <w:r w:rsidR="00617521">
        <w:rPr>
          <w:rFonts w:cstheme="minorHAnsi"/>
        </w:rPr>
        <w:t xml:space="preserve"> be</w:t>
      </w:r>
      <w:r w:rsidR="003525EB">
        <w:rPr>
          <w:rFonts w:cstheme="minorHAnsi"/>
        </w:rPr>
        <w:t xml:space="preserve"> a greater </w:t>
      </w:r>
      <w:r w:rsidR="0020240D">
        <w:rPr>
          <w:rFonts w:cstheme="minorHAnsi"/>
        </w:rPr>
        <w:t xml:space="preserve">focus </w:t>
      </w:r>
      <w:r w:rsidR="006A65AA">
        <w:rPr>
          <w:rFonts w:cstheme="minorHAnsi"/>
        </w:rPr>
        <w:t xml:space="preserve">on the </w:t>
      </w:r>
      <w:r w:rsidR="003525EB">
        <w:rPr>
          <w:rFonts w:cstheme="minorHAnsi"/>
        </w:rPr>
        <w:t>importance o</w:t>
      </w:r>
      <w:r w:rsidR="006A65AA">
        <w:rPr>
          <w:rFonts w:cstheme="minorHAnsi"/>
        </w:rPr>
        <w:t xml:space="preserve">f </w:t>
      </w:r>
      <w:r w:rsidR="0023225A">
        <w:rPr>
          <w:rFonts w:cstheme="minorHAnsi"/>
        </w:rPr>
        <w:t>'</w:t>
      </w:r>
      <w:r w:rsidR="006A65AA">
        <w:rPr>
          <w:rFonts w:cstheme="minorHAnsi"/>
        </w:rPr>
        <w:t>spirit</w:t>
      </w:r>
      <w:r w:rsidR="0023225A">
        <w:rPr>
          <w:rFonts w:cstheme="minorHAnsi"/>
        </w:rPr>
        <w:t>'</w:t>
      </w:r>
      <w:r w:rsidR="006A65AA">
        <w:rPr>
          <w:rFonts w:cstheme="minorHAnsi"/>
        </w:rPr>
        <w:t xml:space="preserve"> in the New Testament </w:t>
      </w:r>
      <w:r w:rsidR="00DF6B47">
        <w:rPr>
          <w:rFonts w:cstheme="minorHAnsi"/>
        </w:rPr>
        <w:t xml:space="preserve">scriptures, particularly in the </w:t>
      </w:r>
      <w:r w:rsidR="006F4FF0">
        <w:rPr>
          <w:rFonts w:cstheme="minorHAnsi"/>
        </w:rPr>
        <w:t>four</w:t>
      </w:r>
      <w:r w:rsidR="00DF6B47">
        <w:rPr>
          <w:rFonts w:cstheme="minorHAnsi"/>
        </w:rPr>
        <w:t xml:space="preserve"> Gospel</w:t>
      </w:r>
      <w:r w:rsidR="001704CA">
        <w:rPr>
          <w:rFonts w:cstheme="minorHAnsi"/>
        </w:rPr>
        <w:t>s (the Synoptic Matth</w:t>
      </w:r>
      <w:r w:rsidR="00A42109">
        <w:rPr>
          <w:rFonts w:cstheme="minorHAnsi"/>
        </w:rPr>
        <w:t>ean, Markan and Lukan narratives, due to their similarities</w:t>
      </w:r>
      <w:r w:rsidR="00DA6798">
        <w:rPr>
          <w:rFonts w:cstheme="minorHAnsi"/>
        </w:rPr>
        <w:t xml:space="preserve"> of content and struct</w:t>
      </w:r>
      <w:r w:rsidR="00965773">
        <w:rPr>
          <w:rFonts w:cstheme="minorHAnsi"/>
        </w:rPr>
        <w:t>ure; additionally; the Jo</w:t>
      </w:r>
      <w:r w:rsidR="00522CDA">
        <w:rPr>
          <w:rFonts w:cstheme="minorHAnsi"/>
        </w:rPr>
        <w:t>hannine corpus</w:t>
      </w:r>
      <w:r w:rsidR="004D04AD">
        <w:rPr>
          <w:rFonts w:cstheme="minorHAnsi"/>
        </w:rPr>
        <w:t xml:space="preserve"> as being fav</w:t>
      </w:r>
      <w:r w:rsidR="00AC1895">
        <w:rPr>
          <w:rFonts w:cstheme="minorHAnsi"/>
        </w:rPr>
        <w:t xml:space="preserve">oured particularly by </w:t>
      </w:r>
      <w:r w:rsidR="00F43FFE">
        <w:rPr>
          <w:rFonts w:cstheme="minorHAnsi"/>
        </w:rPr>
        <w:t xml:space="preserve">some </w:t>
      </w:r>
      <w:r w:rsidR="00863F86">
        <w:rPr>
          <w:rFonts w:cstheme="minorHAnsi"/>
        </w:rPr>
        <w:t>modern</w:t>
      </w:r>
      <w:r w:rsidR="00107C10">
        <w:rPr>
          <w:rFonts w:cstheme="minorHAnsi"/>
        </w:rPr>
        <w:t xml:space="preserve"> </w:t>
      </w:r>
      <w:r w:rsidR="0023225A">
        <w:rPr>
          <w:rFonts w:cstheme="minorHAnsi"/>
        </w:rPr>
        <w:t>'</w:t>
      </w:r>
      <w:r w:rsidR="00107C10">
        <w:rPr>
          <w:rFonts w:cstheme="minorHAnsi"/>
        </w:rPr>
        <w:t>protestant</w:t>
      </w:r>
      <w:r w:rsidR="0023225A">
        <w:rPr>
          <w:rFonts w:cstheme="minorHAnsi"/>
        </w:rPr>
        <w:t>'</w:t>
      </w:r>
      <w:r w:rsidR="002517E4">
        <w:rPr>
          <w:rFonts w:cstheme="minorHAnsi"/>
        </w:rPr>
        <w:t xml:space="preserve"> </w:t>
      </w:r>
      <w:r w:rsidR="00107C10">
        <w:rPr>
          <w:rFonts w:cstheme="minorHAnsi"/>
        </w:rPr>
        <w:t>theologies</w:t>
      </w:r>
      <w:r w:rsidR="001E75CB">
        <w:rPr>
          <w:rFonts w:cstheme="minorHAnsi"/>
        </w:rPr>
        <w:t xml:space="preserve"> </w:t>
      </w:r>
      <w:r w:rsidR="00107C10">
        <w:rPr>
          <w:rFonts w:cstheme="minorHAnsi"/>
        </w:rPr>
        <w:t xml:space="preserve">due to the </w:t>
      </w:r>
      <w:r w:rsidR="00F43D14">
        <w:rPr>
          <w:rFonts w:cstheme="minorHAnsi"/>
        </w:rPr>
        <w:t>influence</w:t>
      </w:r>
      <w:r w:rsidR="00107C10">
        <w:rPr>
          <w:rFonts w:cstheme="minorHAnsi"/>
        </w:rPr>
        <w:t xml:space="preserve"> of </w:t>
      </w:r>
      <w:r w:rsidR="0023225A">
        <w:rPr>
          <w:rFonts w:cstheme="minorHAnsi"/>
        </w:rPr>
        <w:t>'</w:t>
      </w:r>
      <w:r w:rsidR="009C51CB">
        <w:rPr>
          <w:rFonts w:cstheme="minorHAnsi"/>
        </w:rPr>
        <w:t>spirit</w:t>
      </w:r>
      <w:r w:rsidR="0023225A">
        <w:rPr>
          <w:rFonts w:cstheme="minorHAnsi"/>
        </w:rPr>
        <w:t>'</w:t>
      </w:r>
      <w:r w:rsidR="009C51CB">
        <w:rPr>
          <w:rFonts w:cstheme="minorHAnsi"/>
        </w:rPr>
        <w:t xml:space="preserve"> in</w:t>
      </w:r>
      <w:r w:rsidR="00F43D14">
        <w:rPr>
          <w:rFonts w:cstheme="minorHAnsi"/>
        </w:rPr>
        <w:t xml:space="preserve"> linguistic</w:t>
      </w:r>
      <w:r w:rsidR="009C51CB">
        <w:rPr>
          <w:rFonts w:cstheme="minorHAnsi"/>
        </w:rPr>
        <w:t xml:space="preserve"> imagery</w:t>
      </w:r>
      <w:r w:rsidR="00F43D14">
        <w:rPr>
          <w:rFonts w:cstheme="minorHAnsi"/>
        </w:rPr>
        <w:t xml:space="preserve">. </w:t>
      </w:r>
      <w:r w:rsidR="00E67228">
        <w:rPr>
          <w:rFonts w:cstheme="minorHAnsi"/>
        </w:rPr>
        <w:t xml:space="preserve">There was also the expectation that </w:t>
      </w:r>
      <w:r w:rsidR="009D5DC4">
        <w:rPr>
          <w:rFonts w:cstheme="minorHAnsi"/>
        </w:rPr>
        <w:t xml:space="preserve">Luke would also </w:t>
      </w:r>
      <w:r w:rsidR="00BC1D86">
        <w:rPr>
          <w:rFonts w:cstheme="minorHAnsi"/>
        </w:rPr>
        <w:t>prioritise</w:t>
      </w:r>
      <w:r w:rsidR="00A87FA0">
        <w:rPr>
          <w:rFonts w:cstheme="minorHAnsi"/>
        </w:rPr>
        <w:t xml:space="preserve"> </w:t>
      </w:r>
      <w:r w:rsidR="009D5DC4">
        <w:rPr>
          <w:rFonts w:cstheme="minorHAnsi"/>
        </w:rPr>
        <w:t>due to</w:t>
      </w:r>
      <w:r w:rsidR="00473E6E">
        <w:rPr>
          <w:rFonts w:cstheme="minorHAnsi"/>
        </w:rPr>
        <w:t xml:space="preserve"> rela</w:t>
      </w:r>
      <w:r w:rsidR="003F03D4">
        <w:rPr>
          <w:rFonts w:cstheme="minorHAnsi"/>
        </w:rPr>
        <w:t>tion</w:t>
      </w:r>
      <w:r w:rsidR="007A3C76">
        <w:rPr>
          <w:rFonts w:cstheme="minorHAnsi"/>
        </w:rPr>
        <w:t>al theological</w:t>
      </w:r>
      <w:r w:rsidR="003F03D4">
        <w:rPr>
          <w:rFonts w:cstheme="minorHAnsi"/>
        </w:rPr>
        <w:t xml:space="preserve"> </w:t>
      </w:r>
      <w:r w:rsidR="003F03D4">
        <w:rPr>
          <w:rFonts w:cstheme="minorHAnsi"/>
          <w:i/>
          <w:iCs/>
        </w:rPr>
        <w:t>hooks</w:t>
      </w:r>
      <w:r w:rsidR="009D5DC4">
        <w:rPr>
          <w:rFonts w:cstheme="minorHAnsi"/>
        </w:rPr>
        <w:t xml:space="preserve"> </w:t>
      </w:r>
      <w:r w:rsidR="003F03D4">
        <w:rPr>
          <w:rFonts w:cstheme="minorHAnsi"/>
        </w:rPr>
        <w:t xml:space="preserve">with </w:t>
      </w:r>
      <w:r w:rsidR="00A87FA0">
        <w:rPr>
          <w:rFonts w:cstheme="minorHAnsi"/>
        </w:rPr>
        <w:t xml:space="preserve">salvific </w:t>
      </w:r>
      <w:r w:rsidR="003F03D4">
        <w:rPr>
          <w:rFonts w:cstheme="minorHAnsi"/>
        </w:rPr>
        <w:t>history</w:t>
      </w:r>
      <w:r w:rsidR="00042B4B">
        <w:rPr>
          <w:rFonts w:cstheme="minorHAnsi"/>
        </w:rPr>
        <w:t xml:space="preserve">. </w:t>
      </w:r>
      <w:r w:rsidR="007A3C76">
        <w:rPr>
          <w:rFonts w:cstheme="minorHAnsi"/>
        </w:rPr>
        <w:t xml:space="preserve"> </w:t>
      </w:r>
      <w:r w:rsidR="00E154D9">
        <w:rPr>
          <w:rFonts w:cstheme="minorHAnsi"/>
        </w:rPr>
        <w:t xml:space="preserve">With the </w:t>
      </w:r>
      <w:r w:rsidR="00F667AA">
        <w:rPr>
          <w:rFonts w:cstheme="minorHAnsi"/>
        </w:rPr>
        <w:t>precept</w:t>
      </w:r>
      <w:r w:rsidR="00E154D9">
        <w:rPr>
          <w:rFonts w:cstheme="minorHAnsi"/>
        </w:rPr>
        <w:t xml:space="preserve"> of Luke-Acts</w:t>
      </w:r>
      <w:r w:rsidR="00301002">
        <w:rPr>
          <w:rFonts w:cstheme="minorHAnsi"/>
        </w:rPr>
        <w:t xml:space="preserve"> sharing </w:t>
      </w:r>
      <w:r w:rsidR="00231E10">
        <w:rPr>
          <w:rFonts w:cstheme="minorHAnsi"/>
        </w:rPr>
        <w:t>autho</w:t>
      </w:r>
      <w:r w:rsidR="00301002">
        <w:rPr>
          <w:rFonts w:cstheme="minorHAnsi"/>
        </w:rPr>
        <w:t xml:space="preserve">rship, </w:t>
      </w:r>
      <w:r w:rsidR="0023225A">
        <w:rPr>
          <w:rFonts w:cstheme="minorHAnsi"/>
        </w:rPr>
        <w:t>'</w:t>
      </w:r>
      <w:r w:rsidR="00231E10">
        <w:rPr>
          <w:rFonts w:cstheme="minorHAnsi"/>
        </w:rPr>
        <w:t>spirit</w:t>
      </w:r>
      <w:r w:rsidR="0023225A">
        <w:rPr>
          <w:rFonts w:cstheme="minorHAnsi"/>
        </w:rPr>
        <w:t>'</w:t>
      </w:r>
      <w:r w:rsidR="003C67AA">
        <w:rPr>
          <w:rFonts w:cstheme="minorHAnsi"/>
        </w:rPr>
        <w:t xml:space="preserve"> </w:t>
      </w:r>
      <w:r w:rsidR="00301002">
        <w:rPr>
          <w:rFonts w:cstheme="minorHAnsi"/>
        </w:rPr>
        <w:t xml:space="preserve">would also feature </w:t>
      </w:r>
      <w:r w:rsidR="00231E10">
        <w:rPr>
          <w:rFonts w:cstheme="minorHAnsi"/>
        </w:rPr>
        <w:t>prominent</w:t>
      </w:r>
      <w:r w:rsidR="00DE2FB8">
        <w:rPr>
          <w:rFonts w:cstheme="minorHAnsi"/>
        </w:rPr>
        <w:t>ly</w:t>
      </w:r>
      <w:r w:rsidR="00301002">
        <w:rPr>
          <w:rFonts w:cstheme="minorHAnsi"/>
        </w:rPr>
        <w:t xml:space="preserve"> </w:t>
      </w:r>
      <w:r w:rsidR="003C67AA">
        <w:rPr>
          <w:rFonts w:cstheme="minorHAnsi"/>
        </w:rPr>
        <w:t xml:space="preserve">in </w:t>
      </w:r>
      <w:r w:rsidR="003C67AA">
        <w:rPr>
          <w:rFonts w:cstheme="minorHAnsi"/>
        </w:rPr>
        <w:t>Acts</w:t>
      </w:r>
      <w:r w:rsidR="003C67AA">
        <w:rPr>
          <w:rFonts w:cstheme="minorHAnsi"/>
        </w:rPr>
        <w:t>.</w:t>
      </w:r>
      <w:r w:rsidR="00DE2FB8">
        <w:rPr>
          <w:rFonts w:cstheme="minorHAnsi"/>
        </w:rPr>
        <w:t xml:space="preserve"> </w:t>
      </w:r>
    </w:p>
    <w:p w14:paraId="222F66E2" w14:textId="532E6255" w:rsidR="00E9707C" w:rsidRDefault="00E9707C" w:rsidP="00C20047">
      <w:pPr>
        <w:spacing w:line="360" w:lineRule="auto"/>
        <w:ind w:left="703" w:right="703" w:firstLine="0"/>
        <w:jc w:val="both"/>
        <w:rPr>
          <w:rFonts w:cstheme="minorHAnsi"/>
        </w:rPr>
      </w:pPr>
    </w:p>
    <w:p w14:paraId="573ABE5B" w14:textId="3B7DDBEA" w:rsidR="00E9707C" w:rsidRDefault="00E9707C" w:rsidP="00C20047">
      <w:pPr>
        <w:spacing w:line="240" w:lineRule="auto"/>
        <w:ind w:left="703" w:right="703" w:firstLine="0"/>
        <w:jc w:val="both"/>
        <w:rPr>
          <w:rFonts w:cstheme="minorHAnsi"/>
        </w:rPr>
      </w:pPr>
    </w:p>
    <w:p w14:paraId="666A7B1E" w14:textId="1E02294F" w:rsidR="00AD284D" w:rsidRDefault="00AD284D" w:rsidP="00C20047">
      <w:pPr>
        <w:spacing w:line="240" w:lineRule="auto"/>
        <w:ind w:left="703" w:right="703" w:firstLine="0"/>
        <w:jc w:val="both"/>
        <w:rPr>
          <w:rFonts w:cstheme="minorHAnsi"/>
        </w:rPr>
      </w:pPr>
    </w:p>
    <w:p w14:paraId="53F77565" w14:textId="77777777" w:rsidR="00AD284D" w:rsidRPr="002F24E1" w:rsidRDefault="00AD284D" w:rsidP="00C20047">
      <w:pPr>
        <w:spacing w:line="240" w:lineRule="auto"/>
        <w:ind w:left="703" w:right="703" w:firstLine="0"/>
        <w:jc w:val="both"/>
        <w:rPr>
          <w:rFonts w:cstheme="minorHAnsi"/>
        </w:rPr>
      </w:pPr>
    </w:p>
    <w:p w14:paraId="1E4688E8" w14:textId="12FEF437" w:rsidR="009D2216" w:rsidRDefault="009D2216" w:rsidP="00C20047">
      <w:pPr>
        <w:spacing w:line="240" w:lineRule="auto"/>
        <w:ind w:left="703" w:right="703" w:firstLine="0"/>
        <w:jc w:val="center"/>
        <w:rPr>
          <w:rFonts w:ascii="Arial" w:hAnsi="Arial" w:cs="Arial"/>
          <w:vertAlign w:val="subscript"/>
        </w:rPr>
      </w:pPr>
    </w:p>
    <w:p w14:paraId="225D14FC" w14:textId="77777777" w:rsidR="009D2216" w:rsidRDefault="009D2216" w:rsidP="00C20047">
      <w:pPr>
        <w:suppressAutoHyphens w:val="0"/>
        <w:spacing w:line="240" w:lineRule="auto"/>
        <w:ind w:left="703" w:right="703" w:firstLine="0"/>
        <w:rPr>
          <w:rFonts w:ascii="Arial" w:hAnsi="Arial" w:cs="Arial"/>
          <w:vertAlign w:val="subscript"/>
        </w:rPr>
      </w:pPr>
    </w:p>
    <w:p w14:paraId="1A6ED679" w14:textId="05E8F504" w:rsidR="00AA5434" w:rsidRDefault="00AA5434" w:rsidP="00C20047">
      <w:pPr>
        <w:spacing w:line="240" w:lineRule="auto"/>
        <w:ind w:left="703" w:right="703" w:firstLine="0"/>
        <w:jc w:val="center"/>
        <w:rPr>
          <w:rFonts w:ascii="Arial" w:hAnsi="Arial" w:cs="Arial"/>
        </w:rPr>
      </w:pPr>
      <w:r>
        <w:rPr>
          <w:rFonts w:ascii="Arial" w:hAnsi="Arial" w:cs="Arial"/>
        </w:rPr>
        <w:t>2</w:t>
      </w:r>
      <w:r>
        <w:rPr>
          <w:rFonts w:ascii="Arial" w:hAnsi="Arial" w:cs="Arial"/>
        </w:rPr>
        <w:t>C</w:t>
      </w:r>
      <w:r>
        <w:rPr>
          <w:rFonts w:ascii="Arial" w:hAnsi="Arial" w:cs="Arial"/>
        </w:rPr>
        <w:t>.</w:t>
      </w:r>
      <w:r w:rsidR="00947688">
        <w:rPr>
          <w:rFonts w:ascii="Arial" w:hAnsi="Arial" w:cs="Arial"/>
        </w:rPr>
        <w:t xml:space="preserve"> The Importance of</w:t>
      </w:r>
      <w:r>
        <w:rPr>
          <w:rFonts w:ascii="Arial" w:hAnsi="Arial" w:cs="Arial"/>
        </w:rPr>
        <w:t xml:space="preserve"> </w:t>
      </w:r>
      <w:r w:rsidR="001F4A3F">
        <w:rPr>
          <w:rFonts w:ascii="Arial" w:hAnsi="Arial" w:cs="Arial"/>
        </w:rPr>
        <w:t xml:space="preserve">Translational </w:t>
      </w:r>
      <w:r w:rsidR="00947688">
        <w:rPr>
          <w:rFonts w:ascii="Arial" w:hAnsi="Arial" w:cs="Arial"/>
        </w:rPr>
        <w:t>Factors</w:t>
      </w:r>
    </w:p>
    <w:p w14:paraId="29269A2E" w14:textId="73FE2110" w:rsidR="00AA5434" w:rsidRDefault="00AA5434" w:rsidP="00C20047">
      <w:pPr>
        <w:spacing w:line="240" w:lineRule="auto"/>
        <w:ind w:left="703" w:right="703" w:firstLine="0"/>
        <w:jc w:val="center"/>
        <w:rPr>
          <w:rFonts w:ascii="Arial" w:hAnsi="Arial" w:cs="Arial"/>
          <w:vertAlign w:val="subscript"/>
        </w:rPr>
      </w:pPr>
      <w:r w:rsidRPr="00FD019B">
        <w:rPr>
          <w:rFonts w:ascii="Arial" w:hAnsi="Arial" w:cs="Arial"/>
          <w:vertAlign w:val="subscript"/>
        </w:rPr>
        <w:t>(</w:t>
      </w:r>
      <w:r>
        <w:rPr>
          <w:rFonts w:ascii="Arial" w:hAnsi="Arial" w:cs="Arial"/>
          <w:vertAlign w:val="subscript"/>
        </w:rPr>
        <w:t>Consolidating its scriptural significance</w:t>
      </w:r>
      <w:r w:rsidRPr="00FD019B">
        <w:rPr>
          <w:rFonts w:ascii="Arial" w:hAnsi="Arial" w:cs="Arial"/>
          <w:vertAlign w:val="subscript"/>
        </w:rPr>
        <w:t xml:space="preserve">) </w:t>
      </w:r>
    </w:p>
    <w:p w14:paraId="77476050" w14:textId="77777777" w:rsidR="00845855" w:rsidRDefault="00845855" w:rsidP="00C20047">
      <w:pPr>
        <w:spacing w:line="240" w:lineRule="auto"/>
        <w:ind w:left="703" w:right="703" w:firstLine="0"/>
        <w:jc w:val="center"/>
        <w:rPr>
          <w:rFonts w:ascii="Arial" w:hAnsi="Arial" w:cs="Arial"/>
          <w:vertAlign w:val="subscript"/>
        </w:rPr>
      </w:pPr>
    </w:p>
    <w:p w14:paraId="39DC3F58" w14:textId="77777777" w:rsidR="00751C28" w:rsidRDefault="00722AB5" w:rsidP="00751C28">
      <w:pPr>
        <w:ind w:left="703" w:right="703"/>
        <w:jc w:val="both"/>
        <w:rPr>
          <w:rFonts w:ascii="Times New Roman" w:hAnsi="Times New Roman" w:cs="Times New Roman"/>
        </w:rPr>
      </w:pPr>
      <w:r w:rsidRPr="00E77889">
        <w:rPr>
          <w:rFonts w:ascii="Times New Roman" w:hAnsi="Times New Roman" w:cs="Times New Roman"/>
        </w:rPr>
        <w:t xml:space="preserve">On consulting a variety of reputable online resources (dictionaries and encyclopaedias), it is </w:t>
      </w:r>
      <w:r w:rsidR="00BC1D86">
        <w:rPr>
          <w:rFonts w:ascii="Times New Roman" w:hAnsi="Times New Roman" w:cs="Times New Roman"/>
        </w:rPr>
        <w:t>essential</w:t>
      </w:r>
      <w:r w:rsidRPr="00E77889">
        <w:rPr>
          <w:rFonts w:ascii="Times New Roman" w:hAnsi="Times New Roman" w:cs="Times New Roman"/>
        </w:rPr>
        <w:t xml:space="preserve"> to note the brevity in some of the entries for the terms</w:t>
      </w:r>
      <w:r w:rsidR="0023225A">
        <w:rPr>
          <w:rFonts w:ascii="Times New Roman" w:hAnsi="Times New Roman" w:cs="Times New Roman"/>
        </w:rPr>
        <w:t xml:space="preserve">' </w:t>
      </w:r>
      <w:r w:rsidRPr="00E77889">
        <w:rPr>
          <w:rFonts w:ascii="Times New Roman" w:hAnsi="Times New Roman" w:cs="Times New Roman"/>
        </w:rPr>
        <w:t>Septuagint</w:t>
      </w:r>
      <w:r w:rsidR="0023225A">
        <w:rPr>
          <w:rFonts w:ascii="Times New Roman" w:hAnsi="Times New Roman" w:cs="Times New Roman"/>
        </w:rPr>
        <w:t>'</w:t>
      </w:r>
      <w:r w:rsidRPr="00E77889">
        <w:rPr>
          <w:rFonts w:ascii="Times New Roman" w:hAnsi="Times New Roman" w:cs="Times New Roman"/>
        </w:rPr>
        <w:t xml:space="preserve"> and </w:t>
      </w:r>
      <w:r w:rsidR="0023225A">
        <w:rPr>
          <w:rFonts w:ascii="Times New Roman" w:hAnsi="Times New Roman" w:cs="Times New Roman"/>
        </w:rPr>
        <w:t>'</w:t>
      </w:r>
      <w:r w:rsidRPr="00E77889">
        <w:rPr>
          <w:rFonts w:ascii="Times New Roman" w:hAnsi="Times New Roman" w:cs="Times New Roman"/>
        </w:rPr>
        <w:t>Vulgate</w:t>
      </w:r>
      <w:r w:rsidR="0023225A">
        <w:rPr>
          <w:rFonts w:ascii="Times New Roman" w:hAnsi="Times New Roman" w:cs="Times New Roman"/>
        </w:rPr>
        <w:t>'</w:t>
      </w:r>
      <w:r w:rsidRPr="00E77889">
        <w:rPr>
          <w:rFonts w:ascii="Times New Roman" w:hAnsi="Times New Roman" w:cs="Times New Roman"/>
        </w:rPr>
        <w:t xml:space="preserve">. From a source purporting to be a </w:t>
      </w:r>
      <w:r w:rsidRPr="00E77889">
        <w:rPr>
          <w:rFonts w:ascii="Times New Roman" w:hAnsi="Times New Roman" w:cs="Times New Roman"/>
          <w:i/>
          <w:iCs/>
        </w:rPr>
        <w:t>Dictionary of Religion</w:t>
      </w:r>
      <w:r w:rsidRPr="00E77889">
        <w:rPr>
          <w:rFonts w:ascii="Times New Roman" w:hAnsi="Times New Roman" w:cs="Times New Roman"/>
        </w:rPr>
        <w:t xml:space="preserve"> (with no mention of the source being concise)</w:t>
      </w:r>
      <w:r w:rsidR="00BC1D86">
        <w:rPr>
          <w:rFonts w:ascii="Times New Roman" w:hAnsi="Times New Roman" w:cs="Times New Roman"/>
        </w:rPr>
        <w:t>,</w:t>
      </w:r>
      <w:r w:rsidRPr="00E77889">
        <w:rPr>
          <w:rFonts w:ascii="Times New Roman" w:hAnsi="Times New Roman" w:cs="Times New Roman"/>
        </w:rPr>
        <w:t xml:space="preserve"> the entries were surpassed in length and detail in a World Reference Encyclopaedia, and then furthermore so in Classical Dictionary. At this</w:t>
      </w:r>
      <w:r w:rsidR="00BC1D86">
        <w:rPr>
          <w:rFonts w:ascii="Times New Roman" w:hAnsi="Times New Roman" w:cs="Times New Roman"/>
        </w:rPr>
        <w:t>,</w:t>
      </w:r>
      <w:r w:rsidRPr="00E77889">
        <w:rPr>
          <w:rFonts w:ascii="Times New Roman" w:hAnsi="Times New Roman" w:cs="Times New Roman"/>
        </w:rPr>
        <w:t xml:space="preserve"> however, questions arise as</w:t>
      </w:r>
      <w:r w:rsidR="001B2F15">
        <w:rPr>
          <w:rFonts w:ascii="Times New Roman" w:hAnsi="Times New Roman" w:cs="Times New Roman"/>
        </w:rPr>
        <w:t xml:space="preserve"> to</w:t>
      </w:r>
      <w:r w:rsidRPr="00E77889">
        <w:rPr>
          <w:rFonts w:ascii="Times New Roman" w:hAnsi="Times New Roman" w:cs="Times New Roman"/>
        </w:rPr>
        <w:t xml:space="preserve"> whether there </w:t>
      </w:r>
      <w:r w:rsidRPr="00E77889">
        <w:rPr>
          <w:rFonts w:ascii="Times New Roman" w:hAnsi="Times New Roman" w:cs="Times New Roman"/>
          <w:i/>
          <w:iCs/>
        </w:rPr>
        <w:t>is</w:t>
      </w:r>
      <w:r w:rsidRPr="00E77889">
        <w:rPr>
          <w:rFonts w:ascii="Times New Roman" w:hAnsi="Times New Roman" w:cs="Times New Roman"/>
        </w:rPr>
        <w:t xml:space="preserve"> indeed </w:t>
      </w:r>
      <w:r w:rsidR="001B2F15">
        <w:rPr>
          <w:rFonts w:ascii="Times New Roman" w:hAnsi="Times New Roman" w:cs="Times New Roman"/>
        </w:rPr>
        <w:t>more excellent</w:t>
      </w:r>
      <w:r w:rsidRPr="00E77889">
        <w:rPr>
          <w:rFonts w:ascii="Times New Roman" w:hAnsi="Times New Roman" w:cs="Times New Roman"/>
        </w:rPr>
        <w:t xml:space="preserve"> utility in a lengthier entry. In formulating an effectual synopsis of the various entry terms and utilising a judicious range of data from each source to build upon previous basal information aided in the development of subject</w:t>
      </w:r>
      <w:r w:rsidR="001B2F15">
        <w:rPr>
          <w:rFonts w:ascii="Times New Roman" w:hAnsi="Times New Roman" w:cs="Times New Roman"/>
        </w:rPr>
        <w:t>-</w:t>
      </w:r>
      <w:r w:rsidRPr="00E77889">
        <w:rPr>
          <w:rFonts w:ascii="Times New Roman" w:hAnsi="Times New Roman" w:cs="Times New Roman"/>
        </w:rPr>
        <w:t>specific background knowledge as to how developments in original text translations of sacred scripture have not only been impacted but how they have simultaneously been impactful for academic study over the centuries.</w:t>
      </w:r>
      <w:r>
        <w:rPr>
          <w:rFonts w:ascii="Times New Roman" w:hAnsi="Times New Roman" w:cs="Times New Roman"/>
        </w:rPr>
        <w:t xml:space="preserve"> </w:t>
      </w:r>
    </w:p>
    <w:p w14:paraId="5A001787" w14:textId="77777777" w:rsidR="00751C28" w:rsidRDefault="00751C28" w:rsidP="00751C28">
      <w:pPr>
        <w:ind w:left="703" w:right="703"/>
        <w:jc w:val="both"/>
        <w:rPr>
          <w:rFonts w:ascii="Times New Roman" w:hAnsi="Times New Roman" w:cs="Times New Roman"/>
        </w:rPr>
      </w:pPr>
    </w:p>
    <w:p w14:paraId="039C5198" w14:textId="5176EA1C" w:rsidR="00AA5434" w:rsidRDefault="00AA5434" w:rsidP="00751C28">
      <w:pPr>
        <w:ind w:left="703" w:right="703"/>
        <w:jc w:val="center"/>
        <w:rPr>
          <w:rFonts w:ascii="Arial" w:hAnsi="Arial" w:cs="Arial"/>
        </w:rPr>
      </w:pPr>
      <w:r>
        <w:rPr>
          <w:rFonts w:ascii="Arial" w:hAnsi="Arial" w:cs="Arial"/>
        </w:rPr>
        <w:t>2</w:t>
      </w:r>
      <w:r>
        <w:rPr>
          <w:rFonts w:ascii="Arial" w:hAnsi="Arial" w:cs="Arial"/>
        </w:rPr>
        <w:t>D</w:t>
      </w:r>
      <w:r>
        <w:rPr>
          <w:rFonts w:ascii="Arial" w:hAnsi="Arial" w:cs="Arial"/>
        </w:rPr>
        <w:t xml:space="preserve">. </w:t>
      </w:r>
      <w:r w:rsidR="0053513D">
        <w:rPr>
          <w:rFonts w:ascii="Arial" w:hAnsi="Arial" w:cs="Arial"/>
        </w:rPr>
        <w:t>Of Intention and Origin</w:t>
      </w:r>
    </w:p>
    <w:p w14:paraId="1EF2EF0A" w14:textId="3303DD99" w:rsidR="00AA5434" w:rsidRDefault="00AA5434" w:rsidP="00C20047">
      <w:pPr>
        <w:spacing w:line="240" w:lineRule="auto"/>
        <w:ind w:left="703" w:right="703" w:firstLine="0"/>
        <w:jc w:val="center"/>
        <w:rPr>
          <w:rFonts w:ascii="Arial" w:hAnsi="Arial" w:cs="Arial"/>
          <w:vertAlign w:val="subscript"/>
        </w:rPr>
      </w:pPr>
      <w:r w:rsidRPr="00FD019B">
        <w:rPr>
          <w:rFonts w:ascii="Arial" w:hAnsi="Arial" w:cs="Arial"/>
          <w:vertAlign w:val="subscript"/>
        </w:rPr>
        <w:t>(</w:t>
      </w:r>
      <w:r w:rsidR="00535724">
        <w:rPr>
          <w:rFonts w:ascii="Arial" w:hAnsi="Arial" w:cs="Arial"/>
          <w:vertAlign w:val="subscript"/>
        </w:rPr>
        <w:t>D</w:t>
      </w:r>
      <w:r w:rsidR="00441A36">
        <w:rPr>
          <w:rFonts w:ascii="Arial" w:hAnsi="Arial" w:cs="Arial"/>
          <w:vertAlign w:val="subscript"/>
        </w:rPr>
        <w:t xml:space="preserve">ifferent translations </w:t>
      </w:r>
      <w:r w:rsidR="00521374">
        <w:rPr>
          <w:rFonts w:ascii="Arial" w:hAnsi="Arial" w:cs="Arial"/>
          <w:vertAlign w:val="subscript"/>
        </w:rPr>
        <w:t>and intentions for Academic Biblical and Theological Study</w:t>
      </w:r>
      <w:r w:rsidRPr="00FD019B">
        <w:rPr>
          <w:rFonts w:ascii="Arial" w:hAnsi="Arial" w:cs="Arial"/>
          <w:vertAlign w:val="subscript"/>
        </w:rPr>
        <w:t xml:space="preserve">) </w:t>
      </w:r>
    </w:p>
    <w:p w14:paraId="20100C88" w14:textId="77777777" w:rsidR="00AA5434" w:rsidRDefault="00AA5434" w:rsidP="00C20047">
      <w:pPr>
        <w:spacing w:line="240" w:lineRule="auto"/>
        <w:ind w:left="703" w:right="703" w:firstLine="0"/>
        <w:jc w:val="center"/>
        <w:rPr>
          <w:rFonts w:ascii="Arial" w:hAnsi="Arial" w:cs="Arial"/>
          <w:vertAlign w:val="subscript"/>
        </w:rPr>
      </w:pPr>
    </w:p>
    <w:p w14:paraId="3E10B1A1" w14:textId="77777777" w:rsidR="00AA5434" w:rsidRDefault="00AA5434" w:rsidP="00C20047">
      <w:pPr>
        <w:spacing w:line="240" w:lineRule="auto"/>
        <w:ind w:left="703" w:right="703" w:firstLine="0"/>
        <w:jc w:val="center"/>
        <w:rPr>
          <w:rFonts w:ascii="Arial" w:hAnsi="Arial" w:cs="Arial"/>
          <w:vertAlign w:val="subscript"/>
        </w:rPr>
      </w:pPr>
    </w:p>
    <w:p w14:paraId="1DC84F3A" w14:textId="3D7473EE" w:rsidR="000F2163" w:rsidRDefault="006169DC" w:rsidP="00C20047">
      <w:pPr>
        <w:suppressAutoHyphens w:val="0"/>
        <w:ind w:left="703" w:right="703"/>
        <w:jc w:val="both"/>
        <w:rPr>
          <w:rFonts w:ascii="Times New Roman" w:hAnsi="Times New Roman" w:cs="Times New Roman"/>
        </w:rPr>
      </w:pPr>
      <w:r>
        <w:rPr>
          <w:rFonts w:ascii="Times New Roman" w:hAnsi="Times New Roman" w:cs="Times New Roman"/>
        </w:rPr>
        <w:t xml:space="preserve">It is crucial to have at least a fundamental understanding that there are different translations of the Bible, </w:t>
      </w:r>
      <w:r w:rsidR="007118B2">
        <w:rPr>
          <w:rFonts w:ascii="Times New Roman" w:hAnsi="Times New Roman" w:cs="Times New Roman"/>
        </w:rPr>
        <w:t>especially</w:t>
      </w:r>
      <w:r>
        <w:rPr>
          <w:rFonts w:ascii="Times New Roman" w:hAnsi="Times New Roman" w:cs="Times New Roman"/>
        </w:rPr>
        <w:t xml:space="preserve"> if one is to undertake any form of academic study </w:t>
      </w:r>
      <w:r w:rsidR="00A670BF">
        <w:rPr>
          <w:rFonts w:ascii="Times New Roman" w:hAnsi="Times New Roman" w:cs="Times New Roman"/>
        </w:rPr>
        <w:t xml:space="preserve">relating to scripture. </w:t>
      </w:r>
      <w:r w:rsidR="007118B2">
        <w:rPr>
          <w:rFonts w:ascii="Times New Roman" w:hAnsi="Times New Roman" w:cs="Times New Roman"/>
        </w:rPr>
        <w:t xml:space="preserve">The </w:t>
      </w:r>
      <w:r w:rsidR="001B7F31">
        <w:rPr>
          <w:rFonts w:ascii="Times New Roman" w:hAnsi="Times New Roman" w:cs="Times New Roman"/>
        </w:rPr>
        <w:t xml:space="preserve">many </w:t>
      </w:r>
      <w:r w:rsidR="007118B2">
        <w:rPr>
          <w:rFonts w:ascii="Times New Roman" w:hAnsi="Times New Roman" w:cs="Times New Roman"/>
        </w:rPr>
        <w:t xml:space="preserve">different translations </w:t>
      </w:r>
      <w:r w:rsidR="001B7F31">
        <w:rPr>
          <w:rFonts w:ascii="Times New Roman" w:hAnsi="Times New Roman" w:cs="Times New Roman"/>
        </w:rPr>
        <w:t>will serve a variety of purposes</w:t>
      </w:r>
      <w:r w:rsidR="00D26EB4">
        <w:rPr>
          <w:rFonts w:ascii="Times New Roman" w:hAnsi="Times New Roman" w:cs="Times New Roman"/>
        </w:rPr>
        <w:t xml:space="preserve">, </w:t>
      </w:r>
      <w:r w:rsidR="00F4238E">
        <w:rPr>
          <w:rFonts w:ascii="Times New Roman" w:hAnsi="Times New Roman" w:cs="Times New Roman"/>
        </w:rPr>
        <w:t>audiences,</w:t>
      </w:r>
      <w:r w:rsidR="00D26EB4">
        <w:rPr>
          <w:rFonts w:ascii="Times New Roman" w:hAnsi="Times New Roman" w:cs="Times New Roman"/>
        </w:rPr>
        <w:t xml:space="preserve"> and situations. The NRSV(A) </w:t>
      </w:r>
      <w:r w:rsidR="009D1D42">
        <w:rPr>
          <w:rFonts w:ascii="Times New Roman" w:hAnsi="Times New Roman" w:cs="Times New Roman"/>
        </w:rPr>
        <w:t xml:space="preserve">is </w:t>
      </w:r>
      <w:r w:rsidR="00F4238E">
        <w:rPr>
          <w:rFonts w:ascii="Times New Roman" w:hAnsi="Times New Roman" w:cs="Times New Roman"/>
        </w:rPr>
        <w:t xml:space="preserve">taken to be </w:t>
      </w:r>
      <w:r w:rsidR="009D1D42">
        <w:rPr>
          <w:rFonts w:ascii="Times New Roman" w:hAnsi="Times New Roman" w:cs="Times New Roman"/>
        </w:rPr>
        <w:t xml:space="preserve">the </w:t>
      </w:r>
      <w:r w:rsidR="009D1D42">
        <w:rPr>
          <w:rFonts w:ascii="Times New Roman" w:hAnsi="Times New Roman" w:cs="Times New Roman"/>
          <w:i/>
          <w:iCs/>
        </w:rPr>
        <w:t xml:space="preserve">sui generis </w:t>
      </w:r>
      <w:r w:rsidR="00017C15">
        <w:rPr>
          <w:rFonts w:ascii="Times New Roman" w:hAnsi="Times New Roman" w:cs="Times New Roman"/>
        </w:rPr>
        <w:t xml:space="preserve">translation </w:t>
      </w:r>
      <w:r w:rsidR="00DE0EDB">
        <w:rPr>
          <w:rFonts w:ascii="Times New Roman" w:hAnsi="Times New Roman" w:cs="Times New Roman"/>
        </w:rPr>
        <w:t xml:space="preserve">for </w:t>
      </w:r>
      <w:r w:rsidR="00ED7C62">
        <w:rPr>
          <w:rFonts w:ascii="Times New Roman" w:hAnsi="Times New Roman" w:cs="Times New Roman"/>
        </w:rPr>
        <w:t>academic</w:t>
      </w:r>
      <w:r w:rsidR="00DE0EDB">
        <w:rPr>
          <w:rFonts w:ascii="Times New Roman" w:hAnsi="Times New Roman" w:cs="Times New Roman"/>
        </w:rPr>
        <w:t xml:space="preserve"> use </w:t>
      </w:r>
      <w:r w:rsidR="008275E7">
        <w:rPr>
          <w:rFonts w:ascii="Times New Roman" w:hAnsi="Times New Roman" w:cs="Times New Roman"/>
        </w:rPr>
        <w:t xml:space="preserve">as it places a greater </w:t>
      </w:r>
      <w:r w:rsidR="00343451">
        <w:rPr>
          <w:rFonts w:ascii="Times New Roman" w:hAnsi="Times New Roman" w:cs="Times New Roman"/>
        </w:rPr>
        <w:t>emphasis on a more accurate translation of the original languages.</w:t>
      </w:r>
      <w:r w:rsidR="00CD3B26">
        <w:rPr>
          <w:rFonts w:ascii="Times New Roman" w:hAnsi="Times New Roman" w:cs="Times New Roman"/>
        </w:rPr>
        <w:t xml:space="preserve"> </w:t>
      </w:r>
      <w:r w:rsidR="00CD3B26">
        <w:rPr>
          <w:rStyle w:val="FootnoteReference"/>
          <w:rFonts w:ascii="Times New Roman" w:hAnsi="Times New Roman" w:cs="Times New Roman"/>
        </w:rPr>
        <w:footnoteReference w:id="8"/>
      </w:r>
      <w:r w:rsidR="00343451">
        <w:rPr>
          <w:rFonts w:ascii="Times New Roman" w:hAnsi="Times New Roman" w:cs="Times New Roman"/>
        </w:rPr>
        <w:t xml:space="preserve"> It is also t</w:t>
      </w:r>
      <w:r w:rsidR="007C52F5">
        <w:rPr>
          <w:rFonts w:ascii="Times New Roman" w:hAnsi="Times New Roman" w:cs="Times New Roman"/>
        </w:rPr>
        <w:t>aken to be the most utile version for a variety of users, whether for personal th</w:t>
      </w:r>
      <w:r w:rsidR="00C5773B">
        <w:rPr>
          <w:rFonts w:ascii="Times New Roman" w:hAnsi="Times New Roman" w:cs="Times New Roman"/>
        </w:rPr>
        <w:t>eological study for a person of faith, a study with more academic rigour</w:t>
      </w:r>
      <w:r w:rsidR="00B779EF">
        <w:rPr>
          <w:rFonts w:ascii="Times New Roman" w:hAnsi="Times New Roman" w:cs="Times New Roman"/>
        </w:rPr>
        <w:t>, or for a faith leader to deliver from in a service.</w:t>
      </w:r>
      <w:r w:rsidR="00343451">
        <w:rPr>
          <w:rFonts w:ascii="Times New Roman" w:hAnsi="Times New Roman" w:cs="Times New Roman"/>
        </w:rPr>
        <w:t xml:space="preserve"> </w:t>
      </w:r>
      <w:r w:rsidR="00F65D72">
        <w:rPr>
          <w:rFonts w:ascii="Times New Roman" w:hAnsi="Times New Roman" w:cs="Times New Roman"/>
        </w:rPr>
        <w:t>For personal bib</w:t>
      </w:r>
      <w:r w:rsidR="001E6E0A">
        <w:rPr>
          <w:rFonts w:ascii="Times New Roman" w:hAnsi="Times New Roman" w:cs="Times New Roman"/>
        </w:rPr>
        <w:t xml:space="preserve">le study, that is, </w:t>
      </w:r>
      <w:r w:rsidR="00F65D72">
        <w:rPr>
          <w:rFonts w:ascii="Times New Roman" w:hAnsi="Times New Roman" w:cs="Times New Roman"/>
        </w:rPr>
        <w:t xml:space="preserve">reading for </w:t>
      </w:r>
      <w:r w:rsidR="001E6E0A">
        <w:rPr>
          <w:rFonts w:ascii="Times New Roman" w:hAnsi="Times New Roman" w:cs="Times New Roman"/>
        </w:rPr>
        <w:t>enhancing one</w:t>
      </w:r>
      <w:r w:rsidR="0023225A">
        <w:rPr>
          <w:rFonts w:ascii="Times New Roman" w:hAnsi="Times New Roman" w:cs="Times New Roman"/>
        </w:rPr>
        <w:t>'</w:t>
      </w:r>
      <w:r w:rsidR="001E6E0A">
        <w:rPr>
          <w:rFonts w:ascii="Times New Roman" w:hAnsi="Times New Roman" w:cs="Times New Roman"/>
        </w:rPr>
        <w:t xml:space="preserve">s spiritual development, there </w:t>
      </w:r>
      <w:r w:rsidR="0023225A">
        <w:rPr>
          <w:rFonts w:ascii="Times New Roman" w:hAnsi="Times New Roman" w:cs="Times New Roman"/>
        </w:rPr>
        <w:t>is</w:t>
      </w:r>
      <w:r w:rsidR="001E6E0A">
        <w:rPr>
          <w:rFonts w:ascii="Times New Roman" w:hAnsi="Times New Roman" w:cs="Times New Roman"/>
        </w:rPr>
        <w:t xml:space="preserve"> any num</w:t>
      </w:r>
      <w:r w:rsidR="00E71F49">
        <w:rPr>
          <w:rFonts w:ascii="Times New Roman" w:hAnsi="Times New Roman" w:cs="Times New Roman"/>
        </w:rPr>
        <w:t xml:space="preserve">ber of </w:t>
      </w:r>
      <w:r w:rsidR="005B203A">
        <w:rPr>
          <w:rFonts w:ascii="Times New Roman" w:hAnsi="Times New Roman" w:cs="Times New Roman"/>
        </w:rPr>
        <w:t>translations</w:t>
      </w:r>
      <w:r w:rsidR="00E71F49">
        <w:rPr>
          <w:rFonts w:ascii="Times New Roman" w:hAnsi="Times New Roman" w:cs="Times New Roman"/>
        </w:rPr>
        <w:t xml:space="preserve"> that may fit </w:t>
      </w:r>
      <w:r w:rsidR="00FC2FC0">
        <w:rPr>
          <w:rFonts w:ascii="Times New Roman" w:hAnsi="Times New Roman" w:cs="Times New Roman"/>
        </w:rPr>
        <w:t>the idiosyncrasies of the one looking for spiritual growth.</w:t>
      </w:r>
      <w:r w:rsidR="009932F2">
        <w:rPr>
          <w:rFonts w:ascii="Times New Roman" w:hAnsi="Times New Roman" w:cs="Times New Roman"/>
        </w:rPr>
        <w:t xml:space="preserve"> </w:t>
      </w:r>
    </w:p>
    <w:p w14:paraId="322D629B" w14:textId="5C04A886" w:rsidR="0044038B" w:rsidRPr="003B4B7F" w:rsidRDefault="0044038B" w:rsidP="0044038B">
      <w:pPr>
        <w:spacing w:line="360" w:lineRule="auto"/>
        <w:ind w:left="703" w:right="703"/>
        <w:jc w:val="both"/>
      </w:pPr>
      <w:r>
        <w:rPr>
          <w:rFonts w:ascii="Times New Roman" w:hAnsi="Times New Roman" w:cs="Times New Roman"/>
        </w:rPr>
        <w:t xml:space="preserve">In 1535, Coverdale had the first </w:t>
      </w:r>
      <w:r w:rsidRPr="00CE46F5">
        <w:rPr>
          <w:rFonts w:ascii="Times New Roman" w:hAnsi="Times New Roman" w:cs="Times New Roman"/>
          <w:i/>
          <w:iCs/>
        </w:rPr>
        <w:t>complete</w:t>
      </w:r>
      <w:r>
        <w:rPr>
          <w:rFonts w:ascii="Times New Roman" w:hAnsi="Times New Roman" w:cs="Times New Roman"/>
        </w:rPr>
        <w:t xml:space="preserve"> English language bible published. Unfortunately, the Coverdale Bible relied heavily on its precursor, the Tyndale Bible. This was not a complete manuscript but provided a strong base for Coverdale to work upon. </w:t>
      </w:r>
      <w:r>
        <w:rPr>
          <w:rStyle w:val="FootnoteReference"/>
          <w:rFonts w:ascii="Times New Roman" w:hAnsi="Times New Roman" w:cs="Times New Roman"/>
        </w:rPr>
        <w:footnoteReference w:id="9"/>
      </w:r>
      <w:r>
        <w:rPr>
          <w:rFonts w:ascii="Times New Roman" w:hAnsi="Times New Roman" w:cs="Times New Roman"/>
        </w:rPr>
        <w:t xml:space="preserve">  Before this, there were only ever incomplete, fragmentary manuscripts in the English language; however, these have been dated back as far as the 7</w:t>
      </w:r>
      <w:r w:rsidRPr="00185D20">
        <w:rPr>
          <w:rFonts w:ascii="Times New Roman" w:hAnsi="Times New Roman" w:cs="Times New Roman"/>
          <w:vertAlign w:val="superscript"/>
        </w:rPr>
        <w:t>th</w:t>
      </w:r>
      <w:r>
        <w:rPr>
          <w:rFonts w:ascii="Times New Roman" w:hAnsi="Times New Roman" w:cs="Times New Roman"/>
        </w:rPr>
        <w:t xml:space="preserve"> century. </w:t>
      </w:r>
      <w:r>
        <w:rPr>
          <w:rStyle w:val="FootnoteReference"/>
          <w:rFonts w:ascii="Times New Roman" w:hAnsi="Times New Roman" w:cs="Times New Roman"/>
        </w:rPr>
        <w:footnoteReference w:id="10"/>
      </w:r>
      <w:r w:rsidR="00861256">
        <w:rPr>
          <w:rFonts w:ascii="Times New Roman" w:hAnsi="Times New Roman" w:cs="Times New Roman"/>
        </w:rPr>
        <w:t xml:space="preserve"> </w:t>
      </w:r>
      <w:r w:rsidR="007E7079">
        <w:rPr>
          <w:rFonts w:ascii="Times New Roman" w:hAnsi="Times New Roman" w:cs="Times New Roman"/>
        </w:rPr>
        <w:t xml:space="preserve">Expanding out </w:t>
      </w:r>
      <w:r w:rsidR="0015543D">
        <w:rPr>
          <w:rFonts w:ascii="Times New Roman" w:hAnsi="Times New Roman" w:cs="Times New Roman"/>
        </w:rPr>
        <w:t>into European</w:t>
      </w:r>
      <w:r w:rsidR="007E7079">
        <w:rPr>
          <w:rFonts w:ascii="Times New Roman" w:hAnsi="Times New Roman" w:cs="Times New Roman"/>
        </w:rPr>
        <w:t xml:space="preserve"> </w:t>
      </w:r>
      <w:r w:rsidR="00336555">
        <w:rPr>
          <w:rFonts w:ascii="Times New Roman" w:hAnsi="Times New Roman" w:cs="Times New Roman"/>
        </w:rPr>
        <w:t>Christendom, it was Erasmus of Rotterdam</w:t>
      </w:r>
      <w:r w:rsidR="00EB6AA9">
        <w:rPr>
          <w:rFonts w:ascii="Times New Roman" w:hAnsi="Times New Roman" w:cs="Times New Roman"/>
        </w:rPr>
        <w:t xml:space="preserve"> </w:t>
      </w:r>
      <w:r w:rsidR="00F714F5">
        <w:rPr>
          <w:rFonts w:ascii="Times New Roman" w:hAnsi="Times New Roman" w:cs="Times New Roman"/>
        </w:rPr>
        <w:t>ingenuity</w:t>
      </w:r>
      <w:r w:rsidR="003B4B7F">
        <w:rPr>
          <w:rFonts w:ascii="Times New Roman" w:hAnsi="Times New Roman" w:cs="Times New Roman"/>
        </w:rPr>
        <w:t xml:space="preserve"> with the </w:t>
      </w:r>
      <w:r w:rsidR="00251B83">
        <w:rPr>
          <w:rFonts w:ascii="Times New Roman" w:hAnsi="Times New Roman" w:cs="Times New Roman"/>
        </w:rPr>
        <w:t xml:space="preserve">publication of </w:t>
      </w:r>
      <w:r w:rsidR="00F714F5">
        <w:rPr>
          <w:rFonts w:ascii="Times New Roman" w:hAnsi="Times New Roman" w:cs="Times New Roman"/>
        </w:rPr>
        <w:t xml:space="preserve">his </w:t>
      </w:r>
      <w:r w:rsidR="003B4B7F">
        <w:rPr>
          <w:rFonts w:ascii="Times New Roman" w:hAnsi="Times New Roman" w:cs="Times New Roman"/>
          <w:i/>
          <w:iCs/>
        </w:rPr>
        <w:t>New Instrument</w:t>
      </w:r>
      <w:r w:rsidR="003B4B7F">
        <w:rPr>
          <w:rFonts w:ascii="Times New Roman" w:hAnsi="Times New Roman" w:cs="Times New Roman"/>
        </w:rPr>
        <w:t xml:space="preserve"> </w:t>
      </w:r>
      <w:r w:rsidR="006E193E">
        <w:rPr>
          <w:rFonts w:ascii="Times New Roman" w:hAnsi="Times New Roman" w:cs="Times New Roman"/>
        </w:rPr>
        <w:t xml:space="preserve">a formula </w:t>
      </w:r>
      <w:r w:rsidR="00251B83">
        <w:rPr>
          <w:rFonts w:ascii="Times New Roman" w:hAnsi="Times New Roman" w:cs="Times New Roman"/>
        </w:rPr>
        <w:t xml:space="preserve">that would finally allow for </w:t>
      </w:r>
      <w:r w:rsidR="006E193E">
        <w:rPr>
          <w:rFonts w:ascii="Times New Roman" w:hAnsi="Times New Roman" w:cs="Times New Roman"/>
        </w:rPr>
        <w:t xml:space="preserve">international scholars to translate </w:t>
      </w:r>
      <w:r w:rsidR="008A666C">
        <w:rPr>
          <w:rFonts w:ascii="Times New Roman" w:hAnsi="Times New Roman" w:cs="Times New Roman"/>
        </w:rPr>
        <w:t xml:space="preserve">original language texts into their own languages </w:t>
      </w:r>
      <w:r w:rsidR="00BC4168">
        <w:rPr>
          <w:rFonts w:ascii="Times New Roman" w:hAnsi="Times New Roman" w:cs="Times New Roman"/>
        </w:rPr>
        <w:t xml:space="preserve">during the </w:t>
      </w:r>
      <w:r w:rsidR="00B836CC">
        <w:rPr>
          <w:rFonts w:ascii="Times New Roman" w:hAnsi="Times New Roman" w:cs="Times New Roman"/>
        </w:rPr>
        <w:t>European Reformation</w:t>
      </w:r>
      <w:r w:rsidR="00BC4168">
        <w:rPr>
          <w:rFonts w:ascii="Times New Roman" w:hAnsi="Times New Roman" w:cs="Times New Roman"/>
        </w:rPr>
        <w:t>(s).</w:t>
      </w:r>
      <w:r w:rsidR="00F64F38">
        <w:rPr>
          <w:rFonts w:ascii="Times New Roman" w:hAnsi="Times New Roman" w:cs="Times New Roman"/>
        </w:rPr>
        <w:t xml:space="preserve"> </w:t>
      </w:r>
      <w:r w:rsidR="00F64F38">
        <w:rPr>
          <w:rStyle w:val="FootnoteReference"/>
          <w:rFonts w:ascii="Times New Roman" w:hAnsi="Times New Roman" w:cs="Times New Roman"/>
        </w:rPr>
        <w:footnoteReference w:id="11"/>
      </w:r>
      <w:r w:rsidR="00B836CC">
        <w:rPr>
          <w:rFonts w:ascii="Times New Roman" w:hAnsi="Times New Roman" w:cs="Times New Roman"/>
        </w:rPr>
        <w:t xml:space="preserve"> </w:t>
      </w:r>
      <w:r w:rsidR="00B836CC">
        <w:rPr>
          <w:rStyle w:val="FootnoteReference"/>
          <w:rFonts w:ascii="Times New Roman" w:hAnsi="Times New Roman" w:cs="Times New Roman"/>
        </w:rPr>
        <w:footnoteReference w:id="12"/>
      </w:r>
    </w:p>
    <w:p w14:paraId="37903426" w14:textId="77777777" w:rsidR="0044038B" w:rsidRPr="00F4238E" w:rsidRDefault="0044038B" w:rsidP="00C20047">
      <w:pPr>
        <w:suppressAutoHyphens w:val="0"/>
        <w:ind w:left="703" w:right="703"/>
        <w:jc w:val="both"/>
        <w:rPr>
          <w:rFonts w:ascii="Times New Roman" w:hAnsi="Times New Roman" w:cs="Times New Roman"/>
        </w:rPr>
      </w:pPr>
    </w:p>
    <w:p w14:paraId="71CD5A39" w14:textId="7BDC54B9" w:rsidR="000472AC" w:rsidRDefault="00773DC1" w:rsidP="00C20047">
      <w:pPr>
        <w:suppressAutoHyphens w:val="0"/>
        <w:ind w:left="703" w:right="703" w:firstLine="0"/>
        <w:jc w:val="both"/>
        <w:rPr>
          <w:rFonts w:ascii="Times New Roman" w:hAnsi="Times New Roman" w:cs="Times New Roman"/>
        </w:rPr>
      </w:pPr>
      <w:r>
        <w:rPr>
          <w:rFonts w:ascii="Times New Roman" w:hAnsi="Times New Roman" w:cs="Times New Roman"/>
        </w:rPr>
        <w:t>The New Jerusalem Study Bible (NJSB)</w:t>
      </w:r>
      <w:r w:rsidR="0097211A">
        <w:rPr>
          <w:rFonts w:ascii="Times New Roman" w:hAnsi="Times New Roman" w:cs="Times New Roman"/>
        </w:rPr>
        <w:t xml:space="preserve"> was a required version for </w:t>
      </w:r>
      <w:r w:rsidR="00A714C9">
        <w:rPr>
          <w:rFonts w:ascii="Times New Roman" w:hAnsi="Times New Roman" w:cs="Times New Roman"/>
        </w:rPr>
        <w:t xml:space="preserve">a </w:t>
      </w:r>
      <w:r w:rsidR="0097211A">
        <w:rPr>
          <w:rFonts w:ascii="Times New Roman" w:hAnsi="Times New Roman" w:cs="Times New Roman"/>
        </w:rPr>
        <w:t>readership of the Roman Catholic tra</w:t>
      </w:r>
      <w:r w:rsidR="00EF096B">
        <w:rPr>
          <w:rFonts w:ascii="Times New Roman" w:hAnsi="Times New Roman" w:cs="Times New Roman"/>
        </w:rPr>
        <w:t xml:space="preserve">dition. </w:t>
      </w:r>
      <w:r w:rsidR="00A714C9">
        <w:rPr>
          <w:rFonts w:ascii="Times New Roman" w:hAnsi="Times New Roman" w:cs="Times New Roman"/>
        </w:rPr>
        <w:t>However, i</w:t>
      </w:r>
      <w:r w:rsidR="00EF096B">
        <w:rPr>
          <w:rFonts w:ascii="Times New Roman" w:hAnsi="Times New Roman" w:cs="Times New Roman"/>
        </w:rPr>
        <w:t xml:space="preserve">ts </w:t>
      </w:r>
      <w:r w:rsidR="0084672D">
        <w:rPr>
          <w:rFonts w:ascii="Times New Roman" w:hAnsi="Times New Roman" w:cs="Times New Roman"/>
        </w:rPr>
        <w:t>predecessor</w:t>
      </w:r>
      <w:r w:rsidR="00A22C1F">
        <w:rPr>
          <w:rFonts w:ascii="Times New Roman" w:hAnsi="Times New Roman" w:cs="Times New Roman"/>
        </w:rPr>
        <w:t xml:space="preserve"> translation</w:t>
      </w:r>
      <w:r w:rsidR="0084672D">
        <w:rPr>
          <w:rFonts w:ascii="Times New Roman" w:hAnsi="Times New Roman" w:cs="Times New Roman"/>
        </w:rPr>
        <w:t xml:space="preserve"> </w:t>
      </w:r>
      <w:r w:rsidR="00EF096B">
        <w:rPr>
          <w:rFonts w:ascii="Times New Roman" w:hAnsi="Times New Roman" w:cs="Times New Roman"/>
        </w:rPr>
        <w:t>the Jerusalem Study Bible</w:t>
      </w:r>
      <w:r w:rsidR="00A22C1F">
        <w:rPr>
          <w:rFonts w:ascii="Times New Roman" w:hAnsi="Times New Roman" w:cs="Times New Roman"/>
        </w:rPr>
        <w:t xml:space="preserve"> (original French edition)</w:t>
      </w:r>
      <w:r w:rsidR="00A714C9">
        <w:rPr>
          <w:rFonts w:ascii="Times New Roman" w:hAnsi="Times New Roman" w:cs="Times New Roman"/>
        </w:rPr>
        <w:t>,</w:t>
      </w:r>
      <w:r w:rsidR="008E3A79">
        <w:rPr>
          <w:rFonts w:ascii="Times New Roman" w:hAnsi="Times New Roman" w:cs="Times New Roman"/>
        </w:rPr>
        <w:t xml:space="preserve"> was critiqued as </w:t>
      </w:r>
      <w:r w:rsidR="00BB1567">
        <w:rPr>
          <w:rFonts w:ascii="Times New Roman" w:hAnsi="Times New Roman" w:cs="Times New Roman"/>
        </w:rPr>
        <w:t>being an updated version of the French language translation</w:t>
      </w:r>
      <w:r w:rsidR="00A714C9">
        <w:rPr>
          <w:rFonts w:ascii="Times New Roman" w:hAnsi="Times New Roman" w:cs="Times New Roman"/>
        </w:rPr>
        <w:t xml:space="preserve"> instead of</w:t>
      </w:r>
      <w:r w:rsidR="00BB1567">
        <w:rPr>
          <w:rFonts w:ascii="Times New Roman" w:hAnsi="Times New Roman" w:cs="Times New Roman"/>
        </w:rPr>
        <w:t xml:space="preserve"> </w:t>
      </w:r>
      <w:r w:rsidR="004518C0">
        <w:rPr>
          <w:rFonts w:ascii="Times New Roman" w:hAnsi="Times New Roman" w:cs="Times New Roman"/>
        </w:rPr>
        <w:t>accounting for adequate translations of the original language texts.</w:t>
      </w:r>
      <w:r w:rsidR="00B62B2A">
        <w:rPr>
          <w:rFonts w:ascii="Times New Roman" w:hAnsi="Times New Roman" w:cs="Times New Roman"/>
        </w:rPr>
        <w:t xml:space="preserve"> </w:t>
      </w:r>
      <w:r w:rsidR="00B62B2A">
        <w:rPr>
          <w:rStyle w:val="FootnoteReference"/>
          <w:rFonts w:ascii="Times New Roman" w:hAnsi="Times New Roman" w:cs="Times New Roman"/>
        </w:rPr>
        <w:footnoteReference w:id="13"/>
      </w:r>
      <w:r w:rsidR="004518C0">
        <w:rPr>
          <w:rFonts w:ascii="Times New Roman" w:hAnsi="Times New Roman" w:cs="Times New Roman"/>
        </w:rPr>
        <w:t xml:space="preserve"> </w:t>
      </w:r>
      <w:r w:rsidR="00A714C9">
        <w:rPr>
          <w:rFonts w:ascii="Times New Roman" w:hAnsi="Times New Roman" w:cs="Times New Roman"/>
        </w:rPr>
        <w:t>Similarly</w:t>
      </w:r>
      <w:r w:rsidR="00693C4B">
        <w:rPr>
          <w:rFonts w:ascii="Times New Roman" w:hAnsi="Times New Roman" w:cs="Times New Roman"/>
        </w:rPr>
        <w:t>, the King James Version (KJV)</w:t>
      </w:r>
      <w:r w:rsidR="00760520">
        <w:rPr>
          <w:rFonts w:ascii="Times New Roman" w:hAnsi="Times New Roman" w:cs="Times New Roman"/>
        </w:rPr>
        <w:t xml:space="preserve">, </w:t>
      </w:r>
      <w:r w:rsidR="00693C4B">
        <w:rPr>
          <w:rFonts w:ascii="Times New Roman" w:hAnsi="Times New Roman" w:cs="Times New Roman"/>
        </w:rPr>
        <w:t>reno</w:t>
      </w:r>
      <w:r w:rsidR="00A9176E">
        <w:rPr>
          <w:rFonts w:ascii="Times New Roman" w:hAnsi="Times New Roman" w:cs="Times New Roman"/>
        </w:rPr>
        <w:t xml:space="preserve">wned for using beautified and </w:t>
      </w:r>
      <w:r w:rsidR="00760520">
        <w:rPr>
          <w:rFonts w:ascii="Times New Roman" w:hAnsi="Times New Roman" w:cs="Times New Roman"/>
        </w:rPr>
        <w:t xml:space="preserve">overtly </w:t>
      </w:r>
      <w:r w:rsidR="00A9176E">
        <w:rPr>
          <w:rFonts w:ascii="Times New Roman" w:hAnsi="Times New Roman" w:cs="Times New Roman"/>
        </w:rPr>
        <w:t>stylistic language</w:t>
      </w:r>
      <w:r w:rsidR="0032793A">
        <w:rPr>
          <w:rFonts w:ascii="Times New Roman" w:hAnsi="Times New Roman" w:cs="Times New Roman"/>
        </w:rPr>
        <w:t xml:space="preserve">, can lacklustre </w:t>
      </w:r>
      <w:r w:rsidR="00A714C9">
        <w:rPr>
          <w:rFonts w:ascii="Times New Roman" w:hAnsi="Times New Roman" w:cs="Times New Roman"/>
        </w:rPr>
        <w:t>regarding</w:t>
      </w:r>
      <w:r w:rsidR="000C4170">
        <w:rPr>
          <w:rFonts w:ascii="Times New Roman" w:hAnsi="Times New Roman" w:cs="Times New Roman"/>
        </w:rPr>
        <w:t xml:space="preserve"> the original texts. </w:t>
      </w:r>
    </w:p>
    <w:p w14:paraId="3474EFD5" w14:textId="2CC23C71" w:rsidR="00451BF1" w:rsidRDefault="006B158E" w:rsidP="00451BF1">
      <w:pPr>
        <w:suppressAutoHyphens w:val="0"/>
        <w:ind w:left="703" w:right="703" w:firstLine="0"/>
        <w:jc w:val="both"/>
        <w:rPr>
          <w:rFonts w:ascii="Times New Roman" w:hAnsi="Times New Roman" w:cs="Times New Roman"/>
        </w:rPr>
      </w:pPr>
      <w:r w:rsidRPr="006B158E">
        <w:rPr>
          <w:rFonts w:ascii="Times New Roman" w:hAnsi="Times New Roman" w:cs="Times New Roman"/>
        </w:rPr>
        <w:t>A study of academic rigour would be dependent on as accurate a translation as possible from texts of primacy</w:t>
      </w:r>
      <w:r w:rsidR="00071364">
        <w:rPr>
          <w:rFonts w:ascii="Times New Roman" w:hAnsi="Times New Roman" w:cs="Times New Roman"/>
        </w:rPr>
        <w:t>, w</w:t>
      </w:r>
      <w:r w:rsidRPr="006B158E">
        <w:rPr>
          <w:rFonts w:ascii="Times New Roman" w:hAnsi="Times New Roman" w:cs="Times New Roman"/>
        </w:rPr>
        <w:t xml:space="preserve">hether </w:t>
      </w:r>
      <w:r w:rsidR="000472AC">
        <w:rPr>
          <w:rFonts w:ascii="Times New Roman" w:hAnsi="Times New Roman" w:cs="Times New Roman"/>
        </w:rPr>
        <w:t xml:space="preserve">this would </w:t>
      </w:r>
      <w:r w:rsidR="00040DE3">
        <w:rPr>
          <w:rFonts w:ascii="Times New Roman" w:hAnsi="Times New Roman" w:cs="Times New Roman"/>
        </w:rPr>
        <w:t>take the form of a textual</w:t>
      </w:r>
      <w:r w:rsidR="007F1F59">
        <w:rPr>
          <w:rFonts w:ascii="Times New Roman" w:hAnsi="Times New Roman" w:cs="Times New Roman"/>
        </w:rPr>
        <w:t xml:space="preserve"> critique, a </w:t>
      </w:r>
      <w:r w:rsidR="003B0128">
        <w:rPr>
          <w:rFonts w:ascii="Times New Roman" w:hAnsi="Times New Roman" w:cs="Times New Roman"/>
        </w:rPr>
        <w:t>historical criticism, or any other given modus of study</w:t>
      </w:r>
      <w:r w:rsidR="00071364">
        <w:rPr>
          <w:rFonts w:ascii="Times New Roman" w:hAnsi="Times New Roman" w:cs="Times New Roman"/>
        </w:rPr>
        <w:t xml:space="preserve">. </w:t>
      </w:r>
      <w:r w:rsidR="00820207">
        <w:rPr>
          <w:rFonts w:ascii="Times New Roman" w:hAnsi="Times New Roman" w:cs="Times New Roman"/>
        </w:rPr>
        <w:t>However, u</w:t>
      </w:r>
      <w:r w:rsidR="00375127">
        <w:rPr>
          <w:rFonts w:ascii="Times New Roman" w:hAnsi="Times New Roman" w:cs="Times New Roman"/>
        </w:rPr>
        <w:t xml:space="preserve">tilising a translation of a translation effectually, such as with the </w:t>
      </w:r>
      <w:r w:rsidR="00BB3FB0">
        <w:rPr>
          <w:rFonts w:ascii="Times New Roman" w:hAnsi="Times New Roman" w:cs="Times New Roman"/>
        </w:rPr>
        <w:t>JSB</w:t>
      </w:r>
      <w:r w:rsidR="00820207">
        <w:rPr>
          <w:rFonts w:ascii="Times New Roman" w:hAnsi="Times New Roman" w:cs="Times New Roman"/>
        </w:rPr>
        <w:t>,</w:t>
      </w:r>
      <w:r w:rsidR="00BB3FB0">
        <w:rPr>
          <w:rFonts w:ascii="Times New Roman" w:hAnsi="Times New Roman" w:cs="Times New Roman"/>
        </w:rPr>
        <w:t xml:space="preserve"> would do nothing more for the accuracy </w:t>
      </w:r>
      <w:r w:rsidR="004616FE">
        <w:rPr>
          <w:rFonts w:ascii="Times New Roman" w:hAnsi="Times New Roman" w:cs="Times New Roman"/>
        </w:rPr>
        <w:t>of the research than provide a diluted concept</w:t>
      </w:r>
      <w:r w:rsidR="003E069E">
        <w:rPr>
          <w:rFonts w:ascii="Times New Roman" w:hAnsi="Times New Roman" w:cs="Times New Roman"/>
        </w:rPr>
        <w:t xml:space="preserve"> </w:t>
      </w:r>
      <w:r w:rsidR="009F7766">
        <w:rPr>
          <w:rFonts w:ascii="Times New Roman" w:hAnsi="Times New Roman" w:cs="Times New Roman"/>
        </w:rPr>
        <w:t xml:space="preserve">at best </w:t>
      </w:r>
      <w:r w:rsidR="003E069E">
        <w:rPr>
          <w:rFonts w:ascii="Times New Roman" w:hAnsi="Times New Roman" w:cs="Times New Roman"/>
        </w:rPr>
        <w:t xml:space="preserve">of what </w:t>
      </w:r>
      <w:r w:rsidR="009F7766">
        <w:rPr>
          <w:rFonts w:ascii="Times New Roman" w:hAnsi="Times New Roman" w:cs="Times New Roman"/>
        </w:rPr>
        <w:t>the original authorship intended to convey.</w:t>
      </w:r>
      <w:r w:rsidR="0060144B" w:rsidRPr="007952D8">
        <w:rPr>
          <w:rFonts w:ascii="Times New Roman" w:hAnsi="Times New Roman" w:cs="Times New Roman"/>
        </w:rPr>
        <w:t xml:space="preserve"> </w:t>
      </w:r>
    </w:p>
    <w:p w14:paraId="32959724" w14:textId="77777777" w:rsidR="00AD284D" w:rsidRDefault="00AD284D" w:rsidP="00451BF1">
      <w:pPr>
        <w:suppressAutoHyphens w:val="0"/>
        <w:ind w:left="703" w:right="703" w:firstLine="0"/>
        <w:jc w:val="both"/>
      </w:pPr>
    </w:p>
    <w:p w14:paraId="035BF42F" w14:textId="5E170703" w:rsidR="00A364D0" w:rsidRPr="00451BF1" w:rsidRDefault="00087CA5" w:rsidP="00FB0B1F">
      <w:pPr>
        <w:suppressAutoHyphens w:val="0"/>
        <w:ind w:left="720" w:right="703"/>
        <w:jc w:val="both"/>
      </w:pPr>
      <w:r w:rsidRPr="009A4FB6">
        <w:t xml:space="preserve">Although </w:t>
      </w:r>
      <w:r w:rsidR="00093EE6" w:rsidRPr="009A4FB6">
        <w:t>s</w:t>
      </w:r>
      <w:r w:rsidRPr="009A4FB6">
        <w:t xml:space="preserve">cholarship is subject to flux and change via development in any specific discipline or field, the original languages of Sacred Scripture do not change. Conversely, scriptural afterlives may change in terms of their context and reception history, and this is heavily based on the sitz </w:t>
      </w:r>
      <w:r w:rsidR="00B65E2E" w:rsidRPr="009A4FB6">
        <w:t>im</w:t>
      </w:r>
      <w:r w:rsidRPr="009A4FB6">
        <w:t xml:space="preserve"> lieben to the society in which the developments occur</w:t>
      </w:r>
      <w:r w:rsidR="009A4FB6" w:rsidRPr="009A4FB6">
        <w:t xml:space="preserve">. </w:t>
      </w:r>
      <w:r w:rsidR="0023225A">
        <w:t>'</w:t>
      </w:r>
      <w:r w:rsidRPr="00FA58F4">
        <w:t>Progression</w:t>
      </w:r>
      <w:r w:rsidR="0023225A">
        <w:t>'</w:t>
      </w:r>
      <w:r w:rsidRPr="00FA58F4">
        <w:t xml:space="preserve"> has </w:t>
      </w:r>
      <w:r w:rsidR="0042302D" w:rsidRPr="00FA58F4">
        <w:t>led</w:t>
      </w:r>
      <w:r w:rsidRPr="00FA58F4">
        <w:t xml:space="preserve"> to the </w:t>
      </w:r>
      <w:r w:rsidR="00E906CA" w:rsidRPr="00FA58F4">
        <w:t>development</w:t>
      </w:r>
      <w:r w:rsidRPr="00FA58F4">
        <w:t xml:space="preserve"> of many sub- disciplines and associate fields</w:t>
      </w:r>
      <w:r w:rsidR="00B72954" w:rsidRPr="00FA58F4">
        <w:t xml:space="preserve"> to biblical studies and theology, particularly in the modern epoch</w:t>
      </w:r>
      <w:r w:rsidR="00FA58F4" w:rsidRPr="00FA58F4">
        <w:t>.</w:t>
      </w:r>
      <w:r w:rsidRPr="00FA58F4">
        <w:t xml:space="preserve"> </w:t>
      </w:r>
      <w:r w:rsidR="00A364D0" w:rsidRPr="00FA58F4">
        <w:rPr>
          <w:rFonts w:ascii="Times New Roman" w:hAnsi="Times New Roman" w:cs="Times New Roman"/>
        </w:rPr>
        <w:t xml:space="preserve">An illumination from this study is that although the NRSV(A) is the </w:t>
      </w:r>
      <w:r w:rsidR="00A364D0" w:rsidRPr="00FA58F4">
        <w:rPr>
          <w:rFonts w:ascii="Times New Roman" w:hAnsi="Times New Roman" w:cs="Times New Roman"/>
          <w:i/>
          <w:iCs/>
        </w:rPr>
        <w:t>sue generis</w:t>
      </w:r>
      <w:r w:rsidR="00A364D0" w:rsidRPr="00FA58F4">
        <w:rPr>
          <w:rFonts w:ascii="Times New Roman" w:hAnsi="Times New Roman" w:cs="Times New Roman"/>
        </w:rPr>
        <w:t xml:space="preserve"> edition elect for a systematic Biblical/ theological study, there are potential inadequacies and limitations in its sole </w:t>
      </w:r>
      <w:r w:rsidR="006743E7">
        <w:rPr>
          <w:rFonts w:ascii="Times New Roman" w:hAnsi="Times New Roman" w:cs="Times New Roman"/>
        </w:rPr>
        <w:t>use</w:t>
      </w:r>
      <w:r w:rsidR="00A364D0" w:rsidRPr="00FA58F4">
        <w:rPr>
          <w:rFonts w:ascii="Times New Roman" w:hAnsi="Times New Roman" w:cs="Times New Roman"/>
        </w:rPr>
        <w:t xml:space="preserve"> when undertaking biblical research for academic purposes</w:t>
      </w:r>
      <w:r w:rsidR="00041885">
        <w:rPr>
          <w:rFonts w:ascii="Times New Roman" w:hAnsi="Times New Roman" w:cs="Times New Roman"/>
        </w:rPr>
        <w:t xml:space="preserve">. With the case of ‘Spirit’, just by using a concordance is not enough. There needs to be </w:t>
      </w:r>
      <w:r w:rsidR="006C2BE4">
        <w:rPr>
          <w:rFonts w:ascii="Times New Roman" w:hAnsi="Times New Roman" w:cs="Times New Roman"/>
        </w:rPr>
        <w:t xml:space="preserve">other contextual </w:t>
      </w:r>
      <w:r w:rsidR="00041885">
        <w:rPr>
          <w:rFonts w:ascii="Times New Roman" w:hAnsi="Times New Roman" w:cs="Times New Roman"/>
        </w:rPr>
        <w:t>accuracies present in</w:t>
      </w:r>
      <w:r w:rsidR="006C2BE4">
        <w:rPr>
          <w:rFonts w:ascii="Times New Roman" w:hAnsi="Times New Roman" w:cs="Times New Roman"/>
        </w:rPr>
        <w:t xml:space="preserve"> the study, in terms of whether it is the correct instance and meaning of the lemma in question.</w:t>
      </w:r>
      <w:r w:rsidR="000E063B">
        <w:rPr>
          <w:rFonts w:ascii="Times New Roman" w:hAnsi="Times New Roman" w:cs="Times New Roman"/>
        </w:rPr>
        <w:t xml:space="preserve"> In as such as when there </w:t>
      </w:r>
      <w:r w:rsidR="00EB4F23">
        <w:rPr>
          <w:rFonts w:ascii="Times New Roman" w:hAnsi="Times New Roman" w:cs="Times New Roman"/>
        </w:rPr>
        <w:t>have</w:t>
      </w:r>
      <w:r w:rsidR="000E063B">
        <w:rPr>
          <w:rFonts w:ascii="Times New Roman" w:hAnsi="Times New Roman" w:cs="Times New Roman"/>
        </w:rPr>
        <w:t xml:space="preserve"> been obvious linguistic shifts from one original language to the next</w:t>
      </w:r>
      <w:r w:rsidR="00356DB7">
        <w:rPr>
          <w:rFonts w:ascii="Times New Roman" w:hAnsi="Times New Roman" w:cs="Times New Roman"/>
        </w:rPr>
        <w:t xml:space="preserve">, ambiguities need to be accounted for. Is </w:t>
      </w:r>
      <w:r w:rsidR="0081344B">
        <w:rPr>
          <w:rFonts w:ascii="Times New Roman" w:hAnsi="Times New Roman" w:cs="Times New Roman"/>
        </w:rPr>
        <w:t>the introductory Matthean ‘</w:t>
      </w:r>
      <w:r w:rsidR="0081344B">
        <w:rPr>
          <w:rFonts w:ascii="Times New Roman" w:hAnsi="Times New Roman" w:cs="Times New Roman"/>
          <w:i/>
          <w:iCs/>
        </w:rPr>
        <w:t xml:space="preserve">LOGOS’ </w:t>
      </w:r>
      <w:r w:rsidR="0081344B">
        <w:rPr>
          <w:rFonts w:ascii="Times New Roman" w:hAnsi="Times New Roman" w:cs="Times New Roman"/>
        </w:rPr>
        <w:t xml:space="preserve">undeniably the </w:t>
      </w:r>
      <w:r w:rsidR="008546AD">
        <w:rPr>
          <w:rFonts w:ascii="Times New Roman" w:hAnsi="Times New Roman" w:cs="Times New Roman"/>
        </w:rPr>
        <w:t xml:space="preserve">same ‘Ruah’ that was present at the beginning of creation? That same divine breath/ speech that </w:t>
      </w:r>
      <w:r w:rsidR="00441344">
        <w:rPr>
          <w:rFonts w:ascii="Times New Roman" w:hAnsi="Times New Roman" w:cs="Times New Roman"/>
        </w:rPr>
        <w:t xml:space="preserve">initiated existence into motion </w:t>
      </w:r>
      <w:r w:rsidR="00441344">
        <w:rPr>
          <w:rFonts w:ascii="Times New Roman" w:hAnsi="Times New Roman" w:cs="Times New Roman"/>
          <w:i/>
          <w:iCs/>
        </w:rPr>
        <w:t>ex nihilo</w:t>
      </w:r>
      <w:r w:rsidR="00F26635">
        <w:rPr>
          <w:rFonts w:ascii="Times New Roman" w:hAnsi="Times New Roman" w:cs="Times New Roman"/>
        </w:rPr>
        <w:t xml:space="preserve">? Was this same breath </w:t>
      </w:r>
      <w:r w:rsidR="006D07DF">
        <w:rPr>
          <w:rFonts w:ascii="Times New Roman" w:hAnsi="Times New Roman" w:cs="Times New Roman"/>
        </w:rPr>
        <w:t>which</w:t>
      </w:r>
      <w:r w:rsidR="00FF280F">
        <w:rPr>
          <w:rFonts w:ascii="Times New Roman" w:hAnsi="Times New Roman" w:cs="Times New Roman"/>
        </w:rPr>
        <w:t xml:space="preserve"> then</w:t>
      </w:r>
      <w:r w:rsidR="00F26635">
        <w:rPr>
          <w:rFonts w:ascii="Times New Roman" w:hAnsi="Times New Roman" w:cs="Times New Roman"/>
        </w:rPr>
        <w:t xml:space="preserve"> filled the nostrils of </w:t>
      </w:r>
      <w:r w:rsidR="006D07DF">
        <w:rPr>
          <w:rFonts w:ascii="Times New Roman" w:hAnsi="Times New Roman" w:cs="Times New Roman"/>
        </w:rPr>
        <w:t xml:space="preserve">Adam </w:t>
      </w:r>
      <w:r w:rsidR="003619AA">
        <w:rPr>
          <w:rFonts w:ascii="Times New Roman" w:hAnsi="Times New Roman" w:cs="Times New Roman"/>
        </w:rPr>
        <w:t>at Eden when the LORD</w:t>
      </w:r>
      <w:r w:rsidR="003714A9">
        <w:rPr>
          <w:rFonts w:ascii="Times New Roman" w:hAnsi="Times New Roman" w:cs="Times New Roman"/>
        </w:rPr>
        <w:t xml:space="preserve"> gave his clay form life? We may neve know the answers to any of these mysteries </w:t>
      </w:r>
      <w:r w:rsidR="000B5B06">
        <w:rPr>
          <w:rFonts w:ascii="Times New Roman" w:hAnsi="Times New Roman" w:cs="Times New Roman"/>
        </w:rPr>
        <w:t>themselves, however, we can learn of what is and has been attributed over time</w:t>
      </w:r>
      <w:r w:rsidR="00F75C5B">
        <w:rPr>
          <w:rFonts w:ascii="Times New Roman" w:hAnsi="Times New Roman" w:cs="Times New Roman"/>
        </w:rPr>
        <w:t xml:space="preserve"> by contexts of words used from original language texts, provided we are accurate with which definition we are using.</w:t>
      </w:r>
      <w:r w:rsidR="00E21352">
        <w:rPr>
          <w:rFonts w:ascii="Times New Roman" w:hAnsi="Times New Roman" w:cs="Times New Roman"/>
        </w:rPr>
        <w:t xml:space="preserve"> </w:t>
      </w:r>
      <w:r w:rsidR="005F21A1">
        <w:t xml:space="preserve">Without an awareness of the formation of scripture from its original roots to modern </w:t>
      </w:r>
      <w:r w:rsidR="00E21352">
        <w:t>translations</w:t>
      </w:r>
      <w:r w:rsidR="005F21A1">
        <w:t>, there may be all manner</w:t>
      </w:r>
      <w:r w:rsidR="00E21352">
        <w:t xml:space="preserve"> of</w:t>
      </w:r>
      <w:r w:rsidR="005F21A1">
        <w:t xml:space="preserve"> positions taken</w:t>
      </w:r>
      <w:r w:rsidR="00F40D6C">
        <w:t xml:space="preserve">, ideologies posited </w:t>
      </w:r>
      <w:r w:rsidR="005F21A1">
        <w:t>that may be far from the intent of the</w:t>
      </w:r>
      <w:r w:rsidR="00EF1DE8">
        <w:t xml:space="preserve"> </w:t>
      </w:r>
      <w:r w:rsidR="00D409F5">
        <w:t>original text</w:t>
      </w:r>
      <w:r w:rsidR="005F21A1">
        <w:t xml:space="preserve">. A well-researched and oft reviewed corpus, constantly being updated with developments (not only in the academy, but with the progression of post-modernist society in entirety) </w:t>
      </w:r>
      <w:r w:rsidR="00E20E98" w:rsidRPr="00E20E98">
        <w:rPr>
          <w:i/>
          <w:iCs/>
        </w:rPr>
        <w:t>is</w:t>
      </w:r>
      <w:r w:rsidR="00E20E98">
        <w:rPr>
          <w:i/>
          <w:iCs/>
        </w:rPr>
        <w:t xml:space="preserve"> </w:t>
      </w:r>
      <w:r w:rsidR="00E20E98">
        <w:t>required</w:t>
      </w:r>
      <w:r w:rsidR="00D409F5">
        <w:t>.</w:t>
      </w:r>
    </w:p>
    <w:p w14:paraId="2617EC61" w14:textId="79B3549C" w:rsidR="001E2F2B" w:rsidRPr="005B5DC7" w:rsidRDefault="001E2F2B" w:rsidP="00C20047">
      <w:pPr>
        <w:ind w:left="703" w:right="703"/>
        <w:rPr>
          <w:color w:val="FF0000"/>
        </w:rPr>
      </w:pPr>
    </w:p>
    <w:p w14:paraId="07DCEF05" w14:textId="609425E3" w:rsidR="00D42E99" w:rsidRDefault="00510E13" w:rsidP="00510E13">
      <w:pPr>
        <w:suppressAutoHyphens w:val="0"/>
        <w:spacing w:line="240" w:lineRule="auto"/>
        <w:ind w:left="703" w:right="703" w:firstLine="0"/>
        <w:jc w:val="right"/>
      </w:pPr>
      <w:r>
        <w:t xml:space="preserve">Imran David Anwar </w:t>
      </w:r>
    </w:p>
    <w:p w14:paraId="656859A4" w14:textId="35471653" w:rsidR="00D409F5" w:rsidRDefault="00510E13" w:rsidP="007B28CE">
      <w:pPr>
        <w:suppressAutoHyphens w:val="0"/>
        <w:spacing w:line="240" w:lineRule="auto"/>
        <w:ind w:left="703" w:right="703" w:firstLine="0"/>
        <w:jc w:val="right"/>
      </w:pPr>
      <w:r>
        <w:t>(1102620)</w:t>
      </w:r>
    </w:p>
    <w:p w14:paraId="03303A0F" w14:textId="6C3004FF" w:rsidR="006F5E00" w:rsidRDefault="006F5E00" w:rsidP="007B28CE">
      <w:pPr>
        <w:suppressAutoHyphens w:val="0"/>
        <w:spacing w:line="240" w:lineRule="auto"/>
        <w:ind w:left="703" w:right="703" w:firstLine="0"/>
        <w:jc w:val="right"/>
      </w:pPr>
    </w:p>
    <w:p w14:paraId="093CA9A5" w14:textId="77777777" w:rsidR="006F5E00" w:rsidRPr="007B28CE" w:rsidRDefault="006F5E00" w:rsidP="007B28CE">
      <w:pPr>
        <w:suppressAutoHyphens w:val="0"/>
        <w:spacing w:line="240" w:lineRule="auto"/>
        <w:ind w:left="703" w:right="703" w:firstLine="0"/>
        <w:jc w:val="right"/>
      </w:pPr>
    </w:p>
    <w:p w14:paraId="0174538F" w14:textId="77777777" w:rsidR="00FB0B1F" w:rsidRDefault="00FB0B1F">
      <w:pPr>
        <w:suppressAutoHyphens w:val="0"/>
        <w:rPr>
          <w:rFonts w:asciiTheme="majorHAnsi" w:hAnsiTheme="majorHAnsi" w:cstheme="majorHAnsi"/>
        </w:rPr>
      </w:pPr>
      <w:r>
        <w:rPr>
          <w:rFonts w:asciiTheme="majorHAnsi" w:hAnsiTheme="majorHAnsi" w:cstheme="majorHAnsi"/>
        </w:rPr>
        <w:br w:type="page"/>
      </w:r>
    </w:p>
    <w:p w14:paraId="3C51CD04" w14:textId="6760A3AF" w:rsidR="004B4A66" w:rsidRDefault="00A96A9C" w:rsidP="00C20047">
      <w:pPr>
        <w:suppressAutoHyphens w:val="0"/>
        <w:ind w:left="703" w:right="703" w:firstLine="0"/>
        <w:jc w:val="center"/>
        <w:rPr>
          <w:rFonts w:asciiTheme="majorHAnsi" w:hAnsiTheme="majorHAnsi" w:cstheme="majorHAnsi"/>
        </w:rPr>
      </w:pPr>
      <w:r w:rsidRPr="00C474EC">
        <w:rPr>
          <w:rFonts w:asciiTheme="majorHAnsi" w:hAnsiTheme="majorHAnsi" w:cstheme="majorHAnsi"/>
        </w:rPr>
        <w:t>Bibliography</w:t>
      </w:r>
    </w:p>
    <w:p w14:paraId="06BB5454" w14:textId="0A730959" w:rsidR="00162AF4" w:rsidRPr="00C474EC" w:rsidRDefault="00162AF4" w:rsidP="00C20047">
      <w:pPr>
        <w:suppressAutoHyphens w:val="0"/>
        <w:ind w:left="703" w:right="703" w:firstLine="0"/>
        <w:rPr>
          <w:rFonts w:asciiTheme="majorHAnsi" w:hAnsiTheme="majorHAnsi" w:cstheme="majorHAnsi"/>
        </w:rPr>
      </w:pPr>
      <w:r>
        <w:rPr>
          <w:rFonts w:asciiTheme="majorHAnsi" w:hAnsiTheme="majorHAnsi" w:cstheme="majorHAnsi"/>
        </w:rPr>
        <w:t>Books (study skills and reference)</w:t>
      </w:r>
    </w:p>
    <w:p w14:paraId="41A9194F" w14:textId="77777777" w:rsidR="0018119A" w:rsidRPr="00276AD0" w:rsidRDefault="0018119A" w:rsidP="00C20047">
      <w:pPr>
        <w:spacing w:line="240" w:lineRule="auto"/>
        <w:ind w:left="703" w:right="703" w:firstLine="0"/>
        <w:rPr>
          <w:rFonts w:ascii="Arial Narrow" w:hAnsi="Arial Narrow" w:cs="Times New Roman"/>
          <w:sz w:val="22"/>
          <w:szCs w:val="22"/>
        </w:rPr>
      </w:pPr>
    </w:p>
    <w:p w14:paraId="0F3CC132" w14:textId="05F466FE"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-Allison, Brian. Research Skills for Students. Kogan Page, 2001.</w:t>
      </w:r>
    </w:p>
    <w:p w14:paraId="28CC584F" w14:textId="0C1FD918"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-Cottrell, Stella. Critical Thinking Skills: Developing Effective Analysis and Argument. Palgrave Macmillan, 2011.</w:t>
      </w:r>
    </w:p>
    <w:p w14:paraId="42648A91" w14:textId="3CD837C0"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-Cottrell, Stella. The Study Skills Handbook. Macmillan, 2000.</w:t>
      </w:r>
    </w:p>
    <w:p w14:paraId="2624BB89" w14:textId="77777777" w:rsidR="0018119A" w:rsidRPr="00C474EC" w:rsidRDefault="0018119A" w:rsidP="00C20047">
      <w:pPr>
        <w:spacing w:line="240" w:lineRule="auto"/>
        <w:ind w:left="703" w:right="703" w:firstLine="0"/>
        <w:rPr>
          <w:rFonts w:cstheme="minorHAnsi"/>
          <w:sz w:val="22"/>
          <w:szCs w:val="22"/>
        </w:rPr>
      </w:pPr>
    </w:p>
    <w:p w14:paraId="3F40E9C4" w14:textId="77777777" w:rsidR="0018119A" w:rsidRPr="00C474EC" w:rsidRDefault="0018119A" w:rsidP="00C20047">
      <w:pPr>
        <w:spacing w:line="240" w:lineRule="auto"/>
        <w:ind w:left="703" w:right="703" w:firstLine="0"/>
        <w:rPr>
          <w:rFonts w:cstheme="minorHAnsi"/>
          <w:sz w:val="22"/>
          <w:szCs w:val="22"/>
        </w:rPr>
      </w:pPr>
    </w:p>
    <w:p w14:paraId="44C1EEA5" w14:textId="5EECFD31" w:rsidR="00E75F2A" w:rsidRDefault="00E75F2A" w:rsidP="00C20047">
      <w:pPr>
        <w:spacing w:line="240" w:lineRule="auto"/>
        <w:ind w:left="703" w:right="703" w:firstLine="0"/>
        <w:rPr>
          <w:rFonts w:cstheme="minorHAnsi"/>
          <w:sz w:val="22"/>
          <w:szCs w:val="22"/>
        </w:rPr>
      </w:pPr>
    </w:p>
    <w:p w14:paraId="27DD6E54" w14:textId="4B8A8503" w:rsidR="0018119A" w:rsidRPr="00C474EC" w:rsidRDefault="00A82240" w:rsidP="00C20047">
      <w:pPr>
        <w:spacing w:line="240" w:lineRule="auto"/>
        <w:ind w:left="703" w:right="703" w:firstLine="0"/>
        <w:jc w:val="center"/>
        <w:rPr>
          <w:rFonts w:cstheme="minorHAnsi"/>
          <w:sz w:val="22"/>
          <w:szCs w:val="22"/>
        </w:rPr>
      </w:pPr>
      <w:r>
        <w:rPr>
          <w:rFonts w:cstheme="minorHAnsi"/>
          <w:sz w:val="22"/>
          <w:szCs w:val="22"/>
        </w:rPr>
        <w:t>Books</w:t>
      </w:r>
    </w:p>
    <w:p w14:paraId="74DE4CA7" w14:textId="77777777" w:rsidR="0018119A" w:rsidRPr="00C474EC" w:rsidRDefault="0018119A" w:rsidP="00C20047">
      <w:pPr>
        <w:spacing w:line="240" w:lineRule="auto"/>
        <w:ind w:left="703" w:right="703" w:firstLine="0"/>
        <w:rPr>
          <w:rFonts w:cstheme="minorHAnsi"/>
          <w:sz w:val="22"/>
          <w:szCs w:val="22"/>
        </w:rPr>
      </w:pPr>
    </w:p>
    <w:p w14:paraId="0F2F8F18" w14:textId="3B917711"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-Barton, John, and John Muddiman. The Oxford Bible Commentary. Oxford University Press, 2011.</w:t>
      </w:r>
    </w:p>
    <w:p w14:paraId="2E9138E7" w14:textId="5691AA14"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-Barton, John. The Bible: The Basics. Routledge, 2010.</w:t>
      </w:r>
    </w:p>
    <w:p w14:paraId="1440BDB4" w14:textId="2D36B87A"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-Chilton, Bruce. Sacred Texts and Authority. Edited by Jacob Neusner, Pilgrim Press, 1998.</w:t>
      </w:r>
    </w:p>
    <w:p w14:paraId="12BA5652" w14:textId="274FF9C9"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-Coogan, Michael David. The Oxford History of the Biblical World. Oxford University Press, 2001.</w:t>
      </w:r>
    </w:p>
    <w:p w14:paraId="118E368C" w14:textId="422E6937"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-Crossley, James G. Reading the New Testament: Contemporary Approaches. Routledge, 2010.</w:t>
      </w:r>
    </w:p>
    <w:p w14:paraId="17CF5986" w14:textId="09872A9E"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-Curtis, Adrian. Oxford Bible Atlas. Oxford University Press, 2009.</w:t>
      </w:r>
    </w:p>
    <w:p w14:paraId="08AA3A28" w14:textId="217A9564"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 xml:space="preserve">-Dearman, John Andrew. Reading Hebrew Bible Narratives. Oxford University Press, 2019. </w:t>
      </w:r>
    </w:p>
    <w:p w14:paraId="0585C728" w14:textId="76C1D453"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-Jonge, M. de. Outside the Old Testament. Cambridge University Press, 1999.</w:t>
      </w:r>
    </w:p>
    <w:p w14:paraId="78360CF7" w14:textId="04FB5A6F"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-Metzger, Bruce M., and Michael D. Coogan. The Oxford Companion to the Bible. Oxford University Press, 1993.</w:t>
      </w:r>
    </w:p>
    <w:p w14:paraId="4C9C4BDA" w14:textId="39C9058E"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-Morgan, Robert, and John Barton. Biblical Interpretation. Oxford Univ. Press, 1991.</w:t>
      </w:r>
    </w:p>
    <w:p w14:paraId="2316C83B" w14:textId="6FE6D906"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-Moyise, Steve. T &amp; T Clark Approaches to Biblical Studies. T &amp; T Clark, 2004.</w:t>
      </w:r>
    </w:p>
    <w:p w14:paraId="3C0C57B3" w14:textId="06209D1D"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-Pawson, David, and Andy Peck. Unlocking the Bible. William Collins, 2015.</w:t>
      </w:r>
    </w:p>
    <w:p w14:paraId="408D46D1" w14:textId="2C382499"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-Rahner, Karl, and Herbert Vorgrimler. Concise Theological Dictionary. Burns &amp; Oates, 1983.</w:t>
      </w:r>
    </w:p>
    <w:p w14:paraId="098A85C7" w14:textId="77777777" w:rsidR="0018119A" w:rsidRPr="00C474EC" w:rsidRDefault="0018119A" w:rsidP="00C20047">
      <w:pPr>
        <w:spacing w:line="240" w:lineRule="auto"/>
        <w:ind w:left="703" w:right="703" w:firstLine="0"/>
        <w:rPr>
          <w:rFonts w:cstheme="minorHAnsi"/>
          <w:sz w:val="22"/>
          <w:szCs w:val="22"/>
        </w:rPr>
      </w:pPr>
    </w:p>
    <w:p w14:paraId="223ADCEA" w14:textId="77777777" w:rsidR="0018119A" w:rsidRPr="00C474EC" w:rsidRDefault="0018119A" w:rsidP="00C20047">
      <w:pPr>
        <w:spacing w:line="240" w:lineRule="auto"/>
        <w:ind w:left="703" w:right="703" w:firstLine="0"/>
        <w:rPr>
          <w:rFonts w:cstheme="minorHAnsi"/>
          <w:sz w:val="22"/>
          <w:szCs w:val="22"/>
        </w:rPr>
      </w:pPr>
    </w:p>
    <w:p w14:paraId="4739CAA2" w14:textId="77777777" w:rsidR="0018119A" w:rsidRPr="00C474EC" w:rsidRDefault="0018119A" w:rsidP="00C20047">
      <w:pPr>
        <w:spacing w:line="240" w:lineRule="auto"/>
        <w:ind w:left="703" w:right="703" w:firstLine="0"/>
        <w:rPr>
          <w:rFonts w:cstheme="minorHAnsi"/>
          <w:sz w:val="22"/>
          <w:szCs w:val="22"/>
        </w:rPr>
      </w:pPr>
    </w:p>
    <w:p w14:paraId="0F1F8996" w14:textId="5CA85445" w:rsidR="0018119A" w:rsidRDefault="00162AF4" w:rsidP="00C20047">
      <w:pPr>
        <w:spacing w:line="240" w:lineRule="auto"/>
        <w:ind w:left="703" w:right="703"/>
        <w:jc w:val="center"/>
        <w:rPr>
          <w:rFonts w:cstheme="minorHAnsi"/>
          <w:sz w:val="22"/>
          <w:szCs w:val="22"/>
        </w:rPr>
      </w:pPr>
      <w:r>
        <w:rPr>
          <w:rFonts w:cstheme="minorHAnsi"/>
          <w:sz w:val="22"/>
          <w:szCs w:val="22"/>
        </w:rPr>
        <w:t>-</w:t>
      </w:r>
      <w:r w:rsidR="0018119A" w:rsidRPr="00C474EC">
        <w:rPr>
          <w:rFonts w:cstheme="minorHAnsi"/>
          <w:sz w:val="22"/>
          <w:szCs w:val="22"/>
        </w:rPr>
        <w:t>Referenced Biblical Editions</w:t>
      </w:r>
      <w:r>
        <w:rPr>
          <w:rFonts w:cstheme="minorHAnsi"/>
          <w:sz w:val="22"/>
          <w:szCs w:val="22"/>
        </w:rPr>
        <w:t>-</w:t>
      </w:r>
    </w:p>
    <w:p w14:paraId="22FFBC6E" w14:textId="77777777" w:rsidR="007B35E3" w:rsidRPr="00C474EC" w:rsidRDefault="007B35E3" w:rsidP="00C20047">
      <w:pPr>
        <w:spacing w:line="240" w:lineRule="auto"/>
        <w:ind w:left="703" w:right="703" w:firstLine="0"/>
        <w:rPr>
          <w:rFonts w:cstheme="minorHAnsi"/>
          <w:sz w:val="22"/>
          <w:szCs w:val="22"/>
        </w:rPr>
      </w:pPr>
    </w:p>
    <w:p w14:paraId="350FA802" w14:textId="40A84B22" w:rsidR="007B35E3" w:rsidRDefault="0018119A" w:rsidP="00C20047">
      <w:pPr>
        <w:spacing w:line="240" w:lineRule="auto"/>
        <w:ind w:left="703" w:right="703" w:firstLine="0"/>
        <w:rPr>
          <w:rFonts w:cstheme="minorHAnsi"/>
          <w:sz w:val="22"/>
          <w:szCs w:val="22"/>
        </w:rPr>
      </w:pPr>
      <w:r w:rsidRPr="00C474EC">
        <w:rPr>
          <w:rFonts w:cstheme="minorHAnsi"/>
          <w:sz w:val="22"/>
          <w:szCs w:val="22"/>
        </w:rPr>
        <w:t>-NRSV [Anglicised Edition] The Holy Bible, Containing the Old and New Testaments with the Apocryphal. Oxford University Press, 1995.</w:t>
      </w:r>
    </w:p>
    <w:p w14:paraId="13572E7F" w14:textId="77777777" w:rsidR="007527E4" w:rsidRPr="00C474EC" w:rsidRDefault="007527E4" w:rsidP="00C20047">
      <w:pPr>
        <w:spacing w:line="240" w:lineRule="auto"/>
        <w:ind w:left="703" w:right="703" w:firstLine="0"/>
        <w:rPr>
          <w:rFonts w:cstheme="minorHAnsi"/>
          <w:sz w:val="22"/>
          <w:szCs w:val="22"/>
        </w:rPr>
      </w:pPr>
    </w:p>
    <w:p w14:paraId="116BE4CA" w14:textId="129F7B22" w:rsidR="0018119A" w:rsidRDefault="0018119A" w:rsidP="00C20047">
      <w:pPr>
        <w:spacing w:line="240" w:lineRule="auto"/>
        <w:ind w:left="703" w:right="703" w:firstLine="0"/>
        <w:rPr>
          <w:rFonts w:cstheme="minorHAnsi"/>
          <w:sz w:val="22"/>
          <w:szCs w:val="22"/>
        </w:rPr>
      </w:pPr>
      <w:r w:rsidRPr="00C474EC">
        <w:rPr>
          <w:rFonts w:cstheme="minorHAnsi"/>
          <w:sz w:val="22"/>
          <w:szCs w:val="22"/>
        </w:rPr>
        <w:t>-NJB</w:t>
      </w:r>
      <w:r w:rsidRPr="00C474EC">
        <w:rPr>
          <w:rFonts w:cstheme="minorHAnsi"/>
          <w:sz w:val="22"/>
          <w:szCs w:val="22"/>
        </w:rPr>
        <w:tab/>
        <w:t>Wansbrough, Henry. The New Jerusalem Bible: Study Edition. Darton, Longman &amp; Todd, 1994.</w:t>
      </w:r>
    </w:p>
    <w:p w14:paraId="0B437549" w14:textId="77777777" w:rsidR="007527E4" w:rsidRPr="00C474EC" w:rsidRDefault="007527E4" w:rsidP="00C20047">
      <w:pPr>
        <w:spacing w:line="240" w:lineRule="auto"/>
        <w:ind w:left="703" w:right="703" w:firstLine="0"/>
        <w:rPr>
          <w:rFonts w:cstheme="minorHAnsi"/>
          <w:sz w:val="22"/>
          <w:szCs w:val="22"/>
        </w:rPr>
      </w:pPr>
    </w:p>
    <w:p w14:paraId="7334E3B5" w14:textId="7D0964CD" w:rsidR="0018119A" w:rsidRDefault="0018119A" w:rsidP="00C20047">
      <w:pPr>
        <w:spacing w:line="240" w:lineRule="auto"/>
        <w:ind w:left="703" w:right="703" w:firstLine="0"/>
        <w:rPr>
          <w:rFonts w:cstheme="minorHAnsi"/>
          <w:sz w:val="22"/>
          <w:szCs w:val="22"/>
        </w:rPr>
      </w:pPr>
      <w:r w:rsidRPr="00C474EC">
        <w:rPr>
          <w:rFonts w:cstheme="minorHAnsi"/>
          <w:sz w:val="22"/>
          <w:szCs w:val="22"/>
        </w:rPr>
        <w:t>-JSB (2ed.) Berlin, Adele, and Marc Zvi Brettler. The Jewish Study Bible: Torah, Neviim, Kethuvim. Oxford University Press, 2014.</w:t>
      </w:r>
    </w:p>
    <w:p w14:paraId="299A3080" w14:textId="1B435FC4" w:rsidR="00A82240" w:rsidRDefault="00A82240" w:rsidP="00C20047">
      <w:pPr>
        <w:spacing w:line="240" w:lineRule="auto"/>
        <w:ind w:left="703" w:right="703" w:firstLine="0"/>
        <w:rPr>
          <w:rFonts w:cstheme="minorHAnsi"/>
          <w:sz w:val="22"/>
          <w:szCs w:val="22"/>
        </w:rPr>
      </w:pPr>
    </w:p>
    <w:p w14:paraId="02BD9DB3" w14:textId="77777777" w:rsidR="00A82240" w:rsidRPr="00C474EC" w:rsidRDefault="00A82240" w:rsidP="00C20047">
      <w:pPr>
        <w:spacing w:line="240" w:lineRule="auto"/>
        <w:ind w:left="703" w:right="703" w:firstLine="0"/>
        <w:rPr>
          <w:rFonts w:cstheme="minorHAnsi"/>
          <w:sz w:val="22"/>
          <w:szCs w:val="22"/>
        </w:rPr>
      </w:pPr>
    </w:p>
    <w:p w14:paraId="4F109E26" w14:textId="3DE6060A" w:rsidR="0018119A" w:rsidRPr="00C474EC" w:rsidRDefault="00A815D5" w:rsidP="00C20047">
      <w:pPr>
        <w:spacing w:line="240" w:lineRule="auto"/>
        <w:ind w:left="703" w:right="703" w:firstLine="0"/>
        <w:jc w:val="center"/>
        <w:rPr>
          <w:rFonts w:cstheme="minorHAnsi"/>
          <w:sz w:val="22"/>
          <w:szCs w:val="22"/>
        </w:rPr>
      </w:pPr>
      <w:r>
        <w:rPr>
          <w:rFonts w:cstheme="minorHAnsi"/>
          <w:sz w:val="22"/>
          <w:szCs w:val="22"/>
        </w:rPr>
        <w:t>-</w:t>
      </w:r>
      <w:r w:rsidR="0018119A" w:rsidRPr="00C474EC">
        <w:rPr>
          <w:rFonts w:cstheme="minorHAnsi"/>
          <w:sz w:val="22"/>
          <w:szCs w:val="22"/>
        </w:rPr>
        <w:t>Internet Based Dictionary and Encyclopaedia Resources</w:t>
      </w:r>
      <w:r>
        <w:rPr>
          <w:rFonts w:cstheme="minorHAnsi"/>
          <w:sz w:val="22"/>
          <w:szCs w:val="22"/>
        </w:rPr>
        <w:t>-</w:t>
      </w:r>
    </w:p>
    <w:p w14:paraId="4B8FFA56" w14:textId="77777777" w:rsidR="0018119A" w:rsidRPr="00C474EC" w:rsidRDefault="0018119A" w:rsidP="00C20047">
      <w:pPr>
        <w:spacing w:line="240" w:lineRule="auto"/>
        <w:ind w:left="703" w:right="703" w:firstLine="0"/>
        <w:rPr>
          <w:rFonts w:cstheme="minorHAnsi"/>
          <w:sz w:val="22"/>
          <w:szCs w:val="22"/>
        </w:rPr>
      </w:pPr>
    </w:p>
    <w:p w14:paraId="674FE56A" w14:textId="4D3D52DD" w:rsidR="007527E4" w:rsidRPr="005923E2" w:rsidRDefault="005923E2" w:rsidP="005923E2">
      <w:pPr>
        <w:pStyle w:val="ListParagraph"/>
        <w:numPr>
          <w:ilvl w:val="0"/>
          <w:numId w:val="23"/>
        </w:numPr>
        <w:spacing w:line="240" w:lineRule="auto"/>
        <w:ind w:right="703"/>
        <w:rPr>
          <w:rFonts w:cstheme="minorHAnsi"/>
          <w:color w:val="0070C0"/>
          <w:sz w:val="22"/>
          <w:szCs w:val="22"/>
        </w:rPr>
      </w:pPr>
      <w:hyperlink r:id="rId9" w:history="1">
        <w:r w:rsidRPr="005923E2">
          <w:rPr>
            <w:rStyle w:val="Hyperlink"/>
            <w:rFonts w:cstheme="minorHAnsi"/>
            <w:color w:val="0070C0"/>
            <w:sz w:val="22"/>
            <w:szCs w:val="22"/>
          </w:rPr>
          <w:t>https://www.eliyah.com</w:t>
        </w:r>
      </w:hyperlink>
    </w:p>
    <w:p w14:paraId="6A4313BD" w14:textId="35F73242"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ab/>
      </w:r>
    </w:p>
    <w:p w14:paraId="790994B2" w14:textId="324D06A3" w:rsidR="007527E4" w:rsidRPr="005923E2" w:rsidRDefault="005923E2" w:rsidP="005923E2">
      <w:pPr>
        <w:pStyle w:val="ListParagraph"/>
        <w:numPr>
          <w:ilvl w:val="0"/>
          <w:numId w:val="22"/>
        </w:numPr>
        <w:spacing w:line="240" w:lineRule="auto"/>
        <w:ind w:right="703"/>
        <w:rPr>
          <w:rFonts w:cstheme="minorHAnsi"/>
          <w:color w:val="0070C0"/>
          <w:sz w:val="22"/>
          <w:szCs w:val="22"/>
        </w:rPr>
      </w:pPr>
      <w:hyperlink r:id="rId10" w:history="1">
        <w:r w:rsidRPr="005923E2">
          <w:rPr>
            <w:rStyle w:val="Hyperlink"/>
            <w:rFonts w:cstheme="minorHAnsi"/>
            <w:color w:val="0070C0"/>
            <w:sz w:val="22"/>
            <w:szCs w:val="22"/>
          </w:rPr>
          <w:t>https://www.biblegateway.com/</w:t>
        </w:r>
      </w:hyperlink>
    </w:p>
    <w:p w14:paraId="3B167014" w14:textId="2B79C1B9" w:rsidR="0018119A" w:rsidRPr="005923E2" w:rsidRDefault="0018119A" w:rsidP="00C20047">
      <w:pPr>
        <w:spacing w:line="240" w:lineRule="auto"/>
        <w:ind w:left="703" w:right="703" w:firstLine="0"/>
        <w:rPr>
          <w:rFonts w:cstheme="minorHAnsi"/>
          <w:color w:val="0070C0"/>
          <w:sz w:val="22"/>
          <w:szCs w:val="22"/>
        </w:rPr>
      </w:pPr>
      <w:r w:rsidRPr="005923E2">
        <w:rPr>
          <w:rFonts w:cstheme="minorHAnsi"/>
          <w:color w:val="0070C0"/>
          <w:sz w:val="22"/>
          <w:szCs w:val="22"/>
        </w:rPr>
        <w:tab/>
      </w:r>
    </w:p>
    <w:p w14:paraId="35FE13FF" w14:textId="05C15D88" w:rsidR="007527E4" w:rsidRPr="005923E2" w:rsidRDefault="005923E2" w:rsidP="005923E2">
      <w:pPr>
        <w:pStyle w:val="ListParagraph"/>
        <w:numPr>
          <w:ilvl w:val="0"/>
          <w:numId w:val="21"/>
        </w:numPr>
        <w:spacing w:line="240" w:lineRule="auto"/>
        <w:ind w:right="703"/>
        <w:rPr>
          <w:rFonts w:cstheme="minorHAnsi"/>
          <w:color w:val="0070C0"/>
          <w:sz w:val="22"/>
          <w:szCs w:val="22"/>
        </w:rPr>
      </w:pPr>
      <w:hyperlink r:id="rId11" w:history="1">
        <w:r w:rsidRPr="005923E2">
          <w:rPr>
            <w:rStyle w:val="Hyperlink"/>
            <w:rFonts w:cstheme="minorHAnsi"/>
            <w:color w:val="0070C0"/>
            <w:sz w:val="22"/>
            <w:szCs w:val="22"/>
          </w:rPr>
          <w:t>https://www.biblestudytools.com/concordances/strongs-exhaustive-concordance/</w:t>
        </w:r>
      </w:hyperlink>
    </w:p>
    <w:p w14:paraId="50A4137A" w14:textId="1A547AF7" w:rsidR="0018119A" w:rsidRPr="005923E2" w:rsidRDefault="0018119A" w:rsidP="00C20047">
      <w:pPr>
        <w:spacing w:line="240" w:lineRule="auto"/>
        <w:ind w:left="703" w:right="703" w:firstLine="0"/>
        <w:rPr>
          <w:rFonts w:cstheme="minorHAnsi"/>
          <w:color w:val="0070C0"/>
          <w:sz w:val="22"/>
          <w:szCs w:val="22"/>
        </w:rPr>
      </w:pPr>
      <w:r w:rsidRPr="005923E2">
        <w:rPr>
          <w:rFonts w:cstheme="minorHAnsi"/>
          <w:color w:val="0070C0"/>
          <w:sz w:val="22"/>
          <w:szCs w:val="22"/>
        </w:rPr>
        <w:tab/>
      </w:r>
    </w:p>
    <w:p w14:paraId="418C1D64" w14:textId="17F71E33" w:rsidR="0018119A" w:rsidRPr="005923E2" w:rsidRDefault="005923E2" w:rsidP="005923E2">
      <w:pPr>
        <w:pStyle w:val="ListParagraph"/>
        <w:numPr>
          <w:ilvl w:val="0"/>
          <w:numId w:val="20"/>
        </w:numPr>
        <w:spacing w:line="240" w:lineRule="auto"/>
        <w:ind w:right="703"/>
        <w:rPr>
          <w:rFonts w:cstheme="minorHAnsi"/>
          <w:color w:val="0070C0"/>
          <w:sz w:val="22"/>
          <w:szCs w:val="22"/>
        </w:rPr>
      </w:pPr>
      <w:hyperlink r:id="rId12" w:history="1">
        <w:r w:rsidRPr="005923E2">
          <w:rPr>
            <w:rStyle w:val="Hyperlink"/>
            <w:rFonts w:cstheme="minorHAnsi"/>
            <w:color w:val="0070C0"/>
            <w:sz w:val="22"/>
            <w:szCs w:val="22"/>
          </w:rPr>
          <w:t>https://www.jewishvirtuallibrary.org/</w:t>
        </w:r>
      </w:hyperlink>
    </w:p>
    <w:p w14:paraId="1DD8E217" w14:textId="24665ABC" w:rsidR="005923E2" w:rsidRDefault="005923E2" w:rsidP="00C20047">
      <w:pPr>
        <w:spacing w:line="240" w:lineRule="auto"/>
        <w:ind w:left="703" w:right="703" w:firstLine="0"/>
        <w:rPr>
          <w:rFonts w:cstheme="minorHAnsi"/>
          <w:color w:val="0070C0"/>
          <w:sz w:val="22"/>
          <w:szCs w:val="22"/>
        </w:rPr>
      </w:pPr>
    </w:p>
    <w:p w14:paraId="54E66ADC" w14:textId="73444FA8" w:rsidR="005923E2" w:rsidRPr="005923E2" w:rsidRDefault="005923E2" w:rsidP="005923E2">
      <w:pPr>
        <w:pStyle w:val="ListParagraph"/>
        <w:numPr>
          <w:ilvl w:val="0"/>
          <w:numId w:val="20"/>
        </w:numPr>
        <w:rPr>
          <w:rFonts w:cstheme="minorHAnsi"/>
          <w:color w:val="0070C0"/>
        </w:rPr>
      </w:pPr>
      <w:hyperlink r:id="rId13" w:history="1">
        <w:r w:rsidRPr="005923E2">
          <w:rPr>
            <w:rStyle w:val="Hyperlink"/>
            <w:rFonts w:cstheme="minorHAnsi"/>
            <w:color w:val="0070C0"/>
          </w:rPr>
          <w:t>https://plato.stanford.edu/entries/erasmus/</w:t>
        </w:r>
      </w:hyperlink>
    </w:p>
    <w:p w14:paraId="269E5B8E" w14:textId="73C88B92" w:rsidR="005923E2" w:rsidRPr="005923E2" w:rsidRDefault="005923E2" w:rsidP="005923E2">
      <w:pPr>
        <w:pStyle w:val="ListParagraph"/>
        <w:numPr>
          <w:ilvl w:val="0"/>
          <w:numId w:val="20"/>
        </w:numPr>
        <w:rPr>
          <w:rFonts w:cstheme="minorHAnsi"/>
          <w:color w:val="0070C0"/>
        </w:rPr>
      </w:pPr>
      <w:hyperlink r:id="rId14" w:history="1">
        <w:r w:rsidRPr="005923E2">
          <w:rPr>
            <w:rStyle w:val="Hyperlink"/>
            <w:rFonts w:cstheme="minorHAnsi"/>
            <w:color w:val="0070C0"/>
          </w:rPr>
          <w:t>https://www.britannica.com/biography/Erasmus-Dutch-humanist</w:t>
        </w:r>
      </w:hyperlink>
    </w:p>
    <w:p w14:paraId="05B391A0" w14:textId="77777777" w:rsidR="005923E2" w:rsidRPr="007527E4" w:rsidRDefault="005923E2" w:rsidP="00C20047">
      <w:pPr>
        <w:spacing w:line="240" w:lineRule="auto"/>
        <w:ind w:left="703" w:right="703" w:firstLine="0"/>
        <w:rPr>
          <w:rFonts w:cstheme="minorHAnsi"/>
          <w:color w:val="0070C0"/>
          <w:sz w:val="22"/>
          <w:szCs w:val="22"/>
        </w:rPr>
      </w:pPr>
    </w:p>
    <w:p w14:paraId="30B43A99" w14:textId="77777777" w:rsidR="007527E4" w:rsidRPr="00C474EC" w:rsidRDefault="007527E4" w:rsidP="00C20047">
      <w:pPr>
        <w:spacing w:line="240" w:lineRule="auto"/>
        <w:ind w:left="703" w:right="703" w:firstLine="0"/>
        <w:rPr>
          <w:rFonts w:cstheme="minorHAnsi"/>
          <w:sz w:val="22"/>
          <w:szCs w:val="22"/>
        </w:rPr>
      </w:pPr>
    </w:p>
    <w:p w14:paraId="375058A6" w14:textId="1476097F" w:rsidR="0018119A" w:rsidRDefault="0018119A" w:rsidP="00C20047">
      <w:pPr>
        <w:spacing w:line="240" w:lineRule="auto"/>
        <w:ind w:left="703" w:right="703" w:firstLine="0"/>
        <w:rPr>
          <w:rFonts w:cstheme="minorHAnsi"/>
          <w:sz w:val="22"/>
          <w:szCs w:val="22"/>
        </w:rPr>
      </w:pPr>
    </w:p>
    <w:p w14:paraId="0F5711D9" w14:textId="77777777" w:rsidR="007527E4" w:rsidRPr="00C474EC" w:rsidRDefault="007527E4" w:rsidP="00C20047">
      <w:pPr>
        <w:spacing w:line="240" w:lineRule="auto"/>
        <w:ind w:left="703" w:right="703" w:firstLine="0"/>
        <w:rPr>
          <w:rFonts w:cstheme="minorHAnsi"/>
          <w:sz w:val="22"/>
          <w:szCs w:val="22"/>
        </w:rPr>
      </w:pPr>
    </w:p>
    <w:p w14:paraId="2065B18C" w14:textId="4F9EB172" w:rsidR="0018119A"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t xml:space="preserve">Browning, W R F Oxford: A Dictionary of the Bible (2ed) [p 84 online edition: Oxford Reference website] 2010 </w:t>
      </w:r>
      <w:r w:rsidR="0023225A">
        <w:rPr>
          <w:rFonts w:cstheme="minorHAnsi"/>
          <w:sz w:val="22"/>
          <w:szCs w:val="22"/>
        </w:rPr>
        <w:t>'</w:t>
      </w:r>
      <w:r w:rsidRPr="00C474EC">
        <w:rPr>
          <w:rFonts w:cstheme="minorHAnsi"/>
          <w:sz w:val="22"/>
          <w:szCs w:val="22"/>
        </w:rPr>
        <w:t>Septuagint</w:t>
      </w:r>
      <w:r w:rsidR="0023225A">
        <w:rPr>
          <w:rFonts w:cstheme="minorHAnsi"/>
          <w:sz w:val="22"/>
          <w:szCs w:val="22"/>
        </w:rPr>
        <w:t>'</w:t>
      </w:r>
      <w:r w:rsidRPr="00C474EC">
        <w:rPr>
          <w:rFonts w:cstheme="minorHAnsi"/>
          <w:sz w:val="22"/>
          <w:szCs w:val="22"/>
        </w:rPr>
        <w:t xml:space="preserve"> (</w:t>
      </w:r>
      <w:hyperlink r:id="rId15" w:history="1">
        <w:r w:rsidR="00AD0BE5" w:rsidRPr="00AD0BE5">
          <w:rPr>
            <w:rStyle w:val="Hyperlink"/>
            <w:rFonts w:cstheme="minorHAnsi"/>
            <w:color w:val="0070C0"/>
            <w:sz w:val="22"/>
            <w:szCs w:val="22"/>
          </w:rPr>
          <w:t>https://www.oxfordreference.com/view/10.1093/acref/9780199543984.001.0001/acref-9780199543984-e-1721</w:t>
        </w:r>
      </w:hyperlink>
      <w:r w:rsidRPr="00C474EC">
        <w:rPr>
          <w:rFonts w:cstheme="minorHAnsi"/>
          <w:sz w:val="22"/>
          <w:szCs w:val="22"/>
        </w:rPr>
        <w:t>)</w:t>
      </w:r>
    </w:p>
    <w:p w14:paraId="0A9A6DCE" w14:textId="1A8001A2"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ab/>
      </w:r>
    </w:p>
    <w:p w14:paraId="61731CC6" w14:textId="23460B9A" w:rsidR="0018119A"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t xml:space="preserve"> Browning, W R F Oxford: A Dictionary of the Bible (2ed) [p 99 online edition: Oxford Reference website] 2010 </w:t>
      </w:r>
      <w:r w:rsidR="0023225A">
        <w:rPr>
          <w:rFonts w:cstheme="minorHAnsi"/>
          <w:sz w:val="22"/>
          <w:szCs w:val="22"/>
        </w:rPr>
        <w:t>'</w:t>
      </w:r>
      <w:r w:rsidRPr="00C474EC">
        <w:rPr>
          <w:rFonts w:cstheme="minorHAnsi"/>
          <w:sz w:val="22"/>
          <w:szCs w:val="22"/>
        </w:rPr>
        <w:t>Vulgate</w:t>
      </w:r>
      <w:r w:rsidR="0023225A">
        <w:rPr>
          <w:rFonts w:cstheme="minorHAnsi"/>
          <w:sz w:val="22"/>
          <w:szCs w:val="22"/>
        </w:rPr>
        <w:t>'</w:t>
      </w:r>
      <w:r w:rsidRPr="00C474EC">
        <w:rPr>
          <w:rFonts w:cstheme="minorHAnsi"/>
          <w:sz w:val="22"/>
          <w:szCs w:val="22"/>
        </w:rPr>
        <w:t xml:space="preserve"> (</w:t>
      </w:r>
      <w:hyperlink r:id="rId16" w:history="1">
        <w:r w:rsidR="00E9783D" w:rsidRPr="00062B0E">
          <w:rPr>
            <w:rStyle w:val="Hyperlink"/>
            <w:rFonts w:cstheme="minorHAnsi"/>
            <w:color w:val="0070C0"/>
            <w:sz w:val="22"/>
            <w:szCs w:val="22"/>
          </w:rPr>
          <w:t>https://www.oxfordreference.com/view/10.1093/acref/9780199543984.001.0001/acref-9780199543984-e-2005?rskey=0FvGnc&amp;result=1969</w:t>
        </w:r>
      </w:hyperlink>
      <w:r w:rsidRPr="00C474EC">
        <w:rPr>
          <w:rFonts w:cstheme="minorHAnsi"/>
          <w:sz w:val="22"/>
          <w:szCs w:val="22"/>
        </w:rPr>
        <w:t>)</w:t>
      </w:r>
    </w:p>
    <w:p w14:paraId="1823C6D4" w14:textId="56546336" w:rsidR="0018119A" w:rsidRPr="00C474EC" w:rsidRDefault="0018119A" w:rsidP="00C20047">
      <w:pPr>
        <w:spacing w:line="240" w:lineRule="auto"/>
        <w:ind w:left="703" w:right="703" w:firstLine="0"/>
        <w:rPr>
          <w:rFonts w:cstheme="minorHAnsi"/>
          <w:sz w:val="22"/>
          <w:szCs w:val="22"/>
        </w:rPr>
      </w:pPr>
    </w:p>
    <w:p w14:paraId="2F8F5FE6" w14:textId="24644242"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t xml:space="preserve">The Oxford World Encyclopaedia (1ed) [p488 online edition: Oxford Reference website] 2014 Septuagint </w:t>
      </w:r>
      <w:r w:rsidR="00062B0E">
        <w:rPr>
          <w:rFonts w:cstheme="minorHAnsi"/>
          <w:sz w:val="22"/>
          <w:szCs w:val="22"/>
        </w:rPr>
        <w:t>(</w:t>
      </w:r>
      <w:hyperlink r:id="rId17" w:history="1">
        <w:r w:rsidR="00062B0E" w:rsidRPr="00154BFA">
          <w:rPr>
            <w:rStyle w:val="Hyperlink"/>
            <w:rFonts w:cstheme="minorHAnsi"/>
            <w:color w:val="0070C0"/>
            <w:sz w:val="22"/>
            <w:szCs w:val="22"/>
          </w:rPr>
          <w:t>https://www.oxfordreference.com/view/10.1093/acref/9780199546091.001.0001/acref-9780199546091-e-10483</w:t>
        </w:r>
      </w:hyperlink>
      <w:r w:rsidR="00062B0E">
        <w:rPr>
          <w:rFonts w:cstheme="minorHAnsi"/>
          <w:sz w:val="22"/>
          <w:szCs w:val="22"/>
        </w:rPr>
        <w:t xml:space="preserve">) </w:t>
      </w:r>
    </w:p>
    <w:p w14:paraId="2A5ECCD4" w14:textId="77777777"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r>
    </w:p>
    <w:p w14:paraId="4AF46F3D" w14:textId="004300A0" w:rsidR="00E52CCA"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t xml:space="preserve">The Oxford World Encyclopaedia (1ed) [p572 online edition: Oxford Reference website] 2014 Vulgate </w:t>
      </w:r>
    </w:p>
    <w:p w14:paraId="1B98131C" w14:textId="7A4CE2A7" w:rsidR="00E52CCA" w:rsidRDefault="00E52CCA" w:rsidP="00C20047">
      <w:pPr>
        <w:spacing w:line="240" w:lineRule="auto"/>
        <w:ind w:left="703" w:right="703" w:firstLine="0"/>
        <w:rPr>
          <w:rFonts w:cstheme="minorHAnsi"/>
          <w:sz w:val="22"/>
          <w:szCs w:val="22"/>
        </w:rPr>
      </w:pPr>
      <w:r>
        <w:rPr>
          <w:rFonts w:cstheme="minorHAnsi"/>
          <w:sz w:val="22"/>
          <w:szCs w:val="22"/>
        </w:rPr>
        <w:t>(</w:t>
      </w:r>
      <w:hyperlink r:id="rId18" w:history="1">
        <w:r w:rsidRPr="00E52CCA">
          <w:rPr>
            <w:rStyle w:val="Hyperlink"/>
            <w:rFonts w:cstheme="minorHAnsi"/>
            <w:color w:val="0070C0"/>
            <w:sz w:val="22"/>
            <w:szCs w:val="22"/>
          </w:rPr>
          <w:t>https://www.oxfordreference.com/view/10.1093/acref/9780199546091.001.0001/acref-9780199546091-e-12258?rskey=98puGv&amp;result=11423</w:t>
        </w:r>
      </w:hyperlink>
      <w:r w:rsidRPr="00E52CCA">
        <w:rPr>
          <w:rFonts w:cstheme="minorHAnsi"/>
          <w:color w:val="0070C0"/>
          <w:sz w:val="22"/>
          <w:szCs w:val="22"/>
        </w:rPr>
        <w:t>)</w:t>
      </w:r>
      <w:r>
        <w:rPr>
          <w:rFonts w:cstheme="minorHAnsi"/>
          <w:sz w:val="22"/>
          <w:szCs w:val="22"/>
        </w:rPr>
        <w:t xml:space="preserve"> </w:t>
      </w:r>
    </w:p>
    <w:p w14:paraId="0BAB1A39" w14:textId="2E6609F0"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ab/>
      </w:r>
    </w:p>
    <w:p w14:paraId="64169738" w14:textId="257B9DF1" w:rsidR="00154BFA"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t xml:space="preserve">The Oxford Classical Dictionary (3ed rev) [p293 online edition: Oxford Reference website 2005 Septuagint  </w:t>
      </w:r>
      <w:r w:rsidR="00154BFA">
        <w:rPr>
          <w:rFonts w:cstheme="minorHAnsi"/>
          <w:sz w:val="22"/>
          <w:szCs w:val="22"/>
        </w:rPr>
        <w:t>(</w:t>
      </w:r>
      <w:hyperlink r:id="rId19" w:history="1">
        <w:r w:rsidR="00154BFA" w:rsidRPr="00A261BE">
          <w:rPr>
            <w:rStyle w:val="Hyperlink"/>
            <w:rFonts w:cstheme="minorHAnsi"/>
            <w:color w:val="0070C0"/>
            <w:sz w:val="22"/>
            <w:szCs w:val="22"/>
          </w:rPr>
          <w:t>https://www.oxfordreference.com/view/10.1093/acref/9780198606413.001.0001/acref-9780198606413-e-5839?rskey=Cz5Odc&amp;result=584</w:t>
        </w:r>
      </w:hyperlink>
      <w:r w:rsidR="00154BFA">
        <w:rPr>
          <w:rFonts w:cstheme="minorHAnsi"/>
          <w:sz w:val="22"/>
          <w:szCs w:val="22"/>
        </w:rPr>
        <w:t>)</w:t>
      </w:r>
    </w:p>
    <w:p w14:paraId="78DF5FE2" w14:textId="07F1D8CB" w:rsidR="0018119A" w:rsidRPr="00C474EC" w:rsidRDefault="0018119A" w:rsidP="00C20047">
      <w:pPr>
        <w:spacing w:line="240" w:lineRule="auto"/>
        <w:ind w:left="703" w:right="703" w:firstLine="0"/>
        <w:rPr>
          <w:rFonts w:cstheme="minorHAnsi"/>
          <w:sz w:val="22"/>
          <w:szCs w:val="22"/>
        </w:rPr>
      </w:pPr>
      <w:r w:rsidRPr="00C474EC">
        <w:rPr>
          <w:rFonts w:cstheme="minorHAnsi"/>
          <w:sz w:val="22"/>
          <w:szCs w:val="22"/>
        </w:rPr>
        <w:tab/>
      </w:r>
    </w:p>
    <w:p w14:paraId="2C2B75E5" w14:textId="1266F9A7" w:rsidR="00373011" w:rsidRDefault="0018119A" w:rsidP="00C20047">
      <w:pPr>
        <w:spacing w:line="240" w:lineRule="auto"/>
        <w:ind w:left="703" w:right="703" w:firstLine="0"/>
        <w:rPr>
          <w:rFonts w:cstheme="minorHAnsi"/>
          <w:sz w:val="22"/>
          <w:szCs w:val="22"/>
        </w:rPr>
      </w:pPr>
      <w:r w:rsidRPr="00C474EC">
        <w:rPr>
          <w:rFonts w:cstheme="minorHAnsi"/>
          <w:sz w:val="22"/>
          <w:szCs w:val="22"/>
        </w:rPr>
        <w:t>-</w:t>
      </w:r>
      <w:r w:rsidRPr="00C474EC">
        <w:rPr>
          <w:rFonts w:cstheme="minorHAnsi"/>
          <w:sz w:val="22"/>
          <w:szCs w:val="22"/>
        </w:rPr>
        <w:tab/>
        <w:t xml:space="preserve">The Oxford Classical Dictionary (3ed rev) [p344 online edition: Oxford Reference website 2005 Vulgate </w:t>
      </w:r>
    </w:p>
    <w:p w14:paraId="2C6E5CF6" w14:textId="0FF4EF95" w:rsidR="0018119A" w:rsidRPr="00C474EC" w:rsidRDefault="00373011" w:rsidP="00C20047">
      <w:pPr>
        <w:spacing w:line="240" w:lineRule="auto"/>
        <w:ind w:left="703" w:right="703" w:firstLine="0"/>
        <w:rPr>
          <w:rFonts w:cstheme="minorHAnsi"/>
          <w:sz w:val="22"/>
          <w:szCs w:val="22"/>
        </w:rPr>
      </w:pPr>
      <w:r>
        <w:rPr>
          <w:rFonts w:cstheme="minorHAnsi"/>
          <w:sz w:val="22"/>
          <w:szCs w:val="22"/>
        </w:rPr>
        <w:t>(</w:t>
      </w:r>
      <w:hyperlink r:id="rId20" w:history="1">
        <w:r w:rsidRPr="00E70A8F">
          <w:rPr>
            <w:rStyle w:val="Hyperlink"/>
            <w:rFonts w:cstheme="minorHAnsi"/>
            <w:color w:val="0070C0"/>
            <w:sz w:val="22"/>
            <w:szCs w:val="22"/>
          </w:rPr>
          <w:t>https://www.oxfordreference.com/view/10.1093/acref/9780198606413.001.0001/acref-9780198606413-e-6866</w:t>
        </w:r>
      </w:hyperlink>
      <w:r>
        <w:rPr>
          <w:rFonts w:cstheme="minorHAnsi"/>
          <w:sz w:val="22"/>
          <w:szCs w:val="22"/>
        </w:rPr>
        <w:t xml:space="preserve">) </w:t>
      </w:r>
    </w:p>
    <w:p w14:paraId="59966B54" w14:textId="77777777" w:rsidR="0018119A" w:rsidRPr="00C474EC" w:rsidRDefault="0018119A" w:rsidP="00C20047">
      <w:pPr>
        <w:spacing w:line="240" w:lineRule="auto"/>
        <w:ind w:left="703" w:right="703" w:firstLine="0"/>
        <w:rPr>
          <w:rFonts w:cstheme="minorHAnsi"/>
          <w:sz w:val="22"/>
          <w:szCs w:val="22"/>
        </w:rPr>
      </w:pPr>
    </w:p>
    <w:p w14:paraId="5D9DA0BE" w14:textId="77777777" w:rsidR="0077646C" w:rsidRDefault="0077646C" w:rsidP="00C20047">
      <w:pPr>
        <w:spacing w:line="240" w:lineRule="auto"/>
        <w:ind w:left="703" w:right="703" w:firstLine="0"/>
        <w:rPr>
          <w:rFonts w:cstheme="minorHAnsi"/>
          <w:sz w:val="22"/>
          <w:szCs w:val="22"/>
        </w:rPr>
      </w:pPr>
    </w:p>
    <w:p w14:paraId="18818DCC" w14:textId="3B479DBD" w:rsidR="0077646C" w:rsidRDefault="0018119A" w:rsidP="00C20047">
      <w:pPr>
        <w:spacing w:line="240" w:lineRule="auto"/>
        <w:ind w:left="703" w:right="703" w:firstLine="0"/>
        <w:rPr>
          <w:rFonts w:cstheme="minorHAnsi"/>
          <w:sz w:val="22"/>
          <w:szCs w:val="22"/>
        </w:rPr>
      </w:pPr>
      <w:r w:rsidRPr="00C474EC">
        <w:rPr>
          <w:rFonts w:cstheme="minorHAnsi"/>
          <w:sz w:val="22"/>
          <w:szCs w:val="22"/>
        </w:rPr>
        <w:t>Reeves, John C</w:t>
      </w:r>
      <w:r w:rsidR="0077646C">
        <w:rPr>
          <w:rFonts w:cstheme="minorHAnsi"/>
          <w:sz w:val="22"/>
          <w:szCs w:val="22"/>
        </w:rPr>
        <w:t xml:space="preserve">, </w:t>
      </w:r>
      <w:r w:rsidR="0023225A">
        <w:rPr>
          <w:rFonts w:cstheme="minorHAnsi"/>
          <w:sz w:val="22"/>
          <w:szCs w:val="22"/>
        </w:rPr>
        <w:t>'</w:t>
      </w:r>
      <w:r w:rsidRPr="00C474EC">
        <w:rPr>
          <w:rFonts w:cstheme="minorHAnsi"/>
          <w:sz w:val="22"/>
          <w:szCs w:val="22"/>
        </w:rPr>
        <w:t>General Principles for Interpretation of the Tanakh</w:t>
      </w:r>
      <w:r w:rsidR="0023225A">
        <w:rPr>
          <w:rFonts w:cstheme="minorHAnsi"/>
          <w:sz w:val="22"/>
          <w:szCs w:val="22"/>
        </w:rPr>
        <w:t>'</w:t>
      </w:r>
      <w:r w:rsidRPr="00C474EC">
        <w:rPr>
          <w:rFonts w:cstheme="minorHAnsi"/>
          <w:sz w:val="22"/>
          <w:szCs w:val="22"/>
        </w:rPr>
        <w:t xml:space="preserve"> </w:t>
      </w:r>
    </w:p>
    <w:p w14:paraId="7AA05040" w14:textId="2A5B897F" w:rsidR="0018119A" w:rsidRPr="00C474EC" w:rsidRDefault="00BD3BCC" w:rsidP="00C20047">
      <w:pPr>
        <w:spacing w:line="240" w:lineRule="auto"/>
        <w:ind w:left="703" w:right="703" w:firstLine="0"/>
        <w:rPr>
          <w:rFonts w:cstheme="minorHAnsi"/>
          <w:sz w:val="22"/>
          <w:szCs w:val="22"/>
        </w:rPr>
      </w:pPr>
      <w:r>
        <w:rPr>
          <w:rFonts w:cstheme="minorHAnsi"/>
          <w:sz w:val="22"/>
          <w:szCs w:val="22"/>
        </w:rPr>
        <w:t>(</w:t>
      </w:r>
      <w:hyperlink r:id="rId21" w:history="1">
        <w:r w:rsidRPr="00BD3BCC">
          <w:rPr>
            <w:rStyle w:val="Hyperlink"/>
            <w:rFonts w:cstheme="minorHAnsi"/>
            <w:color w:val="0070C0"/>
            <w:sz w:val="22"/>
            <w:szCs w:val="22"/>
          </w:rPr>
          <w:t>https://pages.uncc.edu/john-reeves/course-materials/rels-2104-hebrew-scripturesold-testament/general-principles-for-interpretation-of-the-tanakh/</w:t>
        </w:r>
      </w:hyperlink>
      <w:r>
        <w:rPr>
          <w:rFonts w:cstheme="minorHAnsi"/>
          <w:sz w:val="22"/>
          <w:szCs w:val="22"/>
        </w:rPr>
        <w:t xml:space="preserve">) </w:t>
      </w:r>
      <w:r w:rsidR="0018119A" w:rsidRPr="00C474EC">
        <w:rPr>
          <w:rFonts w:cstheme="minorHAnsi"/>
          <w:sz w:val="22"/>
          <w:szCs w:val="22"/>
        </w:rPr>
        <w:t xml:space="preserve"> and additional pages for backgrounding of </w:t>
      </w:r>
      <w:r w:rsidR="0023225A">
        <w:rPr>
          <w:rFonts w:cstheme="minorHAnsi"/>
          <w:sz w:val="22"/>
          <w:szCs w:val="22"/>
        </w:rPr>
        <w:t>'</w:t>
      </w:r>
      <w:r w:rsidR="0018119A" w:rsidRPr="00C474EC">
        <w:rPr>
          <w:rFonts w:cstheme="minorHAnsi"/>
          <w:sz w:val="22"/>
          <w:szCs w:val="22"/>
        </w:rPr>
        <w:t>Ruah</w:t>
      </w:r>
      <w:r w:rsidR="0023225A">
        <w:rPr>
          <w:rFonts w:cstheme="minorHAnsi"/>
          <w:sz w:val="22"/>
          <w:szCs w:val="22"/>
        </w:rPr>
        <w:t>'</w:t>
      </w:r>
      <w:r w:rsidR="0018119A" w:rsidRPr="00C474EC">
        <w:rPr>
          <w:rFonts w:cstheme="minorHAnsi"/>
          <w:sz w:val="22"/>
          <w:szCs w:val="22"/>
        </w:rPr>
        <w:t>.</w:t>
      </w:r>
    </w:p>
    <w:p w14:paraId="7333A62D" w14:textId="77777777" w:rsidR="0018119A" w:rsidRPr="00C474EC" w:rsidRDefault="0018119A" w:rsidP="00C20047">
      <w:pPr>
        <w:spacing w:line="240" w:lineRule="auto"/>
        <w:ind w:left="703" w:right="703" w:firstLine="0"/>
        <w:rPr>
          <w:rFonts w:cstheme="minorHAnsi"/>
          <w:sz w:val="22"/>
          <w:szCs w:val="22"/>
        </w:rPr>
      </w:pPr>
    </w:p>
    <w:p w14:paraId="746D4CD5" w14:textId="7763DFDB" w:rsidR="0088447B" w:rsidRDefault="0018119A" w:rsidP="00C20047">
      <w:pPr>
        <w:spacing w:line="240" w:lineRule="auto"/>
        <w:ind w:left="703" w:right="703" w:firstLine="0"/>
        <w:rPr>
          <w:rFonts w:cstheme="minorHAnsi"/>
          <w:sz w:val="22"/>
          <w:szCs w:val="22"/>
        </w:rPr>
      </w:pPr>
      <w:r w:rsidRPr="00C474EC">
        <w:rPr>
          <w:rFonts w:cstheme="minorHAnsi"/>
          <w:sz w:val="22"/>
          <w:szCs w:val="22"/>
        </w:rPr>
        <w:t xml:space="preserve">The Jewish </w:t>
      </w:r>
      <w:r w:rsidR="00AC7E9F" w:rsidRPr="00C474EC">
        <w:rPr>
          <w:rFonts w:cstheme="minorHAnsi"/>
          <w:sz w:val="22"/>
          <w:szCs w:val="22"/>
        </w:rPr>
        <w:t>Encyclopaedia</w:t>
      </w:r>
      <w:r w:rsidRPr="00C474EC">
        <w:rPr>
          <w:rFonts w:cstheme="minorHAnsi"/>
          <w:sz w:val="22"/>
          <w:szCs w:val="22"/>
        </w:rPr>
        <w:t xml:space="preserve"> (1963)</w:t>
      </w:r>
    </w:p>
    <w:p w14:paraId="1F7B012A" w14:textId="25302C05" w:rsidR="0018119A" w:rsidRDefault="0088447B" w:rsidP="00C20047">
      <w:pPr>
        <w:spacing w:line="240" w:lineRule="auto"/>
        <w:ind w:left="703" w:right="703" w:firstLine="0"/>
        <w:rPr>
          <w:rFonts w:cstheme="minorHAnsi"/>
          <w:sz w:val="22"/>
          <w:szCs w:val="22"/>
        </w:rPr>
      </w:pPr>
      <w:r>
        <w:rPr>
          <w:rFonts w:cstheme="minorHAnsi"/>
          <w:sz w:val="22"/>
          <w:szCs w:val="22"/>
        </w:rPr>
        <w:t>(</w:t>
      </w:r>
      <w:hyperlink r:id="rId22" w:history="1">
        <w:r w:rsidRPr="0088447B">
          <w:rPr>
            <w:rStyle w:val="Hyperlink"/>
            <w:rFonts w:cstheme="minorHAnsi"/>
            <w:color w:val="0070C0"/>
            <w:sz w:val="22"/>
            <w:szCs w:val="22"/>
          </w:rPr>
          <w:t>http://www.jewishencyclopedia.com/</w:t>
        </w:r>
      </w:hyperlink>
      <w:r>
        <w:rPr>
          <w:rFonts w:cstheme="minorHAnsi"/>
          <w:sz w:val="22"/>
          <w:szCs w:val="22"/>
        </w:rPr>
        <w:t xml:space="preserve">) </w:t>
      </w:r>
      <w:r w:rsidR="0018119A" w:rsidRPr="00C474EC">
        <w:rPr>
          <w:rFonts w:cstheme="minorHAnsi"/>
          <w:sz w:val="22"/>
          <w:szCs w:val="22"/>
        </w:rPr>
        <w:t xml:space="preserve"> </w:t>
      </w:r>
    </w:p>
    <w:p w14:paraId="36A214F1" w14:textId="77777777" w:rsidR="0088447B" w:rsidRPr="00C474EC" w:rsidRDefault="0088447B" w:rsidP="00C20047">
      <w:pPr>
        <w:spacing w:line="240" w:lineRule="auto"/>
        <w:ind w:left="703" w:right="703" w:firstLine="0"/>
        <w:rPr>
          <w:rFonts w:cstheme="minorHAnsi"/>
          <w:sz w:val="22"/>
          <w:szCs w:val="22"/>
        </w:rPr>
      </w:pPr>
    </w:p>
    <w:p w14:paraId="6FDB5817" w14:textId="039D7223" w:rsidR="007066F5" w:rsidRDefault="0018119A" w:rsidP="00C20047">
      <w:pPr>
        <w:spacing w:line="240" w:lineRule="auto"/>
        <w:ind w:left="703" w:right="703" w:firstLine="0"/>
        <w:rPr>
          <w:rFonts w:cstheme="minorHAnsi"/>
          <w:sz w:val="22"/>
          <w:szCs w:val="22"/>
        </w:rPr>
      </w:pPr>
      <w:r w:rsidRPr="00C474EC">
        <w:rPr>
          <w:rFonts w:cstheme="minorHAnsi"/>
          <w:sz w:val="22"/>
          <w:szCs w:val="22"/>
        </w:rPr>
        <w:t xml:space="preserve">New Advent, </w:t>
      </w:r>
      <w:r w:rsidR="0023225A">
        <w:rPr>
          <w:rFonts w:cstheme="minorHAnsi"/>
          <w:sz w:val="22"/>
          <w:szCs w:val="22"/>
        </w:rPr>
        <w:t>'</w:t>
      </w:r>
      <w:r w:rsidRPr="00C474EC">
        <w:rPr>
          <w:rFonts w:cstheme="minorHAnsi"/>
          <w:sz w:val="22"/>
          <w:szCs w:val="22"/>
        </w:rPr>
        <w:t>The Catholic Encyclopaedia</w:t>
      </w:r>
      <w:r w:rsidR="0023225A">
        <w:rPr>
          <w:rFonts w:cstheme="minorHAnsi"/>
          <w:sz w:val="22"/>
          <w:szCs w:val="22"/>
        </w:rPr>
        <w:t>'</w:t>
      </w:r>
      <w:r w:rsidRPr="00C474EC">
        <w:rPr>
          <w:rFonts w:cstheme="minorHAnsi"/>
          <w:sz w:val="22"/>
          <w:szCs w:val="22"/>
        </w:rPr>
        <w:t xml:space="preserve"> </w:t>
      </w:r>
    </w:p>
    <w:p w14:paraId="70D6A39C" w14:textId="1C6EDAEA" w:rsidR="00087CA5" w:rsidRPr="00C474EC" w:rsidRDefault="007066F5" w:rsidP="00C20047">
      <w:pPr>
        <w:spacing w:line="240" w:lineRule="auto"/>
        <w:ind w:left="703" w:right="703" w:firstLine="0"/>
        <w:rPr>
          <w:rFonts w:cstheme="minorHAnsi"/>
          <w:sz w:val="22"/>
          <w:szCs w:val="22"/>
        </w:rPr>
      </w:pPr>
      <w:r>
        <w:rPr>
          <w:rFonts w:cstheme="minorHAnsi"/>
          <w:sz w:val="22"/>
          <w:szCs w:val="22"/>
        </w:rPr>
        <w:t>(</w:t>
      </w:r>
      <w:hyperlink r:id="rId23" w:history="1">
        <w:r w:rsidRPr="0088447B">
          <w:rPr>
            <w:rStyle w:val="Hyperlink"/>
            <w:rFonts w:cstheme="minorHAnsi"/>
            <w:color w:val="0070C0"/>
            <w:sz w:val="22"/>
            <w:szCs w:val="22"/>
          </w:rPr>
          <w:t>https://www.newadvent.org/cathen/</w:t>
        </w:r>
      </w:hyperlink>
      <w:r>
        <w:rPr>
          <w:rFonts w:cstheme="minorHAnsi"/>
          <w:sz w:val="22"/>
          <w:szCs w:val="22"/>
        </w:rPr>
        <w:t xml:space="preserve">) </w:t>
      </w:r>
    </w:p>
    <w:p w14:paraId="56C514CF" w14:textId="77777777" w:rsidR="007801E2" w:rsidRDefault="007801E2" w:rsidP="00C20047">
      <w:pPr>
        <w:ind w:left="703" w:right="703"/>
      </w:pPr>
    </w:p>
    <w:sectPr w:rsidR="007801E2" w:rsidSect="00FC6C52">
      <w:headerReference w:type="default" r:id="rId24"/>
      <w:footerReference w:type="default" r:id="rId25"/>
      <w:type w:val="continuous"/>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5B543" w14:textId="77777777" w:rsidR="000A4227" w:rsidRDefault="000A4227">
      <w:pPr>
        <w:spacing w:line="240" w:lineRule="auto"/>
      </w:pPr>
      <w:r>
        <w:separator/>
      </w:r>
    </w:p>
  </w:endnote>
  <w:endnote w:type="continuationSeparator" w:id="0">
    <w:p w14:paraId="30CA8E7F" w14:textId="77777777" w:rsidR="000A4227" w:rsidRDefault="000A4227">
      <w:pPr>
        <w:spacing w:line="240" w:lineRule="auto"/>
      </w:pPr>
      <w:r>
        <w:continuationSeparator/>
      </w:r>
    </w:p>
  </w:endnote>
  <w:endnote w:id="1">
    <w:p w14:paraId="2AD09FF8" w14:textId="2AFBAD8E" w:rsidR="000A242F" w:rsidRPr="00ED41E0" w:rsidRDefault="000835A5" w:rsidP="000A242F">
      <w:pPr>
        <w:pStyle w:val="EndnoteText"/>
        <w:spacing w:line="240" w:lineRule="auto"/>
        <w:ind w:firstLine="0"/>
        <w:rPr>
          <w:rFonts w:ascii="Arial" w:hAnsi="Arial" w:cs="Arial"/>
          <w:sz w:val="20"/>
          <w:szCs w:val="20"/>
        </w:rPr>
      </w:pPr>
      <w:r w:rsidRPr="00ED41E0">
        <w:rPr>
          <w:rStyle w:val="EndnoteReference"/>
          <w:rFonts w:ascii="Arial" w:hAnsi="Arial" w:cs="Arial"/>
          <w:sz w:val="20"/>
          <w:szCs w:val="20"/>
        </w:rPr>
        <w:endnoteRef/>
      </w:r>
      <w:r w:rsidRPr="00ED41E0">
        <w:rPr>
          <w:rFonts w:ascii="Arial" w:hAnsi="Arial" w:cs="Arial"/>
          <w:sz w:val="20"/>
          <w:szCs w:val="20"/>
        </w:rPr>
        <w:t xml:space="preserve"> Non-Latinate fonts are adapted from Strong’s unless otherwise stated, using SBL Greek or SBL Hebrew typeface, respectively. </w:t>
      </w:r>
    </w:p>
  </w:endnote>
  <w:endnote w:id="2">
    <w:p w14:paraId="223BD49B" w14:textId="586684C2" w:rsidR="00182089" w:rsidRDefault="00182089" w:rsidP="002141F7">
      <w:pPr>
        <w:spacing w:line="240" w:lineRule="auto"/>
        <w:ind w:firstLine="0"/>
      </w:pPr>
      <w:r w:rsidRPr="00ED41E0">
        <w:rPr>
          <w:rStyle w:val="EndnoteReference"/>
          <w:rFonts w:ascii="Arial" w:hAnsi="Arial" w:cs="Arial"/>
          <w:sz w:val="20"/>
          <w:szCs w:val="20"/>
        </w:rPr>
        <w:endnoteRef/>
      </w:r>
      <w:r w:rsidRPr="00ED41E0">
        <w:rPr>
          <w:rFonts w:ascii="Arial" w:hAnsi="Arial" w:cs="Arial"/>
          <w:sz w:val="20"/>
          <w:szCs w:val="20"/>
        </w:rPr>
        <w:t xml:space="preserve"> All Biblical citations should be taken to be from the NRSV (Anglicised) unless otherwise stated.</w:t>
      </w:r>
      <w:r w:rsidRPr="00ED41E0">
        <w:rPr>
          <w:rFonts w:ascii="Times New Roman" w:hAnsi="Times New Roman" w:cs="Times New Roman"/>
          <w:sz w:val="20"/>
          <w:szCs w:val="20"/>
          <w:highlight w:val="yellow"/>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SBL Hebrew">
    <w:panose1 w:val="02000000000000000000"/>
    <w:charset w:val="00"/>
    <w:family w:val="auto"/>
    <w:pitch w:val="variable"/>
    <w:sig w:usb0="8000086F" w:usb1="4000204A" w:usb2="00000000" w:usb3="00000000" w:csb0="0000002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CC441" w14:textId="58515740" w:rsidR="00E20461" w:rsidRPr="00B838EF" w:rsidRDefault="00E20461" w:rsidP="00E20461">
    <w:pPr>
      <w:pStyle w:val="Footer"/>
      <w:jc w:val="center"/>
      <w:rPr>
        <w:sz w:val="20"/>
        <w:szCs w:val="20"/>
      </w:rPr>
    </w:pPr>
    <w:r w:rsidRPr="00B838EF">
      <w:rPr>
        <w:rFonts w:asciiTheme="majorHAnsi" w:eastAsiaTheme="majorEastAsia" w:hAnsiTheme="majorHAnsi" w:cstheme="majorBidi"/>
        <w:sz w:val="22"/>
        <w:szCs w:val="22"/>
      </w:rPr>
      <w:t xml:space="preserve">~ </w:t>
    </w:r>
    <w:r w:rsidRPr="00B838EF">
      <w:rPr>
        <w:sz w:val="18"/>
        <w:szCs w:val="18"/>
      </w:rPr>
      <w:fldChar w:fldCharType="begin"/>
    </w:r>
    <w:r w:rsidRPr="00B838EF">
      <w:rPr>
        <w:sz w:val="20"/>
        <w:szCs w:val="20"/>
      </w:rPr>
      <w:instrText xml:space="preserve"> PAGE    \* MERGEFORMAT </w:instrText>
    </w:r>
    <w:r w:rsidRPr="00B838EF">
      <w:rPr>
        <w:sz w:val="18"/>
        <w:szCs w:val="18"/>
      </w:rPr>
      <w:fldChar w:fldCharType="separate"/>
    </w:r>
    <w:r w:rsidRPr="00B838EF">
      <w:rPr>
        <w:rFonts w:asciiTheme="majorHAnsi" w:eastAsiaTheme="majorEastAsia" w:hAnsiTheme="majorHAnsi" w:cstheme="majorBidi"/>
        <w:sz w:val="22"/>
        <w:szCs w:val="22"/>
      </w:rPr>
      <w:t>1</w:t>
    </w:r>
    <w:r w:rsidRPr="00B838EF">
      <w:rPr>
        <w:rFonts w:asciiTheme="majorHAnsi" w:eastAsiaTheme="majorEastAsia" w:hAnsiTheme="majorHAnsi" w:cstheme="majorBidi"/>
        <w:sz w:val="22"/>
        <w:szCs w:val="22"/>
      </w:rPr>
      <w:fldChar w:fldCharType="end"/>
    </w:r>
    <w:r w:rsidRPr="00B838EF">
      <w:rPr>
        <w:rFonts w:asciiTheme="majorHAnsi" w:eastAsiaTheme="majorEastAsia" w:hAnsiTheme="majorHAnsi" w:cstheme="majorBidi"/>
        <w:sz w:val="22"/>
        <w:szCs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A092E" w14:textId="77777777" w:rsidR="000A4227" w:rsidRDefault="000A4227">
      <w:pPr>
        <w:spacing w:line="240" w:lineRule="auto"/>
      </w:pPr>
      <w:r>
        <w:separator/>
      </w:r>
    </w:p>
  </w:footnote>
  <w:footnote w:type="continuationSeparator" w:id="0">
    <w:p w14:paraId="0E789CFB" w14:textId="77777777" w:rsidR="000A4227" w:rsidRDefault="000A4227">
      <w:pPr>
        <w:spacing w:line="240" w:lineRule="auto"/>
      </w:pPr>
      <w:r>
        <w:continuationSeparator/>
      </w:r>
    </w:p>
  </w:footnote>
  <w:footnote w:id="1">
    <w:p w14:paraId="427BFAF4" w14:textId="40D8131B" w:rsidR="009D76C2" w:rsidRPr="00830834" w:rsidRDefault="009D76C2" w:rsidP="00F41126">
      <w:pPr>
        <w:pStyle w:val="FootnoteText"/>
        <w:spacing w:line="240" w:lineRule="auto"/>
        <w:ind w:firstLine="0"/>
        <w:jc w:val="both"/>
        <w:rPr>
          <w:rFonts w:ascii="Arial" w:hAnsi="Arial" w:cs="Arial"/>
          <w:sz w:val="20"/>
          <w:szCs w:val="20"/>
        </w:rPr>
      </w:pPr>
      <w:r w:rsidRPr="00830834">
        <w:rPr>
          <w:rStyle w:val="FootnoteReference"/>
          <w:rFonts w:ascii="Arial" w:hAnsi="Arial" w:cs="Arial"/>
          <w:sz w:val="20"/>
          <w:szCs w:val="20"/>
        </w:rPr>
        <w:footnoteRef/>
      </w:r>
      <w:r w:rsidRPr="00830834">
        <w:rPr>
          <w:rFonts w:ascii="Arial" w:hAnsi="Arial" w:cs="Arial"/>
          <w:sz w:val="20"/>
          <w:szCs w:val="20"/>
        </w:rPr>
        <w:t xml:space="preserve"> </w:t>
      </w:r>
      <w:r w:rsidR="00EA3421" w:rsidRPr="00830834">
        <w:rPr>
          <w:rFonts w:ascii="Arial" w:hAnsi="Arial" w:cs="Arial"/>
          <w:sz w:val="20"/>
          <w:szCs w:val="20"/>
        </w:rPr>
        <w:t xml:space="preserve">An exception here maybe </w:t>
      </w:r>
      <w:r w:rsidR="00D55896" w:rsidRPr="00830834">
        <w:rPr>
          <w:rFonts w:ascii="Arial" w:hAnsi="Arial" w:cs="Arial"/>
          <w:sz w:val="20"/>
          <w:szCs w:val="20"/>
        </w:rPr>
        <w:t>realms</w:t>
      </w:r>
      <w:r w:rsidR="00EA3421" w:rsidRPr="00830834">
        <w:rPr>
          <w:rFonts w:ascii="Arial" w:hAnsi="Arial" w:cs="Arial"/>
          <w:sz w:val="20"/>
          <w:szCs w:val="20"/>
        </w:rPr>
        <w:t xml:space="preserve"> of the social science</w:t>
      </w:r>
      <w:r w:rsidR="00D55896" w:rsidRPr="00830834">
        <w:rPr>
          <w:rFonts w:ascii="Arial" w:hAnsi="Arial" w:cs="Arial"/>
          <w:sz w:val="20"/>
          <w:szCs w:val="20"/>
        </w:rPr>
        <w:t xml:space="preserve"> disciplines, using quasi-</w:t>
      </w:r>
      <w:r w:rsidR="00830834" w:rsidRPr="00830834">
        <w:rPr>
          <w:rFonts w:ascii="Arial" w:hAnsi="Arial" w:cs="Arial"/>
          <w:sz w:val="20"/>
          <w:szCs w:val="20"/>
        </w:rPr>
        <w:t>pseudo-scientific method to achieve quantitative working data.</w:t>
      </w:r>
    </w:p>
  </w:footnote>
  <w:footnote w:id="2">
    <w:p w14:paraId="21B1E3AE" w14:textId="2C2E9F60" w:rsidR="005E2E57" w:rsidRPr="00751C28" w:rsidRDefault="005E2E57" w:rsidP="00751C28">
      <w:pPr>
        <w:pStyle w:val="FootnoteText"/>
        <w:spacing w:line="240" w:lineRule="auto"/>
        <w:ind w:firstLine="0"/>
        <w:jc w:val="both"/>
        <w:rPr>
          <w:rFonts w:ascii="Arial" w:hAnsi="Arial" w:cs="Arial"/>
          <w:sz w:val="20"/>
          <w:szCs w:val="20"/>
        </w:rPr>
      </w:pPr>
      <w:r w:rsidRPr="00751C28">
        <w:rPr>
          <w:rStyle w:val="FootnoteReference"/>
          <w:rFonts w:ascii="Arial" w:hAnsi="Arial" w:cs="Arial"/>
          <w:sz w:val="20"/>
          <w:szCs w:val="20"/>
        </w:rPr>
        <w:footnoteRef/>
      </w:r>
      <w:r w:rsidR="00AE08FB" w:rsidRPr="00751C28">
        <w:rPr>
          <w:rFonts w:ascii="Arial" w:hAnsi="Arial" w:cs="Arial"/>
          <w:sz w:val="20"/>
          <w:szCs w:val="20"/>
        </w:rPr>
        <w:t>C</w:t>
      </w:r>
      <w:r w:rsidRPr="00751C28">
        <w:rPr>
          <w:rFonts w:ascii="Arial" w:hAnsi="Arial" w:cs="Arial"/>
          <w:sz w:val="20"/>
          <w:szCs w:val="20"/>
        </w:rPr>
        <w:t xml:space="preserve">ontents pages, indexes, glossaries, </w:t>
      </w:r>
      <w:r w:rsidR="00F41126" w:rsidRPr="00751C28">
        <w:rPr>
          <w:rFonts w:ascii="Arial" w:hAnsi="Arial" w:cs="Arial"/>
          <w:sz w:val="20"/>
          <w:szCs w:val="20"/>
        </w:rPr>
        <w:t>appendices,</w:t>
      </w:r>
      <w:r w:rsidRPr="00751C28">
        <w:rPr>
          <w:rFonts w:ascii="Arial" w:hAnsi="Arial" w:cs="Arial"/>
          <w:sz w:val="20"/>
          <w:szCs w:val="20"/>
        </w:rPr>
        <w:t xml:space="preserve"> and all manner of related indicia would have required scrupulous attention prior to the use of any additional dictionaries, </w:t>
      </w:r>
      <w:r w:rsidR="00705C14" w:rsidRPr="00751C28">
        <w:rPr>
          <w:rFonts w:ascii="Arial" w:hAnsi="Arial" w:cs="Arial"/>
          <w:sz w:val="20"/>
          <w:szCs w:val="20"/>
        </w:rPr>
        <w:t>lexicons,</w:t>
      </w:r>
      <w:r w:rsidRPr="00751C28">
        <w:rPr>
          <w:rFonts w:ascii="Arial" w:hAnsi="Arial" w:cs="Arial"/>
          <w:sz w:val="20"/>
          <w:szCs w:val="20"/>
        </w:rPr>
        <w:t xml:space="preserve"> or codices.  </w:t>
      </w:r>
    </w:p>
  </w:footnote>
  <w:footnote w:id="3">
    <w:p w14:paraId="7F6A6846" w14:textId="38F59179" w:rsidR="009A544F" w:rsidRPr="0028765C" w:rsidRDefault="009A544F" w:rsidP="0028765C">
      <w:pPr>
        <w:pStyle w:val="FootnoteText"/>
        <w:spacing w:line="240" w:lineRule="auto"/>
        <w:ind w:firstLine="0"/>
        <w:jc w:val="both"/>
        <w:rPr>
          <w:rFonts w:ascii="Arial" w:hAnsi="Arial" w:cs="Arial"/>
          <w:sz w:val="20"/>
          <w:szCs w:val="20"/>
        </w:rPr>
      </w:pPr>
      <w:r w:rsidRPr="0028765C">
        <w:rPr>
          <w:rStyle w:val="FootnoteReference"/>
          <w:rFonts w:ascii="Arial" w:hAnsi="Arial" w:cs="Arial"/>
          <w:sz w:val="20"/>
          <w:szCs w:val="20"/>
        </w:rPr>
        <w:footnoteRef/>
      </w:r>
      <w:r w:rsidRPr="0028765C">
        <w:rPr>
          <w:rFonts w:ascii="Arial" w:hAnsi="Arial" w:cs="Arial"/>
          <w:sz w:val="20"/>
          <w:szCs w:val="20"/>
        </w:rPr>
        <w:t xml:space="preserve"> Such as if one were to query an article that could be found anywhere in the entirety of Aquina</w:t>
      </w:r>
      <w:r w:rsidR="00C578AC" w:rsidRPr="0028765C">
        <w:rPr>
          <w:rFonts w:ascii="Arial" w:hAnsi="Arial" w:cs="Arial"/>
          <w:sz w:val="20"/>
          <w:szCs w:val="20"/>
        </w:rPr>
        <w:t xml:space="preserve">s’ </w:t>
      </w:r>
      <w:r w:rsidR="00C578AC" w:rsidRPr="0028765C">
        <w:rPr>
          <w:rFonts w:ascii="Arial" w:hAnsi="Arial" w:cs="Arial"/>
          <w:i/>
          <w:iCs/>
          <w:sz w:val="20"/>
          <w:szCs w:val="20"/>
        </w:rPr>
        <w:t xml:space="preserve">Summa </w:t>
      </w:r>
      <w:proofErr w:type="spellStart"/>
      <w:r w:rsidR="00C578AC" w:rsidRPr="0028765C">
        <w:rPr>
          <w:rFonts w:ascii="Arial" w:hAnsi="Arial" w:cs="Arial"/>
          <w:i/>
          <w:iCs/>
          <w:sz w:val="20"/>
          <w:szCs w:val="20"/>
        </w:rPr>
        <w:t>Theologiae</w:t>
      </w:r>
      <w:proofErr w:type="spellEnd"/>
      <w:r w:rsidR="00C578AC" w:rsidRPr="0028765C">
        <w:rPr>
          <w:rFonts w:ascii="Arial" w:hAnsi="Arial" w:cs="Arial"/>
          <w:sz w:val="20"/>
          <w:szCs w:val="20"/>
        </w:rPr>
        <w:t xml:space="preserve">, or, </w:t>
      </w:r>
      <w:r w:rsidR="0028765C" w:rsidRPr="0028765C">
        <w:rPr>
          <w:rFonts w:ascii="Arial" w:hAnsi="Arial" w:cs="Arial"/>
          <w:sz w:val="20"/>
          <w:szCs w:val="20"/>
        </w:rPr>
        <w:t xml:space="preserve">an unknown reference form Barth’s </w:t>
      </w:r>
      <w:r w:rsidR="00C578AC" w:rsidRPr="0028765C">
        <w:rPr>
          <w:rFonts w:ascii="Arial" w:hAnsi="Arial" w:cs="Arial"/>
          <w:i/>
          <w:iCs/>
          <w:sz w:val="20"/>
          <w:szCs w:val="20"/>
        </w:rPr>
        <w:t>Church Dogmatics</w:t>
      </w:r>
      <w:r w:rsidR="0028765C" w:rsidRPr="0028765C">
        <w:rPr>
          <w:rFonts w:ascii="Arial" w:hAnsi="Arial" w:cs="Arial"/>
          <w:sz w:val="20"/>
          <w:szCs w:val="20"/>
        </w:rPr>
        <w:t>.</w:t>
      </w:r>
      <w:r w:rsidR="00C578AC" w:rsidRPr="0028765C">
        <w:rPr>
          <w:rFonts w:ascii="Arial" w:hAnsi="Arial" w:cs="Arial"/>
          <w:sz w:val="20"/>
          <w:szCs w:val="20"/>
        </w:rPr>
        <w:t xml:space="preserve"> </w:t>
      </w:r>
    </w:p>
  </w:footnote>
  <w:footnote w:id="4">
    <w:p w14:paraId="2589BBD2" w14:textId="3E9F36C7" w:rsidR="00E825EC" w:rsidRPr="00985194" w:rsidRDefault="00E825EC" w:rsidP="00751C28">
      <w:pPr>
        <w:pStyle w:val="FootnoteText"/>
        <w:spacing w:line="240" w:lineRule="auto"/>
        <w:ind w:firstLine="0"/>
        <w:jc w:val="both"/>
        <w:rPr>
          <w:rFonts w:ascii="Arial" w:hAnsi="Arial" w:cs="Arial"/>
          <w:sz w:val="20"/>
          <w:szCs w:val="20"/>
        </w:rPr>
      </w:pPr>
      <w:r w:rsidRPr="00751C28">
        <w:rPr>
          <w:rStyle w:val="FootnoteReference"/>
          <w:rFonts w:ascii="Arial" w:hAnsi="Arial" w:cs="Arial"/>
          <w:sz w:val="20"/>
          <w:szCs w:val="20"/>
        </w:rPr>
        <w:footnoteRef/>
      </w:r>
      <w:r w:rsidRPr="00751C28">
        <w:rPr>
          <w:rFonts w:ascii="Arial" w:hAnsi="Arial" w:cs="Arial"/>
          <w:sz w:val="20"/>
          <w:szCs w:val="20"/>
        </w:rPr>
        <w:t xml:space="preserve"> </w:t>
      </w:r>
      <w:r w:rsidR="00985194" w:rsidRPr="00751C28">
        <w:rPr>
          <w:rFonts w:ascii="Arial" w:hAnsi="Arial" w:cs="Arial"/>
          <w:sz w:val="20"/>
          <w:szCs w:val="20"/>
        </w:rPr>
        <w:t>This being a</w:t>
      </w:r>
      <w:r w:rsidR="00985194" w:rsidRPr="00751C28">
        <w:rPr>
          <w:rFonts w:ascii="Arial" w:hAnsi="Arial" w:cs="Arial"/>
          <w:sz w:val="20"/>
          <w:szCs w:val="20"/>
        </w:rPr>
        <w:t xml:space="preserve"> derivative of </w:t>
      </w:r>
      <w:r w:rsidR="00BA145E" w:rsidRPr="00751C28">
        <w:rPr>
          <w:rFonts w:ascii="Arial" w:hAnsi="Arial" w:cs="Arial"/>
          <w:sz w:val="20"/>
          <w:szCs w:val="20"/>
        </w:rPr>
        <w:t>‘</w:t>
      </w:r>
      <w:r w:rsidR="00985194" w:rsidRPr="00751C28">
        <w:rPr>
          <w:rFonts w:ascii="Arial" w:hAnsi="Arial" w:cs="Arial"/>
          <w:sz w:val="20"/>
          <w:szCs w:val="20"/>
        </w:rPr>
        <w:t>Strong’s Exhaustive Concordance</w:t>
      </w:r>
      <w:r w:rsidR="00BA145E" w:rsidRPr="00751C28">
        <w:rPr>
          <w:rFonts w:ascii="Arial" w:hAnsi="Arial" w:cs="Arial"/>
          <w:sz w:val="20"/>
          <w:szCs w:val="20"/>
        </w:rPr>
        <w:t xml:space="preserve">’ </w:t>
      </w:r>
      <w:r w:rsidR="00985194" w:rsidRPr="00751C28">
        <w:rPr>
          <w:rFonts w:ascii="Arial" w:hAnsi="Arial" w:cs="Arial"/>
          <w:sz w:val="20"/>
          <w:szCs w:val="20"/>
        </w:rPr>
        <w:t>available in either the King James Version (KJV) or the New American Standard Version (NASB) translations provide</w:t>
      </w:r>
      <w:r w:rsidR="00BA145E" w:rsidRPr="00751C28">
        <w:rPr>
          <w:rFonts w:ascii="Arial" w:hAnsi="Arial" w:cs="Arial"/>
          <w:sz w:val="20"/>
          <w:szCs w:val="20"/>
        </w:rPr>
        <w:t>d on their website</w:t>
      </w:r>
      <w:r w:rsidR="00985194" w:rsidRPr="00751C28">
        <w:rPr>
          <w:rFonts w:ascii="Arial" w:hAnsi="Arial" w:cs="Arial"/>
          <w:sz w:val="20"/>
          <w:szCs w:val="20"/>
        </w:rPr>
        <w:t>.</w:t>
      </w:r>
    </w:p>
  </w:footnote>
  <w:footnote w:id="5">
    <w:p w14:paraId="37887DF7" w14:textId="7ED93890" w:rsidR="008B5737" w:rsidRPr="00392CE7" w:rsidRDefault="008B5737" w:rsidP="00EC6603">
      <w:pPr>
        <w:pStyle w:val="FootnoteText"/>
        <w:spacing w:line="240" w:lineRule="auto"/>
        <w:ind w:left="680" w:right="680" w:firstLine="0"/>
        <w:jc w:val="both"/>
        <w:rPr>
          <w:rFonts w:ascii="Arial" w:hAnsi="Arial" w:cs="Arial"/>
          <w:sz w:val="20"/>
          <w:szCs w:val="20"/>
        </w:rPr>
      </w:pPr>
      <w:r w:rsidRPr="006E291F">
        <w:rPr>
          <w:rStyle w:val="FootnoteReference"/>
          <w:rFonts w:ascii="Arial" w:hAnsi="Arial" w:cs="Arial"/>
          <w:sz w:val="20"/>
          <w:szCs w:val="20"/>
        </w:rPr>
        <w:footnoteRef/>
      </w:r>
      <w:r w:rsidRPr="006E291F">
        <w:rPr>
          <w:rFonts w:ascii="Arial" w:hAnsi="Arial" w:cs="Arial"/>
          <w:sz w:val="20"/>
          <w:szCs w:val="20"/>
        </w:rPr>
        <w:t xml:space="preserve"> Al</w:t>
      </w:r>
      <w:r w:rsidRPr="006E291F">
        <w:rPr>
          <w:rFonts w:ascii="Arial" w:hAnsi="Arial" w:cs="Arial"/>
          <w:sz w:val="20"/>
          <w:szCs w:val="20"/>
        </w:rPr>
        <w:t>though</w:t>
      </w:r>
      <w:r w:rsidRPr="006E291F">
        <w:rPr>
          <w:rFonts w:ascii="Arial" w:hAnsi="Arial" w:cs="Arial"/>
          <w:sz w:val="20"/>
          <w:szCs w:val="20"/>
        </w:rPr>
        <w:t xml:space="preserve"> it may be </w:t>
      </w:r>
      <w:r w:rsidRPr="006E291F">
        <w:rPr>
          <w:rFonts w:ascii="Arial" w:hAnsi="Arial" w:cs="Arial"/>
          <w:sz w:val="20"/>
          <w:szCs w:val="20"/>
        </w:rPr>
        <w:t>not</w:t>
      </w:r>
      <w:r w:rsidR="001328E6" w:rsidRPr="006E291F">
        <w:rPr>
          <w:rFonts w:ascii="Arial" w:hAnsi="Arial" w:cs="Arial"/>
          <w:sz w:val="20"/>
          <w:szCs w:val="20"/>
        </w:rPr>
        <w:t xml:space="preserve">ed as </w:t>
      </w:r>
      <w:r w:rsidR="007938F1" w:rsidRPr="006E291F">
        <w:rPr>
          <w:rFonts w:ascii="Arial" w:hAnsi="Arial" w:cs="Arial"/>
          <w:sz w:val="20"/>
          <w:szCs w:val="20"/>
        </w:rPr>
        <w:t xml:space="preserve">seemingly </w:t>
      </w:r>
      <w:r w:rsidR="001328E6" w:rsidRPr="006E291F">
        <w:rPr>
          <w:rFonts w:ascii="Arial" w:hAnsi="Arial" w:cs="Arial"/>
          <w:sz w:val="20"/>
          <w:szCs w:val="20"/>
        </w:rPr>
        <w:t>un</w:t>
      </w:r>
      <w:r w:rsidRPr="006E291F">
        <w:rPr>
          <w:rFonts w:ascii="Arial" w:hAnsi="Arial" w:cs="Arial"/>
          <w:sz w:val="20"/>
          <w:szCs w:val="20"/>
        </w:rPr>
        <w:t>necessary</w:t>
      </w:r>
      <w:r w:rsidR="001328E6" w:rsidRPr="006E291F">
        <w:rPr>
          <w:rFonts w:ascii="Arial" w:hAnsi="Arial" w:cs="Arial"/>
          <w:sz w:val="20"/>
          <w:szCs w:val="20"/>
        </w:rPr>
        <w:t xml:space="preserve"> </w:t>
      </w:r>
      <w:r w:rsidR="007938F1" w:rsidRPr="006E291F">
        <w:rPr>
          <w:rFonts w:ascii="Arial" w:hAnsi="Arial" w:cs="Arial"/>
          <w:sz w:val="20"/>
          <w:szCs w:val="20"/>
        </w:rPr>
        <w:t xml:space="preserve">to state this </w:t>
      </w:r>
      <w:r w:rsidR="00492645" w:rsidRPr="006E291F">
        <w:rPr>
          <w:rFonts w:ascii="Arial" w:hAnsi="Arial" w:cs="Arial"/>
          <w:sz w:val="20"/>
          <w:szCs w:val="20"/>
        </w:rPr>
        <w:t xml:space="preserve">here, </w:t>
      </w:r>
      <w:r w:rsidR="00251407" w:rsidRPr="006E291F">
        <w:rPr>
          <w:rFonts w:ascii="Arial" w:hAnsi="Arial" w:cs="Arial"/>
          <w:sz w:val="20"/>
          <w:szCs w:val="20"/>
        </w:rPr>
        <w:t>it is of</w:t>
      </w:r>
      <w:r w:rsidR="007A4715" w:rsidRPr="006E291F">
        <w:rPr>
          <w:rFonts w:ascii="Arial" w:hAnsi="Arial" w:cs="Arial"/>
          <w:sz w:val="20"/>
          <w:szCs w:val="20"/>
        </w:rPr>
        <w:t xml:space="preserve"> relational</w:t>
      </w:r>
      <w:r w:rsidR="00251407" w:rsidRPr="006E291F">
        <w:rPr>
          <w:rFonts w:ascii="Arial" w:hAnsi="Arial" w:cs="Arial"/>
          <w:sz w:val="20"/>
          <w:szCs w:val="20"/>
        </w:rPr>
        <w:t xml:space="preserve"> import</w:t>
      </w:r>
      <w:r w:rsidR="007A4715" w:rsidRPr="006E291F">
        <w:rPr>
          <w:rFonts w:ascii="Arial" w:hAnsi="Arial" w:cs="Arial"/>
          <w:sz w:val="20"/>
          <w:szCs w:val="20"/>
        </w:rPr>
        <w:t>ance to later notions</w:t>
      </w:r>
      <w:r w:rsidR="005A681C" w:rsidRPr="006E291F">
        <w:rPr>
          <w:rFonts w:ascii="Arial" w:hAnsi="Arial" w:cs="Arial"/>
          <w:sz w:val="20"/>
          <w:szCs w:val="20"/>
        </w:rPr>
        <w:t xml:space="preserve"> </w:t>
      </w:r>
      <w:r w:rsidR="00B844DE" w:rsidRPr="006E291F">
        <w:rPr>
          <w:rFonts w:ascii="Arial" w:hAnsi="Arial" w:cs="Arial"/>
          <w:sz w:val="20"/>
          <w:szCs w:val="20"/>
        </w:rPr>
        <w:t>herein.</w:t>
      </w:r>
      <w:r w:rsidR="00B05748">
        <w:rPr>
          <w:rFonts w:ascii="Arial" w:hAnsi="Arial" w:cs="Arial"/>
          <w:sz w:val="20"/>
          <w:szCs w:val="20"/>
        </w:rPr>
        <w:t xml:space="preserve"> </w:t>
      </w:r>
    </w:p>
  </w:footnote>
  <w:footnote w:id="6">
    <w:p w14:paraId="4DD72E2C" w14:textId="5814AFBA" w:rsidR="00353C43" w:rsidRDefault="00353C43" w:rsidP="00EC6603">
      <w:pPr>
        <w:pStyle w:val="FootnoteText"/>
        <w:spacing w:line="240" w:lineRule="auto"/>
        <w:rPr>
          <w:rFonts w:ascii="Arial" w:hAnsi="Arial" w:cs="Arial"/>
          <w:sz w:val="20"/>
          <w:szCs w:val="20"/>
        </w:rPr>
      </w:pPr>
      <w:r w:rsidRPr="00EC6603">
        <w:rPr>
          <w:rStyle w:val="FootnoteReference"/>
          <w:rFonts w:ascii="Arial" w:hAnsi="Arial" w:cs="Arial"/>
          <w:sz w:val="20"/>
          <w:szCs w:val="20"/>
        </w:rPr>
        <w:footnoteRef/>
      </w:r>
      <w:r w:rsidRPr="00EC6603">
        <w:rPr>
          <w:rFonts w:ascii="Arial" w:hAnsi="Arial" w:cs="Arial"/>
          <w:sz w:val="20"/>
          <w:szCs w:val="20"/>
        </w:rPr>
        <w:t xml:space="preserve"> Cf.</w:t>
      </w:r>
      <w:r>
        <w:t xml:space="preserve"> </w:t>
      </w:r>
      <w:proofErr w:type="spellStart"/>
      <w:r w:rsidRPr="00353C43">
        <w:rPr>
          <w:rFonts w:ascii="SBL Hebrew" w:hAnsi="SBL Hebrew" w:cs="SBL Hebrew"/>
          <w:sz w:val="28"/>
          <w:szCs w:val="28"/>
        </w:rPr>
        <w:t>רוּח</w:t>
      </w:r>
      <w:proofErr w:type="spellEnd"/>
      <w:r w:rsidRPr="00353C43">
        <w:rPr>
          <w:rFonts w:ascii="SBL Hebrew" w:hAnsi="SBL Hebrew" w:cs="SBL Hebrew"/>
          <w:sz w:val="28"/>
          <w:szCs w:val="28"/>
        </w:rPr>
        <w:t>ַ</w:t>
      </w:r>
      <w:r>
        <w:rPr>
          <w:rFonts w:ascii="SBL Hebrew" w:hAnsi="SBL Hebrew" w:cs="SBL Hebrew"/>
          <w:sz w:val="28"/>
          <w:szCs w:val="28"/>
        </w:rPr>
        <w:t xml:space="preserve"> </w:t>
      </w:r>
      <w:r w:rsidR="008A1234">
        <w:rPr>
          <w:rFonts w:ascii="Arial" w:hAnsi="Arial" w:cs="Arial"/>
          <w:sz w:val="20"/>
          <w:szCs w:val="20"/>
        </w:rPr>
        <w:t>#</w:t>
      </w:r>
      <w:proofErr w:type="gramStart"/>
      <w:r w:rsidR="008A1234">
        <w:rPr>
          <w:rFonts w:ascii="Arial" w:hAnsi="Arial" w:cs="Arial"/>
          <w:sz w:val="20"/>
          <w:szCs w:val="20"/>
        </w:rPr>
        <w:t>7306 ,</w:t>
      </w:r>
      <w:proofErr w:type="gramEnd"/>
      <w:r w:rsidR="008A1234">
        <w:rPr>
          <w:rFonts w:ascii="Arial" w:hAnsi="Arial" w:cs="Arial"/>
          <w:sz w:val="20"/>
          <w:szCs w:val="20"/>
        </w:rPr>
        <w:t xml:space="preserve"> mean</w:t>
      </w:r>
      <w:r w:rsidR="00691864">
        <w:rPr>
          <w:rFonts w:ascii="Arial" w:hAnsi="Arial" w:cs="Arial"/>
          <w:sz w:val="20"/>
          <w:szCs w:val="20"/>
        </w:rPr>
        <w:t xml:space="preserve">ing: </w:t>
      </w:r>
      <w:r w:rsidR="00691864" w:rsidRPr="00691864">
        <w:rPr>
          <w:rFonts w:ascii="Arial" w:hAnsi="Arial" w:cs="Arial"/>
          <w:sz w:val="20"/>
          <w:szCs w:val="20"/>
        </w:rPr>
        <w:t>accept, smell, touch, make of quick understanding</w:t>
      </w:r>
    </w:p>
    <w:p w14:paraId="2CA65DA5" w14:textId="5B7D6FBC" w:rsidR="004C5231" w:rsidRDefault="008A1EB8" w:rsidP="00EC6603">
      <w:pPr>
        <w:pStyle w:val="FootnoteText"/>
        <w:spacing w:line="240" w:lineRule="auto"/>
        <w:rPr>
          <w:rFonts w:ascii="SBL Hebrew" w:hAnsi="SBL Hebrew" w:cs="SBL Hebrew"/>
          <w:color w:val="001320"/>
          <w:sz w:val="28"/>
          <w:szCs w:val="28"/>
          <w:shd w:val="clear" w:color="auto" w:fill="FFFFFF"/>
        </w:rPr>
      </w:pPr>
      <w:r>
        <w:rPr>
          <w:rFonts w:ascii="Arial" w:hAnsi="Arial" w:cs="Arial"/>
          <w:sz w:val="20"/>
          <w:szCs w:val="20"/>
        </w:rPr>
        <w:t xml:space="preserve">#7307 </w:t>
      </w:r>
      <w:proofErr w:type="spellStart"/>
      <w:proofErr w:type="gramStart"/>
      <w:r w:rsidRPr="008A1EB8">
        <w:rPr>
          <w:rFonts w:ascii="SBL Hebrew" w:hAnsi="SBL Hebrew" w:cs="SBL Hebrew"/>
          <w:color w:val="001320"/>
          <w:sz w:val="28"/>
          <w:szCs w:val="28"/>
          <w:shd w:val="clear" w:color="auto" w:fill="FFFFFF"/>
        </w:rPr>
        <w:t>רוּח</w:t>
      </w:r>
      <w:proofErr w:type="spellEnd"/>
      <w:r w:rsidRPr="008A1EB8">
        <w:rPr>
          <w:rFonts w:ascii="SBL Hebrew" w:hAnsi="SBL Hebrew" w:cs="SBL Hebrew"/>
          <w:color w:val="001320"/>
          <w:sz w:val="28"/>
          <w:szCs w:val="28"/>
          <w:shd w:val="clear" w:color="auto" w:fill="FFFFFF"/>
        </w:rPr>
        <w:t>ַ</w:t>
      </w:r>
      <w:r>
        <w:rPr>
          <w:rFonts w:ascii="SBL Hebrew" w:hAnsi="SBL Hebrew" w:cs="SBL Hebrew"/>
          <w:color w:val="001320"/>
          <w:sz w:val="28"/>
          <w:szCs w:val="28"/>
          <w:shd w:val="clear" w:color="auto" w:fill="FFFFFF"/>
        </w:rPr>
        <w:t xml:space="preserve"> </w:t>
      </w:r>
      <w:r w:rsidRPr="00EC6603">
        <w:rPr>
          <w:rFonts w:ascii="Arial" w:hAnsi="Arial" w:cs="Arial"/>
          <w:color w:val="001320"/>
          <w:sz w:val="20"/>
          <w:szCs w:val="20"/>
          <w:shd w:val="clear" w:color="auto" w:fill="FFFFFF"/>
        </w:rPr>
        <w:t>,</w:t>
      </w:r>
      <w:proofErr w:type="gramEnd"/>
      <w:r w:rsidRPr="00EC6603">
        <w:rPr>
          <w:rFonts w:ascii="Arial" w:hAnsi="Arial" w:cs="Arial"/>
          <w:color w:val="001320"/>
          <w:sz w:val="20"/>
          <w:szCs w:val="20"/>
          <w:shd w:val="clear" w:color="auto" w:fill="FFFFFF"/>
        </w:rPr>
        <w:t xml:space="preserve"> </w:t>
      </w:r>
      <w:r w:rsidR="00572D53" w:rsidRPr="00EC6603">
        <w:rPr>
          <w:rFonts w:ascii="Arial" w:hAnsi="Arial" w:cs="Arial"/>
          <w:color w:val="001320"/>
          <w:sz w:val="20"/>
          <w:szCs w:val="20"/>
          <w:shd w:val="clear" w:color="auto" w:fill="FFFFFF"/>
        </w:rPr>
        <w:t xml:space="preserve">meaning: </w:t>
      </w:r>
      <w:r w:rsidR="00572D53" w:rsidRPr="00EC6603">
        <w:rPr>
          <w:rFonts w:ascii="Arial" w:hAnsi="Arial" w:cs="Arial"/>
          <w:color w:val="001320"/>
          <w:sz w:val="20"/>
          <w:szCs w:val="20"/>
          <w:shd w:val="clear" w:color="auto" w:fill="FFFFFF"/>
        </w:rPr>
        <w:t>breath, wind, spirit</w:t>
      </w:r>
    </w:p>
    <w:p w14:paraId="3E9E224B" w14:textId="432BEFB2" w:rsidR="006D7163" w:rsidRPr="00EC6603" w:rsidRDefault="006D7163" w:rsidP="00EC6603">
      <w:pPr>
        <w:pStyle w:val="FootnoteText"/>
        <w:spacing w:line="240" w:lineRule="auto"/>
        <w:rPr>
          <w:rFonts w:ascii="Arial" w:hAnsi="Arial" w:cs="Arial"/>
          <w:sz w:val="20"/>
          <w:szCs w:val="20"/>
        </w:rPr>
      </w:pPr>
      <w:r w:rsidRPr="00EC6603">
        <w:rPr>
          <w:rFonts w:ascii="Arial" w:hAnsi="Arial" w:cs="Arial"/>
          <w:color w:val="001320"/>
          <w:sz w:val="20"/>
          <w:szCs w:val="20"/>
          <w:shd w:val="clear" w:color="auto" w:fill="FFFFFF"/>
        </w:rPr>
        <w:t>#7308</w:t>
      </w:r>
      <w:r>
        <w:rPr>
          <w:rFonts w:ascii="SBL Hebrew" w:hAnsi="SBL Hebrew" w:cs="SBL Hebrew"/>
          <w:color w:val="001320"/>
          <w:sz w:val="28"/>
          <w:szCs w:val="28"/>
          <w:shd w:val="clear" w:color="auto" w:fill="FFFFFF"/>
        </w:rPr>
        <w:t xml:space="preserve"> </w:t>
      </w:r>
      <w:proofErr w:type="spellStart"/>
      <w:r w:rsidR="00EC6603" w:rsidRPr="00EC6603">
        <w:rPr>
          <w:rFonts w:ascii="SBL Hebrew" w:hAnsi="SBL Hebrew" w:cs="SBL Hebrew"/>
          <w:color w:val="001320"/>
          <w:sz w:val="28"/>
          <w:szCs w:val="28"/>
          <w:shd w:val="clear" w:color="auto" w:fill="FFFFFF"/>
        </w:rPr>
        <w:t>רוּח</w:t>
      </w:r>
      <w:proofErr w:type="spellEnd"/>
      <w:r w:rsidR="00EC6603" w:rsidRPr="00EC6603">
        <w:rPr>
          <w:rFonts w:ascii="SBL Hebrew" w:hAnsi="SBL Hebrew" w:cs="SBL Hebrew"/>
          <w:color w:val="001320"/>
          <w:sz w:val="28"/>
          <w:szCs w:val="28"/>
          <w:shd w:val="clear" w:color="auto" w:fill="FFFFFF"/>
        </w:rPr>
        <w:t>ַ</w:t>
      </w:r>
      <w:r w:rsidR="00EC6603">
        <w:rPr>
          <w:rFonts w:ascii="SBL Hebrew" w:hAnsi="SBL Hebrew" w:cs="SBL Hebrew"/>
          <w:color w:val="001320"/>
          <w:sz w:val="28"/>
          <w:szCs w:val="28"/>
          <w:shd w:val="clear" w:color="auto" w:fill="FFFFFF"/>
        </w:rPr>
        <w:t xml:space="preserve"> </w:t>
      </w:r>
      <w:r w:rsidR="00EC6603" w:rsidRPr="00EC6603">
        <w:rPr>
          <w:rFonts w:ascii="Arial" w:hAnsi="Arial" w:cs="Arial"/>
          <w:color w:val="001320"/>
          <w:sz w:val="20"/>
          <w:szCs w:val="20"/>
          <w:shd w:val="clear" w:color="auto" w:fill="FFFFFF"/>
        </w:rPr>
        <w:t xml:space="preserve">meaning: wind and </w:t>
      </w:r>
      <w:proofErr w:type="gramStart"/>
      <w:r w:rsidR="00EC6603" w:rsidRPr="00EC6603">
        <w:rPr>
          <w:rFonts w:ascii="Arial" w:hAnsi="Arial" w:cs="Arial"/>
          <w:color w:val="001320"/>
          <w:sz w:val="20"/>
          <w:szCs w:val="20"/>
          <w:shd w:val="clear" w:color="auto" w:fill="FFFFFF"/>
        </w:rPr>
        <w:t>spirit</w:t>
      </w:r>
      <w:proofErr w:type="gramEnd"/>
    </w:p>
  </w:footnote>
  <w:footnote w:id="7">
    <w:p w14:paraId="33763B00" w14:textId="0789D02F" w:rsidR="00071A4A" w:rsidRPr="007A637D" w:rsidRDefault="00071A4A" w:rsidP="00EC6603">
      <w:pPr>
        <w:pStyle w:val="FootnoteText"/>
        <w:spacing w:line="240" w:lineRule="auto"/>
        <w:rPr>
          <w:rFonts w:ascii="Arial" w:hAnsi="Arial" w:cs="Arial"/>
          <w:sz w:val="20"/>
          <w:szCs w:val="20"/>
        </w:rPr>
      </w:pPr>
      <w:r w:rsidRPr="007A637D">
        <w:rPr>
          <w:rStyle w:val="FootnoteReference"/>
          <w:rFonts w:ascii="Arial" w:hAnsi="Arial" w:cs="Arial"/>
          <w:sz w:val="20"/>
          <w:szCs w:val="20"/>
        </w:rPr>
        <w:footnoteRef/>
      </w:r>
      <w:r w:rsidRPr="007A637D">
        <w:rPr>
          <w:rFonts w:ascii="Arial" w:hAnsi="Arial" w:cs="Arial"/>
          <w:sz w:val="20"/>
          <w:szCs w:val="20"/>
        </w:rPr>
        <w:t xml:space="preserve"> This is not on every </w:t>
      </w:r>
      <w:r w:rsidR="00C350E6" w:rsidRPr="007A637D">
        <w:rPr>
          <w:rFonts w:ascii="Arial" w:hAnsi="Arial" w:cs="Arial"/>
          <w:sz w:val="20"/>
          <w:szCs w:val="20"/>
        </w:rPr>
        <w:t>occasion but</w:t>
      </w:r>
      <w:r w:rsidRPr="007A637D">
        <w:rPr>
          <w:rFonts w:ascii="Arial" w:hAnsi="Arial" w:cs="Arial"/>
          <w:sz w:val="20"/>
          <w:szCs w:val="20"/>
        </w:rPr>
        <w:t xml:space="preserve"> can occur</w:t>
      </w:r>
      <w:r w:rsidR="007A637D" w:rsidRPr="007A637D">
        <w:rPr>
          <w:rFonts w:ascii="Arial" w:hAnsi="Arial" w:cs="Arial"/>
          <w:sz w:val="20"/>
          <w:szCs w:val="20"/>
        </w:rPr>
        <w:t>.</w:t>
      </w:r>
    </w:p>
  </w:footnote>
  <w:footnote w:id="8">
    <w:p w14:paraId="36CEBEF0" w14:textId="4BA436ED" w:rsidR="00CD3B26" w:rsidRPr="00F01A56" w:rsidRDefault="00CD3B26" w:rsidP="00AD284D">
      <w:pPr>
        <w:pStyle w:val="FootnoteText"/>
        <w:spacing w:line="240" w:lineRule="auto"/>
        <w:ind w:left="426" w:firstLine="0"/>
        <w:jc w:val="both"/>
        <w:rPr>
          <w:rFonts w:ascii="Arial" w:hAnsi="Arial" w:cs="Arial"/>
          <w:sz w:val="20"/>
          <w:szCs w:val="20"/>
        </w:rPr>
      </w:pPr>
      <w:r w:rsidRPr="00F01A56">
        <w:rPr>
          <w:rStyle w:val="FootnoteReference"/>
          <w:rFonts w:ascii="Arial" w:hAnsi="Arial" w:cs="Arial"/>
          <w:sz w:val="20"/>
          <w:szCs w:val="20"/>
        </w:rPr>
        <w:footnoteRef/>
      </w:r>
      <w:r w:rsidRPr="00F01A56">
        <w:rPr>
          <w:rFonts w:ascii="Arial" w:hAnsi="Arial" w:cs="Arial"/>
          <w:sz w:val="20"/>
          <w:szCs w:val="20"/>
        </w:rPr>
        <w:t xml:space="preserve"> This</w:t>
      </w:r>
      <w:r w:rsidR="00366750" w:rsidRPr="00F01A56">
        <w:rPr>
          <w:rFonts w:ascii="Arial" w:hAnsi="Arial" w:cs="Arial"/>
          <w:sz w:val="20"/>
          <w:szCs w:val="20"/>
        </w:rPr>
        <w:t xml:space="preserve"> holds true for the United Kingdom</w:t>
      </w:r>
      <w:r w:rsidR="00F01A56">
        <w:rPr>
          <w:rFonts w:ascii="Arial" w:hAnsi="Arial" w:cs="Arial"/>
          <w:sz w:val="20"/>
          <w:szCs w:val="20"/>
        </w:rPr>
        <w:t xml:space="preserve"> with </w:t>
      </w:r>
      <w:r w:rsidR="00244827">
        <w:rPr>
          <w:rFonts w:ascii="Arial" w:hAnsi="Arial" w:cs="Arial"/>
          <w:sz w:val="20"/>
          <w:szCs w:val="20"/>
        </w:rPr>
        <w:t xml:space="preserve">the NRSVA </w:t>
      </w:r>
      <w:r w:rsidR="00A84F60">
        <w:rPr>
          <w:rFonts w:ascii="Arial" w:hAnsi="Arial" w:cs="Arial"/>
          <w:sz w:val="20"/>
          <w:szCs w:val="20"/>
        </w:rPr>
        <w:t>maintaining conventions typical of standard</w:t>
      </w:r>
      <w:r w:rsidR="00244827">
        <w:rPr>
          <w:rFonts w:ascii="Arial" w:hAnsi="Arial" w:cs="Arial"/>
          <w:sz w:val="20"/>
          <w:szCs w:val="20"/>
        </w:rPr>
        <w:t xml:space="preserve"> </w:t>
      </w:r>
      <w:r w:rsidR="00F01A56">
        <w:rPr>
          <w:rFonts w:ascii="Arial" w:hAnsi="Arial" w:cs="Arial"/>
          <w:sz w:val="20"/>
          <w:szCs w:val="20"/>
        </w:rPr>
        <w:t>British English</w:t>
      </w:r>
      <w:r w:rsidR="00366750" w:rsidRPr="00F01A56">
        <w:rPr>
          <w:rFonts w:ascii="Arial" w:hAnsi="Arial" w:cs="Arial"/>
          <w:sz w:val="20"/>
          <w:szCs w:val="20"/>
        </w:rPr>
        <w:t xml:space="preserve">. The NRSV, not necessarily </w:t>
      </w:r>
      <w:r w:rsidR="00526428" w:rsidRPr="00F01A56">
        <w:rPr>
          <w:rFonts w:ascii="Arial" w:hAnsi="Arial" w:cs="Arial"/>
          <w:sz w:val="20"/>
          <w:szCs w:val="20"/>
        </w:rPr>
        <w:t>Anglicized</w:t>
      </w:r>
      <w:r w:rsidR="00244827">
        <w:rPr>
          <w:rFonts w:ascii="Arial" w:hAnsi="Arial" w:cs="Arial"/>
          <w:sz w:val="20"/>
          <w:szCs w:val="20"/>
        </w:rPr>
        <w:t>,</w:t>
      </w:r>
      <w:r w:rsidR="00526428" w:rsidRPr="00F01A56">
        <w:rPr>
          <w:rFonts w:ascii="Arial" w:hAnsi="Arial" w:cs="Arial"/>
          <w:sz w:val="20"/>
          <w:szCs w:val="20"/>
        </w:rPr>
        <w:t xml:space="preserve"> is the edition elect of the North American </w:t>
      </w:r>
      <w:r w:rsidR="00244827">
        <w:rPr>
          <w:rFonts w:ascii="Arial" w:hAnsi="Arial" w:cs="Arial"/>
          <w:sz w:val="20"/>
          <w:szCs w:val="20"/>
        </w:rPr>
        <w:t>scholarship</w:t>
      </w:r>
      <w:r w:rsidR="00F01A56">
        <w:rPr>
          <w:rFonts w:ascii="Arial" w:hAnsi="Arial" w:cs="Arial"/>
          <w:sz w:val="20"/>
          <w:szCs w:val="20"/>
        </w:rPr>
        <w:t>.</w:t>
      </w:r>
    </w:p>
  </w:footnote>
  <w:footnote w:id="9">
    <w:p w14:paraId="122CB51E" w14:textId="77777777" w:rsidR="0044038B" w:rsidRPr="005923E2" w:rsidRDefault="0044038B" w:rsidP="00AD284D">
      <w:pPr>
        <w:pStyle w:val="FootnoteText"/>
        <w:spacing w:line="240" w:lineRule="auto"/>
        <w:ind w:left="426" w:firstLine="0"/>
        <w:rPr>
          <w:rFonts w:ascii="Arial" w:hAnsi="Arial" w:cs="Arial"/>
          <w:sz w:val="20"/>
          <w:szCs w:val="20"/>
        </w:rPr>
      </w:pPr>
      <w:r w:rsidRPr="005923E2">
        <w:rPr>
          <w:rStyle w:val="FootnoteReference"/>
          <w:rFonts w:ascii="Arial" w:hAnsi="Arial" w:cs="Arial"/>
          <w:sz w:val="20"/>
          <w:szCs w:val="20"/>
        </w:rPr>
        <w:footnoteRef/>
      </w:r>
      <w:r w:rsidRPr="005923E2">
        <w:rPr>
          <w:rFonts w:ascii="Arial" w:hAnsi="Arial" w:cs="Arial"/>
          <w:sz w:val="20"/>
          <w:szCs w:val="20"/>
        </w:rPr>
        <w:t xml:space="preserve"> See Chilton, 1998 116- 117.</w:t>
      </w:r>
    </w:p>
  </w:footnote>
  <w:footnote w:id="10">
    <w:p w14:paraId="582D0D73" w14:textId="77777777" w:rsidR="0044038B" w:rsidRPr="005923E2" w:rsidRDefault="0044038B" w:rsidP="00AD284D">
      <w:pPr>
        <w:pStyle w:val="FootnoteText"/>
        <w:spacing w:line="240" w:lineRule="auto"/>
        <w:ind w:left="426" w:firstLine="0"/>
        <w:rPr>
          <w:rFonts w:ascii="Arial" w:hAnsi="Arial" w:cs="Arial"/>
          <w:i/>
          <w:iCs/>
          <w:sz w:val="20"/>
          <w:szCs w:val="20"/>
        </w:rPr>
      </w:pPr>
      <w:r w:rsidRPr="005923E2">
        <w:rPr>
          <w:rStyle w:val="FootnoteReference"/>
          <w:rFonts w:ascii="Arial" w:hAnsi="Arial" w:cs="Arial"/>
          <w:sz w:val="20"/>
          <w:szCs w:val="20"/>
        </w:rPr>
        <w:footnoteRef/>
      </w:r>
      <w:r w:rsidRPr="005923E2">
        <w:rPr>
          <w:rFonts w:ascii="Arial" w:hAnsi="Arial" w:cs="Arial"/>
          <w:sz w:val="20"/>
          <w:szCs w:val="20"/>
        </w:rPr>
        <w:t xml:space="preserve"> </w:t>
      </w:r>
      <w:r w:rsidRPr="005923E2">
        <w:rPr>
          <w:rFonts w:ascii="Arial" w:hAnsi="Arial" w:cs="Arial"/>
          <w:i/>
          <w:iCs/>
          <w:sz w:val="20"/>
          <w:szCs w:val="20"/>
        </w:rPr>
        <w:t>Ibid.</w:t>
      </w:r>
    </w:p>
  </w:footnote>
  <w:footnote w:id="11">
    <w:p w14:paraId="2CD65D64" w14:textId="3970B020" w:rsidR="00F64F38" w:rsidRPr="005923E2" w:rsidRDefault="00F64F38" w:rsidP="00AD284D">
      <w:pPr>
        <w:pStyle w:val="FootnoteText"/>
        <w:spacing w:line="240" w:lineRule="auto"/>
        <w:ind w:left="426" w:firstLine="0"/>
        <w:rPr>
          <w:rFonts w:ascii="Arial" w:hAnsi="Arial" w:cs="Arial"/>
          <w:sz w:val="20"/>
          <w:szCs w:val="20"/>
        </w:rPr>
      </w:pPr>
      <w:r w:rsidRPr="005923E2">
        <w:rPr>
          <w:rStyle w:val="FootnoteReference"/>
          <w:rFonts w:ascii="Arial" w:hAnsi="Arial" w:cs="Arial"/>
          <w:sz w:val="20"/>
          <w:szCs w:val="20"/>
        </w:rPr>
        <w:footnoteRef/>
      </w:r>
      <w:r w:rsidRPr="005923E2">
        <w:rPr>
          <w:rFonts w:ascii="Arial" w:hAnsi="Arial" w:cs="Arial"/>
          <w:sz w:val="20"/>
          <w:szCs w:val="20"/>
        </w:rPr>
        <w:t xml:space="preserve"> Chilton (in Neusner) 1998 11</w:t>
      </w:r>
      <w:r w:rsidR="00B836CC" w:rsidRPr="005923E2">
        <w:rPr>
          <w:rFonts w:ascii="Arial" w:hAnsi="Arial" w:cs="Arial"/>
          <w:sz w:val="20"/>
          <w:szCs w:val="20"/>
        </w:rPr>
        <w:t>7ff. [</w:t>
      </w:r>
      <w:r w:rsidR="00B836CC" w:rsidRPr="005923E2">
        <w:rPr>
          <w:rFonts w:ascii="Arial" w:hAnsi="Arial" w:cs="Arial"/>
          <w:i/>
          <w:iCs/>
          <w:sz w:val="20"/>
          <w:szCs w:val="20"/>
        </w:rPr>
        <w:t>Ibid.</w:t>
      </w:r>
      <w:r w:rsidR="00B836CC" w:rsidRPr="005923E2">
        <w:rPr>
          <w:rFonts w:ascii="Arial" w:hAnsi="Arial" w:cs="Arial"/>
          <w:sz w:val="20"/>
          <w:szCs w:val="20"/>
        </w:rPr>
        <w:t>]</w:t>
      </w:r>
    </w:p>
  </w:footnote>
  <w:footnote w:id="12">
    <w:p w14:paraId="39C21564" w14:textId="3B11A8C7" w:rsidR="00B836CC" w:rsidRPr="005923E2" w:rsidRDefault="00B836CC" w:rsidP="00AD284D">
      <w:pPr>
        <w:pStyle w:val="FootnoteText"/>
        <w:spacing w:line="240" w:lineRule="auto"/>
        <w:ind w:left="426" w:firstLine="0"/>
        <w:rPr>
          <w:rFonts w:ascii="Arial" w:hAnsi="Arial" w:cs="Arial"/>
          <w:sz w:val="20"/>
          <w:szCs w:val="20"/>
        </w:rPr>
      </w:pPr>
      <w:r w:rsidRPr="005923E2">
        <w:rPr>
          <w:rStyle w:val="FootnoteReference"/>
          <w:rFonts w:ascii="Arial" w:hAnsi="Arial" w:cs="Arial"/>
          <w:sz w:val="20"/>
          <w:szCs w:val="20"/>
        </w:rPr>
        <w:footnoteRef/>
      </w:r>
      <w:r w:rsidRPr="005923E2">
        <w:rPr>
          <w:rFonts w:ascii="Arial" w:hAnsi="Arial" w:cs="Arial"/>
          <w:sz w:val="20"/>
          <w:szCs w:val="20"/>
        </w:rPr>
        <w:t xml:space="preserve"> </w:t>
      </w:r>
      <w:r w:rsidR="002E462E" w:rsidRPr="005923E2">
        <w:rPr>
          <w:rFonts w:ascii="Arial" w:hAnsi="Arial" w:cs="Arial"/>
          <w:sz w:val="20"/>
          <w:szCs w:val="20"/>
        </w:rPr>
        <w:t>Cf. (</w:t>
      </w:r>
      <w:hyperlink r:id="rId1" w:history="1">
        <w:r w:rsidR="002E462E" w:rsidRPr="005923E2">
          <w:rPr>
            <w:rStyle w:val="Hyperlink"/>
            <w:rFonts w:ascii="Arial" w:hAnsi="Arial" w:cs="Arial"/>
            <w:color w:val="0070C0"/>
            <w:sz w:val="20"/>
            <w:szCs w:val="20"/>
          </w:rPr>
          <w:t>https://plato.stanford.edu/entries/erasmus/</w:t>
        </w:r>
      </w:hyperlink>
      <w:r w:rsidR="002E462E" w:rsidRPr="005923E2">
        <w:rPr>
          <w:rFonts w:ascii="Arial" w:hAnsi="Arial" w:cs="Arial"/>
          <w:sz w:val="20"/>
          <w:szCs w:val="20"/>
        </w:rPr>
        <w:t xml:space="preserve">) and </w:t>
      </w:r>
      <w:r w:rsidR="001242DB" w:rsidRPr="005923E2">
        <w:rPr>
          <w:rFonts w:ascii="Arial" w:hAnsi="Arial" w:cs="Arial"/>
          <w:sz w:val="20"/>
          <w:szCs w:val="20"/>
        </w:rPr>
        <w:t>(</w:t>
      </w:r>
      <w:hyperlink r:id="rId2" w:history="1">
        <w:r w:rsidR="001242DB" w:rsidRPr="005923E2">
          <w:rPr>
            <w:rStyle w:val="Hyperlink"/>
            <w:rFonts w:ascii="Arial" w:hAnsi="Arial" w:cs="Arial"/>
            <w:color w:val="0070C0"/>
            <w:sz w:val="20"/>
            <w:szCs w:val="20"/>
          </w:rPr>
          <w:t>https://www.britannica.com/biography/Erasmus-Dutch-humanist</w:t>
        </w:r>
      </w:hyperlink>
      <w:r w:rsidR="001242DB" w:rsidRPr="005923E2">
        <w:rPr>
          <w:rFonts w:ascii="Arial" w:hAnsi="Arial" w:cs="Arial"/>
          <w:sz w:val="20"/>
          <w:szCs w:val="20"/>
        </w:rPr>
        <w:t xml:space="preserve">) for further </w:t>
      </w:r>
      <w:r w:rsidR="005923E2" w:rsidRPr="005923E2">
        <w:rPr>
          <w:rFonts w:ascii="Arial" w:hAnsi="Arial" w:cs="Arial"/>
          <w:sz w:val="20"/>
          <w:szCs w:val="20"/>
        </w:rPr>
        <w:t>information.</w:t>
      </w:r>
    </w:p>
  </w:footnote>
  <w:footnote w:id="13">
    <w:p w14:paraId="4EAB3265" w14:textId="3A442AE5" w:rsidR="00B62B2A" w:rsidRPr="006B3F80" w:rsidRDefault="00B62B2A" w:rsidP="00AD284D">
      <w:pPr>
        <w:pStyle w:val="FootnoteText"/>
        <w:ind w:left="426" w:firstLine="0"/>
        <w:rPr>
          <w:rFonts w:ascii="Arial" w:hAnsi="Arial" w:cs="Arial"/>
          <w:sz w:val="20"/>
          <w:szCs w:val="20"/>
        </w:rPr>
      </w:pPr>
      <w:r w:rsidRPr="006B3F80">
        <w:rPr>
          <w:rStyle w:val="FootnoteReference"/>
          <w:rFonts w:ascii="Arial" w:hAnsi="Arial" w:cs="Arial"/>
          <w:sz w:val="20"/>
          <w:szCs w:val="20"/>
        </w:rPr>
        <w:footnoteRef/>
      </w:r>
      <w:r w:rsidRPr="006B3F80">
        <w:rPr>
          <w:rFonts w:ascii="Arial" w:hAnsi="Arial" w:cs="Arial"/>
          <w:sz w:val="20"/>
          <w:szCs w:val="20"/>
        </w:rPr>
        <w:t xml:space="preserve"> </w:t>
      </w:r>
      <w:r w:rsidR="002B007F" w:rsidRPr="006B3F80">
        <w:rPr>
          <w:rFonts w:ascii="Arial" w:hAnsi="Arial" w:cs="Arial"/>
          <w:sz w:val="20"/>
          <w:szCs w:val="20"/>
        </w:rPr>
        <w:t xml:space="preserve">See </w:t>
      </w:r>
      <w:r w:rsidR="00E96FC6" w:rsidRPr="006B3F80">
        <w:rPr>
          <w:rFonts w:ascii="Arial" w:hAnsi="Arial" w:cs="Arial"/>
          <w:sz w:val="20"/>
          <w:szCs w:val="20"/>
        </w:rPr>
        <w:t xml:space="preserve">p. </w:t>
      </w:r>
      <w:r w:rsidR="002B007F" w:rsidRPr="006B3F80">
        <w:rPr>
          <w:rFonts w:ascii="Arial" w:hAnsi="Arial" w:cs="Arial"/>
          <w:sz w:val="20"/>
          <w:szCs w:val="20"/>
        </w:rPr>
        <w:t xml:space="preserve">v-vii </w:t>
      </w:r>
      <w:r w:rsidR="002C75CF" w:rsidRPr="006B3F80">
        <w:rPr>
          <w:rFonts w:ascii="Arial" w:hAnsi="Arial" w:cs="Arial"/>
          <w:sz w:val="20"/>
          <w:szCs w:val="20"/>
        </w:rPr>
        <w:t>of the ‘General Editor’s Forward’</w:t>
      </w:r>
      <w:r w:rsidR="00E96FC6" w:rsidRPr="006B3F80">
        <w:rPr>
          <w:rFonts w:ascii="Arial" w:hAnsi="Arial" w:cs="Arial"/>
          <w:sz w:val="20"/>
          <w:szCs w:val="20"/>
        </w:rPr>
        <w:t>, The New Jerusalem Bible</w:t>
      </w:r>
      <w:r w:rsidR="002F09E1" w:rsidRPr="006B3F80">
        <w:rPr>
          <w:rFonts w:ascii="Arial" w:hAnsi="Arial" w:cs="Arial"/>
          <w:sz w:val="20"/>
          <w:szCs w:val="20"/>
        </w:rPr>
        <w:t>, 1994.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CFB20" w14:textId="37C2EBD5" w:rsidR="003174CD" w:rsidRDefault="00E20461">
    <w:pPr>
      <w:pStyle w:val="Header"/>
    </w:pPr>
    <w:r>
      <w:rPr>
        <w:lang w:bidi="en-GB"/>
      </w:rPr>
      <w:t>1102620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2C24EAC"/>
    <w:multiLevelType w:val="hybridMultilevel"/>
    <w:tmpl w:val="58D2E3AC"/>
    <w:lvl w:ilvl="0" w:tplc="DF00982A">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F34AD9"/>
    <w:multiLevelType w:val="hybridMultilevel"/>
    <w:tmpl w:val="A1142A24"/>
    <w:lvl w:ilvl="0" w:tplc="AF10A85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2663745"/>
    <w:multiLevelType w:val="hybridMultilevel"/>
    <w:tmpl w:val="BFD2651A"/>
    <w:lvl w:ilvl="0" w:tplc="66C28584">
      <w:start w:val="4"/>
      <w:numFmt w:val="bullet"/>
      <w:lvlText w:val="-"/>
      <w:lvlJc w:val="left"/>
      <w:pPr>
        <w:ind w:left="720" w:hanging="360"/>
      </w:pPr>
      <w:rPr>
        <w:rFonts w:ascii="Times New Roman" w:eastAsiaTheme="minorEastAsia"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3C3628"/>
    <w:multiLevelType w:val="hybridMultilevel"/>
    <w:tmpl w:val="C01A3AE0"/>
    <w:lvl w:ilvl="0" w:tplc="6CFC6540">
      <w:start w:val="2"/>
      <w:numFmt w:val="bullet"/>
      <w:lvlText w:val="-"/>
      <w:lvlJc w:val="left"/>
      <w:pPr>
        <w:ind w:left="2160" w:hanging="360"/>
      </w:pPr>
      <w:rPr>
        <w:rFonts w:ascii="Times New Roman" w:eastAsiaTheme="minorEastAsia"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4BCD3518"/>
    <w:multiLevelType w:val="hybridMultilevel"/>
    <w:tmpl w:val="AE5452B6"/>
    <w:lvl w:ilvl="0" w:tplc="6CFC6540">
      <w:start w:val="2"/>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C3D7F57"/>
    <w:multiLevelType w:val="hybridMultilevel"/>
    <w:tmpl w:val="B3D6BA0E"/>
    <w:lvl w:ilvl="0" w:tplc="22A68200">
      <w:start w:val="3"/>
      <w:numFmt w:val="bullet"/>
      <w:lvlText w:val="-"/>
      <w:lvlJc w:val="left"/>
      <w:pPr>
        <w:ind w:left="1063" w:hanging="360"/>
      </w:pPr>
      <w:rPr>
        <w:rFonts w:ascii="Times New Roman" w:eastAsiaTheme="minorEastAsia" w:hAnsi="Times New Roman" w:cs="Times New Roman" w:hint="default"/>
      </w:rPr>
    </w:lvl>
    <w:lvl w:ilvl="1" w:tplc="08090003" w:tentative="1">
      <w:start w:val="1"/>
      <w:numFmt w:val="bullet"/>
      <w:lvlText w:val="o"/>
      <w:lvlJc w:val="left"/>
      <w:pPr>
        <w:ind w:left="1783" w:hanging="360"/>
      </w:pPr>
      <w:rPr>
        <w:rFonts w:ascii="Courier New" w:hAnsi="Courier New" w:cs="Courier New" w:hint="default"/>
      </w:rPr>
    </w:lvl>
    <w:lvl w:ilvl="2" w:tplc="08090005" w:tentative="1">
      <w:start w:val="1"/>
      <w:numFmt w:val="bullet"/>
      <w:lvlText w:val=""/>
      <w:lvlJc w:val="left"/>
      <w:pPr>
        <w:ind w:left="2503" w:hanging="360"/>
      </w:pPr>
      <w:rPr>
        <w:rFonts w:ascii="Wingdings" w:hAnsi="Wingdings" w:hint="default"/>
      </w:rPr>
    </w:lvl>
    <w:lvl w:ilvl="3" w:tplc="08090001" w:tentative="1">
      <w:start w:val="1"/>
      <w:numFmt w:val="bullet"/>
      <w:lvlText w:val=""/>
      <w:lvlJc w:val="left"/>
      <w:pPr>
        <w:ind w:left="3223" w:hanging="360"/>
      </w:pPr>
      <w:rPr>
        <w:rFonts w:ascii="Symbol" w:hAnsi="Symbol" w:hint="default"/>
      </w:rPr>
    </w:lvl>
    <w:lvl w:ilvl="4" w:tplc="08090003" w:tentative="1">
      <w:start w:val="1"/>
      <w:numFmt w:val="bullet"/>
      <w:lvlText w:val="o"/>
      <w:lvlJc w:val="left"/>
      <w:pPr>
        <w:ind w:left="3943" w:hanging="360"/>
      </w:pPr>
      <w:rPr>
        <w:rFonts w:ascii="Courier New" w:hAnsi="Courier New" w:cs="Courier New" w:hint="default"/>
      </w:rPr>
    </w:lvl>
    <w:lvl w:ilvl="5" w:tplc="08090005" w:tentative="1">
      <w:start w:val="1"/>
      <w:numFmt w:val="bullet"/>
      <w:lvlText w:val=""/>
      <w:lvlJc w:val="left"/>
      <w:pPr>
        <w:ind w:left="4663" w:hanging="360"/>
      </w:pPr>
      <w:rPr>
        <w:rFonts w:ascii="Wingdings" w:hAnsi="Wingdings" w:hint="default"/>
      </w:rPr>
    </w:lvl>
    <w:lvl w:ilvl="6" w:tplc="08090001" w:tentative="1">
      <w:start w:val="1"/>
      <w:numFmt w:val="bullet"/>
      <w:lvlText w:val=""/>
      <w:lvlJc w:val="left"/>
      <w:pPr>
        <w:ind w:left="5383" w:hanging="360"/>
      </w:pPr>
      <w:rPr>
        <w:rFonts w:ascii="Symbol" w:hAnsi="Symbol" w:hint="default"/>
      </w:rPr>
    </w:lvl>
    <w:lvl w:ilvl="7" w:tplc="08090003" w:tentative="1">
      <w:start w:val="1"/>
      <w:numFmt w:val="bullet"/>
      <w:lvlText w:val="o"/>
      <w:lvlJc w:val="left"/>
      <w:pPr>
        <w:ind w:left="6103" w:hanging="360"/>
      </w:pPr>
      <w:rPr>
        <w:rFonts w:ascii="Courier New" w:hAnsi="Courier New" w:cs="Courier New" w:hint="default"/>
      </w:rPr>
    </w:lvl>
    <w:lvl w:ilvl="8" w:tplc="08090005" w:tentative="1">
      <w:start w:val="1"/>
      <w:numFmt w:val="bullet"/>
      <w:lvlText w:val=""/>
      <w:lvlJc w:val="left"/>
      <w:pPr>
        <w:ind w:left="6823" w:hanging="360"/>
      </w:pPr>
      <w:rPr>
        <w:rFonts w:ascii="Wingdings" w:hAnsi="Wingdings" w:hint="default"/>
      </w:rPr>
    </w:lvl>
  </w:abstractNum>
  <w:abstractNum w:abstractNumId="17" w15:restartNumberingAfterBreak="0">
    <w:nsid w:val="55310721"/>
    <w:multiLevelType w:val="hybridMultilevel"/>
    <w:tmpl w:val="A29A687A"/>
    <w:lvl w:ilvl="0" w:tplc="6C265F10">
      <w:start w:val="3"/>
      <w:numFmt w:val="bullet"/>
      <w:lvlText w:val="-"/>
      <w:lvlJc w:val="left"/>
      <w:pPr>
        <w:ind w:left="1080" w:hanging="360"/>
      </w:pPr>
      <w:rPr>
        <w:rFonts w:ascii="Times New Roman" w:eastAsiaTheme="minorEastAsia" w:hAnsi="Times New Roman" w:cs="Times New Roman"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5347BC9"/>
    <w:multiLevelType w:val="hybridMultilevel"/>
    <w:tmpl w:val="EB6AE406"/>
    <w:lvl w:ilvl="0" w:tplc="B7D858B8">
      <w:start w:val="3"/>
      <w:numFmt w:val="bullet"/>
      <w:lvlText w:val="-"/>
      <w:lvlJc w:val="left"/>
      <w:pPr>
        <w:ind w:left="1063" w:hanging="360"/>
      </w:pPr>
      <w:rPr>
        <w:rFonts w:ascii="Times New Roman" w:eastAsiaTheme="minorEastAsia" w:hAnsi="Times New Roman" w:cs="Times New Roman" w:hint="default"/>
        <w:color w:val="auto"/>
      </w:rPr>
    </w:lvl>
    <w:lvl w:ilvl="1" w:tplc="08090003" w:tentative="1">
      <w:start w:val="1"/>
      <w:numFmt w:val="bullet"/>
      <w:lvlText w:val="o"/>
      <w:lvlJc w:val="left"/>
      <w:pPr>
        <w:ind w:left="1783" w:hanging="360"/>
      </w:pPr>
      <w:rPr>
        <w:rFonts w:ascii="Courier New" w:hAnsi="Courier New" w:cs="Courier New" w:hint="default"/>
      </w:rPr>
    </w:lvl>
    <w:lvl w:ilvl="2" w:tplc="08090005" w:tentative="1">
      <w:start w:val="1"/>
      <w:numFmt w:val="bullet"/>
      <w:lvlText w:val=""/>
      <w:lvlJc w:val="left"/>
      <w:pPr>
        <w:ind w:left="2503" w:hanging="360"/>
      </w:pPr>
      <w:rPr>
        <w:rFonts w:ascii="Wingdings" w:hAnsi="Wingdings" w:hint="default"/>
      </w:rPr>
    </w:lvl>
    <w:lvl w:ilvl="3" w:tplc="08090001" w:tentative="1">
      <w:start w:val="1"/>
      <w:numFmt w:val="bullet"/>
      <w:lvlText w:val=""/>
      <w:lvlJc w:val="left"/>
      <w:pPr>
        <w:ind w:left="3223" w:hanging="360"/>
      </w:pPr>
      <w:rPr>
        <w:rFonts w:ascii="Symbol" w:hAnsi="Symbol" w:hint="default"/>
      </w:rPr>
    </w:lvl>
    <w:lvl w:ilvl="4" w:tplc="08090003" w:tentative="1">
      <w:start w:val="1"/>
      <w:numFmt w:val="bullet"/>
      <w:lvlText w:val="o"/>
      <w:lvlJc w:val="left"/>
      <w:pPr>
        <w:ind w:left="3943" w:hanging="360"/>
      </w:pPr>
      <w:rPr>
        <w:rFonts w:ascii="Courier New" w:hAnsi="Courier New" w:cs="Courier New" w:hint="default"/>
      </w:rPr>
    </w:lvl>
    <w:lvl w:ilvl="5" w:tplc="08090005" w:tentative="1">
      <w:start w:val="1"/>
      <w:numFmt w:val="bullet"/>
      <w:lvlText w:val=""/>
      <w:lvlJc w:val="left"/>
      <w:pPr>
        <w:ind w:left="4663" w:hanging="360"/>
      </w:pPr>
      <w:rPr>
        <w:rFonts w:ascii="Wingdings" w:hAnsi="Wingdings" w:hint="default"/>
      </w:rPr>
    </w:lvl>
    <w:lvl w:ilvl="6" w:tplc="08090001" w:tentative="1">
      <w:start w:val="1"/>
      <w:numFmt w:val="bullet"/>
      <w:lvlText w:val=""/>
      <w:lvlJc w:val="left"/>
      <w:pPr>
        <w:ind w:left="5383" w:hanging="360"/>
      </w:pPr>
      <w:rPr>
        <w:rFonts w:ascii="Symbol" w:hAnsi="Symbol" w:hint="default"/>
      </w:rPr>
    </w:lvl>
    <w:lvl w:ilvl="7" w:tplc="08090003" w:tentative="1">
      <w:start w:val="1"/>
      <w:numFmt w:val="bullet"/>
      <w:lvlText w:val="o"/>
      <w:lvlJc w:val="left"/>
      <w:pPr>
        <w:ind w:left="6103" w:hanging="360"/>
      </w:pPr>
      <w:rPr>
        <w:rFonts w:ascii="Courier New" w:hAnsi="Courier New" w:cs="Courier New" w:hint="default"/>
      </w:rPr>
    </w:lvl>
    <w:lvl w:ilvl="8" w:tplc="08090005" w:tentative="1">
      <w:start w:val="1"/>
      <w:numFmt w:val="bullet"/>
      <w:lvlText w:val=""/>
      <w:lvlJc w:val="left"/>
      <w:pPr>
        <w:ind w:left="6823" w:hanging="360"/>
      </w:pPr>
      <w:rPr>
        <w:rFonts w:ascii="Wingdings" w:hAnsi="Wingdings" w:hint="default"/>
      </w:rPr>
    </w:lvl>
  </w:abstractNum>
  <w:abstractNum w:abstractNumId="19" w15:restartNumberingAfterBreak="0">
    <w:nsid w:val="584635DA"/>
    <w:multiLevelType w:val="hybridMultilevel"/>
    <w:tmpl w:val="5C826558"/>
    <w:lvl w:ilvl="0" w:tplc="9612C5B0">
      <w:start w:val="4"/>
      <w:numFmt w:val="bullet"/>
      <w:lvlText w:val="-"/>
      <w:lvlJc w:val="left"/>
      <w:pPr>
        <w:ind w:left="1080" w:hanging="360"/>
      </w:pPr>
      <w:rPr>
        <w:rFonts w:ascii="Times New Roman" w:eastAsiaTheme="minorEastAsia"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5B1B5787"/>
    <w:multiLevelType w:val="multilevel"/>
    <w:tmpl w:val="4572ABF8"/>
    <w:numStyleLink w:val="MLAOutline"/>
  </w:abstractNum>
  <w:abstractNum w:abstractNumId="22" w15:restartNumberingAfterBreak="0">
    <w:nsid w:val="7AF31B3A"/>
    <w:multiLevelType w:val="hybridMultilevel"/>
    <w:tmpl w:val="7026D428"/>
    <w:lvl w:ilvl="0" w:tplc="299238E0">
      <w:start w:val="3"/>
      <w:numFmt w:val="bullet"/>
      <w:lvlText w:val="-"/>
      <w:lvlJc w:val="left"/>
      <w:pPr>
        <w:ind w:left="1063" w:hanging="360"/>
      </w:pPr>
      <w:rPr>
        <w:rFonts w:ascii="Times New Roman" w:eastAsiaTheme="minorEastAsia" w:hAnsi="Times New Roman" w:cs="Times New Roman" w:hint="default"/>
      </w:rPr>
    </w:lvl>
    <w:lvl w:ilvl="1" w:tplc="08090003" w:tentative="1">
      <w:start w:val="1"/>
      <w:numFmt w:val="bullet"/>
      <w:lvlText w:val="o"/>
      <w:lvlJc w:val="left"/>
      <w:pPr>
        <w:ind w:left="1783" w:hanging="360"/>
      </w:pPr>
      <w:rPr>
        <w:rFonts w:ascii="Courier New" w:hAnsi="Courier New" w:cs="Courier New" w:hint="default"/>
      </w:rPr>
    </w:lvl>
    <w:lvl w:ilvl="2" w:tplc="08090005" w:tentative="1">
      <w:start w:val="1"/>
      <w:numFmt w:val="bullet"/>
      <w:lvlText w:val=""/>
      <w:lvlJc w:val="left"/>
      <w:pPr>
        <w:ind w:left="2503" w:hanging="360"/>
      </w:pPr>
      <w:rPr>
        <w:rFonts w:ascii="Wingdings" w:hAnsi="Wingdings" w:hint="default"/>
      </w:rPr>
    </w:lvl>
    <w:lvl w:ilvl="3" w:tplc="08090001" w:tentative="1">
      <w:start w:val="1"/>
      <w:numFmt w:val="bullet"/>
      <w:lvlText w:val=""/>
      <w:lvlJc w:val="left"/>
      <w:pPr>
        <w:ind w:left="3223" w:hanging="360"/>
      </w:pPr>
      <w:rPr>
        <w:rFonts w:ascii="Symbol" w:hAnsi="Symbol" w:hint="default"/>
      </w:rPr>
    </w:lvl>
    <w:lvl w:ilvl="4" w:tplc="08090003" w:tentative="1">
      <w:start w:val="1"/>
      <w:numFmt w:val="bullet"/>
      <w:lvlText w:val="o"/>
      <w:lvlJc w:val="left"/>
      <w:pPr>
        <w:ind w:left="3943" w:hanging="360"/>
      </w:pPr>
      <w:rPr>
        <w:rFonts w:ascii="Courier New" w:hAnsi="Courier New" w:cs="Courier New" w:hint="default"/>
      </w:rPr>
    </w:lvl>
    <w:lvl w:ilvl="5" w:tplc="08090005" w:tentative="1">
      <w:start w:val="1"/>
      <w:numFmt w:val="bullet"/>
      <w:lvlText w:val=""/>
      <w:lvlJc w:val="left"/>
      <w:pPr>
        <w:ind w:left="4663" w:hanging="360"/>
      </w:pPr>
      <w:rPr>
        <w:rFonts w:ascii="Wingdings" w:hAnsi="Wingdings" w:hint="default"/>
      </w:rPr>
    </w:lvl>
    <w:lvl w:ilvl="6" w:tplc="08090001" w:tentative="1">
      <w:start w:val="1"/>
      <w:numFmt w:val="bullet"/>
      <w:lvlText w:val=""/>
      <w:lvlJc w:val="left"/>
      <w:pPr>
        <w:ind w:left="5383" w:hanging="360"/>
      </w:pPr>
      <w:rPr>
        <w:rFonts w:ascii="Symbol" w:hAnsi="Symbol" w:hint="default"/>
      </w:rPr>
    </w:lvl>
    <w:lvl w:ilvl="7" w:tplc="08090003" w:tentative="1">
      <w:start w:val="1"/>
      <w:numFmt w:val="bullet"/>
      <w:lvlText w:val="o"/>
      <w:lvlJc w:val="left"/>
      <w:pPr>
        <w:ind w:left="6103" w:hanging="360"/>
      </w:pPr>
      <w:rPr>
        <w:rFonts w:ascii="Courier New" w:hAnsi="Courier New" w:cs="Courier New" w:hint="default"/>
      </w:rPr>
    </w:lvl>
    <w:lvl w:ilvl="8" w:tplc="08090005" w:tentative="1">
      <w:start w:val="1"/>
      <w:numFmt w:val="bullet"/>
      <w:lvlText w:val=""/>
      <w:lvlJc w:val="left"/>
      <w:pPr>
        <w:ind w:left="6823"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20"/>
  </w:num>
  <w:num w:numId="13">
    <w:abstractNumId w:val="21"/>
  </w:num>
  <w:num w:numId="14">
    <w:abstractNumId w:val="10"/>
  </w:num>
  <w:num w:numId="15">
    <w:abstractNumId w:val="19"/>
  </w:num>
  <w:num w:numId="16">
    <w:abstractNumId w:val="13"/>
  </w:num>
  <w:num w:numId="17">
    <w:abstractNumId w:val="11"/>
  </w:num>
  <w:num w:numId="18">
    <w:abstractNumId w:val="15"/>
  </w:num>
  <w:num w:numId="19">
    <w:abstractNumId w:val="14"/>
  </w:num>
  <w:num w:numId="20">
    <w:abstractNumId w:val="17"/>
  </w:num>
  <w:num w:numId="21">
    <w:abstractNumId w:val="22"/>
  </w:num>
  <w:num w:numId="22">
    <w:abstractNumId w:val="18"/>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revisionView w:markup="0" w:comments="0" w:insDel="0" w:formatting="0"/>
  <w:defaultTabStop w:val="720"/>
  <w:hyphenationZone w:val="425"/>
  <w:defaultTableStyle w:val="MLAresearchpapertable"/>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ysjQwMTO1NLcwNTNR0lEKTi0uzszPAykwrwUA+iKsTCwAAAA="/>
  </w:docVars>
  <w:rsids>
    <w:rsidRoot w:val="003174CD"/>
    <w:rsid w:val="0000264F"/>
    <w:rsid w:val="00003B0D"/>
    <w:rsid w:val="000070A7"/>
    <w:rsid w:val="00010F8D"/>
    <w:rsid w:val="000112AB"/>
    <w:rsid w:val="0001281F"/>
    <w:rsid w:val="00016F51"/>
    <w:rsid w:val="00017C15"/>
    <w:rsid w:val="00017DAF"/>
    <w:rsid w:val="0002000D"/>
    <w:rsid w:val="00021E05"/>
    <w:rsid w:val="0002475C"/>
    <w:rsid w:val="00027C8D"/>
    <w:rsid w:val="0003081F"/>
    <w:rsid w:val="000318CA"/>
    <w:rsid w:val="0003341B"/>
    <w:rsid w:val="000352EB"/>
    <w:rsid w:val="000360ED"/>
    <w:rsid w:val="00040DE3"/>
    <w:rsid w:val="00041885"/>
    <w:rsid w:val="00042B4B"/>
    <w:rsid w:val="0004724C"/>
    <w:rsid w:val="000472AC"/>
    <w:rsid w:val="0004794C"/>
    <w:rsid w:val="00051465"/>
    <w:rsid w:val="00054649"/>
    <w:rsid w:val="00056758"/>
    <w:rsid w:val="00057C6E"/>
    <w:rsid w:val="00060A39"/>
    <w:rsid w:val="000611EA"/>
    <w:rsid w:val="00062B0E"/>
    <w:rsid w:val="000674CF"/>
    <w:rsid w:val="00070A23"/>
    <w:rsid w:val="00071364"/>
    <w:rsid w:val="00071A4A"/>
    <w:rsid w:val="00073B00"/>
    <w:rsid w:val="00080FF3"/>
    <w:rsid w:val="00081B3F"/>
    <w:rsid w:val="000835A5"/>
    <w:rsid w:val="00084B2B"/>
    <w:rsid w:val="0008641F"/>
    <w:rsid w:val="00087CA5"/>
    <w:rsid w:val="00090389"/>
    <w:rsid w:val="00090513"/>
    <w:rsid w:val="00093EE6"/>
    <w:rsid w:val="00095C4A"/>
    <w:rsid w:val="00096818"/>
    <w:rsid w:val="00096B9F"/>
    <w:rsid w:val="00097B04"/>
    <w:rsid w:val="000A242F"/>
    <w:rsid w:val="000A2AB9"/>
    <w:rsid w:val="000A38B0"/>
    <w:rsid w:val="000A4227"/>
    <w:rsid w:val="000A43C5"/>
    <w:rsid w:val="000B059B"/>
    <w:rsid w:val="000B5B06"/>
    <w:rsid w:val="000B7565"/>
    <w:rsid w:val="000C40AE"/>
    <w:rsid w:val="000C4170"/>
    <w:rsid w:val="000C580D"/>
    <w:rsid w:val="000C66DF"/>
    <w:rsid w:val="000D09FA"/>
    <w:rsid w:val="000D2E3C"/>
    <w:rsid w:val="000D3372"/>
    <w:rsid w:val="000D412A"/>
    <w:rsid w:val="000D4887"/>
    <w:rsid w:val="000D4A93"/>
    <w:rsid w:val="000D7E78"/>
    <w:rsid w:val="000E063B"/>
    <w:rsid w:val="000E5AB0"/>
    <w:rsid w:val="000E7C48"/>
    <w:rsid w:val="000F2163"/>
    <w:rsid w:val="000F227D"/>
    <w:rsid w:val="000F3995"/>
    <w:rsid w:val="00101E9D"/>
    <w:rsid w:val="00104D02"/>
    <w:rsid w:val="001078C3"/>
    <w:rsid w:val="00107C10"/>
    <w:rsid w:val="00115BD0"/>
    <w:rsid w:val="0012197A"/>
    <w:rsid w:val="001219BB"/>
    <w:rsid w:val="00121ABE"/>
    <w:rsid w:val="0012279B"/>
    <w:rsid w:val="001230AF"/>
    <w:rsid w:val="001242DB"/>
    <w:rsid w:val="0012785A"/>
    <w:rsid w:val="001309E0"/>
    <w:rsid w:val="001328E6"/>
    <w:rsid w:val="00132B2C"/>
    <w:rsid w:val="00134E2B"/>
    <w:rsid w:val="00136359"/>
    <w:rsid w:val="00137DA6"/>
    <w:rsid w:val="00146452"/>
    <w:rsid w:val="00146DB3"/>
    <w:rsid w:val="00154BFA"/>
    <w:rsid w:val="0015543D"/>
    <w:rsid w:val="00155C26"/>
    <w:rsid w:val="00156262"/>
    <w:rsid w:val="0016170B"/>
    <w:rsid w:val="001618B1"/>
    <w:rsid w:val="00162AF4"/>
    <w:rsid w:val="00166A7F"/>
    <w:rsid w:val="001704CA"/>
    <w:rsid w:val="0018119A"/>
    <w:rsid w:val="00182089"/>
    <w:rsid w:val="00182726"/>
    <w:rsid w:val="00185962"/>
    <w:rsid w:val="00185D20"/>
    <w:rsid w:val="00187F99"/>
    <w:rsid w:val="00190F6B"/>
    <w:rsid w:val="00190F7C"/>
    <w:rsid w:val="00191068"/>
    <w:rsid w:val="001A6920"/>
    <w:rsid w:val="001B074F"/>
    <w:rsid w:val="001B0861"/>
    <w:rsid w:val="001B165B"/>
    <w:rsid w:val="001B1BBD"/>
    <w:rsid w:val="001B2733"/>
    <w:rsid w:val="001B2F15"/>
    <w:rsid w:val="001B3E60"/>
    <w:rsid w:val="001B7903"/>
    <w:rsid w:val="001B7F31"/>
    <w:rsid w:val="001C524C"/>
    <w:rsid w:val="001C695A"/>
    <w:rsid w:val="001C71C1"/>
    <w:rsid w:val="001D116F"/>
    <w:rsid w:val="001D2809"/>
    <w:rsid w:val="001D3084"/>
    <w:rsid w:val="001D33BA"/>
    <w:rsid w:val="001D3DA9"/>
    <w:rsid w:val="001D79F2"/>
    <w:rsid w:val="001E1C9C"/>
    <w:rsid w:val="001E2F2B"/>
    <w:rsid w:val="001E53B5"/>
    <w:rsid w:val="001E66CE"/>
    <w:rsid w:val="001E6E0A"/>
    <w:rsid w:val="001E7149"/>
    <w:rsid w:val="001E75CB"/>
    <w:rsid w:val="001E77C1"/>
    <w:rsid w:val="001F0747"/>
    <w:rsid w:val="001F309D"/>
    <w:rsid w:val="001F4A3F"/>
    <w:rsid w:val="002012DC"/>
    <w:rsid w:val="0020240D"/>
    <w:rsid w:val="00204643"/>
    <w:rsid w:val="00205194"/>
    <w:rsid w:val="0020589B"/>
    <w:rsid w:val="0020599A"/>
    <w:rsid w:val="0021067C"/>
    <w:rsid w:val="002140DF"/>
    <w:rsid w:val="002141F7"/>
    <w:rsid w:val="002146F1"/>
    <w:rsid w:val="00214D66"/>
    <w:rsid w:val="00214FBE"/>
    <w:rsid w:val="002172BC"/>
    <w:rsid w:val="00220B92"/>
    <w:rsid w:val="00220E51"/>
    <w:rsid w:val="00224D01"/>
    <w:rsid w:val="0022506F"/>
    <w:rsid w:val="00231DCF"/>
    <w:rsid w:val="00231E10"/>
    <w:rsid w:val="0023225A"/>
    <w:rsid w:val="00233070"/>
    <w:rsid w:val="0023476D"/>
    <w:rsid w:val="00237CA5"/>
    <w:rsid w:val="00241A7E"/>
    <w:rsid w:val="0024448C"/>
    <w:rsid w:val="00244827"/>
    <w:rsid w:val="002455DA"/>
    <w:rsid w:val="00246885"/>
    <w:rsid w:val="0025057E"/>
    <w:rsid w:val="00251407"/>
    <w:rsid w:val="002517E4"/>
    <w:rsid w:val="00251B83"/>
    <w:rsid w:val="0026528D"/>
    <w:rsid w:val="00270472"/>
    <w:rsid w:val="00274C41"/>
    <w:rsid w:val="00276935"/>
    <w:rsid w:val="00276AD0"/>
    <w:rsid w:val="0028004F"/>
    <w:rsid w:val="0028372F"/>
    <w:rsid w:val="0028486A"/>
    <w:rsid w:val="0028765C"/>
    <w:rsid w:val="00287B26"/>
    <w:rsid w:val="00295AF6"/>
    <w:rsid w:val="002A1229"/>
    <w:rsid w:val="002A2460"/>
    <w:rsid w:val="002B007F"/>
    <w:rsid w:val="002B06B1"/>
    <w:rsid w:val="002B39FD"/>
    <w:rsid w:val="002C0356"/>
    <w:rsid w:val="002C0F38"/>
    <w:rsid w:val="002C34DB"/>
    <w:rsid w:val="002C53D7"/>
    <w:rsid w:val="002C5702"/>
    <w:rsid w:val="002C6037"/>
    <w:rsid w:val="002C75CF"/>
    <w:rsid w:val="002C7666"/>
    <w:rsid w:val="002D14D0"/>
    <w:rsid w:val="002D185E"/>
    <w:rsid w:val="002D46BC"/>
    <w:rsid w:val="002D4E29"/>
    <w:rsid w:val="002D6D4C"/>
    <w:rsid w:val="002E1762"/>
    <w:rsid w:val="002E462E"/>
    <w:rsid w:val="002E74A3"/>
    <w:rsid w:val="002F09E1"/>
    <w:rsid w:val="002F24E1"/>
    <w:rsid w:val="002F2DB6"/>
    <w:rsid w:val="002F4A51"/>
    <w:rsid w:val="00300FCB"/>
    <w:rsid w:val="00301002"/>
    <w:rsid w:val="003040C4"/>
    <w:rsid w:val="003075E1"/>
    <w:rsid w:val="00310EDC"/>
    <w:rsid w:val="00314DDD"/>
    <w:rsid w:val="003174CD"/>
    <w:rsid w:val="00317EAE"/>
    <w:rsid w:val="00320951"/>
    <w:rsid w:val="00320EBF"/>
    <w:rsid w:val="00324526"/>
    <w:rsid w:val="0032793A"/>
    <w:rsid w:val="00327C83"/>
    <w:rsid w:val="00330E11"/>
    <w:rsid w:val="0033117B"/>
    <w:rsid w:val="0033450C"/>
    <w:rsid w:val="00334925"/>
    <w:rsid w:val="00336555"/>
    <w:rsid w:val="00342BB8"/>
    <w:rsid w:val="00343451"/>
    <w:rsid w:val="00346090"/>
    <w:rsid w:val="00347DD4"/>
    <w:rsid w:val="00351BC6"/>
    <w:rsid w:val="003525EB"/>
    <w:rsid w:val="00353C43"/>
    <w:rsid w:val="00356DB7"/>
    <w:rsid w:val="00360F1B"/>
    <w:rsid w:val="003619AA"/>
    <w:rsid w:val="003629F0"/>
    <w:rsid w:val="00366750"/>
    <w:rsid w:val="00366A24"/>
    <w:rsid w:val="00367EC1"/>
    <w:rsid w:val="00370BC5"/>
    <w:rsid w:val="003714A9"/>
    <w:rsid w:val="00371D75"/>
    <w:rsid w:val="00371FF1"/>
    <w:rsid w:val="00372269"/>
    <w:rsid w:val="00373011"/>
    <w:rsid w:val="00373D51"/>
    <w:rsid w:val="00375127"/>
    <w:rsid w:val="003779F9"/>
    <w:rsid w:val="0038103C"/>
    <w:rsid w:val="003850E9"/>
    <w:rsid w:val="00385103"/>
    <w:rsid w:val="0038630A"/>
    <w:rsid w:val="00386CAF"/>
    <w:rsid w:val="00390173"/>
    <w:rsid w:val="00391837"/>
    <w:rsid w:val="00392360"/>
    <w:rsid w:val="00392CE7"/>
    <w:rsid w:val="00396CA6"/>
    <w:rsid w:val="003A09CC"/>
    <w:rsid w:val="003A19C4"/>
    <w:rsid w:val="003A3450"/>
    <w:rsid w:val="003A4B4B"/>
    <w:rsid w:val="003A4B95"/>
    <w:rsid w:val="003A6DA8"/>
    <w:rsid w:val="003A75F0"/>
    <w:rsid w:val="003A7B3F"/>
    <w:rsid w:val="003B0128"/>
    <w:rsid w:val="003B192F"/>
    <w:rsid w:val="003B1CB5"/>
    <w:rsid w:val="003B2554"/>
    <w:rsid w:val="003B4B7F"/>
    <w:rsid w:val="003B706A"/>
    <w:rsid w:val="003C0B63"/>
    <w:rsid w:val="003C1466"/>
    <w:rsid w:val="003C2681"/>
    <w:rsid w:val="003C302C"/>
    <w:rsid w:val="003C354B"/>
    <w:rsid w:val="003C45C1"/>
    <w:rsid w:val="003C5AAD"/>
    <w:rsid w:val="003C67AA"/>
    <w:rsid w:val="003C7A08"/>
    <w:rsid w:val="003D1EC1"/>
    <w:rsid w:val="003D37D5"/>
    <w:rsid w:val="003D6322"/>
    <w:rsid w:val="003D69C3"/>
    <w:rsid w:val="003D6BC9"/>
    <w:rsid w:val="003E069E"/>
    <w:rsid w:val="003E2157"/>
    <w:rsid w:val="003E5411"/>
    <w:rsid w:val="003E5D1B"/>
    <w:rsid w:val="003E7385"/>
    <w:rsid w:val="003F03D4"/>
    <w:rsid w:val="0040052E"/>
    <w:rsid w:val="0040365A"/>
    <w:rsid w:val="004067DC"/>
    <w:rsid w:val="00411808"/>
    <w:rsid w:val="00416209"/>
    <w:rsid w:val="0041645C"/>
    <w:rsid w:val="004170E9"/>
    <w:rsid w:val="00417B36"/>
    <w:rsid w:val="00420A6C"/>
    <w:rsid w:val="00420FF2"/>
    <w:rsid w:val="0042302D"/>
    <w:rsid w:val="004269F9"/>
    <w:rsid w:val="00435DE2"/>
    <w:rsid w:val="0044038B"/>
    <w:rsid w:val="00440447"/>
    <w:rsid w:val="00441344"/>
    <w:rsid w:val="00441A36"/>
    <w:rsid w:val="00445140"/>
    <w:rsid w:val="00450532"/>
    <w:rsid w:val="00450981"/>
    <w:rsid w:val="004518C0"/>
    <w:rsid w:val="00451BF1"/>
    <w:rsid w:val="004531D1"/>
    <w:rsid w:val="004532F8"/>
    <w:rsid w:val="004616FE"/>
    <w:rsid w:val="00470BB4"/>
    <w:rsid w:val="004729C6"/>
    <w:rsid w:val="00473C1C"/>
    <w:rsid w:val="00473E6E"/>
    <w:rsid w:val="00474462"/>
    <w:rsid w:val="004749C8"/>
    <w:rsid w:val="00476C64"/>
    <w:rsid w:val="00477366"/>
    <w:rsid w:val="00477861"/>
    <w:rsid w:val="004908E9"/>
    <w:rsid w:val="00492645"/>
    <w:rsid w:val="00493EE4"/>
    <w:rsid w:val="00497079"/>
    <w:rsid w:val="004A2A79"/>
    <w:rsid w:val="004A7501"/>
    <w:rsid w:val="004B1610"/>
    <w:rsid w:val="004B2BF0"/>
    <w:rsid w:val="004B4A66"/>
    <w:rsid w:val="004B4D2D"/>
    <w:rsid w:val="004C379A"/>
    <w:rsid w:val="004C5231"/>
    <w:rsid w:val="004C636E"/>
    <w:rsid w:val="004C6FF2"/>
    <w:rsid w:val="004D04AD"/>
    <w:rsid w:val="004D0CD8"/>
    <w:rsid w:val="004D6C7D"/>
    <w:rsid w:val="004E72C8"/>
    <w:rsid w:val="004F3102"/>
    <w:rsid w:val="004F3B4C"/>
    <w:rsid w:val="004F5E02"/>
    <w:rsid w:val="004F72A7"/>
    <w:rsid w:val="005004F7"/>
    <w:rsid w:val="00501FDA"/>
    <w:rsid w:val="00502044"/>
    <w:rsid w:val="005069EE"/>
    <w:rsid w:val="00510E13"/>
    <w:rsid w:val="00512A3F"/>
    <w:rsid w:val="005204BE"/>
    <w:rsid w:val="005205F0"/>
    <w:rsid w:val="00520A85"/>
    <w:rsid w:val="0052100C"/>
    <w:rsid w:val="00521374"/>
    <w:rsid w:val="00522863"/>
    <w:rsid w:val="00522CDA"/>
    <w:rsid w:val="00526428"/>
    <w:rsid w:val="005300CB"/>
    <w:rsid w:val="0053513D"/>
    <w:rsid w:val="00535724"/>
    <w:rsid w:val="00536A98"/>
    <w:rsid w:val="00536AB0"/>
    <w:rsid w:val="00543710"/>
    <w:rsid w:val="00543986"/>
    <w:rsid w:val="00543E39"/>
    <w:rsid w:val="0055473A"/>
    <w:rsid w:val="005559B5"/>
    <w:rsid w:val="0055694F"/>
    <w:rsid w:val="00556CC7"/>
    <w:rsid w:val="00571066"/>
    <w:rsid w:val="00572618"/>
    <w:rsid w:val="00572D53"/>
    <w:rsid w:val="005736C4"/>
    <w:rsid w:val="0058279A"/>
    <w:rsid w:val="00583E14"/>
    <w:rsid w:val="005846F7"/>
    <w:rsid w:val="005849CE"/>
    <w:rsid w:val="00584B66"/>
    <w:rsid w:val="005923E2"/>
    <w:rsid w:val="00592BA5"/>
    <w:rsid w:val="0059383B"/>
    <w:rsid w:val="005942ED"/>
    <w:rsid w:val="005953B3"/>
    <w:rsid w:val="005954E7"/>
    <w:rsid w:val="00596377"/>
    <w:rsid w:val="00596F9E"/>
    <w:rsid w:val="005A0ADD"/>
    <w:rsid w:val="005A2003"/>
    <w:rsid w:val="005A303E"/>
    <w:rsid w:val="005A681C"/>
    <w:rsid w:val="005A68E2"/>
    <w:rsid w:val="005A706D"/>
    <w:rsid w:val="005A77B8"/>
    <w:rsid w:val="005B203A"/>
    <w:rsid w:val="005B3A54"/>
    <w:rsid w:val="005B4037"/>
    <w:rsid w:val="005B5DC7"/>
    <w:rsid w:val="005C1921"/>
    <w:rsid w:val="005C3613"/>
    <w:rsid w:val="005C50BF"/>
    <w:rsid w:val="005C6F66"/>
    <w:rsid w:val="005D549A"/>
    <w:rsid w:val="005D71DB"/>
    <w:rsid w:val="005D7A7C"/>
    <w:rsid w:val="005E1EC8"/>
    <w:rsid w:val="005E2E57"/>
    <w:rsid w:val="005E3975"/>
    <w:rsid w:val="005E6006"/>
    <w:rsid w:val="005F21A1"/>
    <w:rsid w:val="005F2673"/>
    <w:rsid w:val="005F705D"/>
    <w:rsid w:val="005F727E"/>
    <w:rsid w:val="006001EC"/>
    <w:rsid w:val="00601179"/>
    <w:rsid w:val="0060144B"/>
    <w:rsid w:val="00604F20"/>
    <w:rsid w:val="006064AE"/>
    <w:rsid w:val="006067F1"/>
    <w:rsid w:val="0060760C"/>
    <w:rsid w:val="006078B2"/>
    <w:rsid w:val="00607A18"/>
    <w:rsid w:val="00611722"/>
    <w:rsid w:val="006126BD"/>
    <w:rsid w:val="00612CC1"/>
    <w:rsid w:val="00614731"/>
    <w:rsid w:val="00615AE6"/>
    <w:rsid w:val="006169DC"/>
    <w:rsid w:val="00616BDD"/>
    <w:rsid w:val="00617521"/>
    <w:rsid w:val="0063400F"/>
    <w:rsid w:val="00641107"/>
    <w:rsid w:val="00646C9F"/>
    <w:rsid w:val="00646DC0"/>
    <w:rsid w:val="00651D8F"/>
    <w:rsid w:val="0065228B"/>
    <w:rsid w:val="00653A27"/>
    <w:rsid w:val="006541ED"/>
    <w:rsid w:val="00655665"/>
    <w:rsid w:val="00655FA2"/>
    <w:rsid w:val="0066158A"/>
    <w:rsid w:val="00662C3A"/>
    <w:rsid w:val="00662FE9"/>
    <w:rsid w:val="006631FB"/>
    <w:rsid w:val="006638F4"/>
    <w:rsid w:val="00663994"/>
    <w:rsid w:val="006656FE"/>
    <w:rsid w:val="006705F0"/>
    <w:rsid w:val="006743E7"/>
    <w:rsid w:val="00675439"/>
    <w:rsid w:val="00676F62"/>
    <w:rsid w:val="00684079"/>
    <w:rsid w:val="006854EF"/>
    <w:rsid w:val="00686CF3"/>
    <w:rsid w:val="00691864"/>
    <w:rsid w:val="00693C4B"/>
    <w:rsid w:val="00694C58"/>
    <w:rsid w:val="0069585B"/>
    <w:rsid w:val="00695DA6"/>
    <w:rsid w:val="006A4130"/>
    <w:rsid w:val="006A4CC7"/>
    <w:rsid w:val="006A55FC"/>
    <w:rsid w:val="006A5E75"/>
    <w:rsid w:val="006A65AA"/>
    <w:rsid w:val="006B158E"/>
    <w:rsid w:val="006B2BBB"/>
    <w:rsid w:val="006B3F80"/>
    <w:rsid w:val="006B4758"/>
    <w:rsid w:val="006C09E6"/>
    <w:rsid w:val="006C2BE4"/>
    <w:rsid w:val="006C501D"/>
    <w:rsid w:val="006C645A"/>
    <w:rsid w:val="006D07DF"/>
    <w:rsid w:val="006D129F"/>
    <w:rsid w:val="006D1440"/>
    <w:rsid w:val="006D1F5E"/>
    <w:rsid w:val="006D26B1"/>
    <w:rsid w:val="006D44BB"/>
    <w:rsid w:val="006D47BE"/>
    <w:rsid w:val="006D553E"/>
    <w:rsid w:val="006D7163"/>
    <w:rsid w:val="006D7488"/>
    <w:rsid w:val="006E16EF"/>
    <w:rsid w:val="006E193E"/>
    <w:rsid w:val="006E291F"/>
    <w:rsid w:val="006E4709"/>
    <w:rsid w:val="006E5CF4"/>
    <w:rsid w:val="006E5DEF"/>
    <w:rsid w:val="006E6C14"/>
    <w:rsid w:val="006F4FF0"/>
    <w:rsid w:val="006F5E00"/>
    <w:rsid w:val="006F65D4"/>
    <w:rsid w:val="007021F3"/>
    <w:rsid w:val="00702AAF"/>
    <w:rsid w:val="007045C5"/>
    <w:rsid w:val="00705C14"/>
    <w:rsid w:val="007066F5"/>
    <w:rsid w:val="007071AE"/>
    <w:rsid w:val="0071011F"/>
    <w:rsid w:val="00710358"/>
    <w:rsid w:val="007118B2"/>
    <w:rsid w:val="007125B8"/>
    <w:rsid w:val="00712C29"/>
    <w:rsid w:val="007164CF"/>
    <w:rsid w:val="00722247"/>
    <w:rsid w:val="00722AB5"/>
    <w:rsid w:val="0072617B"/>
    <w:rsid w:val="007266F6"/>
    <w:rsid w:val="00727FBB"/>
    <w:rsid w:val="00732363"/>
    <w:rsid w:val="0073487E"/>
    <w:rsid w:val="00735D12"/>
    <w:rsid w:val="00736792"/>
    <w:rsid w:val="00744087"/>
    <w:rsid w:val="00747EF3"/>
    <w:rsid w:val="00750EA4"/>
    <w:rsid w:val="00751C28"/>
    <w:rsid w:val="007527E4"/>
    <w:rsid w:val="00753AFA"/>
    <w:rsid w:val="00754D8A"/>
    <w:rsid w:val="00757BB2"/>
    <w:rsid w:val="00760279"/>
    <w:rsid w:val="00760520"/>
    <w:rsid w:val="00762D07"/>
    <w:rsid w:val="00764B21"/>
    <w:rsid w:val="00765142"/>
    <w:rsid w:val="00770E1B"/>
    <w:rsid w:val="00772B35"/>
    <w:rsid w:val="007733CA"/>
    <w:rsid w:val="00773DC1"/>
    <w:rsid w:val="0077646C"/>
    <w:rsid w:val="007801E2"/>
    <w:rsid w:val="00781E77"/>
    <w:rsid w:val="00785BCF"/>
    <w:rsid w:val="0078696D"/>
    <w:rsid w:val="00790712"/>
    <w:rsid w:val="007920C6"/>
    <w:rsid w:val="007938F1"/>
    <w:rsid w:val="007952D8"/>
    <w:rsid w:val="007A2E7C"/>
    <w:rsid w:val="007A3C76"/>
    <w:rsid w:val="007A4132"/>
    <w:rsid w:val="007A4715"/>
    <w:rsid w:val="007A5474"/>
    <w:rsid w:val="007A637D"/>
    <w:rsid w:val="007A7BAB"/>
    <w:rsid w:val="007A7FE8"/>
    <w:rsid w:val="007B01C5"/>
    <w:rsid w:val="007B13AD"/>
    <w:rsid w:val="007B28CE"/>
    <w:rsid w:val="007B35E3"/>
    <w:rsid w:val="007B6394"/>
    <w:rsid w:val="007B663C"/>
    <w:rsid w:val="007C3787"/>
    <w:rsid w:val="007C3B7F"/>
    <w:rsid w:val="007C52F5"/>
    <w:rsid w:val="007C6211"/>
    <w:rsid w:val="007C79EF"/>
    <w:rsid w:val="007D0067"/>
    <w:rsid w:val="007D0B76"/>
    <w:rsid w:val="007D2468"/>
    <w:rsid w:val="007D32EE"/>
    <w:rsid w:val="007D782C"/>
    <w:rsid w:val="007E64D6"/>
    <w:rsid w:val="007E6A30"/>
    <w:rsid w:val="007E7079"/>
    <w:rsid w:val="007F1EDD"/>
    <w:rsid w:val="007F1F59"/>
    <w:rsid w:val="007F37DC"/>
    <w:rsid w:val="007F587A"/>
    <w:rsid w:val="00802CB7"/>
    <w:rsid w:val="008030F3"/>
    <w:rsid w:val="0080466E"/>
    <w:rsid w:val="008067B7"/>
    <w:rsid w:val="00812E4A"/>
    <w:rsid w:val="0081344B"/>
    <w:rsid w:val="008164DA"/>
    <w:rsid w:val="00820207"/>
    <w:rsid w:val="008275E7"/>
    <w:rsid w:val="0082761D"/>
    <w:rsid w:val="00830834"/>
    <w:rsid w:val="0083403E"/>
    <w:rsid w:val="008350A5"/>
    <w:rsid w:val="00840749"/>
    <w:rsid w:val="008413A9"/>
    <w:rsid w:val="00845855"/>
    <w:rsid w:val="0084672D"/>
    <w:rsid w:val="00846DB8"/>
    <w:rsid w:val="00847452"/>
    <w:rsid w:val="008505D7"/>
    <w:rsid w:val="008546AD"/>
    <w:rsid w:val="008574BB"/>
    <w:rsid w:val="00861256"/>
    <w:rsid w:val="00861A48"/>
    <w:rsid w:val="00863F86"/>
    <w:rsid w:val="0088165B"/>
    <w:rsid w:val="00882CFA"/>
    <w:rsid w:val="0088447B"/>
    <w:rsid w:val="00886677"/>
    <w:rsid w:val="00886AA7"/>
    <w:rsid w:val="008913A1"/>
    <w:rsid w:val="00897B5E"/>
    <w:rsid w:val="00897F3E"/>
    <w:rsid w:val="008A1234"/>
    <w:rsid w:val="008A1EB8"/>
    <w:rsid w:val="008A56BB"/>
    <w:rsid w:val="008A5C03"/>
    <w:rsid w:val="008A5EFF"/>
    <w:rsid w:val="008A666C"/>
    <w:rsid w:val="008A7CB0"/>
    <w:rsid w:val="008B02E9"/>
    <w:rsid w:val="008B0565"/>
    <w:rsid w:val="008B0B33"/>
    <w:rsid w:val="008B0DF4"/>
    <w:rsid w:val="008B4112"/>
    <w:rsid w:val="008B5737"/>
    <w:rsid w:val="008B64A3"/>
    <w:rsid w:val="008B6C9D"/>
    <w:rsid w:val="008C0191"/>
    <w:rsid w:val="008C41AF"/>
    <w:rsid w:val="008C5FBA"/>
    <w:rsid w:val="008D0C5B"/>
    <w:rsid w:val="008D2944"/>
    <w:rsid w:val="008D33E6"/>
    <w:rsid w:val="008D3CBC"/>
    <w:rsid w:val="008D5CF5"/>
    <w:rsid w:val="008D7F24"/>
    <w:rsid w:val="008E3A79"/>
    <w:rsid w:val="008E5AB4"/>
    <w:rsid w:val="008E5B99"/>
    <w:rsid w:val="008E5F90"/>
    <w:rsid w:val="008F1A32"/>
    <w:rsid w:val="008F723D"/>
    <w:rsid w:val="008F7C82"/>
    <w:rsid w:val="00902654"/>
    <w:rsid w:val="00905124"/>
    <w:rsid w:val="00905449"/>
    <w:rsid w:val="00907D38"/>
    <w:rsid w:val="009141B8"/>
    <w:rsid w:val="00914F8D"/>
    <w:rsid w:val="00917985"/>
    <w:rsid w:val="00923196"/>
    <w:rsid w:val="00923D3C"/>
    <w:rsid w:val="0093175D"/>
    <w:rsid w:val="00932218"/>
    <w:rsid w:val="00934501"/>
    <w:rsid w:val="009374BF"/>
    <w:rsid w:val="00937944"/>
    <w:rsid w:val="009434C4"/>
    <w:rsid w:val="0094354F"/>
    <w:rsid w:val="00944285"/>
    <w:rsid w:val="00945040"/>
    <w:rsid w:val="00945D50"/>
    <w:rsid w:val="00947141"/>
    <w:rsid w:val="00947688"/>
    <w:rsid w:val="0094773D"/>
    <w:rsid w:val="00955050"/>
    <w:rsid w:val="00957A7D"/>
    <w:rsid w:val="0096332E"/>
    <w:rsid w:val="0096393F"/>
    <w:rsid w:val="00965773"/>
    <w:rsid w:val="00965F66"/>
    <w:rsid w:val="009703C5"/>
    <w:rsid w:val="0097211A"/>
    <w:rsid w:val="009728A2"/>
    <w:rsid w:val="00972A7A"/>
    <w:rsid w:val="00976FE0"/>
    <w:rsid w:val="00980A5B"/>
    <w:rsid w:val="009839FC"/>
    <w:rsid w:val="00983C43"/>
    <w:rsid w:val="00984217"/>
    <w:rsid w:val="00984DA7"/>
    <w:rsid w:val="00985194"/>
    <w:rsid w:val="00985EB9"/>
    <w:rsid w:val="009925D5"/>
    <w:rsid w:val="009932F2"/>
    <w:rsid w:val="00993995"/>
    <w:rsid w:val="00993FD7"/>
    <w:rsid w:val="009961E1"/>
    <w:rsid w:val="009A22CB"/>
    <w:rsid w:val="009A285F"/>
    <w:rsid w:val="009A3A98"/>
    <w:rsid w:val="009A4FB6"/>
    <w:rsid w:val="009A544F"/>
    <w:rsid w:val="009A554D"/>
    <w:rsid w:val="009A6A36"/>
    <w:rsid w:val="009B0734"/>
    <w:rsid w:val="009B0C84"/>
    <w:rsid w:val="009C51CB"/>
    <w:rsid w:val="009D1697"/>
    <w:rsid w:val="009D1D42"/>
    <w:rsid w:val="009D2216"/>
    <w:rsid w:val="009D2839"/>
    <w:rsid w:val="009D4C45"/>
    <w:rsid w:val="009D59C7"/>
    <w:rsid w:val="009D5DC4"/>
    <w:rsid w:val="009D76C2"/>
    <w:rsid w:val="009E0DDD"/>
    <w:rsid w:val="009E1B6B"/>
    <w:rsid w:val="009E2DF3"/>
    <w:rsid w:val="009E42FF"/>
    <w:rsid w:val="009E60DF"/>
    <w:rsid w:val="009E72C9"/>
    <w:rsid w:val="009F2AD5"/>
    <w:rsid w:val="009F4565"/>
    <w:rsid w:val="009F5F44"/>
    <w:rsid w:val="009F7766"/>
    <w:rsid w:val="009F778A"/>
    <w:rsid w:val="00A02FCD"/>
    <w:rsid w:val="00A03465"/>
    <w:rsid w:val="00A03677"/>
    <w:rsid w:val="00A0522E"/>
    <w:rsid w:val="00A075D9"/>
    <w:rsid w:val="00A07746"/>
    <w:rsid w:val="00A14A09"/>
    <w:rsid w:val="00A1794D"/>
    <w:rsid w:val="00A201B8"/>
    <w:rsid w:val="00A204E3"/>
    <w:rsid w:val="00A2051B"/>
    <w:rsid w:val="00A22C1F"/>
    <w:rsid w:val="00A237CC"/>
    <w:rsid w:val="00A24B39"/>
    <w:rsid w:val="00A261BE"/>
    <w:rsid w:val="00A27B22"/>
    <w:rsid w:val="00A364D0"/>
    <w:rsid w:val="00A42109"/>
    <w:rsid w:val="00A52B69"/>
    <w:rsid w:val="00A5411F"/>
    <w:rsid w:val="00A569ED"/>
    <w:rsid w:val="00A62320"/>
    <w:rsid w:val="00A63338"/>
    <w:rsid w:val="00A66B4C"/>
    <w:rsid w:val="00A670BF"/>
    <w:rsid w:val="00A714C9"/>
    <w:rsid w:val="00A724E9"/>
    <w:rsid w:val="00A73EE3"/>
    <w:rsid w:val="00A73F1A"/>
    <w:rsid w:val="00A815D5"/>
    <w:rsid w:val="00A82240"/>
    <w:rsid w:val="00A823A5"/>
    <w:rsid w:val="00A84391"/>
    <w:rsid w:val="00A84F60"/>
    <w:rsid w:val="00A84FA9"/>
    <w:rsid w:val="00A87FA0"/>
    <w:rsid w:val="00A90EA4"/>
    <w:rsid w:val="00A9176E"/>
    <w:rsid w:val="00A96A9C"/>
    <w:rsid w:val="00A97DE3"/>
    <w:rsid w:val="00AA248F"/>
    <w:rsid w:val="00AA49A5"/>
    <w:rsid w:val="00AA5434"/>
    <w:rsid w:val="00AA6696"/>
    <w:rsid w:val="00AA6715"/>
    <w:rsid w:val="00AC0584"/>
    <w:rsid w:val="00AC05B4"/>
    <w:rsid w:val="00AC1895"/>
    <w:rsid w:val="00AC2B8F"/>
    <w:rsid w:val="00AC50E6"/>
    <w:rsid w:val="00AC7E9F"/>
    <w:rsid w:val="00AD0BE5"/>
    <w:rsid w:val="00AD11EA"/>
    <w:rsid w:val="00AD284D"/>
    <w:rsid w:val="00AD43F4"/>
    <w:rsid w:val="00AD5C09"/>
    <w:rsid w:val="00AE08FB"/>
    <w:rsid w:val="00AF06CA"/>
    <w:rsid w:val="00AF6257"/>
    <w:rsid w:val="00AF7699"/>
    <w:rsid w:val="00B00EEB"/>
    <w:rsid w:val="00B0242B"/>
    <w:rsid w:val="00B02543"/>
    <w:rsid w:val="00B0488C"/>
    <w:rsid w:val="00B05655"/>
    <w:rsid w:val="00B05748"/>
    <w:rsid w:val="00B0641D"/>
    <w:rsid w:val="00B067F1"/>
    <w:rsid w:val="00B11DEC"/>
    <w:rsid w:val="00B16F7F"/>
    <w:rsid w:val="00B17214"/>
    <w:rsid w:val="00B17D34"/>
    <w:rsid w:val="00B301F0"/>
    <w:rsid w:val="00B32DC8"/>
    <w:rsid w:val="00B35672"/>
    <w:rsid w:val="00B3668D"/>
    <w:rsid w:val="00B37755"/>
    <w:rsid w:val="00B41142"/>
    <w:rsid w:val="00B414BF"/>
    <w:rsid w:val="00B4201A"/>
    <w:rsid w:val="00B43510"/>
    <w:rsid w:val="00B5341E"/>
    <w:rsid w:val="00B54CB4"/>
    <w:rsid w:val="00B57247"/>
    <w:rsid w:val="00B61010"/>
    <w:rsid w:val="00B6160E"/>
    <w:rsid w:val="00B6294E"/>
    <w:rsid w:val="00B62B2A"/>
    <w:rsid w:val="00B65E2E"/>
    <w:rsid w:val="00B72954"/>
    <w:rsid w:val="00B74022"/>
    <w:rsid w:val="00B748D7"/>
    <w:rsid w:val="00B7661C"/>
    <w:rsid w:val="00B76634"/>
    <w:rsid w:val="00B76E23"/>
    <w:rsid w:val="00B76F21"/>
    <w:rsid w:val="00B7756F"/>
    <w:rsid w:val="00B77804"/>
    <w:rsid w:val="00B779EF"/>
    <w:rsid w:val="00B80740"/>
    <w:rsid w:val="00B836CC"/>
    <w:rsid w:val="00B838EF"/>
    <w:rsid w:val="00B844DE"/>
    <w:rsid w:val="00B84509"/>
    <w:rsid w:val="00B84895"/>
    <w:rsid w:val="00B875ED"/>
    <w:rsid w:val="00B87CA3"/>
    <w:rsid w:val="00B9288A"/>
    <w:rsid w:val="00B95244"/>
    <w:rsid w:val="00BA145E"/>
    <w:rsid w:val="00BA6604"/>
    <w:rsid w:val="00BA7DEE"/>
    <w:rsid w:val="00BB1567"/>
    <w:rsid w:val="00BB27CF"/>
    <w:rsid w:val="00BB3FB0"/>
    <w:rsid w:val="00BB5930"/>
    <w:rsid w:val="00BB7B46"/>
    <w:rsid w:val="00BC056B"/>
    <w:rsid w:val="00BC1D86"/>
    <w:rsid w:val="00BC224E"/>
    <w:rsid w:val="00BC4168"/>
    <w:rsid w:val="00BC58F8"/>
    <w:rsid w:val="00BC6C18"/>
    <w:rsid w:val="00BD0921"/>
    <w:rsid w:val="00BD13ED"/>
    <w:rsid w:val="00BD3BCC"/>
    <w:rsid w:val="00BD6A4C"/>
    <w:rsid w:val="00BE1A34"/>
    <w:rsid w:val="00BE1B99"/>
    <w:rsid w:val="00BE2614"/>
    <w:rsid w:val="00BE308A"/>
    <w:rsid w:val="00BE4DAA"/>
    <w:rsid w:val="00BE5892"/>
    <w:rsid w:val="00BE6031"/>
    <w:rsid w:val="00BE7752"/>
    <w:rsid w:val="00BF1A03"/>
    <w:rsid w:val="00BF6DDF"/>
    <w:rsid w:val="00C01451"/>
    <w:rsid w:val="00C039CE"/>
    <w:rsid w:val="00C04A7B"/>
    <w:rsid w:val="00C07CF0"/>
    <w:rsid w:val="00C115B6"/>
    <w:rsid w:val="00C12424"/>
    <w:rsid w:val="00C13755"/>
    <w:rsid w:val="00C146C2"/>
    <w:rsid w:val="00C20047"/>
    <w:rsid w:val="00C203A2"/>
    <w:rsid w:val="00C21B67"/>
    <w:rsid w:val="00C2214B"/>
    <w:rsid w:val="00C22997"/>
    <w:rsid w:val="00C246CD"/>
    <w:rsid w:val="00C316C3"/>
    <w:rsid w:val="00C34CD8"/>
    <w:rsid w:val="00C350E6"/>
    <w:rsid w:val="00C423E8"/>
    <w:rsid w:val="00C4301F"/>
    <w:rsid w:val="00C446C7"/>
    <w:rsid w:val="00C4477B"/>
    <w:rsid w:val="00C44795"/>
    <w:rsid w:val="00C44A5B"/>
    <w:rsid w:val="00C459D3"/>
    <w:rsid w:val="00C469D3"/>
    <w:rsid w:val="00C474EC"/>
    <w:rsid w:val="00C527BD"/>
    <w:rsid w:val="00C53922"/>
    <w:rsid w:val="00C53E81"/>
    <w:rsid w:val="00C5773B"/>
    <w:rsid w:val="00C578AC"/>
    <w:rsid w:val="00C57E9D"/>
    <w:rsid w:val="00C61AEE"/>
    <w:rsid w:val="00C63F95"/>
    <w:rsid w:val="00C66578"/>
    <w:rsid w:val="00C70F73"/>
    <w:rsid w:val="00C74898"/>
    <w:rsid w:val="00C74A2F"/>
    <w:rsid w:val="00C85F84"/>
    <w:rsid w:val="00C8743D"/>
    <w:rsid w:val="00C8755E"/>
    <w:rsid w:val="00C926E2"/>
    <w:rsid w:val="00C97200"/>
    <w:rsid w:val="00CA11EB"/>
    <w:rsid w:val="00CA1FC8"/>
    <w:rsid w:val="00CA2D65"/>
    <w:rsid w:val="00CA4585"/>
    <w:rsid w:val="00CA4B1D"/>
    <w:rsid w:val="00CB44D1"/>
    <w:rsid w:val="00CB5596"/>
    <w:rsid w:val="00CB7D93"/>
    <w:rsid w:val="00CC07D2"/>
    <w:rsid w:val="00CC1AE8"/>
    <w:rsid w:val="00CC26F4"/>
    <w:rsid w:val="00CC447E"/>
    <w:rsid w:val="00CD278D"/>
    <w:rsid w:val="00CD3B26"/>
    <w:rsid w:val="00CE46F5"/>
    <w:rsid w:val="00CE5FD9"/>
    <w:rsid w:val="00CF001C"/>
    <w:rsid w:val="00CF490B"/>
    <w:rsid w:val="00CF7937"/>
    <w:rsid w:val="00D02627"/>
    <w:rsid w:val="00D03551"/>
    <w:rsid w:val="00D043FC"/>
    <w:rsid w:val="00D05F9C"/>
    <w:rsid w:val="00D05FE8"/>
    <w:rsid w:val="00D1771C"/>
    <w:rsid w:val="00D216ED"/>
    <w:rsid w:val="00D24FC8"/>
    <w:rsid w:val="00D268B4"/>
    <w:rsid w:val="00D26EB4"/>
    <w:rsid w:val="00D27D06"/>
    <w:rsid w:val="00D322FA"/>
    <w:rsid w:val="00D3752B"/>
    <w:rsid w:val="00D409F5"/>
    <w:rsid w:val="00D42E99"/>
    <w:rsid w:val="00D45DBB"/>
    <w:rsid w:val="00D475AF"/>
    <w:rsid w:val="00D50DF7"/>
    <w:rsid w:val="00D51140"/>
    <w:rsid w:val="00D557EE"/>
    <w:rsid w:val="00D55896"/>
    <w:rsid w:val="00D625D4"/>
    <w:rsid w:val="00D70E82"/>
    <w:rsid w:val="00D7244A"/>
    <w:rsid w:val="00D80700"/>
    <w:rsid w:val="00D85145"/>
    <w:rsid w:val="00D87591"/>
    <w:rsid w:val="00D90458"/>
    <w:rsid w:val="00D90BEB"/>
    <w:rsid w:val="00D92F64"/>
    <w:rsid w:val="00D94E5F"/>
    <w:rsid w:val="00D970D9"/>
    <w:rsid w:val="00DA0242"/>
    <w:rsid w:val="00DA08E5"/>
    <w:rsid w:val="00DA10BE"/>
    <w:rsid w:val="00DA5925"/>
    <w:rsid w:val="00DA6798"/>
    <w:rsid w:val="00DB055B"/>
    <w:rsid w:val="00DB4370"/>
    <w:rsid w:val="00DB6873"/>
    <w:rsid w:val="00DC064B"/>
    <w:rsid w:val="00DC0EE9"/>
    <w:rsid w:val="00DC5D57"/>
    <w:rsid w:val="00DD3F86"/>
    <w:rsid w:val="00DD4999"/>
    <w:rsid w:val="00DD790E"/>
    <w:rsid w:val="00DE0EDB"/>
    <w:rsid w:val="00DE1B68"/>
    <w:rsid w:val="00DE2FB8"/>
    <w:rsid w:val="00DE44CE"/>
    <w:rsid w:val="00DE5D9E"/>
    <w:rsid w:val="00DF1979"/>
    <w:rsid w:val="00DF1F34"/>
    <w:rsid w:val="00DF6B47"/>
    <w:rsid w:val="00E013AA"/>
    <w:rsid w:val="00E03AEB"/>
    <w:rsid w:val="00E04352"/>
    <w:rsid w:val="00E048FF"/>
    <w:rsid w:val="00E06431"/>
    <w:rsid w:val="00E140DE"/>
    <w:rsid w:val="00E154D9"/>
    <w:rsid w:val="00E1749B"/>
    <w:rsid w:val="00E20461"/>
    <w:rsid w:val="00E20E98"/>
    <w:rsid w:val="00E21352"/>
    <w:rsid w:val="00E223D3"/>
    <w:rsid w:val="00E24167"/>
    <w:rsid w:val="00E26056"/>
    <w:rsid w:val="00E26B00"/>
    <w:rsid w:val="00E26B2D"/>
    <w:rsid w:val="00E318A6"/>
    <w:rsid w:val="00E34EDA"/>
    <w:rsid w:val="00E41951"/>
    <w:rsid w:val="00E41DE1"/>
    <w:rsid w:val="00E43F62"/>
    <w:rsid w:val="00E44A89"/>
    <w:rsid w:val="00E509E8"/>
    <w:rsid w:val="00E50F39"/>
    <w:rsid w:val="00E52957"/>
    <w:rsid w:val="00E52CCA"/>
    <w:rsid w:val="00E577F8"/>
    <w:rsid w:val="00E613FC"/>
    <w:rsid w:val="00E64572"/>
    <w:rsid w:val="00E65097"/>
    <w:rsid w:val="00E6541A"/>
    <w:rsid w:val="00E6673D"/>
    <w:rsid w:val="00E66B87"/>
    <w:rsid w:val="00E66CDB"/>
    <w:rsid w:val="00E67228"/>
    <w:rsid w:val="00E7046F"/>
    <w:rsid w:val="00E70500"/>
    <w:rsid w:val="00E706CC"/>
    <w:rsid w:val="00E70A8F"/>
    <w:rsid w:val="00E70BC5"/>
    <w:rsid w:val="00E71D4A"/>
    <w:rsid w:val="00E71F49"/>
    <w:rsid w:val="00E75F2A"/>
    <w:rsid w:val="00E77889"/>
    <w:rsid w:val="00E77EA3"/>
    <w:rsid w:val="00E8026C"/>
    <w:rsid w:val="00E8148F"/>
    <w:rsid w:val="00E825EC"/>
    <w:rsid w:val="00E85783"/>
    <w:rsid w:val="00E87B2C"/>
    <w:rsid w:val="00E906CA"/>
    <w:rsid w:val="00E91FA6"/>
    <w:rsid w:val="00E94988"/>
    <w:rsid w:val="00E966B3"/>
    <w:rsid w:val="00E96CEE"/>
    <w:rsid w:val="00E96FC6"/>
    <w:rsid w:val="00E9707C"/>
    <w:rsid w:val="00E9783D"/>
    <w:rsid w:val="00E97F80"/>
    <w:rsid w:val="00EA2ACA"/>
    <w:rsid w:val="00EA3421"/>
    <w:rsid w:val="00EA3925"/>
    <w:rsid w:val="00EA55C1"/>
    <w:rsid w:val="00EA767C"/>
    <w:rsid w:val="00EA7910"/>
    <w:rsid w:val="00EB02AC"/>
    <w:rsid w:val="00EB27F7"/>
    <w:rsid w:val="00EB2A96"/>
    <w:rsid w:val="00EB3A0A"/>
    <w:rsid w:val="00EB3BC8"/>
    <w:rsid w:val="00EB43B3"/>
    <w:rsid w:val="00EB4F23"/>
    <w:rsid w:val="00EB64B3"/>
    <w:rsid w:val="00EB6AA9"/>
    <w:rsid w:val="00EB72D9"/>
    <w:rsid w:val="00EC0CE5"/>
    <w:rsid w:val="00EC1AA5"/>
    <w:rsid w:val="00EC3F63"/>
    <w:rsid w:val="00EC6603"/>
    <w:rsid w:val="00EC791E"/>
    <w:rsid w:val="00ED012E"/>
    <w:rsid w:val="00ED403C"/>
    <w:rsid w:val="00ED41E0"/>
    <w:rsid w:val="00ED4210"/>
    <w:rsid w:val="00ED4DF5"/>
    <w:rsid w:val="00ED4FD6"/>
    <w:rsid w:val="00ED6583"/>
    <w:rsid w:val="00ED6630"/>
    <w:rsid w:val="00ED7C62"/>
    <w:rsid w:val="00EE00D3"/>
    <w:rsid w:val="00EE198A"/>
    <w:rsid w:val="00EE37E3"/>
    <w:rsid w:val="00EE40AA"/>
    <w:rsid w:val="00EE5E67"/>
    <w:rsid w:val="00EF096B"/>
    <w:rsid w:val="00EF1B02"/>
    <w:rsid w:val="00EF1DE8"/>
    <w:rsid w:val="00EF704C"/>
    <w:rsid w:val="00F01A56"/>
    <w:rsid w:val="00F03564"/>
    <w:rsid w:val="00F07BE9"/>
    <w:rsid w:val="00F10543"/>
    <w:rsid w:val="00F12428"/>
    <w:rsid w:val="00F13889"/>
    <w:rsid w:val="00F14411"/>
    <w:rsid w:val="00F1591A"/>
    <w:rsid w:val="00F208B2"/>
    <w:rsid w:val="00F21B98"/>
    <w:rsid w:val="00F21F5B"/>
    <w:rsid w:val="00F26635"/>
    <w:rsid w:val="00F31D47"/>
    <w:rsid w:val="00F37A3E"/>
    <w:rsid w:val="00F40AA3"/>
    <w:rsid w:val="00F40D6C"/>
    <w:rsid w:val="00F41126"/>
    <w:rsid w:val="00F419F2"/>
    <w:rsid w:val="00F4238E"/>
    <w:rsid w:val="00F43D14"/>
    <w:rsid w:val="00F43FFE"/>
    <w:rsid w:val="00F4508C"/>
    <w:rsid w:val="00F465D7"/>
    <w:rsid w:val="00F50C2E"/>
    <w:rsid w:val="00F520DC"/>
    <w:rsid w:val="00F53438"/>
    <w:rsid w:val="00F633BF"/>
    <w:rsid w:val="00F64F38"/>
    <w:rsid w:val="00F65D72"/>
    <w:rsid w:val="00F667AA"/>
    <w:rsid w:val="00F703EE"/>
    <w:rsid w:val="00F714F5"/>
    <w:rsid w:val="00F71A08"/>
    <w:rsid w:val="00F7296E"/>
    <w:rsid w:val="00F74F55"/>
    <w:rsid w:val="00F75C5B"/>
    <w:rsid w:val="00F85FF0"/>
    <w:rsid w:val="00F913FF"/>
    <w:rsid w:val="00F934D9"/>
    <w:rsid w:val="00F962CD"/>
    <w:rsid w:val="00F968ED"/>
    <w:rsid w:val="00F97EAF"/>
    <w:rsid w:val="00FA0F4C"/>
    <w:rsid w:val="00FA209A"/>
    <w:rsid w:val="00FA58F4"/>
    <w:rsid w:val="00FB0B1F"/>
    <w:rsid w:val="00FB0EAF"/>
    <w:rsid w:val="00FB36A9"/>
    <w:rsid w:val="00FB37B8"/>
    <w:rsid w:val="00FC055C"/>
    <w:rsid w:val="00FC2FC0"/>
    <w:rsid w:val="00FC44D4"/>
    <w:rsid w:val="00FC65B6"/>
    <w:rsid w:val="00FC6C52"/>
    <w:rsid w:val="00FD019B"/>
    <w:rsid w:val="00FD019D"/>
    <w:rsid w:val="00FD1D03"/>
    <w:rsid w:val="00FD1E9B"/>
    <w:rsid w:val="00FD3F12"/>
    <w:rsid w:val="00FD4191"/>
    <w:rsid w:val="00FD4AB6"/>
    <w:rsid w:val="00FE1DC2"/>
    <w:rsid w:val="00FE2A0A"/>
    <w:rsid w:val="00FE76BE"/>
    <w:rsid w:val="00FF1051"/>
    <w:rsid w:val="00FF280F"/>
    <w:rsid w:val="00FF2E88"/>
    <w:rsid w:val="00FF67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9665E57"/>
  <w15:chartTrackingRefBased/>
  <w15:docId w15:val="{92E8C46A-F70C-4FF7-B908-2C29E6147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1D1"/>
    <w:pPr>
      <w:suppressAutoHyphens/>
    </w:pPr>
    <w:rPr>
      <w:lang w:val="en-GB"/>
    </w:rPr>
  </w:style>
  <w:style w:type="paragraph" w:styleId="Heading1">
    <w:name w:val="heading 1"/>
    <w:basedOn w:val="Normal"/>
    <w:next w:val="Normal"/>
    <w:link w:val="Heading1Char"/>
    <w:uiPriority w:val="9"/>
    <w:qFormat/>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Pr>
      <w:rFonts w:ascii="Segoe UI" w:hAnsi="Segoe UI" w:cs="Segoe UI"/>
      <w:sz w:val="22"/>
      <w:szCs w:val="18"/>
    </w:rPr>
  </w:style>
  <w:style w:type="paragraph" w:styleId="Bibliography">
    <w:name w:val="Bibliography"/>
    <w:basedOn w:val="Normal"/>
    <w:next w:val="Normal"/>
    <w:uiPriority w:val="37"/>
    <w:unhideWhenUsed/>
    <w:pPr>
      <w:ind w:left="720" w:hanging="720"/>
    </w:pPr>
  </w:style>
  <w:style w:type="paragraph" w:styleId="BlockText">
    <w:name w:val="Block Text"/>
    <w:basedOn w:val="Normal"/>
    <w:uiPriority w:val="99"/>
    <w:semiHidden/>
    <w:unhideWhenUsed/>
    <w:rsid w:val="004531D1"/>
    <w:pPr>
      <w:pBdr>
        <w:top w:val="single" w:sz="2" w:space="10" w:color="6E6E6E" w:themeColor="accent1" w:themeShade="80" w:shadow="1"/>
        <w:left w:val="single" w:sz="2" w:space="10" w:color="6E6E6E" w:themeColor="accent1" w:themeShade="80" w:shadow="1"/>
        <w:bottom w:val="single" w:sz="2" w:space="10" w:color="6E6E6E" w:themeColor="accent1" w:themeShade="80" w:shadow="1"/>
        <w:right w:val="single" w:sz="2" w:space="10" w:color="6E6E6E" w:themeColor="accent1" w:themeShade="80" w:shadow="1"/>
      </w:pBdr>
      <w:ind w:left="1152" w:right="1152" w:firstLine="0"/>
    </w:pPr>
    <w:rPr>
      <w:i/>
      <w:iCs/>
      <w:color w:val="6E6E6E" w:themeColor="accent1" w:themeShade="80"/>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ind w:firstLine="0"/>
    </w:pPr>
    <w:rPr>
      <w:sz w:val="22"/>
      <w:szCs w:val="16"/>
    </w:rPr>
  </w:style>
  <w:style w:type="character" w:customStyle="1" w:styleId="BodyText3Char">
    <w:name w:val="Body Text 3 Char"/>
    <w:basedOn w:val="DefaultParagraphFont"/>
    <w:link w:val="BodyText3"/>
    <w:uiPriority w:val="99"/>
    <w:semiHidden/>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Pr>
      <w:sz w:val="22"/>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spacing w:line="240" w:lineRule="auto"/>
      <w:ind w:firstLine="0"/>
    </w:pPr>
    <w:rPr>
      <w:sz w:val="22"/>
      <w:szCs w:val="20"/>
    </w:rPr>
  </w:style>
  <w:style w:type="character" w:customStyle="1" w:styleId="CommentTextChar">
    <w:name w:val="Comment Text Char"/>
    <w:basedOn w:val="DefaultParagraphFont"/>
    <w:link w:val="CommentText"/>
    <w:uiPriority w:val="99"/>
    <w:semiHidden/>
    <w:rPr>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3"/>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Pr>
      <w:rFonts w:ascii="Consolas" w:hAnsi="Consolas" w:cs="Consolas"/>
      <w:sz w:val="22"/>
      <w:szCs w:val="21"/>
    </w:rPr>
  </w:style>
  <w:style w:type="paragraph" w:styleId="Quote">
    <w:name w:val="Quote"/>
    <w:basedOn w:val="Normal"/>
    <w:next w:val="Normal"/>
    <w:link w:val="QuoteChar"/>
    <w:uiPriority w:val="5"/>
    <w:qFormat/>
    <w:pPr>
      <w:ind w:left="1440" w:firstLine="0"/>
    </w:pPr>
  </w:style>
  <w:style w:type="character" w:customStyle="1" w:styleId="QuoteChar">
    <w:name w:val="Quote Char"/>
    <w:basedOn w:val="DefaultParagraphFont"/>
    <w:link w:val="Quote"/>
    <w:uiPriority w:val="5"/>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4531D1"/>
    <w:rPr>
      <w:color w:val="6E6E6E" w:themeColor="accent1" w:themeShade="80"/>
    </w:rPr>
  </w:style>
  <w:style w:type="character" w:styleId="Emphasis">
    <w:name w:val="Emphasis"/>
    <w:basedOn w:val="DefaultParagraphFont"/>
    <w:uiPriority w:val="2"/>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4"/>
    <w:qFormat/>
    <w:pPr>
      <w:spacing w:before="240"/>
    </w:pPr>
  </w:style>
  <w:style w:type="paragraph" w:customStyle="1" w:styleId="TableNote">
    <w:name w:val="Table Note"/>
    <w:basedOn w:val="Normal"/>
    <w:uiPriority w:val="4"/>
    <w:qFormat/>
    <w:pPr>
      <w:numPr>
        <w:numId w:val="11"/>
      </w:numPr>
    </w:pPr>
  </w:style>
  <w:style w:type="paragraph" w:customStyle="1" w:styleId="SectionTitle">
    <w:name w:val="Section Title"/>
    <w:basedOn w:val="Normal"/>
    <w:next w:val="Normal"/>
    <w:uiPriority w:val="3"/>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styleId="BookTitle">
    <w:name w:val="Book Title"/>
    <w:basedOn w:val="DefaultParagraphFont"/>
    <w:uiPriority w:val="33"/>
    <w:semiHidden/>
    <w:unhideWhenUsed/>
    <w:qFormat/>
    <w:rsid w:val="00ED6583"/>
    <w:rPr>
      <w:b/>
      <w:bCs/>
      <w:i/>
      <w:iCs/>
      <w:spacing w:val="5"/>
    </w:rPr>
  </w:style>
  <w:style w:type="table" w:styleId="ColorfulGrid">
    <w:name w:val="Colorful Grid"/>
    <w:basedOn w:val="TableNormal"/>
    <w:uiPriority w:val="73"/>
    <w:semiHidden/>
    <w:unhideWhenUsed/>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8F8F8" w:themeFill="accent1" w:themeFillTint="33"/>
    </w:tcPr>
    <w:tblStylePr w:type="firstRow">
      <w:rPr>
        <w:b/>
        <w:bCs/>
      </w:rPr>
      <w:tblPr/>
      <w:tcPr>
        <w:shd w:val="clear" w:color="auto" w:fill="F1F1F1" w:themeFill="accent1" w:themeFillTint="66"/>
      </w:tcPr>
    </w:tblStylePr>
    <w:tblStylePr w:type="lastRow">
      <w:rPr>
        <w:b/>
        <w:bCs/>
        <w:color w:val="000000" w:themeColor="text1"/>
      </w:rPr>
      <w:tblPr/>
      <w:tcPr>
        <w:shd w:val="clear" w:color="auto" w:fill="F1F1F1" w:themeFill="accent1" w:themeFillTint="66"/>
      </w:tcPr>
    </w:tblStylePr>
    <w:tblStylePr w:type="firstCol">
      <w:rPr>
        <w:color w:val="FFFFFF" w:themeColor="background1"/>
      </w:rPr>
      <w:tblPr/>
      <w:tcPr>
        <w:shd w:val="clear" w:color="auto" w:fill="A5A5A5" w:themeFill="accent1" w:themeFillShade="BF"/>
      </w:tcPr>
    </w:tblStylePr>
    <w:tblStylePr w:type="lastCol">
      <w:rPr>
        <w:color w:val="FFFFFF" w:themeColor="background1"/>
      </w:rPr>
      <w:tblPr/>
      <w:tcPr>
        <w:shd w:val="clear" w:color="auto" w:fill="A5A5A5" w:themeFill="accent1" w:themeFillShade="BF"/>
      </w:tc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ColorfulGrid-Accent2">
    <w:name w:val="Colorful Grid Accent 2"/>
    <w:basedOn w:val="TableNormal"/>
    <w:uiPriority w:val="73"/>
    <w:semiHidden/>
    <w:unhideWhenUsed/>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rfulGrid-Accent3">
    <w:name w:val="Colorful Grid Accent 3"/>
    <w:basedOn w:val="TableNormal"/>
    <w:uiPriority w:val="73"/>
    <w:semiHidden/>
    <w:unhideWhenUsed/>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rfulGrid-Accent4">
    <w:name w:val="Colorful Grid Accent 4"/>
    <w:basedOn w:val="TableNormal"/>
    <w:uiPriority w:val="73"/>
    <w:semiHidden/>
    <w:unhideWhenUsed/>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rfulGrid-Accent5">
    <w:name w:val="Colorful Grid Accent 5"/>
    <w:basedOn w:val="TableNormal"/>
    <w:uiPriority w:val="73"/>
    <w:semiHidden/>
    <w:unhideWhenUsed/>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rfulGrid-Accent6">
    <w:name w:val="Colorful Grid Accent 6"/>
    <w:basedOn w:val="TableNormal"/>
    <w:uiPriority w:val="73"/>
    <w:rsid w:val="00ED6583"/>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ColorfulList">
    <w:name w:val="Colorful List"/>
    <w:basedOn w:val="TableNormal"/>
    <w:uiPriority w:val="72"/>
    <w:semiHidden/>
    <w:unhideWhenUsed/>
    <w:rsid w:val="00ED6583"/>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ED6583"/>
    <w:pPr>
      <w:spacing w:line="240" w:lineRule="auto"/>
    </w:pPr>
    <w:rPr>
      <w:color w:val="000000" w:themeColor="text1"/>
    </w:rPr>
    <w:tblPr>
      <w:tblStyleRowBandSize w:val="1"/>
      <w:tblStyleColBandSize w:val="1"/>
    </w:tblPr>
    <w:tcPr>
      <w:shd w:val="clear" w:color="auto" w:fill="FBFBFB" w:themeFill="accen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F6F6" w:themeFill="accent1" w:themeFillTint="3F"/>
      </w:tcPr>
    </w:tblStylePr>
    <w:tblStylePr w:type="band1Horz">
      <w:tblPr/>
      <w:tcPr>
        <w:shd w:val="clear" w:color="auto" w:fill="F8F8F8" w:themeFill="accent1" w:themeFillTint="33"/>
      </w:tcPr>
    </w:tblStylePr>
  </w:style>
  <w:style w:type="table" w:styleId="ColorfulList-Accent2">
    <w:name w:val="Colorful List Accent 2"/>
    <w:basedOn w:val="TableNormal"/>
    <w:uiPriority w:val="72"/>
    <w:semiHidden/>
    <w:unhideWhenUsed/>
    <w:rsid w:val="00ED6583"/>
    <w:pPr>
      <w:spacing w:line="240" w:lineRule="auto"/>
    </w:pPr>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rfulList-Accent3">
    <w:name w:val="Colorful List Accent 3"/>
    <w:basedOn w:val="TableNormal"/>
    <w:uiPriority w:val="72"/>
    <w:semiHidden/>
    <w:unhideWhenUsed/>
    <w:rsid w:val="00ED6583"/>
    <w:pPr>
      <w:spacing w:line="240" w:lineRule="auto"/>
    </w:pPr>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sz="12" w:space="0" w:color="FFFFFF" w:themeColor="background1"/>
        </w:tcBorders>
        <w:shd w:val="clear" w:color="auto" w:fill="666666" w:themeFill="accent4" w:themeFillShade="CC"/>
      </w:tcPr>
    </w:tblStylePr>
    <w:tblStylePr w:type="lastRow">
      <w:rPr>
        <w:b/>
        <w:bCs/>
        <w:color w:val="666666"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rfulList-Accent4">
    <w:name w:val="Colorful List Accent 4"/>
    <w:basedOn w:val="TableNormal"/>
    <w:uiPriority w:val="72"/>
    <w:semiHidden/>
    <w:unhideWhenUsed/>
    <w:rsid w:val="00ED6583"/>
    <w:pPr>
      <w:spacing w:line="240" w:lineRule="auto"/>
    </w:pPr>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sz="12" w:space="0" w:color="FFFFFF" w:themeColor="background1"/>
        </w:tcBorders>
        <w:shd w:val="clear" w:color="auto" w:fill="787878" w:themeFill="accent3" w:themeFillShade="CC"/>
      </w:tcPr>
    </w:tblStylePr>
    <w:tblStylePr w:type="lastRow">
      <w:rPr>
        <w:b/>
        <w:bCs/>
        <w:color w:val="78787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rfulList-Accent5">
    <w:name w:val="Colorful List Accent 5"/>
    <w:basedOn w:val="TableNormal"/>
    <w:uiPriority w:val="72"/>
    <w:semiHidden/>
    <w:unhideWhenUsed/>
    <w:rsid w:val="00ED6583"/>
    <w:pPr>
      <w:spacing w:line="240" w:lineRule="auto"/>
    </w:pPr>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sz="12" w:space="0" w:color="FFFFFF" w:themeColor="background1"/>
        </w:tcBorders>
        <w:shd w:val="clear" w:color="auto" w:fill="3D3D3D" w:themeFill="accent6" w:themeFillShade="CC"/>
      </w:tcPr>
    </w:tblStylePr>
    <w:tblStylePr w:type="lastRow">
      <w:rPr>
        <w:b/>
        <w:bCs/>
        <w:color w:val="3D3D3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rfulList-Accent6">
    <w:name w:val="Colorful List Accent 6"/>
    <w:basedOn w:val="TableNormal"/>
    <w:uiPriority w:val="72"/>
    <w:rsid w:val="00ED6583"/>
    <w:pPr>
      <w:spacing w:line="240" w:lineRule="auto"/>
    </w:pPr>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sz="12" w:space="0" w:color="FFFFFF" w:themeColor="background1"/>
        </w:tcBorders>
        <w:shd w:val="clear" w:color="auto" w:fill="4C4C4C" w:themeFill="accent5" w:themeFillShade="CC"/>
      </w:tcPr>
    </w:tblStylePr>
    <w:tblStylePr w:type="lastRow">
      <w:rPr>
        <w:b/>
        <w:bCs/>
        <w:color w:val="4C4C4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rfulShading">
    <w:name w:val="Colorful Shading"/>
    <w:basedOn w:val="TableNormal"/>
    <w:uiPriority w:val="71"/>
    <w:semiHidden/>
    <w:unhideWhenUsed/>
    <w:rsid w:val="00ED6583"/>
    <w:pPr>
      <w:spacing w:line="240" w:lineRule="auto"/>
    </w:pPr>
    <w:rPr>
      <w:color w:val="000000" w:themeColor="text1"/>
    </w:rPr>
    <w:tblPr>
      <w:tblStyleRowBandSize w:val="1"/>
      <w:tblStyleColBandSize w:val="1"/>
      <w:tblBorders>
        <w:top w:val="single" w:sz="24" w:space="0" w:color="B2B2B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ED6583"/>
    <w:pPr>
      <w:spacing w:line="240" w:lineRule="auto"/>
    </w:pPr>
    <w:rPr>
      <w:color w:val="000000" w:themeColor="text1"/>
    </w:rPr>
    <w:tblPr>
      <w:tblStyleRowBandSize w:val="1"/>
      <w:tblStyleColBandSize w:val="1"/>
      <w:tblBorders>
        <w:top w:val="single" w:sz="24" w:space="0" w:color="B2B2B2" w:themeColor="accent2"/>
        <w:left w:val="single" w:sz="4" w:space="0" w:color="DDDDDD" w:themeColor="accent1"/>
        <w:bottom w:val="single" w:sz="4" w:space="0" w:color="DDDDDD" w:themeColor="accent1"/>
        <w:right w:val="single" w:sz="4" w:space="0" w:color="DDDDDD" w:themeColor="accent1"/>
        <w:insideH w:val="single" w:sz="4" w:space="0" w:color="FFFFFF" w:themeColor="background1"/>
        <w:insideV w:val="single" w:sz="4" w:space="0" w:color="FFFFFF" w:themeColor="background1"/>
      </w:tblBorders>
    </w:tblPr>
    <w:tcPr>
      <w:shd w:val="clear" w:color="auto" w:fill="FBFBFB" w:themeFill="accen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48484" w:themeFill="accent1" w:themeFillShade="99"/>
      </w:tcPr>
    </w:tblStylePr>
    <w:tblStylePr w:type="firstCol">
      <w:rPr>
        <w:color w:val="FFFFFF" w:themeColor="background1"/>
      </w:rPr>
      <w:tblPr/>
      <w:tcPr>
        <w:tcBorders>
          <w:top w:val="nil"/>
          <w:left w:val="nil"/>
          <w:bottom w:val="nil"/>
          <w:right w:val="nil"/>
          <w:insideH w:val="single" w:sz="4" w:space="0" w:color="848484" w:themeColor="accent1" w:themeShade="99"/>
          <w:insideV w:val="nil"/>
        </w:tcBorders>
        <w:shd w:val="clear" w:color="auto" w:fill="84848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48484" w:themeFill="accent1" w:themeFillShade="99"/>
      </w:tcPr>
    </w:tblStylePr>
    <w:tblStylePr w:type="band1Vert">
      <w:tblPr/>
      <w:tcPr>
        <w:shd w:val="clear" w:color="auto" w:fill="F1F1F1" w:themeFill="accent1" w:themeFillTint="66"/>
      </w:tcPr>
    </w:tblStylePr>
    <w:tblStylePr w:type="band1Horz">
      <w:tblPr/>
      <w:tcPr>
        <w:shd w:val="clear" w:color="auto" w:fill="EEEEE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ED6583"/>
    <w:pPr>
      <w:spacing w:line="240" w:lineRule="auto"/>
    </w:pPr>
    <w:rPr>
      <w:color w:val="000000" w:themeColor="text1"/>
    </w:rPr>
    <w:tblPr>
      <w:tblStyleRowBandSize w:val="1"/>
      <w:tblStyleColBandSize w:val="1"/>
      <w:tblBorders>
        <w:top w:val="single" w:sz="24" w:space="0" w:color="B2B2B2" w:themeColor="accent2"/>
        <w:left w:val="single" w:sz="4" w:space="0" w:color="B2B2B2" w:themeColor="accent2"/>
        <w:bottom w:val="single" w:sz="4" w:space="0" w:color="B2B2B2" w:themeColor="accent2"/>
        <w:right w:val="single" w:sz="4" w:space="0" w:color="B2B2B2" w:themeColor="accent2"/>
        <w:insideH w:val="single" w:sz="4" w:space="0" w:color="FFFFFF" w:themeColor="background1"/>
        <w:insideV w:val="single" w:sz="4" w:space="0" w:color="FFFFFF" w:themeColor="background1"/>
      </w:tblBorders>
    </w:tblPr>
    <w:tcPr>
      <w:shd w:val="clear" w:color="auto" w:fill="F7F7F7" w:themeFill="accent2"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sz="4" w:space="0" w:color="6A6A6A" w:themeColor="accent2" w:themeShade="99"/>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ED6583"/>
    <w:pPr>
      <w:spacing w:line="240" w:lineRule="auto"/>
    </w:pPr>
    <w:rPr>
      <w:color w:val="000000" w:themeColor="text1"/>
    </w:rPr>
    <w:tblPr>
      <w:tblStyleRowBandSize w:val="1"/>
      <w:tblStyleColBandSize w:val="1"/>
      <w:tblBorders>
        <w:top w:val="single" w:sz="24" w:space="0" w:color="808080" w:themeColor="accent4"/>
        <w:left w:val="single" w:sz="4" w:space="0" w:color="969696" w:themeColor="accent3"/>
        <w:bottom w:val="single" w:sz="4" w:space="0" w:color="969696" w:themeColor="accent3"/>
        <w:right w:val="single" w:sz="4" w:space="0" w:color="969696" w:themeColor="accent3"/>
        <w:insideH w:val="single" w:sz="4" w:space="0" w:color="FFFFFF" w:themeColor="background1"/>
        <w:insideV w:val="single" w:sz="4" w:space="0" w:color="FFFFFF" w:themeColor="background1"/>
      </w:tblBorders>
    </w:tblPr>
    <w:tcPr>
      <w:shd w:val="clear" w:color="auto" w:fill="F4F4F4" w:themeFill="accent3" w:themeFillTint="19"/>
    </w:tcPr>
    <w:tblStylePr w:type="firstRow">
      <w:rPr>
        <w:b/>
        <w:bCs/>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sz="4" w:space="0" w:color="5A5A5A" w:themeColor="accent3" w:themeShade="99"/>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rfulShading-Accent4">
    <w:name w:val="Colorful Shading Accent 4"/>
    <w:basedOn w:val="TableNormal"/>
    <w:uiPriority w:val="71"/>
    <w:semiHidden/>
    <w:unhideWhenUsed/>
    <w:rsid w:val="00ED6583"/>
    <w:pPr>
      <w:spacing w:line="240" w:lineRule="auto"/>
    </w:pPr>
    <w:rPr>
      <w:color w:val="000000" w:themeColor="text1"/>
    </w:rPr>
    <w:tblPr>
      <w:tblStyleRowBandSize w:val="1"/>
      <w:tblStyleColBandSize w:val="1"/>
      <w:tblBorders>
        <w:top w:val="single" w:sz="24" w:space="0" w:color="969696" w:themeColor="accent3"/>
        <w:left w:val="single" w:sz="4" w:space="0" w:color="808080" w:themeColor="accent4"/>
        <w:bottom w:val="single" w:sz="4" w:space="0" w:color="808080" w:themeColor="accent4"/>
        <w:right w:val="single" w:sz="4" w:space="0" w:color="808080" w:themeColor="accent4"/>
        <w:insideH w:val="single" w:sz="4" w:space="0" w:color="FFFFFF" w:themeColor="background1"/>
        <w:insideV w:val="single" w:sz="4" w:space="0" w:color="FFFFFF" w:themeColor="background1"/>
      </w:tblBorders>
    </w:tblPr>
    <w:tcPr>
      <w:shd w:val="clear" w:color="auto" w:fill="F2F2F2" w:themeFill="accent4" w:themeFillTint="19"/>
    </w:tcPr>
    <w:tblStylePr w:type="firstRow">
      <w:rPr>
        <w:b/>
        <w:bCs/>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sz="4" w:space="0" w:color="4C4C4C" w:themeColor="accent4" w:themeShade="99"/>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ED6583"/>
    <w:pPr>
      <w:spacing w:line="240" w:lineRule="auto"/>
    </w:pPr>
    <w:rPr>
      <w:color w:val="000000" w:themeColor="text1"/>
    </w:rPr>
    <w:tblPr>
      <w:tblStyleRowBandSize w:val="1"/>
      <w:tblStyleColBandSize w:val="1"/>
      <w:tblBorders>
        <w:top w:val="single" w:sz="24" w:space="0" w:color="4D4D4D" w:themeColor="accent6"/>
        <w:left w:val="single" w:sz="4" w:space="0" w:color="5F5F5F" w:themeColor="accent5"/>
        <w:bottom w:val="single" w:sz="4" w:space="0" w:color="5F5F5F" w:themeColor="accent5"/>
        <w:right w:val="single" w:sz="4" w:space="0" w:color="5F5F5F" w:themeColor="accent5"/>
        <w:insideH w:val="single" w:sz="4" w:space="0" w:color="FFFFFF" w:themeColor="background1"/>
        <w:insideV w:val="single" w:sz="4" w:space="0" w:color="FFFFFF" w:themeColor="background1"/>
      </w:tblBorders>
    </w:tblPr>
    <w:tcPr>
      <w:shd w:val="clear" w:color="auto" w:fill="EFEFEF" w:themeFill="accent5" w:themeFillTint="19"/>
    </w:tcPr>
    <w:tblStylePr w:type="firstRow">
      <w:rPr>
        <w:b/>
        <w:bCs/>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sz="4" w:space="0" w:color="393939" w:themeColor="accent5" w:themeShade="99"/>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ED6583"/>
    <w:pPr>
      <w:spacing w:line="240" w:lineRule="auto"/>
    </w:pPr>
    <w:rPr>
      <w:color w:val="000000" w:themeColor="text1"/>
    </w:rPr>
    <w:tblPr>
      <w:tblStyleRowBandSize w:val="1"/>
      <w:tblStyleColBandSize w:val="1"/>
      <w:tblBorders>
        <w:top w:val="single" w:sz="24" w:space="0" w:color="5F5F5F" w:themeColor="accent5"/>
        <w:left w:val="single" w:sz="4" w:space="0" w:color="4D4D4D" w:themeColor="accent6"/>
        <w:bottom w:val="single" w:sz="4" w:space="0" w:color="4D4D4D" w:themeColor="accent6"/>
        <w:right w:val="single" w:sz="4" w:space="0" w:color="4D4D4D" w:themeColor="accent6"/>
        <w:insideH w:val="single" w:sz="4" w:space="0" w:color="FFFFFF" w:themeColor="background1"/>
        <w:insideV w:val="single" w:sz="4" w:space="0" w:color="FFFFFF" w:themeColor="background1"/>
      </w:tblBorders>
    </w:tblPr>
    <w:tcPr>
      <w:shd w:val="clear" w:color="auto" w:fill="EDEDED" w:themeFill="accent6" w:themeFillTint="19"/>
    </w:tcPr>
    <w:tblStylePr w:type="firstRow">
      <w:rPr>
        <w:b/>
        <w:bCs/>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sz="4" w:space="0" w:color="2E2E2E" w:themeColor="accent6" w:themeShade="99"/>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ED6583"/>
    <w:rPr>
      <w:sz w:val="22"/>
      <w:szCs w:val="16"/>
    </w:rPr>
  </w:style>
  <w:style w:type="table" w:styleId="DarkList">
    <w:name w:val="Dark List"/>
    <w:basedOn w:val="TableNormal"/>
    <w:uiPriority w:val="70"/>
    <w:semiHidden/>
    <w:unhideWhenUsed/>
    <w:rsid w:val="00ED6583"/>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D6583"/>
    <w:pPr>
      <w:spacing w:line="240" w:lineRule="auto"/>
    </w:pPr>
    <w:rPr>
      <w:color w:val="FFFFFF" w:themeColor="background1"/>
    </w:rPr>
    <w:tblPr>
      <w:tblStyleRowBandSize w:val="1"/>
      <w:tblStyleColBandSize w:val="1"/>
    </w:tblPr>
    <w:tcPr>
      <w:shd w:val="clear" w:color="auto" w:fill="DDDDD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E6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5A5A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5A5A5" w:themeFill="accent1" w:themeFillShade="BF"/>
      </w:tcPr>
    </w:tblStylePr>
    <w:tblStylePr w:type="band1Vert">
      <w:tblPr/>
      <w:tcPr>
        <w:tcBorders>
          <w:top w:val="nil"/>
          <w:left w:val="nil"/>
          <w:bottom w:val="nil"/>
          <w:right w:val="nil"/>
          <w:insideH w:val="nil"/>
          <w:insideV w:val="nil"/>
        </w:tcBorders>
        <w:shd w:val="clear" w:color="auto" w:fill="A5A5A5" w:themeFill="accent1" w:themeFillShade="BF"/>
      </w:tcPr>
    </w:tblStylePr>
    <w:tblStylePr w:type="band1Horz">
      <w:tblPr/>
      <w:tcPr>
        <w:tcBorders>
          <w:top w:val="nil"/>
          <w:left w:val="nil"/>
          <w:bottom w:val="nil"/>
          <w:right w:val="nil"/>
          <w:insideH w:val="nil"/>
          <w:insideV w:val="nil"/>
        </w:tcBorders>
        <w:shd w:val="clear" w:color="auto" w:fill="A5A5A5" w:themeFill="accent1" w:themeFillShade="BF"/>
      </w:tcPr>
    </w:tblStylePr>
  </w:style>
  <w:style w:type="table" w:styleId="DarkList-Accent2">
    <w:name w:val="Dark List Accent 2"/>
    <w:basedOn w:val="TableNormal"/>
    <w:uiPriority w:val="70"/>
    <w:semiHidden/>
    <w:unhideWhenUsed/>
    <w:rsid w:val="00ED6583"/>
    <w:pPr>
      <w:spacing w:line="240" w:lineRule="auto"/>
    </w:pPr>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858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semiHidden/>
    <w:unhideWhenUsed/>
    <w:rsid w:val="00ED6583"/>
    <w:pPr>
      <w:spacing w:line="240" w:lineRule="auto"/>
    </w:pPr>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0707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semiHidden/>
    <w:unhideWhenUsed/>
    <w:rsid w:val="00ED6583"/>
    <w:pPr>
      <w:spacing w:line="240" w:lineRule="auto"/>
    </w:pPr>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semiHidden/>
    <w:unhideWhenUsed/>
    <w:rsid w:val="00ED6583"/>
    <w:pPr>
      <w:spacing w:line="240" w:lineRule="auto"/>
    </w:pPr>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7474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rsid w:val="00ED6583"/>
    <w:pPr>
      <w:spacing w:line="240" w:lineRule="auto"/>
    </w:pPr>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9393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character" w:styleId="EndnoteReference">
    <w:name w:val="endnote reference"/>
    <w:basedOn w:val="DefaultParagraphFont"/>
    <w:uiPriority w:val="99"/>
    <w:semiHidden/>
    <w:unhideWhenUsed/>
    <w:rsid w:val="00ED6583"/>
    <w:rPr>
      <w:vertAlign w:val="superscript"/>
    </w:rPr>
  </w:style>
  <w:style w:type="character" w:styleId="FollowedHyperlink">
    <w:name w:val="FollowedHyperlink"/>
    <w:basedOn w:val="DefaultParagraphFont"/>
    <w:uiPriority w:val="99"/>
    <w:semiHidden/>
    <w:unhideWhenUsed/>
    <w:rsid w:val="004531D1"/>
    <w:rPr>
      <w:color w:val="6E6E6E" w:themeColor="accent1" w:themeShade="80"/>
      <w:u w:val="single"/>
    </w:rPr>
  </w:style>
  <w:style w:type="character" w:styleId="FootnoteReference">
    <w:name w:val="footnote reference"/>
    <w:basedOn w:val="DefaultParagraphFont"/>
    <w:uiPriority w:val="99"/>
    <w:semiHidden/>
    <w:unhideWhenUsed/>
    <w:rsid w:val="00ED6583"/>
    <w:rPr>
      <w:vertAlign w:val="superscript"/>
    </w:rPr>
  </w:style>
  <w:style w:type="table" w:styleId="GridTable1Light">
    <w:name w:val="Grid Table 1 Light"/>
    <w:basedOn w:val="TableNormal"/>
    <w:uiPriority w:val="46"/>
    <w:rsid w:val="00ED6583"/>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D6583"/>
    <w:pPr>
      <w:spacing w:line="240" w:lineRule="auto"/>
    </w:pPr>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ED6583"/>
    <w:pPr>
      <w:spacing w:line="240" w:lineRule="auto"/>
    </w:pPr>
    <w:tblPr>
      <w:tblStyleRowBandSize w:val="1"/>
      <w:tblStyleColBandSize w:val="1"/>
      <w:tblBorders>
        <w:top w:val="single" w:sz="4" w:space="0" w:color="E0E0E0" w:themeColor="accent2" w:themeTint="66"/>
        <w:left w:val="single" w:sz="4" w:space="0" w:color="E0E0E0" w:themeColor="accent2" w:themeTint="66"/>
        <w:bottom w:val="single" w:sz="4" w:space="0" w:color="E0E0E0" w:themeColor="accent2" w:themeTint="66"/>
        <w:right w:val="single" w:sz="4" w:space="0" w:color="E0E0E0" w:themeColor="accent2" w:themeTint="66"/>
        <w:insideH w:val="single" w:sz="4" w:space="0" w:color="E0E0E0" w:themeColor="accent2" w:themeTint="66"/>
        <w:insideV w:val="single" w:sz="4" w:space="0" w:color="E0E0E0" w:themeColor="accent2" w:themeTint="66"/>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2" w:space="0" w:color="D0D0D0"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ED6583"/>
    <w:pPr>
      <w:spacing w:line="240" w:lineRule="auto"/>
    </w:pPr>
    <w:tblPr>
      <w:tblStyleRowBandSize w:val="1"/>
      <w:tblStyleColBandSize w:val="1"/>
      <w:tblBorders>
        <w:top w:val="single" w:sz="4" w:space="0" w:color="D5D5D5" w:themeColor="accent3" w:themeTint="66"/>
        <w:left w:val="single" w:sz="4" w:space="0" w:color="D5D5D5" w:themeColor="accent3" w:themeTint="66"/>
        <w:bottom w:val="single" w:sz="4" w:space="0" w:color="D5D5D5" w:themeColor="accent3" w:themeTint="66"/>
        <w:right w:val="single" w:sz="4" w:space="0" w:color="D5D5D5" w:themeColor="accent3" w:themeTint="66"/>
        <w:insideH w:val="single" w:sz="4" w:space="0" w:color="D5D5D5" w:themeColor="accent3" w:themeTint="66"/>
        <w:insideV w:val="single" w:sz="4" w:space="0" w:color="D5D5D5" w:themeColor="accent3" w:themeTint="66"/>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2" w:space="0" w:color="C0C0C0"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ED6583"/>
    <w:pPr>
      <w:spacing w:line="240" w:lineRule="auto"/>
    </w:pPr>
    <w:tblPr>
      <w:tblStyleRowBandSize w:val="1"/>
      <w:tblStyleColBandSize w:val="1"/>
      <w:tblBorders>
        <w:top w:val="single" w:sz="4" w:space="0" w:color="CCCCCC" w:themeColor="accent4" w:themeTint="66"/>
        <w:left w:val="single" w:sz="4" w:space="0" w:color="CCCCCC" w:themeColor="accent4" w:themeTint="66"/>
        <w:bottom w:val="single" w:sz="4" w:space="0" w:color="CCCCCC" w:themeColor="accent4" w:themeTint="66"/>
        <w:right w:val="single" w:sz="4" w:space="0" w:color="CCCCCC" w:themeColor="accent4" w:themeTint="66"/>
        <w:insideH w:val="single" w:sz="4" w:space="0" w:color="CCCCCC" w:themeColor="accent4" w:themeTint="66"/>
        <w:insideV w:val="single" w:sz="4" w:space="0" w:color="CCCCCC" w:themeColor="accent4" w:themeTint="66"/>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2" w:space="0" w:color="B2B2B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D6583"/>
    <w:pPr>
      <w:spacing w:line="240" w:lineRule="auto"/>
    </w:pPr>
    <w:tblPr>
      <w:tblStyleRowBandSize w:val="1"/>
      <w:tblStyleColBandSize w:val="1"/>
      <w:tblBorders>
        <w:top w:val="single" w:sz="4" w:space="0" w:color="BFBFBF" w:themeColor="accent5" w:themeTint="66"/>
        <w:left w:val="single" w:sz="4" w:space="0" w:color="BFBFBF" w:themeColor="accent5" w:themeTint="66"/>
        <w:bottom w:val="single" w:sz="4" w:space="0" w:color="BFBFBF" w:themeColor="accent5" w:themeTint="66"/>
        <w:right w:val="single" w:sz="4" w:space="0" w:color="BFBFBF" w:themeColor="accent5" w:themeTint="66"/>
        <w:insideH w:val="single" w:sz="4" w:space="0" w:color="BFBFBF" w:themeColor="accent5" w:themeTint="66"/>
        <w:insideV w:val="single" w:sz="4" w:space="0" w:color="BFBFBF" w:themeColor="accent5" w:themeTint="66"/>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2" w:space="0" w:color="9F9F9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ED6583"/>
    <w:pPr>
      <w:spacing w:line="240" w:lineRule="auto"/>
    </w:pPr>
    <w:tblPr>
      <w:tblStyleRowBandSize w:val="1"/>
      <w:tblStyleColBandSize w:val="1"/>
      <w:tblBorders>
        <w:top w:val="single" w:sz="4" w:space="0" w:color="B7B7B7" w:themeColor="accent6" w:themeTint="66"/>
        <w:left w:val="single" w:sz="4" w:space="0" w:color="B7B7B7" w:themeColor="accent6" w:themeTint="66"/>
        <w:bottom w:val="single" w:sz="4" w:space="0" w:color="B7B7B7" w:themeColor="accent6" w:themeTint="66"/>
        <w:right w:val="single" w:sz="4" w:space="0" w:color="B7B7B7" w:themeColor="accent6" w:themeTint="66"/>
        <w:insideH w:val="single" w:sz="4" w:space="0" w:color="B7B7B7" w:themeColor="accent6" w:themeTint="66"/>
        <w:insideV w:val="single" w:sz="4" w:space="0" w:color="B7B7B7" w:themeColor="accent6" w:themeTint="66"/>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2" w:space="0" w:color="94949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ED6583"/>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ED6583"/>
    <w:pPr>
      <w:spacing w:line="240" w:lineRule="auto"/>
    </w:pPr>
    <w:tblPr>
      <w:tblStyleRowBandSize w:val="1"/>
      <w:tblStyleColBandSize w:val="1"/>
      <w:tblBorders>
        <w:top w:val="single" w:sz="2" w:space="0" w:color="EAEAEA" w:themeColor="accent1" w:themeTint="99"/>
        <w:bottom w:val="single" w:sz="2" w:space="0" w:color="EAEAEA" w:themeColor="accent1" w:themeTint="99"/>
        <w:insideH w:val="single" w:sz="2" w:space="0" w:color="EAEAEA" w:themeColor="accent1" w:themeTint="99"/>
        <w:insideV w:val="single" w:sz="2" w:space="0" w:color="EAEAEA" w:themeColor="accent1" w:themeTint="99"/>
      </w:tblBorders>
    </w:tblPr>
    <w:tblStylePr w:type="firstRow">
      <w:rPr>
        <w:b/>
        <w:bCs/>
      </w:rPr>
      <w:tblPr/>
      <w:tcPr>
        <w:tcBorders>
          <w:top w:val="nil"/>
          <w:bottom w:val="single" w:sz="12" w:space="0" w:color="EAEAEA" w:themeColor="accent1" w:themeTint="99"/>
          <w:insideH w:val="nil"/>
          <w:insideV w:val="nil"/>
        </w:tcBorders>
        <w:shd w:val="clear" w:color="auto" w:fill="FFFFFF" w:themeFill="background1"/>
      </w:tcPr>
    </w:tblStylePr>
    <w:tblStylePr w:type="lastRow">
      <w:rPr>
        <w:b/>
        <w:bCs/>
      </w:rPr>
      <w:tblPr/>
      <w:tcPr>
        <w:tcBorders>
          <w:top w:val="double" w:sz="2" w:space="0" w:color="EAEAE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2-Accent2">
    <w:name w:val="Grid Table 2 Accent 2"/>
    <w:basedOn w:val="TableNormal"/>
    <w:uiPriority w:val="47"/>
    <w:rsid w:val="00ED6583"/>
    <w:pPr>
      <w:spacing w:line="240" w:lineRule="auto"/>
    </w:pPr>
    <w:tblPr>
      <w:tblStyleRowBandSize w:val="1"/>
      <w:tblStyleColBandSize w:val="1"/>
      <w:tblBorders>
        <w:top w:val="single" w:sz="2" w:space="0" w:color="D0D0D0" w:themeColor="accent2" w:themeTint="99"/>
        <w:bottom w:val="single" w:sz="2" w:space="0" w:color="D0D0D0" w:themeColor="accent2" w:themeTint="99"/>
        <w:insideH w:val="single" w:sz="2" w:space="0" w:color="D0D0D0" w:themeColor="accent2" w:themeTint="99"/>
        <w:insideV w:val="single" w:sz="2" w:space="0" w:color="D0D0D0" w:themeColor="accent2" w:themeTint="99"/>
      </w:tblBorders>
    </w:tblPr>
    <w:tblStylePr w:type="firstRow">
      <w:rPr>
        <w:b/>
        <w:bCs/>
      </w:rPr>
      <w:tblPr/>
      <w:tcPr>
        <w:tcBorders>
          <w:top w:val="nil"/>
          <w:bottom w:val="single" w:sz="12" w:space="0" w:color="D0D0D0" w:themeColor="accent2" w:themeTint="99"/>
          <w:insideH w:val="nil"/>
          <w:insideV w:val="nil"/>
        </w:tcBorders>
        <w:shd w:val="clear" w:color="auto" w:fill="FFFFFF" w:themeFill="background1"/>
      </w:tcPr>
    </w:tblStylePr>
    <w:tblStylePr w:type="lastRow">
      <w:rPr>
        <w:b/>
        <w:bCs/>
      </w:rPr>
      <w:tblPr/>
      <w:tcPr>
        <w:tcBorders>
          <w:top w:val="double" w:sz="2" w:space="0" w:color="D0D0D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ED6583"/>
    <w:pPr>
      <w:spacing w:line="240" w:lineRule="auto"/>
    </w:pPr>
    <w:tblPr>
      <w:tblStyleRowBandSize w:val="1"/>
      <w:tblStyleColBandSize w:val="1"/>
      <w:tblBorders>
        <w:top w:val="single" w:sz="2" w:space="0" w:color="C0C0C0" w:themeColor="accent3" w:themeTint="99"/>
        <w:bottom w:val="single" w:sz="2" w:space="0" w:color="C0C0C0" w:themeColor="accent3" w:themeTint="99"/>
        <w:insideH w:val="single" w:sz="2" w:space="0" w:color="C0C0C0" w:themeColor="accent3" w:themeTint="99"/>
        <w:insideV w:val="single" w:sz="2" w:space="0" w:color="C0C0C0" w:themeColor="accent3" w:themeTint="99"/>
      </w:tblBorders>
    </w:tblPr>
    <w:tblStylePr w:type="firstRow">
      <w:rPr>
        <w:b/>
        <w:bCs/>
      </w:rPr>
      <w:tblPr/>
      <w:tcPr>
        <w:tcBorders>
          <w:top w:val="nil"/>
          <w:bottom w:val="single" w:sz="12" w:space="0" w:color="C0C0C0" w:themeColor="accent3" w:themeTint="99"/>
          <w:insideH w:val="nil"/>
          <w:insideV w:val="nil"/>
        </w:tcBorders>
        <w:shd w:val="clear" w:color="auto" w:fill="FFFFFF" w:themeFill="background1"/>
      </w:tcPr>
    </w:tblStylePr>
    <w:tblStylePr w:type="lastRow">
      <w:rPr>
        <w:b/>
        <w:bCs/>
      </w:rPr>
      <w:tblPr/>
      <w:tcPr>
        <w:tcBorders>
          <w:top w:val="double" w:sz="2" w:space="0" w:color="C0C0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ED6583"/>
    <w:pPr>
      <w:spacing w:line="240" w:lineRule="auto"/>
    </w:pPr>
    <w:tblPr>
      <w:tblStyleRowBandSize w:val="1"/>
      <w:tblStyleColBandSize w:val="1"/>
      <w:tblBorders>
        <w:top w:val="single" w:sz="2" w:space="0" w:color="B2B2B2" w:themeColor="accent4" w:themeTint="99"/>
        <w:bottom w:val="single" w:sz="2" w:space="0" w:color="B2B2B2" w:themeColor="accent4" w:themeTint="99"/>
        <w:insideH w:val="single" w:sz="2" w:space="0" w:color="B2B2B2" w:themeColor="accent4" w:themeTint="99"/>
        <w:insideV w:val="single" w:sz="2" w:space="0" w:color="B2B2B2" w:themeColor="accent4" w:themeTint="99"/>
      </w:tblBorders>
    </w:tblPr>
    <w:tblStylePr w:type="firstRow">
      <w:rPr>
        <w:b/>
        <w:bCs/>
      </w:rPr>
      <w:tblPr/>
      <w:tcPr>
        <w:tcBorders>
          <w:top w:val="nil"/>
          <w:bottom w:val="single" w:sz="12" w:space="0" w:color="B2B2B2" w:themeColor="accent4" w:themeTint="99"/>
          <w:insideH w:val="nil"/>
          <w:insideV w:val="nil"/>
        </w:tcBorders>
        <w:shd w:val="clear" w:color="auto" w:fill="FFFFFF" w:themeFill="background1"/>
      </w:tcPr>
    </w:tblStylePr>
    <w:tblStylePr w:type="lastRow">
      <w:rPr>
        <w:b/>
        <w:bCs/>
      </w:rPr>
      <w:tblPr/>
      <w:tcPr>
        <w:tcBorders>
          <w:top w:val="double" w:sz="2" w:space="0" w:color="B2B2B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ED6583"/>
    <w:pPr>
      <w:spacing w:line="240" w:lineRule="auto"/>
    </w:pPr>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ED6583"/>
    <w:pPr>
      <w:spacing w:line="240" w:lineRule="auto"/>
    </w:pPr>
    <w:tblPr>
      <w:tblStyleRowBandSize w:val="1"/>
      <w:tblStyleColBandSize w:val="1"/>
      <w:tblBorders>
        <w:top w:val="single" w:sz="2" w:space="0" w:color="949494" w:themeColor="accent6" w:themeTint="99"/>
        <w:bottom w:val="single" w:sz="2" w:space="0" w:color="949494" w:themeColor="accent6" w:themeTint="99"/>
        <w:insideH w:val="single" w:sz="2" w:space="0" w:color="949494" w:themeColor="accent6" w:themeTint="99"/>
        <w:insideV w:val="single" w:sz="2" w:space="0" w:color="949494" w:themeColor="accent6" w:themeTint="99"/>
      </w:tblBorders>
    </w:tblPr>
    <w:tblStylePr w:type="firstRow">
      <w:rPr>
        <w:b/>
        <w:bCs/>
      </w:rPr>
      <w:tblPr/>
      <w:tcPr>
        <w:tcBorders>
          <w:top w:val="nil"/>
          <w:bottom w:val="single" w:sz="12" w:space="0" w:color="949494" w:themeColor="accent6" w:themeTint="99"/>
          <w:insideH w:val="nil"/>
          <w:insideV w:val="nil"/>
        </w:tcBorders>
        <w:shd w:val="clear" w:color="auto" w:fill="FFFFFF" w:themeFill="background1"/>
      </w:tcPr>
    </w:tblStylePr>
    <w:tblStylePr w:type="lastRow">
      <w:rPr>
        <w:b/>
        <w:bCs/>
      </w:rPr>
      <w:tblPr/>
      <w:tcPr>
        <w:tcBorders>
          <w:top w:val="double" w:sz="2" w:space="0" w:color="94949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3">
    <w:name w:val="Grid Table 3"/>
    <w:basedOn w:val="TableNormal"/>
    <w:uiPriority w:val="48"/>
    <w:rsid w:val="00ED65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ED6583"/>
    <w:pPr>
      <w:spacing w:line="240" w:lineRule="auto"/>
    </w:p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bottom w:val="single" w:sz="4" w:space="0" w:color="EAEAEA" w:themeColor="accent1" w:themeTint="99"/>
        </w:tcBorders>
      </w:tcPr>
    </w:tblStylePr>
    <w:tblStylePr w:type="nwCell">
      <w:tblPr/>
      <w:tcPr>
        <w:tcBorders>
          <w:bottom w:val="single" w:sz="4" w:space="0" w:color="EAEAEA" w:themeColor="accent1" w:themeTint="99"/>
        </w:tcBorders>
      </w:tcPr>
    </w:tblStylePr>
    <w:tblStylePr w:type="seCell">
      <w:tblPr/>
      <w:tcPr>
        <w:tcBorders>
          <w:top w:val="single" w:sz="4" w:space="0" w:color="EAEAEA" w:themeColor="accent1" w:themeTint="99"/>
        </w:tcBorders>
      </w:tcPr>
    </w:tblStylePr>
    <w:tblStylePr w:type="swCell">
      <w:tblPr/>
      <w:tcPr>
        <w:tcBorders>
          <w:top w:val="single" w:sz="4" w:space="0" w:color="EAEAEA" w:themeColor="accent1" w:themeTint="99"/>
        </w:tcBorders>
      </w:tcPr>
    </w:tblStylePr>
  </w:style>
  <w:style w:type="table" w:styleId="GridTable3-Accent2">
    <w:name w:val="Grid Table 3 Accent 2"/>
    <w:basedOn w:val="TableNormal"/>
    <w:uiPriority w:val="48"/>
    <w:rsid w:val="00ED6583"/>
    <w:pPr>
      <w:spacing w:line="240" w:lineRule="auto"/>
    </w:p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3-Accent3">
    <w:name w:val="Grid Table 3 Accent 3"/>
    <w:basedOn w:val="TableNormal"/>
    <w:uiPriority w:val="48"/>
    <w:rsid w:val="00ED6583"/>
    <w:pPr>
      <w:spacing w:line="240" w:lineRule="auto"/>
    </w:p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3-Accent4">
    <w:name w:val="Grid Table 3 Accent 4"/>
    <w:basedOn w:val="TableNormal"/>
    <w:uiPriority w:val="48"/>
    <w:rsid w:val="00ED6583"/>
    <w:pPr>
      <w:spacing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3-Accent5">
    <w:name w:val="Grid Table 3 Accent 5"/>
    <w:basedOn w:val="TableNormal"/>
    <w:uiPriority w:val="48"/>
    <w:rsid w:val="00ED6583"/>
    <w:pPr>
      <w:spacing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3-Accent6">
    <w:name w:val="Grid Table 3 Accent 6"/>
    <w:basedOn w:val="TableNormal"/>
    <w:uiPriority w:val="48"/>
    <w:rsid w:val="00ED6583"/>
    <w:pPr>
      <w:spacing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table" w:styleId="GridTable4">
    <w:name w:val="Grid Table 4"/>
    <w:basedOn w:val="TableNormal"/>
    <w:uiPriority w:val="49"/>
    <w:rsid w:val="00ED65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ED6583"/>
    <w:pPr>
      <w:spacing w:line="240" w:lineRule="auto"/>
    </w:p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insideV w:val="nil"/>
        </w:tcBorders>
        <w:shd w:val="clear" w:color="auto" w:fill="DDDDDD" w:themeFill="accent1"/>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4-Accent2">
    <w:name w:val="Grid Table 4 Accent 2"/>
    <w:basedOn w:val="TableNormal"/>
    <w:uiPriority w:val="49"/>
    <w:rsid w:val="00ED6583"/>
    <w:pPr>
      <w:spacing w:line="240" w:lineRule="auto"/>
    </w:p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insideV w:val="nil"/>
        </w:tcBorders>
        <w:shd w:val="clear" w:color="auto" w:fill="B2B2B2" w:themeFill="accent2"/>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4-Accent3">
    <w:name w:val="Grid Table 4 Accent 3"/>
    <w:basedOn w:val="TableNormal"/>
    <w:uiPriority w:val="49"/>
    <w:rsid w:val="00ED6583"/>
    <w:pPr>
      <w:spacing w:line="240" w:lineRule="auto"/>
    </w:p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insideV w:val="nil"/>
        </w:tcBorders>
        <w:shd w:val="clear" w:color="auto" w:fill="969696" w:themeFill="accent3"/>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4-Accent4">
    <w:name w:val="Grid Table 4 Accent 4"/>
    <w:basedOn w:val="TableNormal"/>
    <w:uiPriority w:val="49"/>
    <w:rsid w:val="00ED6583"/>
    <w:pPr>
      <w:spacing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5">
    <w:name w:val="Grid Table 4 Accent 5"/>
    <w:basedOn w:val="TableNormal"/>
    <w:uiPriority w:val="49"/>
    <w:rsid w:val="00ED6583"/>
    <w:pPr>
      <w:spacing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6">
    <w:name w:val="Grid Table 4 Accent 6"/>
    <w:basedOn w:val="TableNormal"/>
    <w:uiPriority w:val="49"/>
    <w:rsid w:val="00ED6583"/>
    <w:pPr>
      <w:spacing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insideV w:val="nil"/>
        </w:tcBorders>
        <w:shd w:val="clear" w:color="auto" w:fill="4D4D4D" w:themeFill="accent6"/>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
    <w:name w:val="Grid Table 5 Dark"/>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8F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DDD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DDD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DDD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DDDD" w:themeFill="accent1"/>
      </w:tcPr>
    </w:tblStylePr>
    <w:tblStylePr w:type="band1Vert">
      <w:tblPr/>
      <w:tcPr>
        <w:shd w:val="clear" w:color="auto" w:fill="F1F1F1" w:themeFill="accent1" w:themeFillTint="66"/>
      </w:tcPr>
    </w:tblStylePr>
    <w:tblStylePr w:type="band1Horz">
      <w:tblPr/>
      <w:tcPr>
        <w:shd w:val="clear" w:color="auto" w:fill="F1F1F1" w:themeFill="accent1" w:themeFillTint="66"/>
      </w:tcPr>
    </w:tblStylePr>
  </w:style>
  <w:style w:type="table" w:styleId="GridTable5Dark-Accent2">
    <w:name w:val="Grid Table 5 Dark Accent 2"/>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F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2B2B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2B2B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2B2B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2B2B2" w:themeFill="accent2"/>
      </w:tcPr>
    </w:tblStylePr>
    <w:tblStylePr w:type="band1Vert">
      <w:tblPr/>
      <w:tcPr>
        <w:shd w:val="clear" w:color="auto" w:fill="E0E0E0" w:themeFill="accent2" w:themeFillTint="66"/>
      </w:tcPr>
    </w:tblStylePr>
    <w:tblStylePr w:type="band1Horz">
      <w:tblPr/>
      <w:tcPr>
        <w:shd w:val="clear" w:color="auto" w:fill="E0E0E0" w:themeFill="accent2" w:themeFillTint="66"/>
      </w:tcPr>
    </w:tblStylePr>
  </w:style>
  <w:style w:type="table" w:styleId="GridTable5Dark-Accent3">
    <w:name w:val="Grid Table 5 Dark Accent 3"/>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9696"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9696"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9696"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5Dark-Accent4">
    <w:name w:val="Grid Table 5 Dark Accent 4"/>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4"/>
      </w:tcPr>
    </w:tblStylePr>
    <w:tblStylePr w:type="band1Vert">
      <w:tblPr/>
      <w:tcPr>
        <w:shd w:val="clear" w:color="auto" w:fill="CCCCCC" w:themeFill="accent4" w:themeFillTint="66"/>
      </w:tcPr>
    </w:tblStylePr>
    <w:tblStylePr w:type="band1Horz">
      <w:tblPr/>
      <w:tcPr>
        <w:shd w:val="clear" w:color="auto" w:fill="CCCCCC" w:themeFill="accent4" w:themeFillTint="66"/>
      </w:tcPr>
    </w:tblStylePr>
  </w:style>
  <w:style w:type="table" w:styleId="GridTable5Dark-Accent5">
    <w:name w:val="Grid Table 5 Dark Accent 5"/>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DFD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F5F5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F5F5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F5F5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F5F5F" w:themeFill="accent5"/>
      </w:tcPr>
    </w:tblStylePr>
    <w:tblStylePr w:type="band1Vert">
      <w:tblPr/>
      <w:tcPr>
        <w:shd w:val="clear" w:color="auto" w:fill="BFBFBF" w:themeFill="accent5" w:themeFillTint="66"/>
      </w:tcPr>
    </w:tblStylePr>
    <w:tblStylePr w:type="band1Horz">
      <w:tblPr/>
      <w:tcPr>
        <w:shd w:val="clear" w:color="auto" w:fill="BFBFBF" w:themeFill="accent5" w:themeFillTint="66"/>
      </w:tcPr>
    </w:tblStylePr>
  </w:style>
  <w:style w:type="table" w:styleId="GridTable5Dark-Accent6">
    <w:name w:val="Grid Table 5 Dark Accent 6"/>
    <w:basedOn w:val="TableNormal"/>
    <w:uiPriority w:val="50"/>
    <w:rsid w:val="00ED65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DBD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D4D4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D4D4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D4D4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6Colorful">
    <w:name w:val="Grid Table 6 Colorful"/>
    <w:basedOn w:val="TableNormal"/>
    <w:uiPriority w:val="51"/>
    <w:rsid w:val="00ED6583"/>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ED6583"/>
    <w:pPr>
      <w:spacing w:line="240" w:lineRule="auto"/>
    </w:pPr>
    <w:rPr>
      <w:color w:val="A5A5A5" w:themeColor="accent1" w:themeShade="BF"/>
    </w:r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6Colorful-Accent2">
    <w:name w:val="Grid Table 6 Colorful Accent 2"/>
    <w:basedOn w:val="TableNormal"/>
    <w:uiPriority w:val="51"/>
    <w:rsid w:val="00ED6583"/>
    <w:pPr>
      <w:spacing w:line="240" w:lineRule="auto"/>
    </w:pPr>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6Colorful-Accent3">
    <w:name w:val="Grid Table 6 Colorful Accent 3"/>
    <w:basedOn w:val="TableNormal"/>
    <w:uiPriority w:val="51"/>
    <w:rsid w:val="00ED6583"/>
    <w:pPr>
      <w:spacing w:line="240" w:lineRule="auto"/>
    </w:pPr>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6Colorful-Accent4">
    <w:name w:val="Grid Table 6 Colorful Accent 4"/>
    <w:basedOn w:val="TableNormal"/>
    <w:uiPriority w:val="51"/>
    <w:rsid w:val="00ED6583"/>
    <w:pPr>
      <w:spacing w:line="240" w:lineRule="auto"/>
    </w:pPr>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6Colorful-Accent5">
    <w:name w:val="Grid Table 6 Colorful Accent 5"/>
    <w:basedOn w:val="TableNormal"/>
    <w:uiPriority w:val="51"/>
    <w:rsid w:val="00ED6583"/>
    <w:pPr>
      <w:spacing w:line="240" w:lineRule="auto"/>
    </w:pPr>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6Colorful-Accent6">
    <w:name w:val="Grid Table 6 Colorful Accent 6"/>
    <w:basedOn w:val="TableNormal"/>
    <w:uiPriority w:val="51"/>
    <w:rsid w:val="00ED6583"/>
    <w:pPr>
      <w:spacing w:line="240" w:lineRule="auto"/>
    </w:pPr>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7Colorful">
    <w:name w:val="Grid Table 7 Colorful"/>
    <w:basedOn w:val="TableNormal"/>
    <w:uiPriority w:val="52"/>
    <w:rsid w:val="00ED6583"/>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ED6583"/>
    <w:pPr>
      <w:spacing w:line="240" w:lineRule="auto"/>
    </w:pPr>
    <w:rPr>
      <w:color w:val="A5A5A5" w:themeColor="accent1" w:themeShade="BF"/>
    </w:r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bottom w:val="single" w:sz="4" w:space="0" w:color="EAEAEA" w:themeColor="accent1" w:themeTint="99"/>
        </w:tcBorders>
      </w:tcPr>
    </w:tblStylePr>
    <w:tblStylePr w:type="nwCell">
      <w:tblPr/>
      <w:tcPr>
        <w:tcBorders>
          <w:bottom w:val="single" w:sz="4" w:space="0" w:color="EAEAEA" w:themeColor="accent1" w:themeTint="99"/>
        </w:tcBorders>
      </w:tcPr>
    </w:tblStylePr>
    <w:tblStylePr w:type="seCell">
      <w:tblPr/>
      <w:tcPr>
        <w:tcBorders>
          <w:top w:val="single" w:sz="4" w:space="0" w:color="EAEAEA" w:themeColor="accent1" w:themeTint="99"/>
        </w:tcBorders>
      </w:tcPr>
    </w:tblStylePr>
    <w:tblStylePr w:type="swCell">
      <w:tblPr/>
      <w:tcPr>
        <w:tcBorders>
          <w:top w:val="single" w:sz="4" w:space="0" w:color="EAEAEA" w:themeColor="accent1" w:themeTint="99"/>
        </w:tcBorders>
      </w:tcPr>
    </w:tblStylePr>
  </w:style>
  <w:style w:type="table" w:styleId="GridTable7Colorful-Accent2">
    <w:name w:val="Grid Table 7 Colorful Accent 2"/>
    <w:basedOn w:val="TableNormal"/>
    <w:uiPriority w:val="52"/>
    <w:rsid w:val="00ED6583"/>
    <w:pPr>
      <w:spacing w:line="240" w:lineRule="auto"/>
    </w:pPr>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7Colorful-Accent3">
    <w:name w:val="Grid Table 7 Colorful Accent 3"/>
    <w:basedOn w:val="TableNormal"/>
    <w:uiPriority w:val="52"/>
    <w:rsid w:val="00ED6583"/>
    <w:pPr>
      <w:spacing w:line="240" w:lineRule="auto"/>
    </w:pPr>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7Colorful-Accent4">
    <w:name w:val="Grid Table 7 Colorful Accent 4"/>
    <w:basedOn w:val="TableNormal"/>
    <w:uiPriority w:val="52"/>
    <w:rsid w:val="00ED6583"/>
    <w:pPr>
      <w:spacing w:line="240" w:lineRule="auto"/>
    </w:pPr>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7Colorful-Accent5">
    <w:name w:val="Grid Table 7 Colorful Accent 5"/>
    <w:basedOn w:val="TableNormal"/>
    <w:uiPriority w:val="52"/>
    <w:rsid w:val="00ED6583"/>
    <w:pPr>
      <w:spacing w:line="240" w:lineRule="auto"/>
    </w:pPr>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7Colorful-Accent6">
    <w:name w:val="Grid Table 7 Colorful Accent 6"/>
    <w:basedOn w:val="TableNormal"/>
    <w:uiPriority w:val="52"/>
    <w:rsid w:val="00ED6583"/>
    <w:pPr>
      <w:spacing w:line="240" w:lineRule="auto"/>
    </w:pPr>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character" w:styleId="Hashtag">
    <w:name w:val="Hashtag"/>
    <w:basedOn w:val="DefaultParagraphFont"/>
    <w:uiPriority w:val="99"/>
    <w:semiHidden/>
    <w:unhideWhenUsed/>
    <w:rsid w:val="00ED6583"/>
    <w:rPr>
      <w:color w:val="2B579A"/>
      <w:shd w:val="clear" w:color="auto" w:fill="E6E6E6"/>
    </w:rPr>
  </w:style>
  <w:style w:type="character" w:styleId="HTMLAcronym">
    <w:name w:val="HTML Acronym"/>
    <w:basedOn w:val="DefaultParagraphFont"/>
    <w:uiPriority w:val="99"/>
    <w:semiHidden/>
    <w:unhideWhenUsed/>
    <w:rsid w:val="00ED6583"/>
  </w:style>
  <w:style w:type="character" w:styleId="HTMLCite">
    <w:name w:val="HTML Cite"/>
    <w:basedOn w:val="DefaultParagraphFont"/>
    <w:uiPriority w:val="99"/>
    <w:semiHidden/>
    <w:unhideWhenUsed/>
    <w:rsid w:val="00ED6583"/>
    <w:rPr>
      <w:i/>
      <w:iCs/>
    </w:rPr>
  </w:style>
  <w:style w:type="character" w:styleId="HTMLCode">
    <w:name w:val="HTML Code"/>
    <w:basedOn w:val="DefaultParagraphFont"/>
    <w:uiPriority w:val="99"/>
    <w:semiHidden/>
    <w:unhideWhenUsed/>
    <w:rsid w:val="00ED6583"/>
    <w:rPr>
      <w:rFonts w:ascii="Consolas" w:hAnsi="Consolas" w:cs="Consolas"/>
      <w:sz w:val="22"/>
      <w:szCs w:val="20"/>
    </w:rPr>
  </w:style>
  <w:style w:type="character" w:styleId="HTMLDefinition">
    <w:name w:val="HTML Definition"/>
    <w:basedOn w:val="DefaultParagraphFont"/>
    <w:uiPriority w:val="99"/>
    <w:semiHidden/>
    <w:unhideWhenUsed/>
    <w:rsid w:val="00ED6583"/>
    <w:rPr>
      <w:i/>
      <w:iCs/>
    </w:rPr>
  </w:style>
  <w:style w:type="character" w:styleId="HTMLKeyboard">
    <w:name w:val="HTML Keyboard"/>
    <w:basedOn w:val="DefaultParagraphFont"/>
    <w:uiPriority w:val="99"/>
    <w:semiHidden/>
    <w:unhideWhenUsed/>
    <w:rsid w:val="00ED6583"/>
    <w:rPr>
      <w:rFonts w:ascii="Consolas" w:hAnsi="Consolas" w:cs="Consolas"/>
      <w:sz w:val="22"/>
      <w:szCs w:val="20"/>
    </w:rPr>
  </w:style>
  <w:style w:type="character" w:styleId="HTMLSample">
    <w:name w:val="HTML Sample"/>
    <w:basedOn w:val="DefaultParagraphFont"/>
    <w:uiPriority w:val="99"/>
    <w:semiHidden/>
    <w:unhideWhenUsed/>
    <w:rsid w:val="00ED6583"/>
    <w:rPr>
      <w:rFonts w:ascii="Consolas" w:hAnsi="Consolas" w:cs="Consolas"/>
      <w:sz w:val="24"/>
      <w:szCs w:val="24"/>
    </w:rPr>
  </w:style>
  <w:style w:type="character" w:styleId="HTMLTypewriter">
    <w:name w:val="HTML Typewriter"/>
    <w:basedOn w:val="DefaultParagraphFont"/>
    <w:uiPriority w:val="99"/>
    <w:semiHidden/>
    <w:unhideWhenUsed/>
    <w:rsid w:val="00ED6583"/>
    <w:rPr>
      <w:rFonts w:ascii="Consolas" w:hAnsi="Consolas" w:cs="Consolas"/>
      <w:sz w:val="22"/>
      <w:szCs w:val="20"/>
    </w:rPr>
  </w:style>
  <w:style w:type="character" w:styleId="HTMLVariable">
    <w:name w:val="HTML Variable"/>
    <w:basedOn w:val="DefaultParagraphFont"/>
    <w:uiPriority w:val="99"/>
    <w:semiHidden/>
    <w:unhideWhenUsed/>
    <w:rsid w:val="00ED6583"/>
    <w:rPr>
      <w:i/>
      <w:iCs/>
    </w:rPr>
  </w:style>
  <w:style w:type="character" w:styleId="Hyperlink">
    <w:name w:val="Hyperlink"/>
    <w:basedOn w:val="DefaultParagraphFont"/>
    <w:uiPriority w:val="99"/>
    <w:unhideWhenUsed/>
    <w:rsid w:val="00ED6583"/>
    <w:rPr>
      <w:color w:val="5F5F5F" w:themeColor="hyperlink"/>
      <w:u w:val="single"/>
    </w:rPr>
  </w:style>
  <w:style w:type="character" w:styleId="IntenseEmphasis">
    <w:name w:val="Intense Emphasis"/>
    <w:basedOn w:val="DefaultParagraphFont"/>
    <w:uiPriority w:val="21"/>
    <w:semiHidden/>
    <w:unhideWhenUsed/>
    <w:qFormat/>
    <w:rsid w:val="004531D1"/>
    <w:rPr>
      <w:i/>
      <w:iCs/>
      <w:color w:val="6E6E6E" w:themeColor="accent1" w:themeShade="80"/>
    </w:rPr>
  </w:style>
  <w:style w:type="paragraph" w:styleId="IntenseQuote">
    <w:name w:val="Intense Quote"/>
    <w:basedOn w:val="Normal"/>
    <w:next w:val="Normal"/>
    <w:link w:val="IntenseQuoteChar"/>
    <w:uiPriority w:val="30"/>
    <w:semiHidden/>
    <w:unhideWhenUsed/>
    <w:qFormat/>
    <w:rsid w:val="004531D1"/>
    <w:pPr>
      <w:pBdr>
        <w:top w:val="single" w:sz="4" w:space="10" w:color="6E6E6E" w:themeColor="accent1" w:themeShade="80"/>
        <w:bottom w:val="single" w:sz="4" w:space="10" w:color="6E6E6E" w:themeColor="accent1" w:themeShade="80"/>
      </w:pBdr>
      <w:spacing w:before="360" w:after="360"/>
      <w:ind w:left="864" w:right="864"/>
      <w:jc w:val="center"/>
    </w:pPr>
    <w:rPr>
      <w:i/>
      <w:iCs/>
      <w:color w:val="6E6E6E" w:themeColor="accent1" w:themeShade="80"/>
    </w:rPr>
  </w:style>
  <w:style w:type="character" w:customStyle="1" w:styleId="IntenseQuoteChar">
    <w:name w:val="Intense Quote Char"/>
    <w:basedOn w:val="DefaultParagraphFont"/>
    <w:link w:val="IntenseQuote"/>
    <w:uiPriority w:val="30"/>
    <w:semiHidden/>
    <w:rsid w:val="004531D1"/>
    <w:rPr>
      <w:i/>
      <w:iCs/>
      <w:color w:val="6E6E6E" w:themeColor="accent1" w:themeShade="80"/>
    </w:rPr>
  </w:style>
  <w:style w:type="character" w:styleId="IntenseReference">
    <w:name w:val="Intense Reference"/>
    <w:basedOn w:val="DefaultParagraphFont"/>
    <w:uiPriority w:val="32"/>
    <w:semiHidden/>
    <w:unhideWhenUsed/>
    <w:qFormat/>
    <w:rsid w:val="004531D1"/>
    <w:rPr>
      <w:b/>
      <w:bCs/>
      <w:caps w:val="0"/>
      <w:smallCaps/>
      <w:color w:val="6E6E6E" w:themeColor="accent1" w:themeShade="80"/>
      <w:spacing w:val="5"/>
    </w:rPr>
  </w:style>
  <w:style w:type="table" w:styleId="LightGrid">
    <w:name w:val="Light Grid"/>
    <w:basedOn w:val="TableNormal"/>
    <w:uiPriority w:val="62"/>
    <w:semiHidden/>
    <w:unhideWhenUsed/>
    <w:rsid w:val="00ED6583"/>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ED6583"/>
    <w:pPr>
      <w:spacing w:line="240" w:lineRule="auto"/>
    </w:p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18" w:space="0" w:color="DDDDDD" w:themeColor="accent1"/>
          <w:right w:val="single" w:sz="8" w:space="0" w:color="DDDDDD" w:themeColor="accent1"/>
          <w:insideH w:val="nil"/>
          <w:insideV w:val="single" w:sz="8" w:space="0" w:color="DDDDD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insideH w:val="nil"/>
          <w:insideV w:val="single" w:sz="8" w:space="0" w:color="DDDDD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shd w:val="clear" w:color="auto" w:fill="F6F6F6" w:themeFill="accent1" w:themeFillTint="3F"/>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shd w:val="clear" w:color="auto" w:fill="F6F6F6" w:themeFill="accent1" w:themeFillTint="3F"/>
      </w:tcPr>
    </w:tblStylePr>
    <w:tblStylePr w:type="band2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tcPr>
    </w:tblStylePr>
  </w:style>
  <w:style w:type="table" w:styleId="LightGrid-Accent2">
    <w:name w:val="Light Grid Accent 2"/>
    <w:basedOn w:val="TableNormal"/>
    <w:uiPriority w:val="62"/>
    <w:semiHidden/>
    <w:unhideWhenUsed/>
    <w:rsid w:val="00ED6583"/>
    <w:pPr>
      <w:spacing w:line="240" w:lineRule="auto"/>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18" w:space="0" w:color="B2B2B2" w:themeColor="accent2"/>
          <w:right w:val="single" w:sz="8" w:space="0" w:color="B2B2B2" w:themeColor="accent2"/>
          <w:insideH w:val="nil"/>
          <w:insideV w:val="single" w:sz="8" w:space="0" w:color="B2B2B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insideH w:val="nil"/>
          <w:insideV w:val="single" w:sz="8" w:space="0" w:color="B2B2B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shd w:val="clear" w:color="auto" w:fill="EBEBEB" w:themeFill="accent2" w:themeFillTint="3F"/>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shd w:val="clear" w:color="auto" w:fill="EBEBEB" w:themeFill="accent2" w:themeFillTint="3F"/>
      </w:tcPr>
    </w:tblStylePr>
    <w:tblStylePr w:type="band2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tcPr>
    </w:tblStylePr>
  </w:style>
  <w:style w:type="table" w:styleId="LightGrid-Accent3">
    <w:name w:val="Light Grid Accent 3"/>
    <w:basedOn w:val="TableNormal"/>
    <w:uiPriority w:val="62"/>
    <w:semiHidden/>
    <w:unhideWhenUsed/>
    <w:rsid w:val="00ED6583"/>
    <w:pPr>
      <w:spacing w:line="240" w:lineRule="auto"/>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18" w:space="0" w:color="969696" w:themeColor="accent3"/>
          <w:right w:val="single" w:sz="8" w:space="0" w:color="969696" w:themeColor="accent3"/>
          <w:insideH w:val="nil"/>
          <w:insideV w:val="single" w:sz="8" w:space="0" w:color="969696"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insideH w:val="nil"/>
          <w:insideV w:val="single" w:sz="8" w:space="0" w:color="969696"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shd w:val="clear" w:color="auto" w:fill="E5E5E5" w:themeFill="accent3" w:themeFillTint="3F"/>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shd w:val="clear" w:color="auto" w:fill="E5E5E5" w:themeFill="accent3" w:themeFillTint="3F"/>
      </w:tcPr>
    </w:tblStylePr>
    <w:tblStylePr w:type="band2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tcPr>
    </w:tblStylePr>
  </w:style>
  <w:style w:type="table" w:styleId="LightGrid-Accent4">
    <w:name w:val="Light Grid Accent 4"/>
    <w:basedOn w:val="TableNormal"/>
    <w:uiPriority w:val="62"/>
    <w:semiHidden/>
    <w:unhideWhenUsed/>
    <w:rsid w:val="00ED6583"/>
    <w:pPr>
      <w:spacing w:line="240" w:lineRule="auto"/>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18" w:space="0" w:color="808080" w:themeColor="accent4"/>
          <w:right w:val="single" w:sz="8" w:space="0" w:color="808080" w:themeColor="accent4"/>
          <w:insideH w:val="nil"/>
          <w:insideV w:val="single" w:sz="8" w:space="0" w:color="80808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insideH w:val="nil"/>
          <w:insideV w:val="single" w:sz="8" w:space="0" w:color="80808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shd w:val="clear" w:color="auto" w:fill="DFDFDF" w:themeFill="accent4" w:themeFillTint="3F"/>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shd w:val="clear" w:color="auto" w:fill="DFDFDF" w:themeFill="accent4" w:themeFillTint="3F"/>
      </w:tcPr>
    </w:tblStylePr>
    <w:tblStylePr w:type="band2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tcPr>
    </w:tblStylePr>
  </w:style>
  <w:style w:type="table" w:styleId="LightGrid-Accent5">
    <w:name w:val="Light Grid Accent 5"/>
    <w:basedOn w:val="TableNormal"/>
    <w:uiPriority w:val="62"/>
    <w:semiHidden/>
    <w:unhideWhenUsed/>
    <w:rsid w:val="00ED6583"/>
    <w:pPr>
      <w:spacing w:line="240" w:lineRule="auto"/>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18" w:space="0" w:color="5F5F5F" w:themeColor="accent5"/>
          <w:right w:val="single" w:sz="8" w:space="0" w:color="5F5F5F" w:themeColor="accent5"/>
          <w:insideH w:val="nil"/>
          <w:insideV w:val="single" w:sz="8" w:space="0" w:color="5F5F5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insideH w:val="nil"/>
          <w:insideV w:val="single" w:sz="8" w:space="0" w:color="5F5F5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shd w:val="clear" w:color="auto" w:fill="D7D7D7" w:themeFill="accent5" w:themeFillTint="3F"/>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shd w:val="clear" w:color="auto" w:fill="D7D7D7" w:themeFill="accent5" w:themeFillTint="3F"/>
      </w:tcPr>
    </w:tblStylePr>
    <w:tblStylePr w:type="band2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tcPr>
    </w:tblStylePr>
  </w:style>
  <w:style w:type="table" w:styleId="LightGrid-Accent6">
    <w:name w:val="Light Grid Accent 6"/>
    <w:basedOn w:val="TableNormal"/>
    <w:uiPriority w:val="62"/>
    <w:semiHidden/>
    <w:unhideWhenUsed/>
    <w:rsid w:val="00ED6583"/>
    <w:pPr>
      <w:spacing w:line="240" w:lineRule="auto"/>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18" w:space="0" w:color="4D4D4D" w:themeColor="accent6"/>
          <w:right w:val="single" w:sz="8" w:space="0" w:color="4D4D4D" w:themeColor="accent6"/>
          <w:insideH w:val="nil"/>
          <w:insideV w:val="single" w:sz="8" w:space="0" w:color="4D4D4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insideH w:val="nil"/>
          <w:insideV w:val="single" w:sz="8" w:space="0" w:color="4D4D4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shd w:val="clear" w:color="auto" w:fill="D3D3D3" w:themeFill="accent6" w:themeFillTint="3F"/>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shd w:val="clear" w:color="auto" w:fill="D3D3D3" w:themeFill="accent6" w:themeFillTint="3F"/>
      </w:tcPr>
    </w:tblStylePr>
    <w:tblStylePr w:type="band2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tcPr>
    </w:tblStylePr>
  </w:style>
  <w:style w:type="table" w:styleId="LightList">
    <w:name w:val="Light List"/>
    <w:basedOn w:val="TableNormal"/>
    <w:uiPriority w:val="61"/>
    <w:semiHidden/>
    <w:unhideWhenUsed/>
    <w:rsid w:val="00ED6583"/>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D6583"/>
    <w:pPr>
      <w:spacing w:line="240" w:lineRule="auto"/>
    </w:p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pPr>
        <w:spacing w:before="0" w:after="0" w:line="240" w:lineRule="auto"/>
      </w:pPr>
      <w:rPr>
        <w:b/>
        <w:bCs/>
        <w:color w:val="FFFFFF" w:themeColor="background1"/>
      </w:rPr>
      <w:tblPr/>
      <w:tcPr>
        <w:shd w:val="clear" w:color="auto" w:fill="DDDDDD" w:themeFill="accent1"/>
      </w:tcPr>
    </w:tblStylePr>
    <w:tblStylePr w:type="lastRow">
      <w:pPr>
        <w:spacing w:before="0" w:after="0" w:line="240" w:lineRule="auto"/>
      </w:pPr>
      <w:rPr>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tcBorders>
      </w:tcPr>
    </w:tblStylePr>
    <w:tblStylePr w:type="firstCol">
      <w:rPr>
        <w:b/>
        <w:bCs/>
      </w:rPr>
    </w:tblStylePr>
    <w:tblStylePr w:type="lastCol">
      <w:rPr>
        <w:b/>
        <w:bCs/>
      </w:r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style>
  <w:style w:type="table" w:styleId="LightList-Accent2">
    <w:name w:val="Light List Accent 2"/>
    <w:basedOn w:val="TableNormal"/>
    <w:uiPriority w:val="61"/>
    <w:semiHidden/>
    <w:unhideWhenUsed/>
    <w:rsid w:val="00ED6583"/>
    <w:pPr>
      <w:spacing w:line="240" w:lineRule="auto"/>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tcBorders>
      </w:tcPr>
    </w:tblStylePr>
    <w:tblStylePr w:type="firstCol">
      <w:rPr>
        <w:b/>
        <w:bCs/>
      </w:rPr>
    </w:tblStylePr>
    <w:tblStylePr w:type="lastCol">
      <w:rPr>
        <w:b/>
        <w:bCs/>
      </w:r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style>
  <w:style w:type="table" w:styleId="LightList-Accent3">
    <w:name w:val="Light List Accent 3"/>
    <w:basedOn w:val="TableNormal"/>
    <w:uiPriority w:val="61"/>
    <w:semiHidden/>
    <w:unhideWhenUsed/>
    <w:rsid w:val="00ED6583"/>
    <w:pPr>
      <w:spacing w:line="240" w:lineRule="auto"/>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table" w:styleId="LightList-Accent4">
    <w:name w:val="Light List Accent 4"/>
    <w:basedOn w:val="TableNormal"/>
    <w:uiPriority w:val="61"/>
    <w:semiHidden/>
    <w:unhideWhenUsed/>
    <w:rsid w:val="00ED6583"/>
    <w:pPr>
      <w:spacing w:line="240" w:lineRule="auto"/>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tcBorders>
      </w:tcPr>
    </w:tblStylePr>
    <w:tblStylePr w:type="firstCol">
      <w:rPr>
        <w:b/>
        <w:bCs/>
      </w:rPr>
    </w:tblStylePr>
    <w:tblStylePr w:type="lastCol">
      <w:rPr>
        <w:b/>
        <w:bCs/>
      </w:r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style>
  <w:style w:type="table" w:styleId="LightList-Accent5">
    <w:name w:val="Light List Accent 5"/>
    <w:basedOn w:val="TableNormal"/>
    <w:uiPriority w:val="61"/>
    <w:semiHidden/>
    <w:unhideWhenUsed/>
    <w:rsid w:val="00ED6583"/>
    <w:pPr>
      <w:spacing w:line="240" w:lineRule="auto"/>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tcBorders>
      </w:tcPr>
    </w:tblStylePr>
    <w:tblStylePr w:type="firstCol">
      <w:rPr>
        <w:b/>
        <w:bCs/>
      </w:rPr>
    </w:tblStylePr>
    <w:tblStylePr w:type="lastCol">
      <w:rPr>
        <w:b/>
        <w:bCs/>
      </w:r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style>
  <w:style w:type="table" w:styleId="LightList-Accent6">
    <w:name w:val="Light List Accent 6"/>
    <w:basedOn w:val="TableNormal"/>
    <w:uiPriority w:val="61"/>
    <w:semiHidden/>
    <w:unhideWhenUsed/>
    <w:rsid w:val="00ED6583"/>
    <w:pPr>
      <w:spacing w:line="240" w:lineRule="auto"/>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tcBorders>
      </w:tcPr>
    </w:tblStylePr>
    <w:tblStylePr w:type="firstCol">
      <w:rPr>
        <w:b/>
        <w:bCs/>
      </w:rPr>
    </w:tblStylePr>
    <w:tblStylePr w:type="lastCol">
      <w:rPr>
        <w:b/>
        <w:bCs/>
      </w:r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style>
  <w:style w:type="table" w:styleId="LightShading">
    <w:name w:val="Light Shading"/>
    <w:basedOn w:val="TableNormal"/>
    <w:uiPriority w:val="60"/>
    <w:semiHidden/>
    <w:unhideWhenUsed/>
    <w:rsid w:val="00ED6583"/>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D6583"/>
    <w:pPr>
      <w:spacing w:line="240" w:lineRule="auto"/>
    </w:pPr>
    <w:rPr>
      <w:color w:val="A5A5A5" w:themeColor="accent1" w:themeShade="BF"/>
    </w:rPr>
    <w:tblPr>
      <w:tblStyleRowBandSize w:val="1"/>
      <w:tblStyleColBandSize w:val="1"/>
      <w:tblBorders>
        <w:top w:val="single" w:sz="8" w:space="0" w:color="DDDDDD" w:themeColor="accent1"/>
        <w:bottom w:val="single" w:sz="8" w:space="0" w:color="DDDDDD" w:themeColor="accent1"/>
      </w:tblBorders>
    </w:tblPr>
    <w:tblStylePr w:type="fir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la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left w:val="nil"/>
          <w:right w:val="nil"/>
          <w:insideH w:val="nil"/>
          <w:insideV w:val="nil"/>
        </w:tcBorders>
        <w:shd w:val="clear" w:color="auto" w:fill="F6F6F6" w:themeFill="accent1" w:themeFillTint="3F"/>
      </w:tcPr>
    </w:tblStylePr>
  </w:style>
  <w:style w:type="table" w:styleId="LightShading-Accent2">
    <w:name w:val="Light Shading Accent 2"/>
    <w:basedOn w:val="TableNormal"/>
    <w:uiPriority w:val="60"/>
    <w:semiHidden/>
    <w:unhideWhenUsed/>
    <w:rsid w:val="00ED6583"/>
    <w:pPr>
      <w:spacing w:line="240" w:lineRule="auto"/>
    </w:pPr>
    <w:rPr>
      <w:color w:val="858585" w:themeColor="accent2" w:themeShade="BF"/>
    </w:rPr>
    <w:tblPr>
      <w:tblStyleRowBandSize w:val="1"/>
      <w:tblStyleColBandSize w:val="1"/>
      <w:tblBorders>
        <w:top w:val="single" w:sz="8" w:space="0" w:color="B2B2B2" w:themeColor="accent2"/>
        <w:bottom w:val="single" w:sz="8" w:space="0" w:color="B2B2B2" w:themeColor="accent2"/>
      </w:tblBorders>
    </w:tblPr>
    <w:tblStylePr w:type="fir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la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semiHidden/>
    <w:unhideWhenUsed/>
    <w:rsid w:val="00ED6583"/>
    <w:pPr>
      <w:spacing w:line="240" w:lineRule="auto"/>
    </w:pPr>
    <w:rPr>
      <w:color w:val="707070" w:themeColor="accent3" w:themeShade="BF"/>
    </w:rPr>
    <w:tblPr>
      <w:tblStyleRowBandSize w:val="1"/>
      <w:tblStyleColBandSize w:val="1"/>
      <w:tblBorders>
        <w:top w:val="single" w:sz="8" w:space="0" w:color="969696" w:themeColor="accent3"/>
        <w:bottom w:val="single" w:sz="8" w:space="0" w:color="969696" w:themeColor="accent3"/>
      </w:tblBorders>
    </w:tblPr>
    <w:tblStylePr w:type="fir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la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4">
    <w:name w:val="Light Shading Accent 4"/>
    <w:basedOn w:val="TableNormal"/>
    <w:uiPriority w:val="60"/>
    <w:semiHidden/>
    <w:unhideWhenUsed/>
    <w:rsid w:val="00ED6583"/>
    <w:pPr>
      <w:spacing w:line="240" w:lineRule="auto"/>
    </w:pPr>
    <w:rPr>
      <w:color w:val="5F5F5F" w:themeColor="accent4" w:themeShade="BF"/>
    </w:rPr>
    <w:tblPr>
      <w:tblStyleRowBandSize w:val="1"/>
      <w:tblStyleColBandSize w:val="1"/>
      <w:tblBorders>
        <w:top w:val="single" w:sz="8" w:space="0" w:color="808080" w:themeColor="accent4"/>
        <w:bottom w:val="single" w:sz="8" w:space="0" w:color="808080" w:themeColor="accent4"/>
      </w:tblBorders>
    </w:tblPr>
    <w:tblStylePr w:type="fir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la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LightShading-Accent5">
    <w:name w:val="Light Shading Accent 5"/>
    <w:basedOn w:val="TableNormal"/>
    <w:uiPriority w:val="60"/>
    <w:semiHidden/>
    <w:unhideWhenUsed/>
    <w:rsid w:val="00ED6583"/>
    <w:pPr>
      <w:spacing w:line="240" w:lineRule="auto"/>
    </w:pPr>
    <w:rPr>
      <w:color w:val="474747" w:themeColor="accent5" w:themeShade="BF"/>
    </w:rPr>
    <w:tblPr>
      <w:tblStyleRowBandSize w:val="1"/>
      <w:tblStyleColBandSize w:val="1"/>
      <w:tblBorders>
        <w:top w:val="single" w:sz="8" w:space="0" w:color="5F5F5F" w:themeColor="accent5"/>
        <w:bottom w:val="single" w:sz="8" w:space="0" w:color="5F5F5F" w:themeColor="accent5"/>
      </w:tblBorders>
    </w:tblPr>
    <w:tblStylePr w:type="fir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la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semiHidden/>
    <w:unhideWhenUsed/>
    <w:rsid w:val="00ED6583"/>
    <w:pPr>
      <w:spacing w:line="240" w:lineRule="auto"/>
    </w:pPr>
    <w:rPr>
      <w:color w:val="393939" w:themeColor="accent6" w:themeShade="BF"/>
    </w:rPr>
    <w:tblPr>
      <w:tblStyleRowBandSize w:val="1"/>
      <w:tblStyleColBandSize w:val="1"/>
      <w:tblBorders>
        <w:top w:val="single" w:sz="8" w:space="0" w:color="4D4D4D" w:themeColor="accent6"/>
        <w:bottom w:val="single" w:sz="8" w:space="0" w:color="4D4D4D" w:themeColor="accent6"/>
      </w:tblBorders>
    </w:tblPr>
    <w:tblStylePr w:type="fir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la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character" w:styleId="LineNumber">
    <w:name w:val="line number"/>
    <w:basedOn w:val="DefaultParagraphFont"/>
    <w:uiPriority w:val="99"/>
    <w:semiHidden/>
    <w:unhideWhenUsed/>
    <w:rsid w:val="00ED6583"/>
  </w:style>
  <w:style w:type="paragraph" w:styleId="ListParagraph">
    <w:name w:val="List Paragraph"/>
    <w:basedOn w:val="Normal"/>
    <w:uiPriority w:val="34"/>
    <w:unhideWhenUsed/>
    <w:qFormat/>
    <w:rsid w:val="00ED6583"/>
    <w:pPr>
      <w:ind w:left="720"/>
      <w:contextualSpacing/>
    </w:pPr>
  </w:style>
  <w:style w:type="table" w:styleId="ListTable1Light">
    <w:name w:val="List Table 1 Light"/>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EAEAEA" w:themeColor="accent1" w:themeTint="99"/>
        </w:tcBorders>
      </w:tcPr>
    </w:tblStylePr>
    <w:tblStylePr w:type="lastRow">
      <w:rPr>
        <w:b/>
        <w:bCs/>
      </w:rPr>
      <w:tblPr/>
      <w:tcPr>
        <w:tcBorders>
          <w:top w:val="sing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1Light-Accent2">
    <w:name w:val="List Table 1 Light Accent 2"/>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D0D0D0" w:themeColor="accent2" w:themeTint="99"/>
        </w:tcBorders>
      </w:tcPr>
    </w:tblStylePr>
    <w:tblStylePr w:type="lastRow">
      <w:rPr>
        <w:b/>
        <w:bCs/>
      </w:rPr>
      <w:tblPr/>
      <w:tcPr>
        <w:tcBorders>
          <w:top w:val="sing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1Light-Accent3">
    <w:name w:val="List Table 1 Light Accent 3"/>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C0C0C0" w:themeColor="accent3" w:themeTint="99"/>
        </w:tcBorders>
      </w:tcPr>
    </w:tblStylePr>
    <w:tblStylePr w:type="lastRow">
      <w:rPr>
        <w:b/>
        <w:bCs/>
      </w:rPr>
      <w:tblPr/>
      <w:tcPr>
        <w:tcBorders>
          <w:top w:val="sing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1Light-Accent4">
    <w:name w:val="List Table 1 Light Accent 4"/>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B2B2B2" w:themeColor="accent4" w:themeTint="99"/>
        </w:tcBorders>
      </w:tcPr>
    </w:tblStylePr>
    <w:tblStylePr w:type="lastRow">
      <w:rPr>
        <w:b/>
        <w:bCs/>
      </w:rPr>
      <w:tblPr/>
      <w:tcPr>
        <w:tcBorders>
          <w:top w:val="sing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1Light-Accent5">
    <w:name w:val="List Table 1 Light Accent 5"/>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9F9F9F" w:themeColor="accent5" w:themeTint="99"/>
        </w:tcBorders>
      </w:tcPr>
    </w:tblStylePr>
    <w:tblStylePr w:type="lastRow">
      <w:rPr>
        <w:b/>
        <w:bCs/>
      </w:rPr>
      <w:tblPr/>
      <w:tcPr>
        <w:tcBorders>
          <w:top w:val="sing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ED6583"/>
    <w:pPr>
      <w:spacing w:line="240" w:lineRule="auto"/>
    </w:pPr>
    <w:tblPr>
      <w:tblStyleRowBandSize w:val="1"/>
      <w:tblStyleColBandSize w:val="1"/>
    </w:tblPr>
    <w:tblStylePr w:type="firstRow">
      <w:rPr>
        <w:b/>
        <w:bCs/>
      </w:rPr>
      <w:tblPr/>
      <w:tcPr>
        <w:tcBorders>
          <w:bottom w:val="single" w:sz="4" w:space="0" w:color="949494" w:themeColor="accent6" w:themeTint="99"/>
        </w:tcBorders>
      </w:tcPr>
    </w:tblStylePr>
    <w:tblStylePr w:type="lastRow">
      <w:rPr>
        <w:b/>
        <w:bCs/>
      </w:rPr>
      <w:tblPr/>
      <w:tcPr>
        <w:tcBorders>
          <w:top w:val="sing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
    <w:name w:val="List Table 2"/>
    <w:basedOn w:val="TableNormal"/>
    <w:uiPriority w:val="47"/>
    <w:rsid w:val="00ED6583"/>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ED6583"/>
    <w:pPr>
      <w:spacing w:line="240" w:lineRule="auto"/>
    </w:pPr>
    <w:tblPr>
      <w:tblStyleRowBandSize w:val="1"/>
      <w:tblStyleColBandSize w:val="1"/>
      <w:tblBorders>
        <w:top w:val="single" w:sz="4" w:space="0" w:color="EAEAEA" w:themeColor="accent1" w:themeTint="99"/>
        <w:bottom w:val="single" w:sz="4" w:space="0" w:color="EAEAEA" w:themeColor="accent1" w:themeTint="99"/>
        <w:insideH w:val="single" w:sz="4" w:space="0" w:color="EAEAE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2-Accent2">
    <w:name w:val="List Table 2 Accent 2"/>
    <w:basedOn w:val="TableNormal"/>
    <w:uiPriority w:val="47"/>
    <w:rsid w:val="00ED6583"/>
    <w:pPr>
      <w:spacing w:line="240" w:lineRule="auto"/>
    </w:pPr>
    <w:tblPr>
      <w:tblStyleRowBandSize w:val="1"/>
      <w:tblStyleColBandSize w:val="1"/>
      <w:tblBorders>
        <w:top w:val="single" w:sz="4" w:space="0" w:color="D0D0D0" w:themeColor="accent2" w:themeTint="99"/>
        <w:bottom w:val="single" w:sz="4" w:space="0" w:color="D0D0D0" w:themeColor="accent2" w:themeTint="99"/>
        <w:insideH w:val="single" w:sz="4" w:space="0" w:color="D0D0D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3">
    <w:name w:val="List Table 2 Accent 3"/>
    <w:basedOn w:val="TableNormal"/>
    <w:uiPriority w:val="47"/>
    <w:rsid w:val="00ED6583"/>
    <w:pPr>
      <w:spacing w:line="240" w:lineRule="auto"/>
    </w:pPr>
    <w:tblPr>
      <w:tblStyleRowBandSize w:val="1"/>
      <w:tblStyleColBandSize w:val="1"/>
      <w:tblBorders>
        <w:top w:val="single" w:sz="4" w:space="0" w:color="C0C0C0" w:themeColor="accent3" w:themeTint="99"/>
        <w:bottom w:val="single" w:sz="4" w:space="0" w:color="C0C0C0" w:themeColor="accent3" w:themeTint="99"/>
        <w:insideH w:val="single" w:sz="4" w:space="0" w:color="C0C0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4">
    <w:name w:val="List Table 2 Accent 4"/>
    <w:basedOn w:val="TableNormal"/>
    <w:uiPriority w:val="47"/>
    <w:rsid w:val="00ED6583"/>
    <w:pPr>
      <w:spacing w:line="240" w:lineRule="auto"/>
    </w:pPr>
    <w:tblPr>
      <w:tblStyleRowBandSize w:val="1"/>
      <w:tblStyleColBandSize w:val="1"/>
      <w:tblBorders>
        <w:top w:val="single" w:sz="4" w:space="0" w:color="B2B2B2" w:themeColor="accent4" w:themeTint="99"/>
        <w:bottom w:val="single" w:sz="4" w:space="0" w:color="B2B2B2" w:themeColor="accent4" w:themeTint="99"/>
        <w:insideH w:val="single" w:sz="4" w:space="0" w:color="B2B2B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5">
    <w:name w:val="List Table 2 Accent 5"/>
    <w:basedOn w:val="TableNormal"/>
    <w:uiPriority w:val="47"/>
    <w:rsid w:val="00ED6583"/>
    <w:pPr>
      <w:spacing w:line="240" w:lineRule="auto"/>
    </w:pPr>
    <w:tblPr>
      <w:tblStyleRowBandSize w:val="1"/>
      <w:tblStyleColBandSize w:val="1"/>
      <w:tblBorders>
        <w:top w:val="single" w:sz="4" w:space="0" w:color="9F9F9F" w:themeColor="accent5" w:themeTint="99"/>
        <w:bottom w:val="single" w:sz="4" w:space="0" w:color="9F9F9F" w:themeColor="accent5" w:themeTint="99"/>
        <w:insideH w:val="single" w:sz="4" w:space="0" w:color="9F9F9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6">
    <w:name w:val="List Table 2 Accent 6"/>
    <w:basedOn w:val="TableNormal"/>
    <w:uiPriority w:val="47"/>
    <w:rsid w:val="00ED6583"/>
    <w:pPr>
      <w:spacing w:line="240" w:lineRule="auto"/>
    </w:pPr>
    <w:tblPr>
      <w:tblStyleRowBandSize w:val="1"/>
      <w:tblStyleColBandSize w:val="1"/>
      <w:tblBorders>
        <w:top w:val="single" w:sz="4" w:space="0" w:color="949494" w:themeColor="accent6" w:themeTint="99"/>
        <w:bottom w:val="single" w:sz="4" w:space="0" w:color="949494" w:themeColor="accent6" w:themeTint="99"/>
        <w:insideH w:val="single" w:sz="4" w:space="0" w:color="94949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3">
    <w:name w:val="List Table 3"/>
    <w:basedOn w:val="TableNormal"/>
    <w:uiPriority w:val="48"/>
    <w:rsid w:val="00ED6583"/>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ED6583"/>
    <w:pPr>
      <w:spacing w:line="240" w:lineRule="auto"/>
    </w:pPr>
    <w:tblPr>
      <w:tblStyleRowBandSize w:val="1"/>
      <w:tblStyleColBandSize w:val="1"/>
      <w:tblBorders>
        <w:top w:val="single" w:sz="4" w:space="0" w:color="DDDDDD" w:themeColor="accent1"/>
        <w:left w:val="single" w:sz="4" w:space="0" w:color="DDDDDD" w:themeColor="accent1"/>
        <w:bottom w:val="single" w:sz="4" w:space="0" w:color="DDDDDD" w:themeColor="accent1"/>
        <w:right w:val="single" w:sz="4" w:space="0" w:color="DDDDDD" w:themeColor="accent1"/>
      </w:tblBorders>
    </w:tblPr>
    <w:tblStylePr w:type="firstRow">
      <w:rPr>
        <w:b/>
        <w:bCs/>
        <w:color w:val="FFFFFF" w:themeColor="background1"/>
      </w:rPr>
      <w:tblPr/>
      <w:tcPr>
        <w:shd w:val="clear" w:color="auto" w:fill="DDDDDD" w:themeFill="accent1"/>
      </w:tcPr>
    </w:tblStylePr>
    <w:tblStylePr w:type="lastRow">
      <w:rPr>
        <w:b/>
        <w:bCs/>
      </w:rPr>
      <w:tblPr/>
      <w:tcPr>
        <w:tcBorders>
          <w:top w:val="double" w:sz="4" w:space="0" w:color="DDDDD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DDDD" w:themeColor="accent1"/>
          <w:right w:val="single" w:sz="4" w:space="0" w:color="DDDDDD" w:themeColor="accent1"/>
        </w:tcBorders>
      </w:tcPr>
    </w:tblStylePr>
    <w:tblStylePr w:type="band1Horz">
      <w:tblPr/>
      <w:tcPr>
        <w:tcBorders>
          <w:top w:val="single" w:sz="4" w:space="0" w:color="DDDDDD" w:themeColor="accent1"/>
          <w:bottom w:val="single" w:sz="4" w:space="0" w:color="DDDDD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DDDD" w:themeColor="accent1"/>
          <w:left w:val="nil"/>
        </w:tcBorders>
      </w:tcPr>
    </w:tblStylePr>
    <w:tblStylePr w:type="swCell">
      <w:tblPr/>
      <w:tcPr>
        <w:tcBorders>
          <w:top w:val="double" w:sz="4" w:space="0" w:color="DDDDDD" w:themeColor="accent1"/>
          <w:right w:val="nil"/>
        </w:tcBorders>
      </w:tcPr>
    </w:tblStylePr>
  </w:style>
  <w:style w:type="table" w:styleId="ListTable3-Accent2">
    <w:name w:val="List Table 3 Accent 2"/>
    <w:basedOn w:val="TableNormal"/>
    <w:uiPriority w:val="48"/>
    <w:rsid w:val="00ED6583"/>
    <w:pPr>
      <w:spacing w:line="240" w:lineRule="auto"/>
    </w:pPr>
    <w:tblPr>
      <w:tblStyleRowBandSize w:val="1"/>
      <w:tblStyleColBandSize w:val="1"/>
      <w:tblBorders>
        <w:top w:val="single" w:sz="4" w:space="0" w:color="B2B2B2" w:themeColor="accent2"/>
        <w:left w:val="single" w:sz="4" w:space="0" w:color="B2B2B2" w:themeColor="accent2"/>
        <w:bottom w:val="single" w:sz="4" w:space="0" w:color="B2B2B2" w:themeColor="accent2"/>
        <w:right w:val="single" w:sz="4" w:space="0" w:color="B2B2B2" w:themeColor="accent2"/>
      </w:tblBorders>
    </w:tblPr>
    <w:tblStylePr w:type="firstRow">
      <w:rPr>
        <w:b/>
        <w:bCs/>
        <w:color w:val="FFFFFF" w:themeColor="background1"/>
      </w:rPr>
      <w:tblPr/>
      <w:tcPr>
        <w:shd w:val="clear" w:color="auto" w:fill="B2B2B2" w:themeFill="accent2"/>
      </w:tcPr>
    </w:tblStylePr>
    <w:tblStylePr w:type="lastRow">
      <w:rPr>
        <w:b/>
        <w:bCs/>
      </w:rPr>
      <w:tblPr/>
      <w:tcPr>
        <w:tcBorders>
          <w:top w:val="double" w:sz="4" w:space="0" w:color="B2B2B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2B2B2" w:themeColor="accent2"/>
          <w:right w:val="single" w:sz="4" w:space="0" w:color="B2B2B2" w:themeColor="accent2"/>
        </w:tcBorders>
      </w:tcPr>
    </w:tblStylePr>
    <w:tblStylePr w:type="band1Horz">
      <w:tblPr/>
      <w:tcPr>
        <w:tcBorders>
          <w:top w:val="single" w:sz="4" w:space="0" w:color="B2B2B2" w:themeColor="accent2"/>
          <w:bottom w:val="single" w:sz="4" w:space="0" w:color="B2B2B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2B2B2" w:themeColor="accent2"/>
          <w:left w:val="nil"/>
        </w:tcBorders>
      </w:tcPr>
    </w:tblStylePr>
    <w:tblStylePr w:type="swCell">
      <w:tblPr/>
      <w:tcPr>
        <w:tcBorders>
          <w:top w:val="double" w:sz="4" w:space="0" w:color="B2B2B2" w:themeColor="accent2"/>
          <w:right w:val="nil"/>
        </w:tcBorders>
      </w:tcPr>
    </w:tblStylePr>
  </w:style>
  <w:style w:type="table" w:styleId="ListTable3-Accent3">
    <w:name w:val="List Table 3 Accent 3"/>
    <w:basedOn w:val="TableNormal"/>
    <w:uiPriority w:val="48"/>
    <w:rsid w:val="00ED6583"/>
    <w:pPr>
      <w:spacing w:line="240" w:lineRule="auto"/>
    </w:pPr>
    <w:tblPr>
      <w:tblStyleRowBandSize w:val="1"/>
      <w:tblStyleColBandSize w:val="1"/>
      <w:tblBorders>
        <w:top w:val="single" w:sz="4" w:space="0" w:color="969696" w:themeColor="accent3"/>
        <w:left w:val="single" w:sz="4" w:space="0" w:color="969696" w:themeColor="accent3"/>
        <w:bottom w:val="single" w:sz="4" w:space="0" w:color="969696" w:themeColor="accent3"/>
        <w:right w:val="single" w:sz="4" w:space="0" w:color="969696" w:themeColor="accent3"/>
      </w:tblBorders>
    </w:tblPr>
    <w:tblStylePr w:type="firstRow">
      <w:rPr>
        <w:b/>
        <w:bCs/>
        <w:color w:val="FFFFFF" w:themeColor="background1"/>
      </w:rPr>
      <w:tblPr/>
      <w:tcPr>
        <w:shd w:val="clear" w:color="auto" w:fill="969696" w:themeFill="accent3"/>
      </w:tcPr>
    </w:tblStylePr>
    <w:tblStylePr w:type="lastRow">
      <w:rPr>
        <w:b/>
        <w:bCs/>
      </w:rPr>
      <w:tblPr/>
      <w:tcPr>
        <w:tcBorders>
          <w:top w:val="double" w:sz="4" w:space="0" w:color="969696"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9696" w:themeColor="accent3"/>
          <w:right w:val="single" w:sz="4" w:space="0" w:color="969696" w:themeColor="accent3"/>
        </w:tcBorders>
      </w:tcPr>
    </w:tblStylePr>
    <w:tblStylePr w:type="band1Horz">
      <w:tblPr/>
      <w:tcPr>
        <w:tcBorders>
          <w:top w:val="single" w:sz="4" w:space="0" w:color="969696" w:themeColor="accent3"/>
          <w:bottom w:val="single" w:sz="4" w:space="0" w:color="969696"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9696" w:themeColor="accent3"/>
          <w:left w:val="nil"/>
        </w:tcBorders>
      </w:tcPr>
    </w:tblStylePr>
    <w:tblStylePr w:type="swCell">
      <w:tblPr/>
      <w:tcPr>
        <w:tcBorders>
          <w:top w:val="double" w:sz="4" w:space="0" w:color="969696" w:themeColor="accent3"/>
          <w:right w:val="nil"/>
        </w:tcBorders>
      </w:tcPr>
    </w:tblStylePr>
  </w:style>
  <w:style w:type="table" w:styleId="ListTable3-Accent4">
    <w:name w:val="List Table 3 Accent 4"/>
    <w:basedOn w:val="TableNormal"/>
    <w:uiPriority w:val="48"/>
    <w:rsid w:val="00ED6583"/>
    <w:pPr>
      <w:spacing w:line="240" w:lineRule="auto"/>
    </w:pPr>
    <w:tblPr>
      <w:tblStyleRowBandSize w:val="1"/>
      <w:tblStyleColBandSize w:val="1"/>
      <w:tblBorders>
        <w:top w:val="single" w:sz="4" w:space="0" w:color="808080" w:themeColor="accent4"/>
        <w:left w:val="single" w:sz="4" w:space="0" w:color="808080" w:themeColor="accent4"/>
        <w:bottom w:val="single" w:sz="4" w:space="0" w:color="808080" w:themeColor="accent4"/>
        <w:right w:val="single" w:sz="4" w:space="0" w:color="808080" w:themeColor="accent4"/>
      </w:tblBorders>
    </w:tblPr>
    <w:tblStylePr w:type="firstRow">
      <w:rPr>
        <w:b/>
        <w:bCs/>
        <w:color w:val="FFFFFF" w:themeColor="background1"/>
      </w:rPr>
      <w:tblPr/>
      <w:tcPr>
        <w:shd w:val="clear" w:color="auto" w:fill="808080" w:themeFill="accent4"/>
      </w:tcPr>
    </w:tblStylePr>
    <w:tblStylePr w:type="lastRow">
      <w:rPr>
        <w:b/>
        <w:bCs/>
      </w:rPr>
      <w:tblPr/>
      <w:tcPr>
        <w:tcBorders>
          <w:top w:val="double" w:sz="4" w:space="0" w:color="80808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4"/>
          <w:right w:val="single" w:sz="4" w:space="0" w:color="808080" w:themeColor="accent4"/>
        </w:tcBorders>
      </w:tcPr>
    </w:tblStylePr>
    <w:tblStylePr w:type="band1Horz">
      <w:tblPr/>
      <w:tcPr>
        <w:tcBorders>
          <w:top w:val="single" w:sz="4" w:space="0" w:color="808080" w:themeColor="accent4"/>
          <w:bottom w:val="single" w:sz="4" w:space="0" w:color="80808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4"/>
          <w:left w:val="nil"/>
        </w:tcBorders>
      </w:tcPr>
    </w:tblStylePr>
    <w:tblStylePr w:type="swCell">
      <w:tblPr/>
      <w:tcPr>
        <w:tcBorders>
          <w:top w:val="double" w:sz="4" w:space="0" w:color="808080" w:themeColor="accent4"/>
          <w:right w:val="nil"/>
        </w:tcBorders>
      </w:tcPr>
    </w:tblStylePr>
  </w:style>
  <w:style w:type="table" w:styleId="ListTable3-Accent5">
    <w:name w:val="List Table 3 Accent 5"/>
    <w:basedOn w:val="TableNormal"/>
    <w:uiPriority w:val="48"/>
    <w:rsid w:val="00ED6583"/>
    <w:pPr>
      <w:spacing w:line="240" w:lineRule="auto"/>
    </w:pPr>
    <w:tblPr>
      <w:tblStyleRowBandSize w:val="1"/>
      <w:tblStyleColBandSize w:val="1"/>
      <w:tblBorders>
        <w:top w:val="single" w:sz="4" w:space="0" w:color="5F5F5F" w:themeColor="accent5"/>
        <w:left w:val="single" w:sz="4" w:space="0" w:color="5F5F5F" w:themeColor="accent5"/>
        <w:bottom w:val="single" w:sz="4" w:space="0" w:color="5F5F5F" w:themeColor="accent5"/>
        <w:right w:val="single" w:sz="4" w:space="0" w:color="5F5F5F" w:themeColor="accent5"/>
      </w:tblBorders>
    </w:tblPr>
    <w:tblStylePr w:type="firstRow">
      <w:rPr>
        <w:b/>
        <w:bCs/>
        <w:color w:val="FFFFFF" w:themeColor="background1"/>
      </w:rPr>
      <w:tblPr/>
      <w:tcPr>
        <w:shd w:val="clear" w:color="auto" w:fill="5F5F5F" w:themeFill="accent5"/>
      </w:tcPr>
    </w:tblStylePr>
    <w:tblStylePr w:type="lastRow">
      <w:rPr>
        <w:b/>
        <w:bCs/>
      </w:rPr>
      <w:tblPr/>
      <w:tcPr>
        <w:tcBorders>
          <w:top w:val="double" w:sz="4" w:space="0" w:color="5F5F5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F5F5F" w:themeColor="accent5"/>
          <w:right w:val="single" w:sz="4" w:space="0" w:color="5F5F5F" w:themeColor="accent5"/>
        </w:tcBorders>
      </w:tcPr>
    </w:tblStylePr>
    <w:tblStylePr w:type="band1Horz">
      <w:tblPr/>
      <w:tcPr>
        <w:tcBorders>
          <w:top w:val="single" w:sz="4" w:space="0" w:color="5F5F5F" w:themeColor="accent5"/>
          <w:bottom w:val="single" w:sz="4" w:space="0" w:color="5F5F5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F5F5F" w:themeColor="accent5"/>
          <w:left w:val="nil"/>
        </w:tcBorders>
      </w:tcPr>
    </w:tblStylePr>
    <w:tblStylePr w:type="swCell">
      <w:tblPr/>
      <w:tcPr>
        <w:tcBorders>
          <w:top w:val="double" w:sz="4" w:space="0" w:color="5F5F5F" w:themeColor="accent5"/>
          <w:right w:val="nil"/>
        </w:tcBorders>
      </w:tcPr>
    </w:tblStylePr>
  </w:style>
  <w:style w:type="table" w:styleId="ListTable3-Accent6">
    <w:name w:val="List Table 3 Accent 6"/>
    <w:basedOn w:val="TableNormal"/>
    <w:uiPriority w:val="48"/>
    <w:rsid w:val="00ED6583"/>
    <w:pPr>
      <w:spacing w:line="240" w:lineRule="auto"/>
    </w:pPr>
    <w:tblPr>
      <w:tblStyleRowBandSize w:val="1"/>
      <w:tblStyleColBandSize w:val="1"/>
      <w:tblBorders>
        <w:top w:val="single" w:sz="4" w:space="0" w:color="4D4D4D" w:themeColor="accent6"/>
        <w:left w:val="single" w:sz="4" w:space="0" w:color="4D4D4D" w:themeColor="accent6"/>
        <w:bottom w:val="single" w:sz="4" w:space="0" w:color="4D4D4D" w:themeColor="accent6"/>
        <w:right w:val="single" w:sz="4" w:space="0" w:color="4D4D4D" w:themeColor="accent6"/>
      </w:tblBorders>
    </w:tblPr>
    <w:tblStylePr w:type="firstRow">
      <w:rPr>
        <w:b/>
        <w:bCs/>
        <w:color w:val="FFFFFF" w:themeColor="background1"/>
      </w:rPr>
      <w:tblPr/>
      <w:tcPr>
        <w:shd w:val="clear" w:color="auto" w:fill="4D4D4D" w:themeFill="accent6"/>
      </w:tcPr>
    </w:tblStylePr>
    <w:tblStylePr w:type="lastRow">
      <w:rPr>
        <w:b/>
        <w:bCs/>
      </w:rPr>
      <w:tblPr/>
      <w:tcPr>
        <w:tcBorders>
          <w:top w:val="double" w:sz="4" w:space="0" w:color="4D4D4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D4D4D" w:themeColor="accent6"/>
          <w:right w:val="single" w:sz="4" w:space="0" w:color="4D4D4D" w:themeColor="accent6"/>
        </w:tcBorders>
      </w:tcPr>
    </w:tblStylePr>
    <w:tblStylePr w:type="band1Horz">
      <w:tblPr/>
      <w:tcPr>
        <w:tcBorders>
          <w:top w:val="single" w:sz="4" w:space="0" w:color="4D4D4D" w:themeColor="accent6"/>
          <w:bottom w:val="single" w:sz="4" w:space="0" w:color="4D4D4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D4D4D" w:themeColor="accent6"/>
          <w:left w:val="nil"/>
        </w:tcBorders>
      </w:tcPr>
    </w:tblStylePr>
    <w:tblStylePr w:type="swCell">
      <w:tblPr/>
      <w:tcPr>
        <w:tcBorders>
          <w:top w:val="double" w:sz="4" w:space="0" w:color="4D4D4D" w:themeColor="accent6"/>
          <w:right w:val="nil"/>
        </w:tcBorders>
      </w:tcPr>
    </w:tblStylePr>
  </w:style>
  <w:style w:type="table" w:styleId="ListTable4">
    <w:name w:val="List Table 4"/>
    <w:basedOn w:val="TableNormal"/>
    <w:uiPriority w:val="49"/>
    <w:rsid w:val="00ED65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ED6583"/>
    <w:pPr>
      <w:spacing w:line="240" w:lineRule="auto"/>
    </w:p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tcBorders>
        <w:shd w:val="clear" w:color="auto" w:fill="DDDDDD" w:themeFill="accent1"/>
      </w:tcPr>
    </w:tblStylePr>
    <w:tblStylePr w:type="lastRow">
      <w:rPr>
        <w:b/>
        <w:bCs/>
      </w:rPr>
      <w:tblPr/>
      <w:tcPr>
        <w:tcBorders>
          <w:top w:val="doub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4-Accent2">
    <w:name w:val="List Table 4 Accent 2"/>
    <w:basedOn w:val="TableNormal"/>
    <w:uiPriority w:val="49"/>
    <w:rsid w:val="00ED6583"/>
    <w:pPr>
      <w:spacing w:line="240" w:lineRule="auto"/>
    </w:p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tcBorders>
        <w:shd w:val="clear" w:color="auto" w:fill="B2B2B2" w:themeFill="accent2"/>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4-Accent3">
    <w:name w:val="List Table 4 Accent 3"/>
    <w:basedOn w:val="TableNormal"/>
    <w:uiPriority w:val="49"/>
    <w:rsid w:val="00ED6583"/>
    <w:pPr>
      <w:spacing w:line="240" w:lineRule="auto"/>
    </w:p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tcBorders>
        <w:shd w:val="clear" w:color="auto" w:fill="969696" w:themeFill="accent3"/>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4-Accent4">
    <w:name w:val="List Table 4 Accent 4"/>
    <w:basedOn w:val="TableNormal"/>
    <w:uiPriority w:val="49"/>
    <w:rsid w:val="00ED6583"/>
    <w:pPr>
      <w:spacing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tcBorders>
        <w:shd w:val="clear" w:color="auto" w:fill="808080" w:themeFill="accent4"/>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4-Accent5">
    <w:name w:val="List Table 4 Accent 5"/>
    <w:basedOn w:val="TableNormal"/>
    <w:uiPriority w:val="49"/>
    <w:rsid w:val="00ED6583"/>
    <w:pPr>
      <w:spacing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tcBorders>
        <w:shd w:val="clear" w:color="auto" w:fill="5F5F5F" w:themeFill="accent5"/>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4-Accent6">
    <w:name w:val="List Table 4 Accent 6"/>
    <w:basedOn w:val="TableNormal"/>
    <w:uiPriority w:val="49"/>
    <w:rsid w:val="00ED6583"/>
    <w:pPr>
      <w:spacing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tcBorders>
        <w:shd w:val="clear" w:color="auto" w:fill="4D4D4D" w:themeFill="accent6"/>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5Dark">
    <w:name w:val="List Table 5 Dark"/>
    <w:basedOn w:val="TableNormal"/>
    <w:uiPriority w:val="50"/>
    <w:rsid w:val="00ED6583"/>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ED6583"/>
    <w:pPr>
      <w:spacing w:line="240" w:lineRule="auto"/>
    </w:pPr>
    <w:rPr>
      <w:color w:val="FFFFFF" w:themeColor="background1"/>
    </w:rPr>
    <w:tblPr>
      <w:tblStyleRowBandSize w:val="1"/>
      <w:tblStyleColBandSize w:val="1"/>
      <w:tblBorders>
        <w:top w:val="single" w:sz="24" w:space="0" w:color="DDDDDD" w:themeColor="accent1"/>
        <w:left w:val="single" w:sz="24" w:space="0" w:color="DDDDDD" w:themeColor="accent1"/>
        <w:bottom w:val="single" w:sz="24" w:space="0" w:color="DDDDDD" w:themeColor="accent1"/>
        <w:right w:val="single" w:sz="24" w:space="0" w:color="DDDDDD" w:themeColor="accent1"/>
      </w:tblBorders>
    </w:tblPr>
    <w:tcPr>
      <w:shd w:val="clear" w:color="auto" w:fill="DDDDD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ED6583"/>
    <w:pPr>
      <w:spacing w:line="240" w:lineRule="auto"/>
    </w:pPr>
    <w:rPr>
      <w:color w:val="FFFFFF" w:themeColor="background1"/>
    </w:rPr>
    <w:tblPr>
      <w:tblStyleRowBandSize w:val="1"/>
      <w:tblStyleColBandSize w:val="1"/>
      <w:tblBorders>
        <w:top w:val="single" w:sz="24" w:space="0" w:color="B2B2B2" w:themeColor="accent2"/>
        <w:left w:val="single" w:sz="24" w:space="0" w:color="B2B2B2" w:themeColor="accent2"/>
        <w:bottom w:val="single" w:sz="24" w:space="0" w:color="B2B2B2" w:themeColor="accent2"/>
        <w:right w:val="single" w:sz="24" w:space="0" w:color="B2B2B2" w:themeColor="accent2"/>
      </w:tblBorders>
    </w:tblPr>
    <w:tcPr>
      <w:shd w:val="clear" w:color="auto" w:fill="B2B2B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ED6583"/>
    <w:pPr>
      <w:spacing w:line="240" w:lineRule="auto"/>
    </w:pPr>
    <w:rPr>
      <w:color w:val="FFFFFF" w:themeColor="background1"/>
    </w:rPr>
    <w:tblPr>
      <w:tblStyleRowBandSize w:val="1"/>
      <w:tblStyleColBandSize w:val="1"/>
      <w:tblBorders>
        <w:top w:val="single" w:sz="24" w:space="0" w:color="969696" w:themeColor="accent3"/>
        <w:left w:val="single" w:sz="24" w:space="0" w:color="969696" w:themeColor="accent3"/>
        <w:bottom w:val="single" w:sz="24" w:space="0" w:color="969696" w:themeColor="accent3"/>
        <w:right w:val="single" w:sz="24" w:space="0" w:color="969696" w:themeColor="accent3"/>
      </w:tblBorders>
    </w:tblPr>
    <w:tcPr>
      <w:shd w:val="clear" w:color="auto" w:fill="969696"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ED6583"/>
    <w:pPr>
      <w:spacing w:line="240" w:lineRule="auto"/>
    </w:pPr>
    <w:rPr>
      <w:color w:val="FFFFFF" w:themeColor="background1"/>
    </w:rPr>
    <w:tblPr>
      <w:tblStyleRowBandSize w:val="1"/>
      <w:tblStyleColBandSize w:val="1"/>
      <w:tblBorders>
        <w:top w:val="single" w:sz="24" w:space="0" w:color="808080" w:themeColor="accent4"/>
        <w:left w:val="single" w:sz="24" w:space="0" w:color="808080" w:themeColor="accent4"/>
        <w:bottom w:val="single" w:sz="24" w:space="0" w:color="808080" w:themeColor="accent4"/>
        <w:right w:val="single" w:sz="24" w:space="0" w:color="808080" w:themeColor="accent4"/>
      </w:tblBorders>
    </w:tblPr>
    <w:tcPr>
      <w:shd w:val="clear" w:color="auto" w:fill="80808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ED6583"/>
    <w:pPr>
      <w:spacing w:line="240" w:lineRule="auto"/>
    </w:pPr>
    <w:rPr>
      <w:color w:val="FFFFFF" w:themeColor="background1"/>
    </w:rPr>
    <w:tblPr>
      <w:tblStyleRowBandSize w:val="1"/>
      <w:tblStyleColBandSize w:val="1"/>
      <w:tblBorders>
        <w:top w:val="single" w:sz="24" w:space="0" w:color="5F5F5F" w:themeColor="accent5"/>
        <w:left w:val="single" w:sz="24" w:space="0" w:color="5F5F5F" w:themeColor="accent5"/>
        <w:bottom w:val="single" w:sz="24" w:space="0" w:color="5F5F5F" w:themeColor="accent5"/>
        <w:right w:val="single" w:sz="24" w:space="0" w:color="5F5F5F" w:themeColor="accent5"/>
      </w:tblBorders>
    </w:tblPr>
    <w:tcPr>
      <w:shd w:val="clear" w:color="auto" w:fill="5F5F5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ED6583"/>
    <w:pPr>
      <w:spacing w:line="240" w:lineRule="auto"/>
    </w:pPr>
    <w:rPr>
      <w:color w:val="FFFFFF" w:themeColor="background1"/>
    </w:rPr>
    <w:tblPr>
      <w:tblStyleRowBandSize w:val="1"/>
      <w:tblStyleColBandSize w:val="1"/>
      <w:tblBorders>
        <w:top w:val="single" w:sz="24" w:space="0" w:color="4D4D4D" w:themeColor="accent6"/>
        <w:left w:val="single" w:sz="24" w:space="0" w:color="4D4D4D" w:themeColor="accent6"/>
        <w:bottom w:val="single" w:sz="24" w:space="0" w:color="4D4D4D" w:themeColor="accent6"/>
        <w:right w:val="single" w:sz="24" w:space="0" w:color="4D4D4D" w:themeColor="accent6"/>
      </w:tblBorders>
    </w:tblPr>
    <w:tcPr>
      <w:shd w:val="clear" w:color="auto" w:fill="4D4D4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ED6583"/>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ED6583"/>
    <w:pPr>
      <w:spacing w:line="240" w:lineRule="auto"/>
    </w:pPr>
    <w:rPr>
      <w:color w:val="A5A5A5" w:themeColor="accent1" w:themeShade="BF"/>
    </w:rPr>
    <w:tblPr>
      <w:tblStyleRowBandSize w:val="1"/>
      <w:tblStyleColBandSize w:val="1"/>
      <w:tblBorders>
        <w:top w:val="single" w:sz="4" w:space="0" w:color="DDDDDD" w:themeColor="accent1"/>
        <w:bottom w:val="single" w:sz="4" w:space="0" w:color="DDDDDD" w:themeColor="accent1"/>
      </w:tblBorders>
    </w:tblPr>
    <w:tblStylePr w:type="firstRow">
      <w:rPr>
        <w:b/>
        <w:bCs/>
      </w:rPr>
      <w:tblPr/>
      <w:tcPr>
        <w:tcBorders>
          <w:bottom w:val="single" w:sz="4" w:space="0" w:color="DDDDDD" w:themeColor="accent1"/>
        </w:tcBorders>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6Colorful-Accent2">
    <w:name w:val="List Table 6 Colorful Accent 2"/>
    <w:basedOn w:val="TableNormal"/>
    <w:uiPriority w:val="51"/>
    <w:rsid w:val="00ED6583"/>
    <w:pPr>
      <w:spacing w:line="240" w:lineRule="auto"/>
    </w:pPr>
    <w:rPr>
      <w:color w:val="858585" w:themeColor="accent2" w:themeShade="BF"/>
    </w:rPr>
    <w:tblPr>
      <w:tblStyleRowBandSize w:val="1"/>
      <w:tblStyleColBandSize w:val="1"/>
      <w:tblBorders>
        <w:top w:val="single" w:sz="4" w:space="0" w:color="B2B2B2" w:themeColor="accent2"/>
        <w:bottom w:val="single" w:sz="4" w:space="0" w:color="B2B2B2" w:themeColor="accent2"/>
      </w:tblBorders>
    </w:tblPr>
    <w:tblStylePr w:type="firstRow">
      <w:rPr>
        <w:b/>
        <w:bCs/>
      </w:rPr>
      <w:tblPr/>
      <w:tcPr>
        <w:tcBorders>
          <w:bottom w:val="single" w:sz="4" w:space="0" w:color="B2B2B2" w:themeColor="accent2"/>
        </w:tcBorders>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6Colorful-Accent3">
    <w:name w:val="List Table 6 Colorful Accent 3"/>
    <w:basedOn w:val="TableNormal"/>
    <w:uiPriority w:val="51"/>
    <w:rsid w:val="00ED6583"/>
    <w:pPr>
      <w:spacing w:line="240" w:lineRule="auto"/>
    </w:pPr>
    <w:rPr>
      <w:color w:val="707070" w:themeColor="accent3" w:themeShade="BF"/>
    </w:rPr>
    <w:tblPr>
      <w:tblStyleRowBandSize w:val="1"/>
      <w:tblStyleColBandSize w:val="1"/>
      <w:tblBorders>
        <w:top w:val="single" w:sz="4" w:space="0" w:color="969696" w:themeColor="accent3"/>
        <w:bottom w:val="single" w:sz="4" w:space="0" w:color="969696" w:themeColor="accent3"/>
      </w:tblBorders>
    </w:tblPr>
    <w:tblStylePr w:type="firstRow">
      <w:rPr>
        <w:b/>
        <w:bCs/>
      </w:rPr>
      <w:tblPr/>
      <w:tcPr>
        <w:tcBorders>
          <w:bottom w:val="single" w:sz="4" w:space="0" w:color="969696" w:themeColor="accent3"/>
        </w:tcBorders>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6Colorful-Accent4">
    <w:name w:val="List Table 6 Colorful Accent 4"/>
    <w:basedOn w:val="TableNormal"/>
    <w:uiPriority w:val="51"/>
    <w:rsid w:val="00ED6583"/>
    <w:pPr>
      <w:spacing w:line="240" w:lineRule="auto"/>
    </w:pPr>
    <w:rPr>
      <w:color w:val="5F5F5F" w:themeColor="accent4" w:themeShade="BF"/>
    </w:rPr>
    <w:tblPr>
      <w:tblStyleRowBandSize w:val="1"/>
      <w:tblStyleColBandSize w:val="1"/>
      <w:tblBorders>
        <w:top w:val="single" w:sz="4" w:space="0" w:color="808080" w:themeColor="accent4"/>
        <w:bottom w:val="single" w:sz="4" w:space="0" w:color="808080" w:themeColor="accent4"/>
      </w:tblBorders>
    </w:tblPr>
    <w:tblStylePr w:type="firstRow">
      <w:rPr>
        <w:b/>
        <w:bCs/>
      </w:rPr>
      <w:tblPr/>
      <w:tcPr>
        <w:tcBorders>
          <w:bottom w:val="single" w:sz="4" w:space="0" w:color="808080" w:themeColor="accent4"/>
        </w:tcBorders>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6Colorful-Accent5">
    <w:name w:val="List Table 6 Colorful Accent 5"/>
    <w:basedOn w:val="TableNormal"/>
    <w:uiPriority w:val="51"/>
    <w:rsid w:val="00ED6583"/>
    <w:pPr>
      <w:spacing w:line="240" w:lineRule="auto"/>
    </w:pPr>
    <w:rPr>
      <w:color w:val="474747" w:themeColor="accent5" w:themeShade="BF"/>
    </w:rPr>
    <w:tblPr>
      <w:tblStyleRowBandSize w:val="1"/>
      <w:tblStyleColBandSize w:val="1"/>
      <w:tblBorders>
        <w:top w:val="single" w:sz="4" w:space="0" w:color="5F5F5F" w:themeColor="accent5"/>
        <w:bottom w:val="single" w:sz="4" w:space="0" w:color="5F5F5F" w:themeColor="accent5"/>
      </w:tblBorders>
    </w:tblPr>
    <w:tblStylePr w:type="firstRow">
      <w:rPr>
        <w:b/>
        <w:bCs/>
      </w:rPr>
      <w:tblPr/>
      <w:tcPr>
        <w:tcBorders>
          <w:bottom w:val="single" w:sz="4" w:space="0" w:color="5F5F5F" w:themeColor="accent5"/>
        </w:tcBorders>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6Colorful-Accent6">
    <w:name w:val="List Table 6 Colorful Accent 6"/>
    <w:basedOn w:val="TableNormal"/>
    <w:uiPriority w:val="51"/>
    <w:rsid w:val="00ED6583"/>
    <w:pPr>
      <w:spacing w:line="240" w:lineRule="auto"/>
    </w:pPr>
    <w:rPr>
      <w:color w:val="393939" w:themeColor="accent6" w:themeShade="BF"/>
    </w:rPr>
    <w:tblPr>
      <w:tblStyleRowBandSize w:val="1"/>
      <w:tblStyleColBandSize w:val="1"/>
      <w:tblBorders>
        <w:top w:val="single" w:sz="4" w:space="0" w:color="4D4D4D" w:themeColor="accent6"/>
        <w:bottom w:val="single" w:sz="4" w:space="0" w:color="4D4D4D" w:themeColor="accent6"/>
      </w:tblBorders>
    </w:tblPr>
    <w:tblStylePr w:type="firstRow">
      <w:rPr>
        <w:b/>
        <w:bCs/>
      </w:rPr>
      <w:tblPr/>
      <w:tcPr>
        <w:tcBorders>
          <w:bottom w:val="single" w:sz="4" w:space="0" w:color="4D4D4D" w:themeColor="accent6"/>
        </w:tcBorders>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7Colorful">
    <w:name w:val="List Table 7 Colorful"/>
    <w:basedOn w:val="TableNormal"/>
    <w:uiPriority w:val="52"/>
    <w:rsid w:val="00ED6583"/>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ED6583"/>
    <w:pPr>
      <w:spacing w:line="240" w:lineRule="auto"/>
    </w:pPr>
    <w:rPr>
      <w:color w:val="A5A5A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DDDD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DDDD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DDDD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DDDDD" w:themeColor="accent1"/>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ED6583"/>
    <w:pPr>
      <w:spacing w:line="240" w:lineRule="auto"/>
    </w:pPr>
    <w:rPr>
      <w:color w:val="858585"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2B2B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2B2B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2B2B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2B2B2" w:themeColor="accent2"/>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ED6583"/>
    <w:pPr>
      <w:spacing w:line="240" w:lineRule="auto"/>
    </w:pPr>
    <w:rPr>
      <w:color w:val="70707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9696"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9696"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9696"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9696" w:themeColor="accent3"/>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ED6583"/>
    <w:pPr>
      <w:spacing w:line="240" w:lineRule="auto"/>
    </w:pPr>
    <w:rPr>
      <w:color w:val="5F5F5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808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808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808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8080" w:themeColor="accent4"/>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ED6583"/>
    <w:pPr>
      <w:spacing w:line="240" w:lineRule="auto"/>
    </w:pPr>
    <w:rPr>
      <w:color w:val="474747"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F5F5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F5F5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F5F5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F5F5F" w:themeColor="accent5"/>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ED6583"/>
    <w:pPr>
      <w:spacing w:line="240" w:lineRule="auto"/>
    </w:pPr>
    <w:rPr>
      <w:color w:val="393939"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D4D4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D4D4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D4D4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D4D4D" w:themeColor="accent6"/>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ED6583"/>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D6583"/>
    <w:pPr>
      <w:spacing w:line="240" w:lineRule="auto"/>
    </w:pPr>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insideV w:val="single" w:sz="8" w:space="0" w:color="E5E5E5" w:themeColor="accent1" w:themeTint="BF"/>
      </w:tblBorders>
    </w:tblPr>
    <w:tcPr>
      <w:shd w:val="clear" w:color="auto" w:fill="F6F6F6" w:themeFill="accent1" w:themeFillTint="3F"/>
    </w:tcPr>
    <w:tblStylePr w:type="firstRow">
      <w:rPr>
        <w:b/>
        <w:bCs/>
      </w:rPr>
    </w:tblStylePr>
    <w:tblStylePr w:type="lastRow">
      <w:rPr>
        <w:b/>
        <w:bCs/>
      </w:rPr>
      <w:tblPr/>
      <w:tcPr>
        <w:tcBorders>
          <w:top w:val="single" w:sz="18" w:space="0" w:color="E5E5E5" w:themeColor="accent1" w:themeTint="BF"/>
        </w:tcBorders>
      </w:tcPr>
    </w:tblStylePr>
    <w:tblStylePr w:type="firstCol">
      <w:rPr>
        <w:b/>
        <w:bCs/>
      </w:rPr>
    </w:tblStylePr>
    <w:tblStylePr w:type="lastCol">
      <w:rPr>
        <w:b/>
        <w:bCs/>
      </w:r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MediumGrid1-Accent2">
    <w:name w:val="Medium Grid 1 Accent 2"/>
    <w:basedOn w:val="TableNormal"/>
    <w:uiPriority w:val="67"/>
    <w:semiHidden/>
    <w:unhideWhenUsed/>
    <w:rsid w:val="00ED6583"/>
    <w:pPr>
      <w:spacing w:line="240" w:lineRule="auto"/>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insideV w:val="single" w:sz="8" w:space="0" w:color="C5C5C5" w:themeColor="accent2" w:themeTint="BF"/>
      </w:tblBorders>
    </w:tblPr>
    <w:tcPr>
      <w:shd w:val="clear" w:color="auto" w:fill="EBEBEB" w:themeFill="accent2" w:themeFillTint="3F"/>
    </w:tcPr>
    <w:tblStylePr w:type="firstRow">
      <w:rPr>
        <w:b/>
        <w:bCs/>
      </w:rPr>
    </w:tblStylePr>
    <w:tblStylePr w:type="lastRow">
      <w:rPr>
        <w:b/>
        <w:bCs/>
      </w:rPr>
      <w:tblPr/>
      <w:tcPr>
        <w:tcBorders>
          <w:top w:val="single" w:sz="18" w:space="0" w:color="C5C5C5" w:themeColor="accent2" w:themeTint="BF"/>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semiHidden/>
    <w:unhideWhenUsed/>
    <w:rsid w:val="00ED6583"/>
    <w:pPr>
      <w:spacing w:line="240" w:lineRule="auto"/>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insideV w:val="single" w:sz="8" w:space="0" w:color="B0B0B0" w:themeColor="accent3" w:themeTint="BF"/>
      </w:tblBorders>
    </w:tblPr>
    <w:tcPr>
      <w:shd w:val="clear" w:color="auto" w:fill="E5E5E5" w:themeFill="accent3" w:themeFillTint="3F"/>
    </w:tcPr>
    <w:tblStylePr w:type="firstRow">
      <w:rPr>
        <w:b/>
        <w:bCs/>
      </w:rPr>
    </w:tblStylePr>
    <w:tblStylePr w:type="lastRow">
      <w:rPr>
        <w:b/>
        <w:bCs/>
      </w:rPr>
      <w:tblPr/>
      <w:tcPr>
        <w:tcBorders>
          <w:top w:val="single" w:sz="18" w:space="0" w:color="B0B0B0" w:themeColor="accent3" w:themeTint="BF"/>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semiHidden/>
    <w:unhideWhenUsed/>
    <w:rsid w:val="00ED6583"/>
    <w:pPr>
      <w:spacing w:line="240" w:lineRule="auto"/>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insideV w:val="single" w:sz="8" w:space="0" w:color="9F9F9F" w:themeColor="accent4" w:themeTint="BF"/>
      </w:tblBorders>
    </w:tblPr>
    <w:tcPr>
      <w:shd w:val="clear" w:color="auto" w:fill="DFDFDF" w:themeFill="accent4" w:themeFillTint="3F"/>
    </w:tcPr>
    <w:tblStylePr w:type="firstRow">
      <w:rPr>
        <w:b/>
        <w:bCs/>
      </w:rPr>
    </w:tblStylePr>
    <w:tblStylePr w:type="lastRow">
      <w:rPr>
        <w:b/>
        <w:bCs/>
      </w:rPr>
      <w:tblPr/>
      <w:tcPr>
        <w:tcBorders>
          <w:top w:val="single" w:sz="18" w:space="0" w:color="9F9F9F" w:themeColor="accent4" w:themeTint="BF"/>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semiHidden/>
    <w:unhideWhenUsed/>
    <w:rsid w:val="00ED6583"/>
    <w:pPr>
      <w:spacing w:line="240" w:lineRule="auto"/>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insideV w:val="single" w:sz="8" w:space="0" w:color="878787" w:themeColor="accent5" w:themeTint="BF"/>
      </w:tblBorders>
    </w:tblPr>
    <w:tcPr>
      <w:shd w:val="clear" w:color="auto" w:fill="D7D7D7" w:themeFill="accent5" w:themeFillTint="3F"/>
    </w:tcPr>
    <w:tblStylePr w:type="firstRow">
      <w:rPr>
        <w:b/>
        <w:bCs/>
      </w:rPr>
    </w:tblStylePr>
    <w:tblStylePr w:type="lastRow">
      <w:rPr>
        <w:b/>
        <w:bCs/>
      </w:rPr>
      <w:tblPr/>
      <w:tcPr>
        <w:tcBorders>
          <w:top w:val="single" w:sz="18" w:space="0" w:color="878787" w:themeColor="accent5" w:themeTint="BF"/>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semiHidden/>
    <w:unhideWhenUsed/>
    <w:rsid w:val="00ED6583"/>
    <w:pPr>
      <w:spacing w:line="240" w:lineRule="auto"/>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insideV w:val="single" w:sz="8" w:space="0" w:color="797979" w:themeColor="accent6" w:themeTint="BF"/>
      </w:tblBorders>
    </w:tblPr>
    <w:tcPr>
      <w:shd w:val="clear" w:color="auto" w:fill="D3D3D3" w:themeFill="accent6" w:themeFillTint="3F"/>
    </w:tcPr>
    <w:tblStylePr w:type="firstRow">
      <w:rPr>
        <w:b/>
        <w:bCs/>
      </w:rPr>
    </w:tblStylePr>
    <w:tblStylePr w:type="lastRow">
      <w:rPr>
        <w:b/>
        <w:bCs/>
      </w:rPr>
      <w:tblPr/>
      <w:tcPr>
        <w:tcBorders>
          <w:top w:val="single" w:sz="18" w:space="0" w:color="797979" w:themeColor="accent6" w:themeTint="BF"/>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
    <w:name w:val="Medium Grid 2"/>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cPr>
      <w:shd w:val="clear" w:color="auto" w:fill="F6F6F6" w:themeFill="accent1" w:themeFillTint="3F"/>
    </w:tcPr>
    <w:tblStylePr w:type="firstRow">
      <w:rPr>
        <w:b/>
        <w:bCs/>
        <w:color w:val="000000" w:themeColor="text1"/>
      </w:rPr>
      <w:tblPr/>
      <w:tcPr>
        <w:shd w:val="clear" w:color="auto" w:fill="FBFB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8F8" w:themeFill="accent1" w:themeFillTint="33"/>
      </w:tcPr>
    </w:tblStylePr>
    <w:tblStylePr w:type="band1Vert">
      <w:tblPr/>
      <w:tcPr>
        <w:shd w:val="clear" w:color="auto" w:fill="EEEEEE" w:themeFill="accent1" w:themeFillTint="7F"/>
      </w:tcPr>
    </w:tblStylePr>
    <w:tblStylePr w:type="band1Horz">
      <w:tblPr/>
      <w:tcPr>
        <w:tcBorders>
          <w:insideH w:val="single" w:sz="6" w:space="0" w:color="DDDDDD" w:themeColor="accent1"/>
          <w:insideV w:val="single" w:sz="6" w:space="0" w:color="DDDDDD" w:themeColor="accent1"/>
        </w:tcBorders>
        <w:shd w:val="clear" w:color="auto" w:fill="EEEEE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sz="6" w:space="0" w:color="B2B2B2" w:themeColor="accent2"/>
          <w:insideV w:val="single" w:sz="6" w:space="0" w:color="B2B2B2" w:themeColor="accent2"/>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sz="6" w:space="0" w:color="969696" w:themeColor="accent3"/>
          <w:insideV w:val="single" w:sz="6" w:space="0" w:color="969696" w:themeColor="accent3"/>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sz="6" w:space="0" w:color="808080" w:themeColor="accent4"/>
          <w:insideV w:val="single" w:sz="6" w:space="0" w:color="808080" w:themeColor="accent4"/>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sz="6" w:space="0" w:color="5F5F5F" w:themeColor="accent5"/>
          <w:insideV w:val="single" w:sz="6" w:space="0" w:color="5F5F5F" w:themeColor="accent5"/>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sz="6" w:space="0" w:color="4D4D4D" w:themeColor="accent6"/>
          <w:insideV w:val="single" w:sz="6" w:space="0" w:color="4D4D4D" w:themeColor="accent6"/>
        </w:tcBorders>
        <w:shd w:val="clear" w:color="auto" w:fill="A6A6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F6F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DDD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DDD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EEE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EEEE" w:themeFill="accent1" w:themeFillTint="7F"/>
      </w:tcPr>
    </w:tblStylePr>
  </w:style>
  <w:style w:type="table" w:styleId="MediumGrid3-Accent2">
    <w:name w:val="Medium Grid 3 Accent 2"/>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EB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2B2B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2B2B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D8D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D8D8" w:themeFill="accent2" w:themeFillTint="7F"/>
      </w:tcPr>
    </w:tblStylePr>
  </w:style>
  <w:style w:type="table" w:styleId="MediumGrid3-Accent3">
    <w:name w:val="Medium Grid 3 Accent 3"/>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969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969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AC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ACA" w:themeFill="accent3" w:themeFillTint="7F"/>
      </w:tcPr>
    </w:tblStylePr>
  </w:style>
  <w:style w:type="table" w:styleId="MediumGrid3-Accent4">
    <w:name w:val="Medium Grid 3 Accent 4"/>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4" w:themeFillTint="7F"/>
      </w:tcPr>
    </w:tblStylePr>
  </w:style>
  <w:style w:type="table" w:styleId="MediumGrid3-Accent5">
    <w:name w:val="Medium Grid 3 Accent 5"/>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7D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F5F5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F5F5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AFA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AFAF" w:themeFill="accent5" w:themeFillTint="7F"/>
      </w:tcPr>
    </w:tblStylePr>
  </w:style>
  <w:style w:type="table" w:styleId="MediumGrid3-Accent6">
    <w:name w:val="Medium Grid 3 Accent 6"/>
    <w:basedOn w:val="TableNormal"/>
    <w:uiPriority w:val="69"/>
    <w:semiHidden/>
    <w:unhideWhenUsed/>
    <w:rsid w:val="00ED6583"/>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3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D4D4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D4D4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A6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A6A6" w:themeFill="accent6" w:themeFillTint="7F"/>
      </w:tcPr>
    </w:tblStylePr>
  </w:style>
  <w:style w:type="table" w:styleId="MediumList1">
    <w:name w:val="Medium List 1"/>
    <w:basedOn w:val="TableNormal"/>
    <w:uiPriority w:val="65"/>
    <w:semiHidden/>
    <w:unhideWhenUsed/>
    <w:rsid w:val="00ED6583"/>
    <w:pPr>
      <w:spacing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ED6583"/>
    <w:pPr>
      <w:spacing w:line="240" w:lineRule="auto"/>
    </w:pPr>
    <w:rPr>
      <w:color w:val="000000" w:themeColor="text1"/>
    </w:rPr>
    <w:tblPr>
      <w:tblStyleRowBandSize w:val="1"/>
      <w:tblStyleColBandSize w:val="1"/>
      <w:tblBorders>
        <w:top w:val="single" w:sz="8" w:space="0" w:color="DDDDDD" w:themeColor="accent1"/>
        <w:bottom w:val="single" w:sz="8" w:space="0" w:color="DDDDDD" w:themeColor="accent1"/>
      </w:tblBorders>
    </w:tblPr>
    <w:tblStylePr w:type="firstRow">
      <w:rPr>
        <w:rFonts w:asciiTheme="majorHAnsi" w:eastAsiaTheme="majorEastAsia" w:hAnsiTheme="majorHAnsi" w:cstheme="majorBidi"/>
      </w:rPr>
      <w:tblPr/>
      <w:tcPr>
        <w:tcBorders>
          <w:top w:val="nil"/>
          <w:bottom w:val="single" w:sz="8" w:space="0" w:color="DDDDDD" w:themeColor="accent1"/>
        </w:tcBorders>
      </w:tcPr>
    </w:tblStylePr>
    <w:tblStylePr w:type="lastRow">
      <w:rPr>
        <w:b/>
        <w:bCs/>
        <w:color w:val="000000" w:themeColor="text2"/>
      </w:rPr>
      <w:tblPr/>
      <w:tcPr>
        <w:tcBorders>
          <w:top w:val="single" w:sz="8" w:space="0" w:color="DDDDDD" w:themeColor="accent1"/>
          <w:bottom w:val="single" w:sz="8" w:space="0" w:color="DDDDDD" w:themeColor="accent1"/>
        </w:tcBorders>
      </w:tcPr>
    </w:tblStylePr>
    <w:tblStylePr w:type="firstCol">
      <w:rPr>
        <w:b/>
        <w:bCs/>
      </w:rPr>
    </w:tblStylePr>
    <w:tblStylePr w:type="lastCol">
      <w:rPr>
        <w:b/>
        <w:bCs/>
      </w:rPr>
      <w:tblPr/>
      <w:tcPr>
        <w:tcBorders>
          <w:top w:val="single" w:sz="8" w:space="0" w:color="DDDDDD" w:themeColor="accent1"/>
          <w:bottom w:val="single" w:sz="8" w:space="0" w:color="DDDDDD" w:themeColor="accent1"/>
        </w:tcBorders>
      </w:tcPr>
    </w:tblStylePr>
    <w:tblStylePr w:type="band1Vert">
      <w:tblPr/>
      <w:tcPr>
        <w:shd w:val="clear" w:color="auto" w:fill="F6F6F6" w:themeFill="accent1" w:themeFillTint="3F"/>
      </w:tcPr>
    </w:tblStylePr>
    <w:tblStylePr w:type="band1Horz">
      <w:tblPr/>
      <w:tcPr>
        <w:shd w:val="clear" w:color="auto" w:fill="F6F6F6" w:themeFill="accent1" w:themeFillTint="3F"/>
      </w:tcPr>
    </w:tblStylePr>
  </w:style>
  <w:style w:type="table" w:styleId="MediumList1-Accent2">
    <w:name w:val="Medium List 1 Accent 2"/>
    <w:basedOn w:val="TableNormal"/>
    <w:uiPriority w:val="65"/>
    <w:semiHidden/>
    <w:unhideWhenUsed/>
    <w:rsid w:val="00ED6583"/>
    <w:pPr>
      <w:spacing w:line="240" w:lineRule="auto"/>
    </w:pPr>
    <w:rPr>
      <w:color w:val="000000" w:themeColor="text1"/>
    </w:rPr>
    <w:tblPr>
      <w:tblStyleRowBandSize w:val="1"/>
      <w:tblStyleColBandSize w:val="1"/>
      <w:tblBorders>
        <w:top w:val="single" w:sz="8" w:space="0" w:color="B2B2B2" w:themeColor="accent2"/>
        <w:bottom w:val="single" w:sz="8" w:space="0" w:color="B2B2B2" w:themeColor="accent2"/>
      </w:tblBorders>
    </w:tblPr>
    <w:tblStylePr w:type="firstRow">
      <w:rPr>
        <w:rFonts w:asciiTheme="majorHAnsi" w:eastAsiaTheme="majorEastAsia" w:hAnsiTheme="majorHAnsi" w:cstheme="majorBidi"/>
      </w:rPr>
      <w:tblPr/>
      <w:tcPr>
        <w:tcBorders>
          <w:top w:val="nil"/>
          <w:bottom w:val="single" w:sz="8" w:space="0" w:color="B2B2B2" w:themeColor="accent2"/>
        </w:tcBorders>
      </w:tcPr>
    </w:tblStylePr>
    <w:tblStylePr w:type="lastRow">
      <w:rPr>
        <w:b/>
        <w:bCs/>
        <w:color w:val="000000" w:themeColor="text2"/>
      </w:rPr>
      <w:tblPr/>
      <w:tcPr>
        <w:tcBorders>
          <w:top w:val="single" w:sz="8" w:space="0" w:color="B2B2B2" w:themeColor="accent2"/>
          <w:bottom w:val="single" w:sz="8" w:space="0" w:color="B2B2B2" w:themeColor="accent2"/>
        </w:tcBorders>
      </w:tcPr>
    </w:tblStylePr>
    <w:tblStylePr w:type="firstCol">
      <w:rPr>
        <w:b/>
        <w:bCs/>
      </w:rPr>
    </w:tblStylePr>
    <w:tblStylePr w:type="lastCol">
      <w:rPr>
        <w:b/>
        <w:bCs/>
      </w:rPr>
      <w:tblPr/>
      <w:tcPr>
        <w:tcBorders>
          <w:top w:val="single" w:sz="8" w:space="0" w:color="B2B2B2" w:themeColor="accent2"/>
          <w:bottom w:val="single" w:sz="8" w:space="0" w:color="B2B2B2" w:themeColor="accent2"/>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semiHidden/>
    <w:unhideWhenUsed/>
    <w:rsid w:val="00ED6583"/>
    <w:pPr>
      <w:spacing w:line="240" w:lineRule="auto"/>
    </w:pPr>
    <w:rPr>
      <w:color w:val="000000" w:themeColor="text1"/>
    </w:rPr>
    <w:tblPr>
      <w:tblStyleRowBandSize w:val="1"/>
      <w:tblStyleColBandSize w:val="1"/>
      <w:tblBorders>
        <w:top w:val="single" w:sz="8" w:space="0" w:color="969696" w:themeColor="accent3"/>
        <w:bottom w:val="single" w:sz="8" w:space="0" w:color="969696" w:themeColor="accent3"/>
      </w:tblBorders>
    </w:tblPr>
    <w:tblStylePr w:type="firstRow">
      <w:rPr>
        <w:rFonts w:asciiTheme="majorHAnsi" w:eastAsiaTheme="majorEastAsia" w:hAnsiTheme="majorHAnsi" w:cstheme="majorBidi"/>
      </w:rPr>
      <w:tblPr/>
      <w:tcPr>
        <w:tcBorders>
          <w:top w:val="nil"/>
          <w:bottom w:val="single" w:sz="8" w:space="0" w:color="969696" w:themeColor="accent3"/>
        </w:tcBorders>
      </w:tcPr>
    </w:tblStylePr>
    <w:tblStylePr w:type="lastRow">
      <w:rPr>
        <w:b/>
        <w:bCs/>
        <w:color w:val="000000" w:themeColor="text2"/>
      </w:rPr>
      <w:tblPr/>
      <w:tcPr>
        <w:tcBorders>
          <w:top w:val="single" w:sz="8" w:space="0" w:color="969696" w:themeColor="accent3"/>
          <w:bottom w:val="single" w:sz="8" w:space="0" w:color="969696" w:themeColor="accent3"/>
        </w:tcBorders>
      </w:tcPr>
    </w:tblStylePr>
    <w:tblStylePr w:type="firstCol">
      <w:rPr>
        <w:b/>
        <w:bCs/>
      </w:rPr>
    </w:tblStylePr>
    <w:tblStylePr w:type="lastCol">
      <w:rPr>
        <w:b/>
        <w:bCs/>
      </w:rPr>
      <w:tblPr/>
      <w:tcPr>
        <w:tcBorders>
          <w:top w:val="single" w:sz="8" w:space="0" w:color="969696" w:themeColor="accent3"/>
          <w:bottom w:val="single" w:sz="8" w:space="0" w:color="969696" w:themeColor="accent3"/>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semiHidden/>
    <w:unhideWhenUsed/>
    <w:rsid w:val="00ED6583"/>
    <w:pPr>
      <w:spacing w:line="240" w:lineRule="auto"/>
    </w:pPr>
    <w:rPr>
      <w:color w:val="000000" w:themeColor="text1"/>
    </w:rPr>
    <w:tblPr>
      <w:tblStyleRowBandSize w:val="1"/>
      <w:tblStyleColBandSize w:val="1"/>
      <w:tblBorders>
        <w:top w:val="single" w:sz="8" w:space="0" w:color="808080" w:themeColor="accent4"/>
        <w:bottom w:val="single" w:sz="8" w:space="0" w:color="808080" w:themeColor="accent4"/>
      </w:tblBorders>
    </w:tblPr>
    <w:tblStylePr w:type="firstRow">
      <w:rPr>
        <w:rFonts w:asciiTheme="majorHAnsi" w:eastAsiaTheme="majorEastAsia" w:hAnsiTheme="majorHAnsi" w:cstheme="majorBidi"/>
      </w:rPr>
      <w:tblPr/>
      <w:tcPr>
        <w:tcBorders>
          <w:top w:val="nil"/>
          <w:bottom w:val="single" w:sz="8" w:space="0" w:color="808080" w:themeColor="accent4"/>
        </w:tcBorders>
      </w:tcPr>
    </w:tblStylePr>
    <w:tblStylePr w:type="lastRow">
      <w:rPr>
        <w:b/>
        <w:bCs/>
        <w:color w:val="000000" w:themeColor="text2"/>
      </w:rPr>
      <w:tblPr/>
      <w:tcPr>
        <w:tcBorders>
          <w:top w:val="single" w:sz="8" w:space="0" w:color="808080" w:themeColor="accent4"/>
          <w:bottom w:val="single" w:sz="8" w:space="0" w:color="808080" w:themeColor="accent4"/>
        </w:tcBorders>
      </w:tcPr>
    </w:tblStylePr>
    <w:tblStylePr w:type="firstCol">
      <w:rPr>
        <w:b/>
        <w:bCs/>
      </w:rPr>
    </w:tblStylePr>
    <w:tblStylePr w:type="lastCol">
      <w:rPr>
        <w:b/>
        <w:bCs/>
      </w:rPr>
      <w:tblPr/>
      <w:tcPr>
        <w:tcBorders>
          <w:top w:val="single" w:sz="8" w:space="0" w:color="808080" w:themeColor="accent4"/>
          <w:bottom w:val="single" w:sz="8" w:space="0" w:color="808080" w:themeColor="accent4"/>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semiHidden/>
    <w:unhideWhenUsed/>
    <w:rsid w:val="00ED6583"/>
    <w:pPr>
      <w:spacing w:line="240" w:lineRule="auto"/>
    </w:pPr>
    <w:rPr>
      <w:color w:val="000000" w:themeColor="text1"/>
    </w:rPr>
    <w:tblPr>
      <w:tblStyleRowBandSize w:val="1"/>
      <w:tblStyleColBandSize w:val="1"/>
      <w:tblBorders>
        <w:top w:val="single" w:sz="8" w:space="0" w:color="5F5F5F" w:themeColor="accent5"/>
        <w:bottom w:val="single" w:sz="8" w:space="0" w:color="5F5F5F" w:themeColor="accent5"/>
      </w:tblBorders>
    </w:tblPr>
    <w:tblStylePr w:type="firstRow">
      <w:rPr>
        <w:rFonts w:asciiTheme="majorHAnsi" w:eastAsiaTheme="majorEastAsia" w:hAnsiTheme="majorHAnsi" w:cstheme="majorBidi"/>
      </w:rPr>
      <w:tblPr/>
      <w:tcPr>
        <w:tcBorders>
          <w:top w:val="nil"/>
          <w:bottom w:val="single" w:sz="8" w:space="0" w:color="5F5F5F" w:themeColor="accent5"/>
        </w:tcBorders>
      </w:tcPr>
    </w:tblStylePr>
    <w:tblStylePr w:type="lastRow">
      <w:rPr>
        <w:b/>
        <w:bCs/>
        <w:color w:val="000000" w:themeColor="text2"/>
      </w:rPr>
      <w:tblPr/>
      <w:tcPr>
        <w:tcBorders>
          <w:top w:val="single" w:sz="8" w:space="0" w:color="5F5F5F" w:themeColor="accent5"/>
          <w:bottom w:val="single" w:sz="8" w:space="0" w:color="5F5F5F" w:themeColor="accent5"/>
        </w:tcBorders>
      </w:tcPr>
    </w:tblStylePr>
    <w:tblStylePr w:type="firstCol">
      <w:rPr>
        <w:b/>
        <w:bCs/>
      </w:rPr>
    </w:tblStylePr>
    <w:tblStylePr w:type="lastCol">
      <w:rPr>
        <w:b/>
        <w:bCs/>
      </w:rPr>
      <w:tblPr/>
      <w:tcPr>
        <w:tcBorders>
          <w:top w:val="single" w:sz="8" w:space="0" w:color="5F5F5F" w:themeColor="accent5"/>
          <w:bottom w:val="single" w:sz="8" w:space="0" w:color="5F5F5F" w:themeColor="accent5"/>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semiHidden/>
    <w:unhideWhenUsed/>
    <w:rsid w:val="00ED6583"/>
    <w:pPr>
      <w:spacing w:line="240" w:lineRule="auto"/>
    </w:pPr>
    <w:rPr>
      <w:color w:val="000000" w:themeColor="text1"/>
    </w:rPr>
    <w:tblPr>
      <w:tblStyleRowBandSize w:val="1"/>
      <w:tblStyleColBandSize w:val="1"/>
      <w:tblBorders>
        <w:top w:val="single" w:sz="8" w:space="0" w:color="4D4D4D" w:themeColor="accent6"/>
        <w:bottom w:val="single" w:sz="8" w:space="0" w:color="4D4D4D" w:themeColor="accent6"/>
      </w:tblBorders>
    </w:tblPr>
    <w:tblStylePr w:type="firstRow">
      <w:rPr>
        <w:rFonts w:asciiTheme="majorHAnsi" w:eastAsiaTheme="majorEastAsia" w:hAnsiTheme="majorHAnsi" w:cstheme="majorBidi"/>
      </w:rPr>
      <w:tblPr/>
      <w:tcPr>
        <w:tcBorders>
          <w:top w:val="nil"/>
          <w:bottom w:val="single" w:sz="8" w:space="0" w:color="4D4D4D" w:themeColor="accent6"/>
        </w:tcBorders>
      </w:tcPr>
    </w:tblStylePr>
    <w:tblStylePr w:type="lastRow">
      <w:rPr>
        <w:b/>
        <w:bCs/>
        <w:color w:val="000000" w:themeColor="text2"/>
      </w:rPr>
      <w:tblPr/>
      <w:tcPr>
        <w:tcBorders>
          <w:top w:val="single" w:sz="8" w:space="0" w:color="4D4D4D" w:themeColor="accent6"/>
          <w:bottom w:val="single" w:sz="8" w:space="0" w:color="4D4D4D" w:themeColor="accent6"/>
        </w:tcBorders>
      </w:tcPr>
    </w:tblStylePr>
    <w:tblStylePr w:type="firstCol">
      <w:rPr>
        <w:b/>
        <w:bCs/>
      </w:rPr>
    </w:tblStylePr>
    <w:tblStylePr w:type="lastCol">
      <w:rPr>
        <w:b/>
        <w:bCs/>
      </w:rPr>
      <w:tblPr/>
      <w:tcPr>
        <w:tcBorders>
          <w:top w:val="single" w:sz="8" w:space="0" w:color="4D4D4D" w:themeColor="accent6"/>
          <w:bottom w:val="single" w:sz="8" w:space="0" w:color="4D4D4D" w:themeColor="accent6"/>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
    <w:name w:val="Medium List 2"/>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rPr>
        <w:sz w:val="24"/>
        <w:szCs w:val="24"/>
      </w:rPr>
      <w:tblPr/>
      <w:tcPr>
        <w:tcBorders>
          <w:top w:val="nil"/>
          <w:left w:val="nil"/>
          <w:bottom w:val="single" w:sz="24" w:space="0" w:color="DDDDDD"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DDDD" w:themeColor="accent1"/>
          <w:insideH w:val="nil"/>
          <w:insideV w:val="nil"/>
        </w:tcBorders>
        <w:shd w:val="clear" w:color="auto" w:fill="FFFFFF" w:themeFill="background1"/>
      </w:tcPr>
    </w:tblStylePr>
    <w:tblStylePr w:type="lastCol">
      <w:tblPr/>
      <w:tcPr>
        <w:tcBorders>
          <w:top w:val="nil"/>
          <w:left w:val="single" w:sz="8" w:space="0" w:color="DDDDD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top w:val="nil"/>
          <w:bottom w:val="nil"/>
          <w:insideH w:val="nil"/>
          <w:insideV w:val="nil"/>
        </w:tcBorders>
        <w:shd w:val="clear" w:color="auto" w:fill="F6F6F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rPr>
        <w:sz w:val="24"/>
        <w:szCs w:val="24"/>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2B2B2" w:themeColor="accent2"/>
          <w:insideH w:val="nil"/>
          <w:insideV w:val="nil"/>
        </w:tcBorders>
        <w:shd w:val="clear" w:color="auto" w:fill="FFFFFF" w:themeFill="background1"/>
      </w:tcPr>
    </w:tblStylePr>
    <w:tblStylePr w:type="lastCol">
      <w:tblPr/>
      <w:tcPr>
        <w:tcBorders>
          <w:top w:val="nil"/>
          <w:left w:val="single" w:sz="8" w:space="0" w:color="B2B2B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rPr>
        <w:sz w:val="24"/>
        <w:szCs w:val="24"/>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9696" w:themeColor="accent3"/>
          <w:insideH w:val="nil"/>
          <w:insideV w:val="nil"/>
        </w:tcBorders>
        <w:shd w:val="clear" w:color="auto" w:fill="FFFFFF" w:themeFill="background1"/>
      </w:tcPr>
    </w:tblStylePr>
    <w:tblStylePr w:type="lastCol">
      <w:tblPr/>
      <w:tcPr>
        <w:tcBorders>
          <w:top w:val="nil"/>
          <w:left w:val="single" w:sz="8" w:space="0" w:color="969696"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rPr>
        <w:sz w:val="24"/>
        <w:szCs w:val="24"/>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4"/>
          <w:insideH w:val="nil"/>
          <w:insideV w:val="nil"/>
        </w:tcBorders>
        <w:shd w:val="clear" w:color="auto" w:fill="FFFFFF" w:themeFill="background1"/>
      </w:tcPr>
    </w:tblStylePr>
    <w:tblStylePr w:type="lastCol">
      <w:tblPr/>
      <w:tcPr>
        <w:tcBorders>
          <w:top w:val="nil"/>
          <w:left w:val="single" w:sz="8" w:space="0" w:color="80808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rPr>
        <w:sz w:val="24"/>
        <w:szCs w:val="24"/>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F5F5F" w:themeColor="accent5"/>
          <w:insideH w:val="nil"/>
          <w:insideV w:val="nil"/>
        </w:tcBorders>
        <w:shd w:val="clear" w:color="auto" w:fill="FFFFFF" w:themeFill="background1"/>
      </w:tcPr>
    </w:tblStylePr>
    <w:tblStylePr w:type="lastCol">
      <w:tblPr/>
      <w:tcPr>
        <w:tcBorders>
          <w:top w:val="nil"/>
          <w:left w:val="single" w:sz="8" w:space="0" w:color="5F5F5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D6583"/>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rPr>
        <w:sz w:val="24"/>
        <w:szCs w:val="24"/>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D4D4D" w:themeColor="accent6"/>
          <w:insideH w:val="nil"/>
          <w:insideV w:val="nil"/>
        </w:tcBorders>
        <w:shd w:val="clear" w:color="auto" w:fill="FFFFFF" w:themeFill="background1"/>
      </w:tcPr>
    </w:tblStylePr>
    <w:tblStylePr w:type="lastCol">
      <w:tblPr/>
      <w:tcPr>
        <w:tcBorders>
          <w:top w:val="nil"/>
          <w:left w:val="single" w:sz="8" w:space="0" w:color="4D4D4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ED6583"/>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ED6583"/>
    <w:pPr>
      <w:spacing w:line="240" w:lineRule="auto"/>
    </w:pPr>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tblBorders>
    </w:tblPr>
    <w:tblStylePr w:type="firstRow">
      <w:pPr>
        <w:spacing w:before="0" w:after="0" w:line="240" w:lineRule="auto"/>
      </w:pPr>
      <w:rPr>
        <w:b/>
        <w:bCs/>
        <w:color w:val="FFFFFF" w:themeColor="background1"/>
      </w:rPr>
      <w:tblPr/>
      <w:tcPr>
        <w:tc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shd w:val="clear" w:color="auto" w:fill="DDDDDD" w:themeFill="accent1"/>
      </w:tcPr>
    </w:tblStylePr>
    <w:tblStylePr w:type="lastRow">
      <w:pPr>
        <w:spacing w:before="0" w:after="0" w:line="240" w:lineRule="auto"/>
      </w:pPr>
      <w:rPr>
        <w:b/>
        <w:bCs/>
      </w:rPr>
      <w:tblPr/>
      <w:tcPr>
        <w:tcBorders>
          <w:top w:val="double" w:sz="6"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6F6F6" w:themeFill="accent1" w:themeFillTint="3F"/>
      </w:tcPr>
    </w:tblStylePr>
    <w:tblStylePr w:type="band1Horz">
      <w:tblPr/>
      <w:tcPr>
        <w:tcBorders>
          <w:insideH w:val="nil"/>
          <w:insideV w:val="nil"/>
        </w:tcBorders>
        <w:shd w:val="clear" w:color="auto" w:fill="F6F6F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D6583"/>
    <w:pPr>
      <w:spacing w:line="240" w:lineRule="auto"/>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tblBorders>
    </w:tblPr>
    <w:tblStylePr w:type="firstRow">
      <w:pPr>
        <w:spacing w:before="0" w:after="0" w:line="240" w:lineRule="auto"/>
      </w:pPr>
      <w:rPr>
        <w:b/>
        <w:bCs/>
        <w:color w:val="FFFFFF" w:themeColor="background1"/>
      </w:rPr>
      <w:tblPr/>
      <w:tcPr>
        <w:tc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shd w:val="clear" w:color="auto" w:fill="B2B2B2" w:themeFill="accent2"/>
      </w:tcPr>
    </w:tblStylePr>
    <w:tblStylePr w:type="lastRow">
      <w:pPr>
        <w:spacing w:before="0" w:after="0" w:line="240" w:lineRule="auto"/>
      </w:pPr>
      <w:rPr>
        <w:b/>
        <w:bCs/>
      </w:rPr>
      <w:tblPr/>
      <w:tcPr>
        <w:tcBorders>
          <w:top w:val="double" w:sz="6"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D6583"/>
    <w:pPr>
      <w:spacing w:line="240" w:lineRule="auto"/>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tblBorders>
    </w:tblPr>
    <w:tblStylePr w:type="firstRow">
      <w:pPr>
        <w:spacing w:before="0" w:after="0" w:line="240" w:lineRule="auto"/>
      </w:pPr>
      <w:rPr>
        <w:b/>
        <w:bCs/>
        <w:color w:val="FFFFFF" w:themeColor="background1"/>
      </w:rPr>
      <w:tblPr/>
      <w:tcPr>
        <w:tc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shd w:val="clear" w:color="auto" w:fill="969696" w:themeFill="accent3"/>
      </w:tcPr>
    </w:tblStylePr>
    <w:tblStylePr w:type="lastRow">
      <w:pPr>
        <w:spacing w:before="0" w:after="0" w:line="240" w:lineRule="auto"/>
      </w:pPr>
      <w:rPr>
        <w:b/>
        <w:bCs/>
      </w:rPr>
      <w:tblPr/>
      <w:tcPr>
        <w:tcBorders>
          <w:top w:val="double" w:sz="6"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D6583"/>
    <w:pPr>
      <w:spacing w:line="240" w:lineRule="auto"/>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tblBorders>
    </w:tblPr>
    <w:tblStylePr w:type="firstRow">
      <w:pPr>
        <w:spacing w:before="0" w:after="0" w:line="240" w:lineRule="auto"/>
      </w:pPr>
      <w:rPr>
        <w:b/>
        <w:bCs/>
        <w:color w:val="FFFFFF" w:themeColor="background1"/>
      </w:rPr>
      <w:tblPr/>
      <w:tcPr>
        <w:tc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shd w:val="clear" w:color="auto" w:fill="808080" w:themeFill="accent4"/>
      </w:tcPr>
    </w:tblStylePr>
    <w:tblStylePr w:type="lastRow">
      <w:pPr>
        <w:spacing w:before="0" w:after="0" w:line="240" w:lineRule="auto"/>
      </w:pPr>
      <w:rPr>
        <w:b/>
        <w:bCs/>
      </w:rPr>
      <w:tblPr/>
      <w:tcPr>
        <w:tcBorders>
          <w:top w:val="double" w:sz="6"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D6583"/>
    <w:pPr>
      <w:spacing w:line="240" w:lineRule="auto"/>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tblBorders>
    </w:tblPr>
    <w:tblStylePr w:type="firstRow">
      <w:pPr>
        <w:spacing w:before="0" w:after="0" w:line="240" w:lineRule="auto"/>
      </w:pPr>
      <w:rPr>
        <w:b/>
        <w:bCs/>
        <w:color w:val="FFFFFF" w:themeColor="background1"/>
      </w:rPr>
      <w:tblPr/>
      <w:tcPr>
        <w:tc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shd w:val="clear" w:color="auto" w:fill="5F5F5F" w:themeFill="accent5"/>
      </w:tcPr>
    </w:tblStylePr>
    <w:tblStylePr w:type="lastRow">
      <w:pPr>
        <w:spacing w:before="0" w:after="0" w:line="240" w:lineRule="auto"/>
      </w:pPr>
      <w:rPr>
        <w:b/>
        <w:bCs/>
      </w:rPr>
      <w:tblPr/>
      <w:tcPr>
        <w:tcBorders>
          <w:top w:val="double" w:sz="6"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D6583"/>
    <w:pPr>
      <w:spacing w:line="240" w:lineRule="auto"/>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tblBorders>
    </w:tblPr>
    <w:tblStylePr w:type="firstRow">
      <w:pPr>
        <w:spacing w:before="0" w:after="0" w:line="240" w:lineRule="auto"/>
      </w:pPr>
      <w:rPr>
        <w:b/>
        <w:bCs/>
        <w:color w:val="FFFFFF" w:themeColor="background1"/>
      </w:rPr>
      <w:tblPr/>
      <w:tcPr>
        <w:tc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shd w:val="clear" w:color="auto" w:fill="4D4D4D" w:themeFill="accent6"/>
      </w:tcPr>
    </w:tblStylePr>
    <w:tblStylePr w:type="lastRow">
      <w:pPr>
        <w:spacing w:before="0" w:after="0" w:line="240" w:lineRule="auto"/>
      </w:pPr>
      <w:rPr>
        <w:b/>
        <w:bCs/>
      </w:rPr>
      <w:tblPr/>
      <w:tcPr>
        <w:tcBorders>
          <w:top w:val="double" w:sz="6"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DDD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DDDDD" w:themeFill="accent1"/>
      </w:tcPr>
    </w:tblStylePr>
    <w:tblStylePr w:type="lastCol">
      <w:rPr>
        <w:b/>
        <w:bCs/>
        <w:color w:val="FFFFFF" w:themeColor="background1"/>
      </w:rPr>
      <w:tblPr/>
      <w:tcPr>
        <w:tcBorders>
          <w:left w:val="nil"/>
          <w:right w:val="nil"/>
          <w:insideH w:val="nil"/>
          <w:insideV w:val="nil"/>
        </w:tcBorders>
        <w:shd w:val="clear" w:color="auto" w:fill="DDDDD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ED6583"/>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ED6583"/>
    <w:rPr>
      <w:color w:val="2B579A"/>
      <w:shd w:val="clear" w:color="auto" w:fill="E6E6E6"/>
    </w:rPr>
  </w:style>
  <w:style w:type="character" w:styleId="PageNumber">
    <w:name w:val="page number"/>
    <w:basedOn w:val="DefaultParagraphFont"/>
    <w:uiPriority w:val="99"/>
    <w:semiHidden/>
    <w:unhideWhenUsed/>
    <w:rsid w:val="00ED6583"/>
  </w:style>
  <w:style w:type="table" w:styleId="PlainTable1">
    <w:name w:val="Plain Table 1"/>
    <w:basedOn w:val="TableNormal"/>
    <w:uiPriority w:val="41"/>
    <w:rsid w:val="00ED6583"/>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D6583"/>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D6583"/>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D6583"/>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D6583"/>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martHyperlink">
    <w:name w:val="Smart Hyperlink"/>
    <w:basedOn w:val="DefaultParagraphFont"/>
    <w:uiPriority w:val="99"/>
    <w:semiHidden/>
    <w:unhideWhenUsed/>
    <w:rsid w:val="00ED6583"/>
    <w:rPr>
      <w:u w:val="dotted"/>
    </w:rPr>
  </w:style>
  <w:style w:type="character" w:styleId="Strong">
    <w:name w:val="Strong"/>
    <w:basedOn w:val="DefaultParagraphFont"/>
    <w:uiPriority w:val="22"/>
    <w:semiHidden/>
    <w:unhideWhenUsed/>
    <w:qFormat/>
    <w:rsid w:val="00ED6583"/>
    <w:rPr>
      <w:b/>
      <w:bCs/>
    </w:rPr>
  </w:style>
  <w:style w:type="paragraph" w:styleId="Subtitle">
    <w:name w:val="Subtitle"/>
    <w:basedOn w:val="Normal"/>
    <w:next w:val="Normal"/>
    <w:link w:val="SubtitleChar"/>
    <w:uiPriority w:val="11"/>
    <w:semiHidden/>
    <w:unhideWhenUsed/>
    <w:qFormat/>
    <w:rsid w:val="00ED6583"/>
    <w:pPr>
      <w:numPr>
        <w:ilvl w:val="1"/>
      </w:numPr>
      <w:spacing w:after="160"/>
      <w:ind w:firstLine="720"/>
    </w:pPr>
    <w:rPr>
      <w:color w:val="5A5A5A" w:themeColor="text1" w:themeTint="A5"/>
      <w:spacing w:val="15"/>
      <w:sz w:val="22"/>
      <w:szCs w:val="22"/>
    </w:rPr>
  </w:style>
  <w:style w:type="character" w:customStyle="1" w:styleId="SubtitleChar">
    <w:name w:val="Subtitle Char"/>
    <w:basedOn w:val="DefaultParagraphFont"/>
    <w:link w:val="Subtitle"/>
    <w:uiPriority w:val="11"/>
    <w:semiHidden/>
    <w:rsid w:val="00ED6583"/>
    <w:rPr>
      <w:color w:val="5A5A5A" w:themeColor="text1" w:themeTint="A5"/>
      <w:spacing w:val="15"/>
      <w:sz w:val="22"/>
      <w:szCs w:val="22"/>
    </w:rPr>
  </w:style>
  <w:style w:type="character" w:styleId="SubtleEmphasis">
    <w:name w:val="Subtle Emphasis"/>
    <w:basedOn w:val="DefaultParagraphFont"/>
    <w:uiPriority w:val="19"/>
    <w:semiHidden/>
    <w:unhideWhenUsed/>
    <w:qFormat/>
    <w:rsid w:val="00ED6583"/>
    <w:rPr>
      <w:i/>
      <w:iCs/>
      <w:color w:val="404040" w:themeColor="text1" w:themeTint="BF"/>
    </w:rPr>
  </w:style>
  <w:style w:type="character" w:styleId="SubtleReference">
    <w:name w:val="Subtle Reference"/>
    <w:basedOn w:val="DefaultParagraphFont"/>
    <w:uiPriority w:val="31"/>
    <w:semiHidden/>
    <w:unhideWhenUsed/>
    <w:qFormat/>
    <w:rsid w:val="00ED6583"/>
    <w:rPr>
      <w:smallCaps/>
      <w:color w:val="5A5A5A" w:themeColor="text1" w:themeTint="A5"/>
    </w:rPr>
  </w:style>
  <w:style w:type="table" w:styleId="Table3Deffects1">
    <w:name w:val="Table 3D effects 1"/>
    <w:basedOn w:val="TableNormal"/>
    <w:uiPriority w:val="99"/>
    <w:semiHidden/>
    <w:unhideWhenUsed/>
    <w:rsid w:val="00ED6583"/>
    <w:pPr>
      <w:suppressAutoHyphens/>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ED6583"/>
    <w:pPr>
      <w:suppressAutoHyphens/>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ED6583"/>
    <w:pPr>
      <w:suppressAutoHyphens/>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ED6583"/>
    <w:pPr>
      <w:suppressAutoHyphens/>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ED6583"/>
    <w:pPr>
      <w:suppressAutoHyphens/>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ED6583"/>
    <w:pPr>
      <w:suppressAutoHyphens/>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ED6583"/>
    <w:pPr>
      <w:suppressAutoHyphens/>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ED6583"/>
    <w:pPr>
      <w:suppressAutoHyphens/>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ED6583"/>
    <w:pPr>
      <w:suppressAutoHyphens/>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ED6583"/>
    <w:pPr>
      <w:suppressAutoHyphens/>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ED6583"/>
    <w:pPr>
      <w:suppressAutoHyphens/>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ED6583"/>
    <w:pPr>
      <w:suppressAutoHyphens/>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ED6583"/>
    <w:pPr>
      <w:suppressAutoHyphens/>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ED6583"/>
    <w:pPr>
      <w:suppressAutoHyphens/>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ED6583"/>
    <w:pPr>
      <w:suppressAutoHyphens/>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ED6583"/>
    <w:pPr>
      <w:suppressAutoHyphens/>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ED6583"/>
    <w:pPr>
      <w:suppressAutoHyphens/>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ED6583"/>
    <w:pPr>
      <w:suppressAutoHyphens/>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ED6583"/>
    <w:pPr>
      <w:suppressAutoHyphens/>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ED6583"/>
    <w:pPr>
      <w:suppressAutoHyphens/>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ED6583"/>
    <w:pPr>
      <w:suppressAutoHyphens/>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ED6583"/>
    <w:pPr>
      <w:suppressAutoHyphens/>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ED6583"/>
    <w:pPr>
      <w:suppressAutoHyphens/>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ED6583"/>
    <w:pPr>
      <w:suppressAutoHyphens/>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ED6583"/>
    <w:pPr>
      <w:suppressAutoHyphens/>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ED6583"/>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ED6583"/>
    <w:pPr>
      <w:suppressAutoHyphens/>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ED6583"/>
    <w:pPr>
      <w:suppressAutoHyphens/>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ED6583"/>
    <w:pPr>
      <w:suppressAutoHyphens/>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ED6583"/>
    <w:pPr>
      <w:suppressAutoHyphens/>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ED6583"/>
    <w:pPr>
      <w:suppressAutoHyphens/>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ED6583"/>
    <w:pPr>
      <w:suppressAutoHyphens/>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ED6583"/>
    <w:pPr>
      <w:suppressAutoHyphens/>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ED6583"/>
    <w:pPr>
      <w:suppressAutoHyphens/>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table" w:styleId="TableProfessional">
    <w:name w:val="Table Professional"/>
    <w:basedOn w:val="TableNormal"/>
    <w:uiPriority w:val="99"/>
    <w:semiHidden/>
    <w:unhideWhenUsed/>
    <w:rsid w:val="00ED6583"/>
    <w:pPr>
      <w:suppressAutoHyphens/>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ED6583"/>
    <w:pPr>
      <w:suppressAutoHyphens/>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ED6583"/>
    <w:pPr>
      <w:suppressAutoHyphens/>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ED6583"/>
    <w:pPr>
      <w:suppressAutoHyphens/>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ED6583"/>
    <w:pPr>
      <w:suppressAutoHyphens/>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ED6583"/>
    <w:pPr>
      <w:suppressAutoHyphens/>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ED6583"/>
    <w:pPr>
      <w:suppressAutoHyphens/>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ED6583"/>
    <w:pPr>
      <w:suppressAutoHyphens/>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ED6583"/>
    <w:pPr>
      <w:suppressAutoHyphens/>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ED6583"/>
    <w:pPr>
      <w:suppressAutoHyphens/>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UnresolvedMention">
    <w:name w:val="Unresolved Mention"/>
    <w:basedOn w:val="DefaultParagraphFont"/>
    <w:uiPriority w:val="99"/>
    <w:semiHidden/>
    <w:unhideWhenUsed/>
    <w:rsid w:val="004531D1"/>
    <w:rPr>
      <w:color w:val="595959" w:themeColor="text1" w:themeTint="A6"/>
      <w:shd w:val="clear" w:color="auto" w:fill="E6E6E6"/>
    </w:rPr>
  </w:style>
  <w:style w:type="paragraph" w:styleId="Revision">
    <w:name w:val="Revision"/>
    <w:hidden/>
    <w:uiPriority w:val="99"/>
    <w:semiHidden/>
    <w:rsid w:val="00760279"/>
    <w:pPr>
      <w:spacing w:line="240" w:lineRule="auto"/>
      <w:ind w:firstLine="0"/>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8774060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64321403">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389036087">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19558046">
      <w:bodyDiv w:val="1"/>
      <w:marLeft w:val="0"/>
      <w:marRight w:val="0"/>
      <w:marTop w:val="0"/>
      <w:marBottom w:val="0"/>
      <w:divBdr>
        <w:top w:val="none" w:sz="0" w:space="0" w:color="auto"/>
        <w:left w:val="none" w:sz="0" w:space="0" w:color="auto"/>
        <w:bottom w:val="none" w:sz="0" w:space="0" w:color="auto"/>
        <w:right w:val="none" w:sz="0" w:space="0" w:color="auto"/>
      </w:divBdr>
    </w:div>
    <w:div w:id="2017421617">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lato.stanford.edu/entries/erasmus/" TargetMode="External"/><Relationship Id="rId18" Type="http://schemas.openxmlformats.org/officeDocument/2006/relationships/hyperlink" Target="https://www.oxfordreference.com/view/10.1093/acref/9780199546091.001.0001/acref-9780199546091-e-12258?rskey=98puGv&amp;result=11423"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pages.uncc.edu/john-reeves/course-materials/rels-2104-hebrew-scripturesold-testament/general-principles-for-interpretation-of-the-tanakh/" TargetMode="External"/><Relationship Id="rId7" Type="http://schemas.openxmlformats.org/officeDocument/2006/relationships/footnotes" Target="footnotes.xml"/><Relationship Id="rId12" Type="http://schemas.openxmlformats.org/officeDocument/2006/relationships/hyperlink" Target="https://www.jewishvirtuallibrary.org/" TargetMode="External"/><Relationship Id="rId17" Type="http://schemas.openxmlformats.org/officeDocument/2006/relationships/hyperlink" Target="https://www.oxfordreference.com/view/10.1093/acref/9780199546091.001.0001/acref-9780199546091-e-10483"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oxfordreference.com/view/10.1093/acref/9780199543984.001.0001/acref-9780199543984-e-2005?rskey=0FvGnc&amp;result=1969" TargetMode="External"/><Relationship Id="rId20" Type="http://schemas.openxmlformats.org/officeDocument/2006/relationships/hyperlink" Target="https://www.oxfordreference.com/view/10.1093/acref/9780198606413.001.0001/acref-9780198606413-e-686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blestudytools.com/concordances/strongs-exhaustive-concordance/"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oxfordreference.com/view/10.1093/acref/9780199543984.001.0001/acref-9780199543984-e-1721" TargetMode="External"/><Relationship Id="rId23" Type="http://schemas.openxmlformats.org/officeDocument/2006/relationships/hyperlink" Target="https://www.newadvent.org/cathen/" TargetMode="External"/><Relationship Id="rId10" Type="http://schemas.openxmlformats.org/officeDocument/2006/relationships/hyperlink" Target="https://www.biblegateway.com/" TargetMode="External"/><Relationship Id="rId19" Type="http://schemas.openxmlformats.org/officeDocument/2006/relationships/hyperlink" Target="https://www.oxfordreference.com/view/10.1093/acref/9780198606413.001.0001/acref-9780198606413-e-5839?rskey=Cz5Odc&amp;result=584" TargetMode="External"/><Relationship Id="rId4" Type="http://schemas.openxmlformats.org/officeDocument/2006/relationships/styles" Target="styles.xml"/><Relationship Id="rId9" Type="http://schemas.openxmlformats.org/officeDocument/2006/relationships/hyperlink" Target="https://www.eliyah.com" TargetMode="External"/><Relationship Id="rId14" Type="http://schemas.openxmlformats.org/officeDocument/2006/relationships/hyperlink" Target="https://www.britannica.com/biography/Erasmus-Dutch-humanist" TargetMode="External"/><Relationship Id="rId22" Type="http://schemas.openxmlformats.org/officeDocument/2006/relationships/hyperlink" Target="http://www.jewishencyclopedia.com/"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biography/Erasmus-Dutch-humanist" TargetMode="External"/><Relationship Id="rId1" Type="http://schemas.openxmlformats.org/officeDocument/2006/relationships/hyperlink" Target="https://plato.stanford.edu/entries/erasmus/"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EB5343-32D1-4F73-84F2-5AD5F485D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18719</TotalTime>
  <Pages>13</Pages>
  <Words>2537</Words>
  <Characters>16828</Characters>
  <Application>Microsoft Office Word</Application>
  <DocSecurity>0</DocSecurity>
  <Lines>329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Imran Anwar</cp:lastModifiedBy>
  <cp:revision>1106</cp:revision>
  <dcterms:created xsi:type="dcterms:W3CDTF">2020-12-24T11:14:00Z</dcterms:created>
  <dcterms:modified xsi:type="dcterms:W3CDTF">2021-06-11T14:22:00Z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