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A18D7" w14:textId="77777777" w:rsidR="00E3694B" w:rsidRDefault="00E3694B" w:rsidP="00E3694B">
      <w:pPr>
        <w:jc w:val="center"/>
      </w:pPr>
      <w:r>
        <w:rPr>
          <w:noProof/>
        </w:rPr>
        <w:drawing>
          <wp:inline distT="0" distB="0" distL="0" distR="0" wp14:anchorId="16847DF7" wp14:editId="73E125D3">
            <wp:extent cx="4513580" cy="2256790"/>
            <wp:effectExtent l="0" t="0" r="1270" b="0"/>
            <wp:docPr id="176683341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13580" cy="2256790"/>
                    </a:xfrm>
                    <a:prstGeom prst="rect">
                      <a:avLst/>
                    </a:prstGeom>
                    <a:noFill/>
                    <a:ln>
                      <a:noFill/>
                    </a:ln>
                  </pic:spPr>
                </pic:pic>
              </a:graphicData>
            </a:graphic>
          </wp:inline>
        </w:drawing>
      </w:r>
    </w:p>
    <w:p w14:paraId="5C47AB26" w14:textId="77777777" w:rsidR="00E3694B" w:rsidRDefault="00E3694B" w:rsidP="00E3694B"/>
    <w:p w14:paraId="447DAFBD" w14:textId="77777777" w:rsidR="00E3694B" w:rsidRDefault="00E3694B" w:rsidP="00E3694B"/>
    <w:p w14:paraId="24CBC4D2" w14:textId="77777777" w:rsidR="00E3694B" w:rsidRDefault="00E3694B" w:rsidP="00E3694B"/>
    <w:p w14:paraId="384A79FE" w14:textId="77777777" w:rsidR="00E3694B" w:rsidRDefault="00E3694B" w:rsidP="00E3694B"/>
    <w:p w14:paraId="1C36C69D" w14:textId="77777777" w:rsidR="00E3694B" w:rsidRDefault="00E3694B" w:rsidP="00E3694B"/>
    <w:p w14:paraId="7C6E377E" w14:textId="77777777" w:rsidR="00E3694B" w:rsidRPr="00272BDB" w:rsidRDefault="00E3694B" w:rsidP="00E3694B">
      <w:pPr>
        <w:rPr>
          <w:rFonts w:ascii="Times New Roman" w:hAnsi="Times New Roman" w:cs="Times New Roman"/>
          <w:sz w:val="40"/>
          <w:szCs w:val="40"/>
        </w:rPr>
      </w:pPr>
      <w:r w:rsidRPr="00272BDB">
        <w:rPr>
          <w:rFonts w:ascii="Times New Roman" w:hAnsi="Times New Roman" w:cs="Times New Roman"/>
          <w:b/>
          <w:bCs/>
          <w:sz w:val="40"/>
          <w:szCs w:val="40"/>
        </w:rPr>
        <w:t xml:space="preserve">Student Name </w:t>
      </w:r>
      <w:proofErr w:type="gramStart"/>
      <w:r w:rsidRPr="00272BDB">
        <w:rPr>
          <w:rFonts w:ascii="Times New Roman" w:hAnsi="Times New Roman" w:cs="Times New Roman"/>
          <w:b/>
          <w:bCs/>
          <w:sz w:val="40"/>
          <w:szCs w:val="40"/>
        </w:rPr>
        <w:t xml:space="preserve"> </w:t>
      </w:r>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xml:space="preserve">- Macwan Smit Thomas </w:t>
      </w:r>
    </w:p>
    <w:p w14:paraId="2B53E166" w14:textId="77777777" w:rsidR="00E3694B" w:rsidRPr="00272BDB" w:rsidRDefault="00E3694B" w:rsidP="00E3694B">
      <w:pPr>
        <w:rPr>
          <w:rFonts w:ascii="Times New Roman" w:hAnsi="Times New Roman" w:cs="Times New Roman"/>
          <w:sz w:val="40"/>
          <w:szCs w:val="40"/>
        </w:rPr>
      </w:pPr>
      <w:r w:rsidRPr="00272BDB">
        <w:rPr>
          <w:rFonts w:ascii="Times New Roman" w:hAnsi="Times New Roman" w:cs="Times New Roman"/>
          <w:b/>
          <w:bCs/>
          <w:sz w:val="40"/>
          <w:szCs w:val="40"/>
        </w:rPr>
        <w:t>Student ID</w:t>
      </w:r>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- 2245268</w:t>
      </w:r>
    </w:p>
    <w:p w14:paraId="4BFACD03" w14:textId="77777777" w:rsidR="00E3694B" w:rsidRPr="00272BDB" w:rsidRDefault="00E3694B" w:rsidP="00E3694B">
      <w:pPr>
        <w:rPr>
          <w:rFonts w:ascii="Times New Roman" w:hAnsi="Times New Roman" w:cs="Times New Roman"/>
          <w:sz w:val="40"/>
          <w:szCs w:val="40"/>
        </w:rPr>
      </w:pPr>
      <w:proofErr w:type="spellStart"/>
      <w:r w:rsidRPr="00272BDB">
        <w:rPr>
          <w:rFonts w:ascii="Times New Roman" w:hAnsi="Times New Roman" w:cs="Times New Roman"/>
          <w:b/>
          <w:bCs/>
          <w:sz w:val="40"/>
          <w:szCs w:val="40"/>
        </w:rPr>
        <w:t>Programme</w:t>
      </w:r>
      <w:proofErr w:type="spellEnd"/>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MBA in General Management</w:t>
      </w:r>
    </w:p>
    <w:p w14:paraId="6F97C673" w14:textId="77777777" w:rsidR="00E3694B" w:rsidRPr="00272BDB" w:rsidRDefault="00E3694B" w:rsidP="00E3694B">
      <w:pPr>
        <w:rPr>
          <w:rFonts w:ascii="Times New Roman" w:hAnsi="Times New Roman" w:cs="Times New Roman"/>
          <w:sz w:val="40"/>
          <w:szCs w:val="40"/>
        </w:rPr>
      </w:pPr>
      <w:r w:rsidRPr="00272BDB">
        <w:rPr>
          <w:rFonts w:ascii="Times New Roman" w:hAnsi="Times New Roman" w:cs="Times New Roman"/>
          <w:b/>
          <w:bCs/>
          <w:sz w:val="40"/>
          <w:szCs w:val="40"/>
        </w:rPr>
        <w:t xml:space="preserve">Module </w:t>
      </w:r>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Human Resource Management</w:t>
      </w:r>
    </w:p>
    <w:p w14:paraId="2CA52C3B" w14:textId="77777777" w:rsidR="00E3694B" w:rsidRPr="00272BDB" w:rsidRDefault="00E3694B" w:rsidP="00E3694B">
      <w:pPr>
        <w:rPr>
          <w:rFonts w:ascii="Times New Roman" w:hAnsi="Times New Roman" w:cs="Times New Roman"/>
          <w:sz w:val="40"/>
          <w:szCs w:val="40"/>
        </w:rPr>
      </w:pPr>
      <w:r w:rsidRPr="00272BDB">
        <w:rPr>
          <w:rFonts w:ascii="Times New Roman" w:hAnsi="Times New Roman" w:cs="Times New Roman"/>
          <w:b/>
          <w:bCs/>
          <w:sz w:val="40"/>
          <w:szCs w:val="40"/>
        </w:rPr>
        <w:t>Module Code</w:t>
      </w:r>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LCMB7000</w:t>
      </w:r>
    </w:p>
    <w:p w14:paraId="579E900D" w14:textId="77777777" w:rsidR="00E3694B" w:rsidRPr="00272BDB" w:rsidRDefault="00E3694B" w:rsidP="00E3694B">
      <w:pPr>
        <w:rPr>
          <w:rFonts w:ascii="Times New Roman" w:hAnsi="Times New Roman" w:cs="Times New Roman"/>
          <w:sz w:val="40"/>
          <w:szCs w:val="40"/>
        </w:rPr>
      </w:pPr>
      <w:r w:rsidRPr="00272BDB">
        <w:rPr>
          <w:rFonts w:ascii="Times New Roman" w:hAnsi="Times New Roman" w:cs="Times New Roman"/>
          <w:b/>
          <w:bCs/>
          <w:sz w:val="40"/>
          <w:szCs w:val="40"/>
        </w:rPr>
        <w:t>Lecturer</w:t>
      </w:r>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Mohamed Asim</w:t>
      </w:r>
    </w:p>
    <w:p w14:paraId="79091A89" w14:textId="77777777" w:rsidR="00E3694B" w:rsidRPr="00272BDB" w:rsidRDefault="00E3694B" w:rsidP="00E3694B">
      <w:pPr>
        <w:rPr>
          <w:rFonts w:ascii="Times New Roman" w:hAnsi="Times New Roman" w:cs="Times New Roman"/>
          <w:sz w:val="40"/>
          <w:szCs w:val="40"/>
        </w:rPr>
      </w:pPr>
      <w:r w:rsidRPr="00272BDB">
        <w:rPr>
          <w:rFonts w:ascii="Times New Roman" w:hAnsi="Times New Roman" w:cs="Times New Roman"/>
          <w:b/>
          <w:bCs/>
          <w:sz w:val="40"/>
          <w:szCs w:val="40"/>
        </w:rPr>
        <w:t>Submitted On</w:t>
      </w:r>
      <w:r w:rsidRPr="00272BDB">
        <w:rPr>
          <w:rFonts w:ascii="Times New Roman" w:hAnsi="Times New Roman" w:cs="Times New Roman"/>
          <w:sz w:val="40"/>
          <w:szCs w:val="40"/>
        </w:rPr>
        <w:t xml:space="preserve"> </w:t>
      </w:r>
      <w:proofErr w:type="gramStart"/>
      <w:r w:rsidRPr="00272BDB">
        <w:rPr>
          <w:rFonts w:ascii="Times New Roman" w:hAnsi="Times New Roman" w:cs="Times New Roman"/>
          <w:sz w:val="40"/>
          <w:szCs w:val="40"/>
        </w:rPr>
        <w:t xml:space="preserve">  :</w:t>
      </w:r>
      <w:proofErr w:type="gramEnd"/>
      <w:r w:rsidRPr="00272BDB">
        <w:rPr>
          <w:rFonts w:ascii="Times New Roman" w:hAnsi="Times New Roman" w:cs="Times New Roman"/>
          <w:sz w:val="40"/>
          <w:szCs w:val="40"/>
        </w:rPr>
        <w:t>- 23</w:t>
      </w:r>
      <w:r w:rsidRPr="00272BDB">
        <w:rPr>
          <w:rFonts w:ascii="Times New Roman" w:hAnsi="Times New Roman" w:cs="Times New Roman"/>
          <w:sz w:val="40"/>
          <w:szCs w:val="40"/>
          <w:vertAlign w:val="superscript"/>
        </w:rPr>
        <w:t>rd</w:t>
      </w:r>
      <w:r w:rsidRPr="00272BDB">
        <w:rPr>
          <w:rFonts w:ascii="Times New Roman" w:hAnsi="Times New Roman" w:cs="Times New Roman"/>
          <w:sz w:val="40"/>
          <w:szCs w:val="40"/>
        </w:rPr>
        <w:t xml:space="preserve"> August 2023</w:t>
      </w:r>
    </w:p>
    <w:p w14:paraId="6D4BF579" w14:textId="77777777" w:rsidR="00E3694B" w:rsidRDefault="00E3694B" w:rsidP="00E3694B">
      <w:pPr>
        <w:spacing w:line="360" w:lineRule="auto"/>
        <w:jc w:val="center"/>
        <w:rPr>
          <w:rFonts w:ascii="Times New Roman" w:eastAsia="Times New Roman" w:hAnsi="Times New Roman" w:cs="Times New Roman"/>
          <w:b/>
          <w:sz w:val="32"/>
          <w:szCs w:val="32"/>
        </w:rPr>
      </w:pPr>
    </w:p>
    <w:p w14:paraId="16151EF7" w14:textId="77777777" w:rsidR="00E3694B" w:rsidRDefault="00E3694B" w:rsidP="00E3694B">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4351B4E2" w14:textId="77777777" w:rsidR="00E3694B" w:rsidRDefault="00E3694B" w:rsidP="00E3694B">
      <w:pPr>
        <w:spacing w:line="360" w:lineRule="auto"/>
        <w:jc w:val="center"/>
        <w:rPr>
          <w:rFonts w:ascii="Times New Roman" w:eastAsia="Times New Roman" w:hAnsi="Times New Roman" w:cs="Times New Roman"/>
          <w:b/>
          <w:sz w:val="32"/>
          <w:szCs w:val="32"/>
        </w:rPr>
      </w:pPr>
    </w:p>
    <w:p w14:paraId="3095230F" w14:textId="77777777" w:rsidR="00E3694B" w:rsidRDefault="00E3694B" w:rsidP="00E3694B">
      <w:pPr>
        <w:spacing w:line="360" w:lineRule="auto"/>
        <w:jc w:val="center"/>
        <w:rPr>
          <w:rFonts w:ascii="Times New Roman" w:eastAsia="Times New Roman" w:hAnsi="Times New Roman" w:cs="Times New Roman"/>
          <w:b/>
          <w:sz w:val="32"/>
          <w:szCs w:val="32"/>
        </w:rPr>
      </w:pPr>
    </w:p>
    <w:p w14:paraId="646ED1EF" w14:textId="77777777" w:rsidR="00E3694B" w:rsidRDefault="00E3694B" w:rsidP="00E3694B">
      <w:pPr>
        <w:spacing w:line="360" w:lineRule="auto"/>
        <w:jc w:val="center"/>
        <w:rPr>
          <w:rFonts w:ascii="Times New Roman" w:eastAsia="Times New Roman" w:hAnsi="Times New Roman" w:cs="Times New Roman"/>
          <w:b/>
          <w:sz w:val="32"/>
          <w:szCs w:val="32"/>
        </w:rPr>
      </w:pPr>
    </w:p>
    <w:p w14:paraId="0A78B5B7" w14:textId="77777777" w:rsidR="00E3694B" w:rsidRDefault="00E3694B" w:rsidP="00E3694B">
      <w:pPr>
        <w:spacing w:line="360" w:lineRule="auto"/>
        <w:jc w:val="center"/>
        <w:rPr>
          <w:rFonts w:ascii="Times New Roman" w:eastAsia="Times New Roman" w:hAnsi="Times New Roman" w:cs="Times New Roman"/>
          <w:b/>
          <w:sz w:val="32"/>
          <w:szCs w:val="32"/>
        </w:rPr>
      </w:pPr>
    </w:p>
    <w:p w14:paraId="53DFD292" w14:textId="77777777" w:rsidR="00E3694B" w:rsidRDefault="00E3694B" w:rsidP="00E3694B">
      <w:pPr>
        <w:spacing w:line="360" w:lineRule="auto"/>
        <w:jc w:val="center"/>
        <w:rPr>
          <w:rFonts w:ascii="Times New Roman" w:eastAsia="Times New Roman" w:hAnsi="Times New Roman" w:cs="Times New Roman"/>
          <w:b/>
          <w:sz w:val="32"/>
          <w:szCs w:val="32"/>
        </w:rPr>
      </w:pPr>
    </w:p>
    <w:p w14:paraId="4C9E0182" w14:textId="77777777" w:rsidR="00E3694B" w:rsidRDefault="00E3694B" w:rsidP="00E3694B">
      <w:pPr>
        <w:spacing w:line="360" w:lineRule="auto"/>
        <w:jc w:val="center"/>
        <w:rPr>
          <w:rFonts w:ascii="Times New Roman" w:eastAsia="Times New Roman" w:hAnsi="Times New Roman" w:cs="Times New Roman"/>
          <w:b/>
          <w:sz w:val="32"/>
          <w:szCs w:val="32"/>
        </w:rPr>
      </w:pPr>
    </w:p>
    <w:p w14:paraId="64ACA33A" w14:textId="77777777" w:rsidR="00E3694B" w:rsidRDefault="00E3694B" w:rsidP="00E3694B">
      <w:pPr>
        <w:spacing w:line="360" w:lineRule="auto"/>
        <w:jc w:val="center"/>
        <w:rPr>
          <w:rFonts w:ascii="Times New Roman" w:eastAsia="Times New Roman" w:hAnsi="Times New Roman" w:cs="Times New Roman"/>
          <w:b/>
          <w:sz w:val="32"/>
          <w:szCs w:val="32"/>
        </w:rPr>
      </w:pPr>
    </w:p>
    <w:p w14:paraId="4DFEE174" w14:textId="77777777" w:rsidR="00E3694B" w:rsidRDefault="00E3694B" w:rsidP="00E3694B">
      <w:pPr>
        <w:spacing w:line="360" w:lineRule="auto"/>
        <w:jc w:val="center"/>
        <w:rPr>
          <w:rFonts w:ascii="Times New Roman" w:eastAsia="Times New Roman" w:hAnsi="Times New Roman" w:cs="Times New Roman"/>
          <w:b/>
          <w:sz w:val="32"/>
          <w:szCs w:val="32"/>
        </w:rPr>
      </w:pPr>
    </w:p>
    <w:p w14:paraId="461C02DF" w14:textId="77777777" w:rsidR="00E3694B" w:rsidRDefault="00E3694B" w:rsidP="00E3694B">
      <w:pPr>
        <w:spacing w:line="360" w:lineRule="auto"/>
        <w:jc w:val="center"/>
        <w:rPr>
          <w:rFonts w:ascii="Times New Roman" w:eastAsia="Times New Roman" w:hAnsi="Times New Roman" w:cs="Times New Roman"/>
          <w:b/>
          <w:sz w:val="32"/>
          <w:szCs w:val="32"/>
        </w:rPr>
      </w:pPr>
    </w:p>
    <w:p w14:paraId="3BA6F5C9" w14:textId="77777777" w:rsidR="00E3694B" w:rsidRDefault="00E3694B" w:rsidP="00E3694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LCMB7000</w:t>
      </w:r>
    </w:p>
    <w:p w14:paraId="0F2FF285" w14:textId="77777777" w:rsidR="00E3694B" w:rsidRDefault="00E3694B" w:rsidP="00E3694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Human Resource Management</w:t>
      </w:r>
    </w:p>
    <w:p w14:paraId="3D778B45" w14:textId="77777777" w:rsidR="00E3694B" w:rsidRDefault="00E3694B" w:rsidP="00E3694B">
      <w:pPr>
        <w:pStyle w:val="Heading1"/>
        <w:spacing w:line="360" w:lineRule="auto"/>
        <w:rPr>
          <w:rFonts w:ascii="Times New Roman" w:eastAsia="Times New Roman" w:hAnsi="Times New Roman" w:cs="Times New Roman"/>
          <w:b/>
          <w:sz w:val="28"/>
          <w:szCs w:val="28"/>
        </w:rPr>
      </w:pPr>
      <w:bookmarkStart w:id="0" w:name="_2xvt3ifcw6a0" w:colFirst="0" w:colLast="0"/>
      <w:bookmarkEnd w:id="0"/>
      <w:r>
        <w:br w:type="page"/>
      </w:r>
    </w:p>
    <w:bookmarkStart w:id="1" w:name="_6juoeg247r0t" w:colFirst="0" w:colLast="0" w:displacedByCustomXml="next"/>
    <w:bookmarkEnd w:id="1" w:displacedByCustomXml="next"/>
    <w:sdt>
      <w:sdtPr>
        <w:rPr>
          <w:rFonts w:ascii="Arial" w:eastAsia="Arial" w:hAnsi="Arial" w:cs="Arial"/>
          <w:color w:val="auto"/>
          <w:sz w:val="22"/>
          <w:szCs w:val="22"/>
          <w:lang w:val="en" w:eastAsia="en-IN"/>
        </w:rPr>
        <w:id w:val="-442076197"/>
        <w:docPartObj>
          <w:docPartGallery w:val="Table of Contents"/>
          <w:docPartUnique/>
        </w:docPartObj>
      </w:sdtPr>
      <w:sdtEndPr>
        <w:rPr>
          <w:b/>
          <w:bCs/>
          <w:noProof/>
        </w:rPr>
      </w:sdtEndPr>
      <w:sdtContent>
        <w:p w14:paraId="2E269D53" w14:textId="77777777" w:rsidR="00E3694B" w:rsidRPr="00600963" w:rsidRDefault="00E3694B" w:rsidP="00E3694B">
          <w:pPr>
            <w:pStyle w:val="TOCHeading"/>
            <w:spacing w:line="360" w:lineRule="auto"/>
            <w:jc w:val="both"/>
            <w:rPr>
              <w:rFonts w:ascii="Times New Roman" w:hAnsi="Times New Roman" w:cs="Times New Roman"/>
              <w:b/>
              <w:bCs/>
              <w:color w:val="auto"/>
              <w:sz w:val="24"/>
              <w:szCs w:val="24"/>
            </w:rPr>
          </w:pPr>
          <w:r w:rsidRPr="00600963">
            <w:rPr>
              <w:rFonts w:ascii="Times New Roman" w:hAnsi="Times New Roman" w:cs="Times New Roman"/>
              <w:b/>
              <w:bCs/>
              <w:color w:val="auto"/>
              <w:sz w:val="24"/>
              <w:szCs w:val="24"/>
            </w:rPr>
            <w:t>Table of Contents</w:t>
          </w:r>
        </w:p>
        <w:p w14:paraId="1A6E4907" w14:textId="77777777" w:rsidR="00E3694B" w:rsidRPr="00600963" w:rsidRDefault="00E3694B" w:rsidP="00E3694B">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r w:rsidRPr="00600963">
            <w:rPr>
              <w:rFonts w:ascii="Times New Roman" w:hAnsi="Times New Roman" w:cs="Times New Roman"/>
              <w:sz w:val="24"/>
              <w:szCs w:val="24"/>
            </w:rPr>
            <w:fldChar w:fldCharType="begin"/>
          </w:r>
          <w:r w:rsidRPr="00600963">
            <w:rPr>
              <w:rFonts w:ascii="Times New Roman" w:hAnsi="Times New Roman" w:cs="Times New Roman"/>
              <w:sz w:val="24"/>
              <w:szCs w:val="24"/>
            </w:rPr>
            <w:instrText xml:space="preserve"> TOC \o "1-3" \h \z \u </w:instrText>
          </w:r>
          <w:r w:rsidRPr="00600963">
            <w:rPr>
              <w:rFonts w:ascii="Times New Roman" w:hAnsi="Times New Roman" w:cs="Times New Roman"/>
              <w:sz w:val="24"/>
              <w:szCs w:val="24"/>
            </w:rPr>
            <w:fldChar w:fldCharType="separate"/>
          </w:r>
          <w:hyperlink w:anchor="_Toc143210125" w:history="1">
            <w:r w:rsidRPr="00600963">
              <w:rPr>
                <w:rStyle w:val="Hyperlink"/>
                <w:rFonts w:ascii="Times New Roman" w:eastAsia="Times New Roman" w:hAnsi="Times New Roman" w:cs="Times New Roman"/>
                <w:noProof/>
                <w:sz w:val="24"/>
                <w:szCs w:val="24"/>
              </w:rPr>
              <w:t>Introduction</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_Toc143210125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2</w:t>
            </w:r>
            <w:r w:rsidRPr="00600963">
              <w:rPr>
                <w:rFonts w:ascii="Times New Roman" w:hAnsi="Times New Roman" w:cs="Times New Roman"/>
                <w:noProof/>
                <w:webHidden/>
                <w:sz w:val="24"/>
                <w:szCs w:val="24"/>
              </w:rPr>
              <w:fldChar w:fldCharType="end"/>
            </w:r>
          </w:hyperlink>
        </w:p>
        <w:p w14:paraId="13F45D26" w14:textId="77777777" w:rsidR="00E3694B" w:rsidRPr="00600963" w:rsidRDefault="00E3694B" w:rsidP="00E3694B">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210126" w:history="1">
            <w:r w:rsidRPr="00600963">
              <w:rPr>
                <w:rStyle w:val="Hyperlink"/>
                <w:rFonts w:ascii="Times New Roman" w:eastAsia="Times New Roman" w:hAnsi="Times New Roman" w:cs="Times New Roman"/>
                <w:noProof/>
                <w:sz w:val="24"/>
                <w:szCs w:val="24"/>
              </w:rPr>
              <w:t>The current state of the labour market in the UK</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_Toc143210126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2</w:t>
            </w:r>
            <w:r w:rsidRPr="00600963">
              <w:rPr>
                <w:rFonts w:ascii="Times New Roman" w:hAnsi="Times New Roman" w:cs="Times New Roman"/>
                <w:noProof/>
                <w:webHidden/>
                <w:sz w:val="24"/>
                <w:szCs w:val="24"/>
              </w:rPr>
              <w:fldChar w:fldCharType="end"/>
            </w:r>
          </w:hyperlink>
        </w:p>
        <w:p w14:paraId="20A638D9" w14:textId="77777777" w:rsidR="00E3694B" w:rsidRPr="00600963" w:rsidRDefault="00E3694B" w:rsidP="00E3694B">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210127" w:history="1">
            <w:r w:rsidRPr="00600963">
              <w:rPr>
                <w:rStyle w:val="Hyperlink"/>
                <w:rFonts w:ascii="Times New Roman" w:eastAsia="Times New Roman" w:hAnsi="Times New Roman" w:cs="Times New Roman"/>
                <w:noProof/>
                <w:sz w:val="24"/>
                <w:szCs w:val="24"/>
              </w:rPr>
              <w:t>The emerging changes in Human Resourcing Strategies in the post-Covid</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_Toc143210127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4</w:t>
            </w:r>
            <w:r w:rsidRPr="00600963">
              <w:rPr>
                <w:rFonts w:ascii="Times New Roman" w:hAnsi="Times New Roman" w:cs="Times New Roman"/>
                <w:noProof/>
                <w:webHidden/>
                <w:sz w:val="24"/>
                <w:szCs w:val="24"/>
              </w:rPr>
              <w:fldChar w:fldCharType="end"/>
            </w:r>
          </w:hyperlink>
        </w:p>
        <w:p w14:paraId="23DF9F98" w14:textId="77777777" w:rsidR="00E3694B" w:rsidRPr="00600963" w:rsidRDefault="00E3694B" w:rsidP="00E3694B">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210128" w:history="1">
            <w:r w:rsidRPr="00600963">
              <w:rPr>
                <w:rStyle w:val="Hyperlink"/>
                <w:rFonts w:ascii="Times New Roman" w:eastAsia="Times New Roman" w:hAnsi="Times New Roman" w:cs="Times New Roman"/>
                <w:noProof/>
                <w:sz w:val="24"/>
                <w:szCs w:val="24"/>
              </w:rPr>
              <w:t>The emerging changes in Human Resourcing Strategies in the post-Brexit external environment</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_Toc143210128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7</w:t>
            </w:r>
            <w:r w:rsidRPr="00600963">
              <w:rPr>
                <w:rFonts w:ascii="Times New Roman" w:hAnsi="Times New Roman" w:cs="Times New Roman"/>
                <w:noProof/>
                <w:webHidden/>
                <w:sz w:val="24"/>
                <w:szCs w:val="24"/>
              </w:rPr>
              <w:fldChar w:fldCharType="end"/>
            </w:r>
          </w:hyperlink>
        </w:p>
        <w:p w14:paraId="54FA5DFD" w14:textId="77777777" w:rsidR="00E3694B" w:rsidRPr="00600963" w:rsidRDefault="00E3694B" w:rsidP="00E3694B">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210129" w:history="1">
            <w:r w:rsidRPr="00600963">
              <w:rPr>
                <w:rStyle w:val="Hyperlink"/>
                <w:rFonts w:ascii="Times New Roman" w:eastAsia="Times New Roman" w:hAnsi="Times New Roman" w:cs="Times New Roman"/>
                <w:noProof/>
                <w:sz w:val="24"/>
                <w:szCs w:val="24"/>
              </w:rPr>
              <w:t>Conclusion</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_Toc143210129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9</w:t>
            </w:r>
            <w:r w:rsidRPr="00600963">
              <w:rPr>
                <w:rFonts w:ascii="Times New Roman" w:hAnsi="Times New Roman" w:cs="Times New Roman"/>
                <w:noProof/>
                <w:webHidden/>
                <w:sz w:val="24"/>
                <w:szCs w:val="24"/>
              </w:rPr>
              <w:fldChar w:fldCharType="end"/>
            </w:r>
          </w:hyperlink>
        </w:p>
        <w:p w14:paraId="23F48F99" w14:textId="77777777" w:rsidR="00E3694B" w:rsidRPr="00600963" w:rsidRDefault="00E3694B" w:rsidP="00E3694B">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210130" w:history="1">
            <w:r w:rsidRPr="00600963">
              <w:rPr>
                <w:rStyle w:val="Hyperlink"/>
                <w:rFonts w:ascii="Times New Roman" w:eastAsia="Times New Roman" w:hAnsi="Times New Roman" w:cs="Times New Roman"/>
                <w:noProof/>
                <w:sz w:val="24"/>
                <w:szCs w:val="24"/>
              </w:rPr>
              <w:t>Reference list</w:t>
            </w:r>
            <w:r w:rsidRPr="00600963">
              <w:rPr>
                <w:rFonts w:ascii="Times New Roman" w:hAnsi="Times New Roman" w:cs="Times New Roman"/>
                <w:noProof/>
                <w:webHidden/>
                <w:sz w:val="24"/>
                <w:szCs w:val="24"/>
              </w:rPr>
              <w:tab/>
            </w:r>
            <w:r w:rsidRPr="00600963">
              <w:rPr>
                <w:rFonts w:ascii="Times New Roman" w:hAnsi="Times New Roman" w:cs="Times New Roman"/>
                <w:noProof/>
                <w:webHidden/>
                <w:sz w:val="24"/>
                <w:szCs w:val="24"/>
              </w:rPr>
              <w:fldChar w:fldCharType="begin"/>
            </w:r>
            <w:r w:rsidRPr="00600963">
              <w:rPr>
                <w:rFonts w:ascii="Times New Roman" w:hAnsi="Times New Roman" w:cs="Times New Roman"/>
                <w:noProof/>
                <w:webHidden/>
                <w:sz w:val="24"/>
                <w:szCs w:val="24"/>
              </w:rPr>
              <w:instrText xml:space="preserve"> PAGEREF _Toc143210130 \h </w:instrText>
            </w:r>
            <w:r w:rsidRPr="00600963">
              <w:rPr>
                <w:rFonts w:ascii="Times New Roman" w:hAnsi="Times New Roman" w:cs="Times New Roman"/>
                <w:noProof/>
                <w:webHidden/>
                <w:sz w:val="24"/>
                <w:szCs w:val="24"/>
              </w:rPr>
            </w:r>
            <w:r w:rsidRPr="00600963">
              <w:rPr>
                <w:rFonts w:ascii="Times New Roman" w:hAnsi="Times New Roman" w:cs="Times New Roman"/>
                <w:noProof/>
                <w:webHidden/>
                <w:sz w:val="24"/>
                <w:szCs w:val="24"/>
              </w:rPr>
              <w:fldChar w:fldCharType="separate"/>
            </w:r>
            <w:r w:rsidRPr="00600963">
              <w:rPr>
                <w:rFonts w:ascii="Times New Roman" w:hAnsi="Times New Roman" w:cs="Times New Roman"/>
                <w:noProof/>
                <w:webHidden/>
                <w:sz w:val="24"/>
                <w:szCs w:val="24"/>
              </w:rPr>
              <w:t>10</w:t>
            </w:r>
            <w:r w:rsidRPr="00600963">
              <w:rPr>
                <w:rFonts w:ascii="Times New Roman" w:hAnsi="Times New Roman" w:cs="Times New Roman"/>
                <w:noProof/>
                <w:webHidden/>
                <w:sz w:val="24"/>
                <w:szCs w:val="24"/>
              </w:rPr>
              <w:fldChar w:fldCharType="end"/>
            </w:r>
          </w:hyperlink>
        </w:p>
        <w:p w14:paraId="7835AE81" w14:textId="77777777" w:rsidR="00E3694B" w:rsidRDefault="00E3694B" w:rsidP="00E3694B">
          <w:pPr>
            <w:spacing w:line="360" w:lineRule="auto"/>
            <w:jc w:val="both"/>
          </w:pPr>
          <w:r w:rsidRPr="00600963">
            <w:rPr>
              <w:rFonts w:ascii="Times New Roman" w:hAnsi="Times New Roman" w:cs="Times New Roman"/>
              <w:noProof/>
              <w:sz w:val="24"/>
              <w:szCs w:val="24"/>
            </w:rPr>
            <w:fldChar w:fldCharType="end"/>
          </w:r>
        </w:p>
      </w:sdtContent>
    </w:sdt>
    <w:p w14:paraId="3E748778" w14:textId="77777777" w:rsidR="00E3694B" w:rsidRDefault="00E3694B" w:rsidP="00E3694B">
      <w:pPr>
        <w:spacing w:line="360" w:lineRule="auto"/>
      </w:pPr>
    </w:p>
    <w:p w14:paraId="177DE322" w14:textId="77777777" w:rsidR="00E3694B" w:rsidRDefault="00E3694B" w:rsidP="00E3694B">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537F4F57" w14:textId="77777777" w:rsidR="00E3694B" w:rsidRDefault="00E3694B" w:rsidP="00E3694B">
      <w:pPr>
        <w:pStyle w:val="Heading1"/>
        <w:spacing w:line="360" w:lineRule="auto"/>
        <w:rPr>
          <w:rFonts w:ascii="Times New Roman" w:eastAsia="Times New Roman" w:hAnsi="Times New Roman" w:cs="Times New Roman"/>
          <w:b/>
          <w:sz w:val="28"/>
          <w:szCs w:val="28"/>
        </w:rPr>
      </w:pPr>
      <w:bookmarkStart w:id="2" w:name="_Toc143210125"/>
      <w:r>
        <w:rPr>
          <w:rFonts w:ascii="Times New Roman" w:eastAsia="Times New Roman" w:hAnsi="Times New Roman" w:cs="Times New Roman"/>
          <w:b/>
          <w:sz w:val="28"/>
          <w:szCs w:val="28"/>
        </w:rPr>
        <w:lastRenderedPageBreak/>
        <w:t>Introduction</w:t>
      </w:r>
      <w:bookmarkEnd w:id="2"/>
      <w:r>
        <w:rPr>
          <w:rFonts w:ascii="Times New Roman" w:eastAsia="Times New Roman" w:hAnsi="Times New Roman" w:cs="Times New Roman"/>
          <w:b/>
          <w:sz w:val="28"/>
          <w:szCs w:val="28"/>
        </w:rPr>
        <w:t xml:space="preserve"> </w:t>
      </w:r>
    </w:p>
    <w:p w14:paraId="56139B17" w14:textId="77777777" w:rsidR="00E3694B" w:rsidRDefault="00E3694B" w:rsidP="00E36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proper reflection of employee supply and demand within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is of utmost importance for the effective operation of any economy. To comprehend the level of living, employment outlook, and demographic patterns within a nation's workforce, it is essential to get insight into the stability of the British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Preceding 2021, the United Kingdom saw elevated levels of employment, but the advent of the COVID-19 pandemic substantially influenced the nation's economy. Due to the prevailing economic instability and the enforcement of confinement measures and social isolation protocols, unemployment rates and reduced working hours have resulted in a consequential rise. The rise in the unemployment rate may be attributed to the slow state of the economy, with the potential for its decline contingent upon the speed at which firms return to their regular operations, and consumers restore their faith in the economy.</w:t>
      </w:r>
    </w:p>
    <w:p w14:paraId="49319D11" w14:textId="77777777" w:rsidR="00E3694B" w:rsidRDefault="00E3694B" w:rsidP="00E3694B">
      <w:pPr>
        <w:pStyle w:val="Heading1"/>
        <w:spacing w:line="360" w:lineRule="auto"/>
        <w:rPr>
          <w:rFonts w:ascii="Times New Roman" w:eastAsia="Times New Roman" w:hAnsi="Times New Roman" w:cs="Times New Roman"/>
          <w:b/>
          <w:sz w:val="28"/>
          <w:szCs w:val="28"/>
        </w:rPr>
      </w:pPr>
      <w:bookmarkStart w:id="3" w:name="_36qxq6iirxc1" w:colFirst="0" w:colLast="0"/>
      <w:bookmarkStart w:id="4" w:name="_Toc143210126"/>
      <w:bookmarkEnd w:id="3"/>
      <w:r>
        <w:rPr>
          <w:rFonts w:ascii="Times New Roman" w:eastAsia="Times New Roman" w:hAnsi="Times New Roman" w:cs="Times New Roman"/>
          <w:b/>
          <w:sz w:val="28"/>
          <w:szCs w:val="28"/>
        </w:rPr>
        <w:t xml:space="preserve">The current state of the </w:t>
      </w:r>
      <w:proofErr w:type="spellStart"/>
      <w:r>
        <w:rPr>
          <w:rFonts w:ascii="Times New Roman" w:eastAsia="Times New Roman" w:hAnsi="Times New Roman" w:cs="Times New Roman"/>
          <w:b/>
          <w:sz w:val="28"/>
          <w:szCs w:val="28"/>
        </w:rPr>
        <w:t>labour</w:t>
      </w:r>
      <w:proofErr w:type="spellEnd"/>
      <w:r>
        <w:rPr>
          <w:rFonts w:ascii="Times New Roman" w:eastAsia="Times New Roman" w:hAnsi="Times New Roman" w:cs="Times New Roman"/>
          <w:b/>
          <w:sz w:val="28"/>
          <w:szCs w:val="28"/>
        </w:rPr>
        <w:t xml:space="preserve"> market in the UK</w:t>
      </w:r>
      <w:bookmarkEnd w:id="4"/>
    </w:p>
    <w:p w14:paraId="0F637B9B" w14:textId="77777777" w:rsidR="00E3694B" w:rsidRDefault="00E3694B" w:rsidP="00E3694B">
      <w:pPr>
        <w:spacing w:before="240" w:after="240" w:line="360" w:lineRule="auto"/>
        <w:jc w:val="both"/>
        <w:rPr>
          <w:rFonts w:ascii="Times New Roman" w:eastAsia="Times New Roman" w:hAnsi="Times New Roman" w:cs="Times New Roman"/>
          <w:color w:val="252525"/>
          <w:sz w:val="24"/>
          <w:szCs w:val="24"/>
        </w:rPr>
      </w:pPr>
      <w:r>
        <w:rPr>
          <w:rFonts w:ascii="Times New Roman" w:eastAsia="Times New Roman" w:hAnsi="Times New Roman" w:cs="Times New Roman"/>
          <w:color w:val="252525"/>
          <w:sz w:val="24"/>
          <w:szCs w:val="24"/>
        </w:rPr>
        <w:t xml:space="preserve">The </w:t>
      </w:r>
      <w:proofErr w:type="spellStart"/>
      <w:r>
        <w:rPr>
          <w:rFonts w:ascii="Times New Roman" w:eastAsia="Times New Roman" w:hAnsi="Times New Roman" w:cs="Times New Roman"/>
          <w:color w:val="252525"/>
          <w:sz w:val="24"/>
          <w:szCs w:val="24"/>
        </w:rPr>
        <w:t>labour</w:t>
      </w:r>
      <w:proofErr w:type="spellEnd"/>
      <w:r>
        <w:rPr>
          <w:rFonts w:ascii="Times New Roman" w:eastAsia="Times New Roman" w:hAnsi="Times New Roman" w:cs="Times New Roman"/>
          <w:color w:val="252525"/>
          <w:sz w:val="24"/>
          <w:szCs w:val="24"/>
        </w:rPr>
        <w:t xml:space="preserve"> market has significant importance within an economy as it reflects the interplay between supply and demand for personnel. The assessment of the </w:t>
      </w:r>
      <w:proofErr w:type="spellStart"/>
      <w:r>
        <w:rPr>
          <w:rFonts w:ascii="Times New Roman" w:eastAsia="Times New Roman" w:hAnsi="Times New Roman" w:cs="Times New Roman"/>
          <w:color w:val="252525"/>
          <w:sz w:val="24"/>
          <w:szCs w:val="24"/>
        </w:rPr>
        <w:t>labour</w:t>
      </w:r>
      <w:proofErr w:type="spellEnd"/>
      <w:r>
        <w:rPr>
          <w:rFonts w:ascii="Times New Roman" w:eastAsia="Times New Roman" w:hAnsi="Times New Roman" w:cs="Times New Roman"/>
          <w:color w:val="252525"/>
          <w:sz w:val="24"/>
          <w:szCs w:val="24"/>
        </w:rPr>
        <w:t xml:space="preserve"> market's resilience in the United Kingdom has significant value as an economic metric, offering valuable insights into the country's overall quality of life, job prospects, and patterns within the workforce (</w:t>
      </w:r>
      <w:proofErr w:type="spellStart"/>
      <w:r>
        <w:rPr>
          <w:rFonts w:ascii="Times New Roman" w:eastAsia="Times New Roman" w:hAnsi="Times New Roman" w:cs="Times New Roman"/>
          <w:color w:val="222222"/>
          <w:sz w:val="24"/>
          <w:szCs w:val="24"/>
          <w:highlight w:val="white"/>
        </w:rPr>
        <w:t>Watermeyer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color w:val="252525"/>
          <w:sz w:val="24"/>
          <w:szCs w:val="24"/>
        </w:rPr>
        <w:t>). In the forthcoming September 2021 report for which they bear responsibility, they want to analyze the prevailing conditions inside the British employment market, as seen through my lens (</w:t>
      </w:r>
      <w:r>
        <w:rPr>
          <w:rFonts w:ascii="Times New Roman" w:eastAsia="Times New Roman" w:hAnsi="Times New Roman" w:cs="Times New Roman"/>
          <w:color w:val="222222"/>
          <w:sz w:val="24"/>
          <w:szCs w:val="24"/>
          <w:highlight w:val="white"/>
        </w:rPr>
        <w:t>Bell and Blanchflower, 2020</w:t>
      </w:r>
      <w:r>
        <w:rPr>
          <w:rFonts w:ascii="Times New Roman" w:eastAsia="Times New Roman" w:hAnsi="Times New Roman" w:cs="Times New Roman"/>
          <w:color w:val="252525"/>
          <w:sz w:val="24"/>
          <w:szCs w:val="24"/>
        </w:rPr>
        <w:t xml:space="preserve">). In the period before 2021, the United Kingdom consistently had elevated employment levels. During the period leading up to the pandemic, there was a notable increase in employment rates, which may be attributed to factors such as economic solid expansion, proactive government initiatives, and more flexibility within the </w:t>
      </w:r>
      <w:proofErr w:type="spellStart"/>
      <w:r>
        <w:rPr>
          <w:rFonts w:ascii="Times New Roman" w:eastAsia="Times New Roman" w:hAnsi="Times New Roman" w:cs="Times New Roman"/>
          <w:color w:val="252525"/>
          <w:sz w:val="24"/>
          <w:szCs w:val="24"/>
        </w:rPr>
        <w:t>labour</w:t>
      </w:r>
      <w:proofErr w:type="spellEnd"/>
      <w:r>
        <w:rPr>
          <w:rFonts w:ascii="Times New Roman" w:eastAsia="Times New Roman" w:hAnsi="Times New Roman" w:cs="Times New Roman"/>
          <w:color w:val="252525"/>
          <w:sz w:val="24"/>
          <w:szCs w:val="24"/>
        </w:rPr>
        <w:t xml:space="preserve"> market.</w:t>
      </w:r>
    </w:p>
    <w:p w14:paraId="7689A865" w14:textId="77777777" w:rsidR="00E3694B" w:rsidRDefault="00E3694B" w:rsidP="00E3694B">
      <w:pPr>
        <w:spacing w:before="240" w:after="240" w:line="360" w:lineRule="auto"/>
        <w:jc w:val="both"/>
        <w:rPr>
          <w:rFonts w:ascii="Times New Roman" w:eastAsia="Times New Roman" w:hAnsi="Times New Roman" w:cs="Times New Roman"/>
          <w:color w:val="252525"/>
          <w:sz w:val="24"/>
          <w:szCs w:val="24"/>
        </w:rPr>
      </w:pPr>
      <w:r>
        <w:rPr>
          <w:rFonts w:ascii="Times New Roman" w:eastAsia="Times New Roman" w:hAnsi="Times New Roman" w:cs="Times New Roman"/>
          <w:color w:val="252525"/>
          <w:sz w:val="24"/>
          <w:szCs w:val="24"/>
        </w:rPr>
        <w:t xml:space="preserve">On the other hand, the COVID-19 pandemic substantially influenced the </w:t>
      </w:r>
      <w:proofErr w:type="spellStart"/>
      <w:r>
        <w:rPr>
          <w:rFonts w:ascii="Times New Roman" w:eastAsia="Times New Roman" w:hAnsi="Times New Roman" w:cs="Times New Roman"/>
          <w:color w:val="252525"/>
          <w:sz w:val="24"/>
          <w:szCs w:val="24"/>
        </w:rPr>
        <w:t>labour</w:t>
      </w:r>
      <w:proofErr w:type="spellEnd"/>
      <w:r>
        <w:rPr>
          <w:rFonts w:ascii="Times New Roman" w:eastAsia="Times New Roman" w:hAnsi="Times New Roman" w:cs="Times New Roman"/>
          <w:color w:val="252525"/>
          <w:sz w:val="24"/>
          <w:szCs w:val="24"/>
        </w:rPr>
        <w:t xml:space="preserve"> market. Due to the implementation of lockdown measures, the enforcement of social isolation protocols, and the presence of economic uncertainty, many firms were driven to engage in staff layoffs and implement reductions in working hours. The unemployment rate serves as a crucial metric for assessing overall economic well-being. The unemployment rate saw a rise due to the economic deceleration brought about by the outbreak (</w:t>
      </w:r>
      <w:r>
        <w:rPr>
          <w:rFonts w:ascii="Times New Roman" w:eastAsia="Times New Roman" w:hAnsi="Times New Roman" w:cs="Times New Roman"/>
          <w:color w:val="222222"/>
          <w:sz w:val="24"/>
          <w:szCs w:val="24"/>
          <w:highlight w:val="white"/>
        </w:rPr>
        <w:t>Brown and Souto-Otero, 2020</w:t>
      </w:r>
      <w:r>
        <w:rPr>
          <w:rFonts w:ascii="Times New Roman" w:eastAsia="Times New Roman" w:hAnsi="Times New Roman" w:cs="Times New Roman"/>
          <w:color w:val="252525"/>
          <w:sz w:val="24"/>
          <w:szCs w:val="24"/>
        </w:rPr>
        <w:t xml:space="preserve">), although the </w:t>
      </w:r>
      <w:r>
        <w:rPr>
          <w:rFonts w:ascii="Times New Roman" w:eastAsia="Times New Roman" w:hAnsi="Times New Roman" w:cs="Times New Roman"/>
          <w:color w:val="252525"/>
          <w:sz w:val="24"/>
          <w:szCs w:val="24"/>
        </w:rPr>
        <w:lastRenderedPageBreak/>
        <w:t>implementation of government initiatives such as the Coronavirus Employment Retention Scheme, often known as the furlough scheme, aimed at preserving the workforce within various sectors, substantial employment reductions were seen, notably within the hotel, retail, and travel sectors. Even though these firms employ a substantial number of workers, this was the prevailing circumstance. The potential decrease in unemployment in the United Kingdom when the economy rebounds is contingent upon the promptness of firms in resuming operations and the restoration of consumer confidence.</w:t>
      </w:r>
    </w:p>
    <w:p w14:paraId="1A0E28A6" w14:textId="77777777" w:rsidR="00E3694B" w:rsidRDefault="00E3694B" w:rsidP="00E3694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52525"/>
          <w:sz w:val="24"/>
          <w:szCs w:val="24"/>
        </w:rPr>
        <w:t>In light of the pandemic, several enterprises have expeditiously embraced the utilization employees and digitalization response. Numerous enterprises have successfully maintained operational efficiency via remote work strategies during lockdown measures. Due to this transformation, the work market has seen an increase in complexity (</w:t>
      </w:r>
      <w:r>
        <w:rPr>
          <w:rFonts w:ascii="Times New Roman" w:eastAsia="Times New Roman" w:hAnsi="Times New Roman" w:cs="Times New Roman"/>
          <w:color w:val="222222"/>
          <w:sz w:val="24"/>
          <w:szCs w:val="24"/>
          <w:highlight w:val="white"/>
        </w:rPr>
        <w:t xml:space="preserve">Costa Dias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252525"/>
          <w:sz w:val="24"/>
          <w:szCs w:val="24"/>
        </w:rPr>
        <w:t>). While this initiative provided some workers with more freedom, it also brought to light a digital gap. It underscored the need to provide retraining opportunities to effectively navigate the challenges associated with technology-driven or remote work.</w:t>
      </w:r>
      <w:r>
        <w:rPr>
          <w:rFonts w:ascii="Times New Roman" w:eastAsia="Times New Roman" w:hAnsi="Times New Roman" w:cs="Times New Roman"/>
          <w:sz w:val="24"/>
          <w:szCs w:val="24"/>
        </w:rPr>
        <w:t xml:space="preserve"> The employment rate forecast for the United Kingdom throughout November 2022 to January 2023 was 76.0 per cent, indicating a marginal rise of 0.2 percentage points compared to the previous period. In the most recent quarter, there was a notable increase in the number of workers inside firms and the number of persons engaged in self-employment, resulting in a record high.</w:t>
      </w:r>
    </w:p>
    <w:p w14:paraId="2C3A28D2" w14:textId="77777777" w:rsidR="00E3694B" w:rsidRDefault="00E3694B" w:rsidP="00E3694B">
      <w:pPr>
        <w:spacing w:line="360" w:lineRule="auto"/>
        <w:jc w:val="both"/>
      </w:pPr>
      <w:r>
        <w:rPr>
          <w:rFonts w:ascii="Times New Roman" w:eastAsia="Times New Roman" w:hAnsi="Times New Roman" w:cs="Times New Roman"/>
          <w:sz w:val="24"/>
          <w:szCs w:val="24"/>
        </w:rPr>
        <w:t>According to the latest prediction, the number of individuals employed on the payroll in May 2023 is anticipated to see a monthly growth, with an estimated rise of 23,000 individuals compared to the preceding statistics for April 2023, resulting in a total of 30.0 million individuals employed. The first estimate provided in May 2023 will likely undergo revision in June 2023 due to more data acquisition. In February 2023, the unemployment rate had a marginal rise of 0.1 percentage points, reaching 3.8%, compared to the preceding month's figure of 3.7%. The primary contributors to the increase in the unemployment rate were those who had experienced a period of unemployment lasting between six and twelve months (</w:t>
      </w:r>
      <w:r>
        <w:rPr>
          <w:rFonts w:ascii="Times New Roman" w:eastAsia="Times New Roman" w:hAnsi="Times New Roman" w:cs="Times New Roman"/>
          <w:color w:val="222222"/>
          <w:sz w:val="24"/>
          <w:szCs w:val="24"/>
          <w:highlight w:val="white"/>
        </w:rPr>
        <w:t xml:space="preserve">Keogh-Brown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During the period spanning from February to April 2023, there was a decrease in the proportion of persons classified as economically inactive, with the percentage declining from 21.0% to 21.4% (ONS, 2023). The main factor contributing to the decrease in the third quarter may be attributed to a </w:t>
      </w:r>
      <w:r>
        <w:rPr>
          <w:rFonts w:ascii="Times New Roman" w:eastAsia="Times New Roman" w:hAnsi="Times New Roman" w:cs="Times New Roman"/>
          <w:sz w:val="24"/>
          <w:szCs w:val="24"/>
        </w:rPr>
        <w:lastRenderedPageBreak/>
        <w:t>significant proportion of persons who exhibited economic inactivity due to their responsibilities in caring for their families or tending to their houses.</w:t>
      </w:r>
    </w:p>
    <w:p w14:paraId="4E3CC2D3" w14:textId="77777777" w:rsidR="00E3694B" w:rsidRDefault="00E3694B" w:rsidP="00E3694B">
      <w:pPr>
        <w:spacing w:line="360" w:lineRule="auto"/>
        <w:jc w:val="both"/>
      </w:pPr>
      <w:r>
        <w:rPr>
          <w:rFonts w:ascii="Times New Roman" w:eastAsia="Times New Roman" w:hAnsi="Times New Roman" w:cs="Times New Roman"/>
          <w:sz w:val="24"/>
          <w:szCs w:val="24"/>
        </w:rPr>
        <w:t xml:space="preserve">Nevertheless, there was a notable increase in the prevalence of sedentary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resulting from chronic disease. A projected decline of 1,051,000 job opportunities is expected to occur over the period from March to May 2023, resulting in a quarterly reduction of 79,000 vacancies (ONS, 2023). The data indicates a consistent decline in job vacancies over eleven straight quarters, reflecting the pervasive apprehension among survey respondents who attribute their decision to postpone employment to worries over the state of the economy.</w:t>
      </w:r>
    </w:p>
    <w:p w14:paraId="0C0AFDE2" w14:textId="77777777" w:rsidR="00E3694B" w:rsidRDefault="00E3694B" w:rsidP="00E3694B">
      <w:pPr>
        <w:pStyle w:val="Heading1"/>
        <w:spacing w:line="360" w:lineRule="auto"/>
        <w:rPr>
          <w:rFonts w:ascii="Times New Roman" w:eastAsia="Times New Roman" w:hAnsi="Times New Roman" w:cs="Times New Roman"/>
          <w:b/>
          <w:sz w:val="28"/>
          <w:szCs w:val="28"/>
        </w:rPr>
      </w:pPr>
      <w:bookmarkStart w:id="5" w:name="_h99yhzn1cdc" w:colFirst="0" w:colLast="0"/>
      <w:bookmarkStart w:id="6" w:name="_Toc143210127"/>
      <w:bookmarkEnd w:id="5"/>
      <w:r>
        <w:rPr>
          <w:rFonts w:ascii="Times New Roman" w:eastAsia="Times New Roman" w:hAnsi="Times New Roman" w:cs="Times New Roman"/>
          <w:b/>
          <w:sz w:val="28"/>
          <w:szCs w:val="28"/>
        </w:rPr>
        <w:t>The emerging changes in Human Resourcing Strategies in the post-Covid</w:t>
      </w:r>
      <w:bookmarkEnd w:id="6"/>
    </w:p>
    <w:p w14:paraId="1CBA89CA" w14:textId="77777777" w:rsidR="00E3694B" w:rsidRDefault="00E3694B" w:rsidP="00E36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COVID-19 pandemic has brought about significant societal changes, including managing enterprises and their workforce. As global conditions gradually improve, there has been a notable evolution in human resource (HR) solutions to adapt to the changing dynamics of the post-Covid period. The aforementioned advancements have been achieved by amalgamating insights from the pandemic and the expedited progression of previous patterns (</w:t>
      </w:r>
      <w:r>
        <w:rPr>
          <w:rFonts w:ascii="Times New Roman" w:eastAsia="Times New Roman" w:hAnsi="Times New Roman" w:cs="Times New Roman"/>
          <w:color w:val="222222"/>
          <w:sz w:val="24"/>
          <w:szCs w:val="24"/>
          <w:highlight w:val="white"/>
        </w:rPr>
        <w:t xml:space="preserve">Mondal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Following the emergence of the Covid-19 pandemic, there has been a significant and notable transformation in human resource </w:t>
      </w:r>
      <w:proofErr w:type="spellStart"/>
      <w:r>
        <w:rPr>
          <w:rFonts w:ascii="Times New Roman" w:eastAsia="Times New Roman" w:hAnsi="Times New Roman" w:cs="Times New Roman"/>
          <w:sz w:val="24"/>
          <w:szCs w:val="24"/>
        </w:rPr>
        <w:t>practises</w:t>
      </w:r>
      <w:proofErr w:type="spellEnd"/>
      <w:r>
        <w:rPr>
          <w:rFonts w:ascii="Times New Roman" w:eastAsia="Times New Roman" w:hAnsi="Times New Roman" w:cs="Times New Roman"/>
          <w:sz w:val="24"/>
          <w:szCs w:val="24"/>
        </w:rPr>
        <w:t>.</w:t>
      </w:r>
    </w:p>
    <w:p w14:paraId="3B44D72F" w14:textId="77777777" w:rsidR="00E3694B" w:rsidRDefault="00E3694B" w:rsidP="00E3694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Hybrid and remote work </w:t>
      </w:r>
    </w:p>
    <w:p w14:paraId="5B0006E1" w14:textId="77777777" w:rsidR="00E3694B" w:rsidRDefault="00E3694B" w:rsidP="00E36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Two noteworthy transformations are the widespread implementation of remote work and the increasing prevalence of hybrid work patterns. As a result of the outbreak, many workers were obliged to engage in remote work, demonstrating the feasibility of remote or flexible work arrangements (</w:t>
      </w:r>
      <w:r>
        <w:rPr>
          <w:rFonts w:ascii="Times New Roman" w:eastAsia="Times New Roman" w:hAnsi="Times New Roman" w:cs="Times New Roman"/>
          <w:color w:val="222222"/>
          <w:sz w:val="24"/>
          <w:szCs w:val="24"/>
          <w:highlight w:val="white"/>
        </w:rPr>
        <w:t>Mer and Virdi, 2023</w:t>
      </w:r>
      <w:r>
        <w:rPr>
          <w:rFonts w:ascii="Times New Roman" w:eastAsia="Times New Roman" w:hAnsi="Times New Roman" w:cs="Times New Roman"/>
          <w:sz w:val="24"/>
          <w:szCs w:val="24"/>
        </w:rPr>
        <w:t xml:space="preserve">). Following the transformative impact of the Covid-19 pandemic, many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organisatorganisationslemented</w:t>
      </w:r>
      <w:proofErr w:type="spellEnd"/>
      <w:r>
        <w:rPr>
          <w:rFonts w:ascii="Times New Roman" w:eastAsia="Times New Roman" w:hAnsi="Times New Roman" w:cs="Times New Roman"/>
          <w:sz w:val="24"/>
          <w:szCs w:val="24"/>
        </w:rPr>
        <w:t xml:space="preserve"> hybrid work models, whereby workers divide their time between remote work from home and in-person work in the office. In order to maintain employee engagement, connectivity, and productivity irrespective of geographical location, human resources strategies are shifting towards establishing integrated remote and hybrid work environments.</w:t>
      </w:r>
    </w:p>
    <w:p w14:paraId="2B14D9A7" w14:textId="77777777" w:rsidR="00E3694B" w:rsidRDefault="00E3694B" w:rsidP="00E3694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F74F93B" wp14:editId="6589FD5C">
            <wp:extent cx="5224463" cy="278805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5"/>
                    <a:stretch>
                      <a:fillRect/>
                    </a:stretch>
                  </pic:blipFill>
                  <pic:spPr>
                    <a:xfrm>
                      <a:off x="0" y="0"/>
                      <a:ext cx="5224463" cy="2788055"/>
                    </a:xfrm>
                    <a:prstGeom prst="rect">
                      <a:avLst/>
                    </a:prstGeom>
                  </pic:spPr>
                </pic:pic>
              </a:graphicData>
            </a:graphic>
          </wp:inline>
        </w:drawing>
      </w:r>
    </w:p>
    <w:p w14:paraId="59EEB56E" w14:textId="77777777" w:rsidR="00E3694B" w:rsidRDefault="00E3694B" w:rsidP="00E3694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the impact of covid 19 on the work environment </w:t>
      </w:r>
    </w:p>
    <w:p w14:paraId="35B32E07" w14:textId="77777777" w:rsidR="00E3694B" w:rsidRDefault="00E3694B" w:rsidP="00E3694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Mer and Virdi, 2023</w:t>
      </w:r>
      <w:r>
        <w:rPr>
          <w:rFonts w:ascii="Times New Roman" w:eastAsia="Times New Roman" w:hAnsi="Times New Roman" w:cs="Times New Roman"/>
          <w:sz w:val="24"/>
          <w:szCs w:val="24"/>
        </w:rPr>
        <w:t>)</w:t>
      </w:r>
    </w:p>
    <w:p w14:paraId="35F9A00E" w14:textId="77777777" w:rsidR="00E3694B" w:rsidRDefault="00E3694B" w:rsidP="00E3694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Giving importance to the employee well being </w:t>
      </w:r>
    </w:p>
    <w:p w14:paraId="447E06F0" w14:textId="77777777" w:rsidR="00E3694B" w:rsidRDefault="00E3694B" w:rsidP="00E36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outbreak underscored the need to place worker health as a top priority. The growing </w:t>
      </w:r>
      <w:proofErr w:type="spellStart"/>
      <w:r>
        <w:rPr>
          <w:rFonts w:ascii="Times New Roman" w:eastAsia="Times New Roman" w:hAnsi="Times New Roman" w:cs="Times New Roman"/>
          <w:sz w:val="24"/>
          <w:szCs w:val="24"/>
        </w:rPr>
        <w:t>prioritisprioritisationl</w:t>
      </w:r>
      <w:proofErr w:type="spellEnd"/>
      <w:r>
        <w:rPr>
          <w:rFonts w:ascii="Times New Roman" w:eastAsia="Times New Roman" w:hAnsi="Times New Roman" w:cs="Times New Roman"/>
          <w:sz w:val="24"/>
          <w:szCs w:val="24"/>
        </w:rPr>
        <w:t xml:space="preserve"> health support, flexible scheduling, and work-life balance may be attributed to the many difficulties associated with remote work, including experiences of isolation and heightened stress levels (</w:t>
      </w:r>
      <w:proofErr w:type="spellStart"/>
      <w:r>
        <w:rPr>
          <w:rFonts w:ascii="Times New Roman" w:eastAsia="Times New Roman" w:hAnsi="Times New Roman" w:cs="Times New Roman"/>
          <w:color w:val="222222"/>
          <w:sz w:val="24"/>
          <w:szCs w:val="24"/>
          <w:highlight w:val="white"/>
        </w:rPr>
        <w:t>Ichsan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20220</w:t>
      </w:r>
      <w:r>
        <w:rPr>
          <w:rFonts w:ascii="Times New Roman" w:eastAsia="Times New Roman" w:hAnsi="Times New Roman" w:cs="Times New Roman"/>
          <w:sz w:val="24"/>
          <w:szCs w:val="24"/>
        </w:rPr>
        <w:t xml:space="preserve">). Human resources (HR) efforts are increasingly integrating strategies aimed at improving the whole well-being of workers, including their physical, mental, and emotional health. In order to cultivate a working environment that is </w:t>
      </w:r>
      <w:proofErr w:type="spellStart"/>
      <w:r>
        <w:rPr>
          <w:rFonts w:ascii="Times New Roman" w:eastAsia="Times New Roman" w:hAnsi="Times New Roman" w:cs="Times New Roman"/>
          <w:sz w:val="24"/>
          <w:szCs w:val="24"/>
        </w:rPr>
        <w:t>charactercharacterisedivity</w:t>
      </w:r>
      <w:proofErr w:type="spellEnd"/>
      <w:r>
        <w:rPr>
          <w:rFonts w:ascii="Times New Roman" w:eastAsia="Times New Roman" w:hAnsi="Times New Roman" w:cs="Times New Roman"/>
          <w:sz w:val="24"/>
          <w:szCs w:val="24"/>
        </w:rPr>
        <w:t xml:space="preserve"> and well-being, several enterprises are allocating resources towards implementing employee support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wellness initiatives, and campaigns to raise awareness about mental health. The COVID-19 epidemic expedited the digital transformation process within the human resources field. The use of technology for various functions, such as staff recruitment, training, and performance evaluation, has become a prevalent practice. As a result, HR strategies focus more on enhancing digital technologies to support better HR operations (</w:t>
      </w:r>
      <w:proofErr w:type="spellStart"/>
      <w:r>
        <w:rPr>
          <w:rFonts w:ascii="Times New Roman" w:eastAsia="Times New Roman" w:hAnsi="Times New Roman" w:cs="Times New Roman"/>
          <w:color w:val="222222"/>
          <w:sz w:val="24"/>
          <w:szCs w:val="24"/>
          <w:highlight w:val="white"/>
        </w:rPr>
        <w:t>Mefi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Asoba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This encompasses integrating technology approaches for employee recruitment, training, assessment, and </w:t>
      </w:r>
      <w:proofErr w:type="spellStart"/>
      <w:r>
        <w:rPr>
          <w:rFonts w:ascii="Times New Roman" w:eastAsia="Times New Roman" w:hAnsi="Times New Roman" w:cs="Times New Roman"/>
          <w:sz w:val="24"/>
          <w:szCs w:val="24"/>
        </w:rPr>
        <w:t>incentiviincentivisationr</w:t>
      </w:r>
      <w:proofErr w:type="spellEnd"/>
      <w:r>
        <w:rPr>
          <w:rFonts w:ascii="Times New Roman" w:eastAsia="Times New Roman" w:hAnsi="Times New Roman" w:cs="Times New Roman"/>
          <w:sz w:val="24"/>
          <w:szCs w:val="24"/>
        </w:rPr>
        <w:t xml:space="preserve"> to provide more time for strategic activities; human resources departments are progressively turning to automation and artificial intelligence (AI) to oversee routine duties.</w:t>
      </w:r>
    </w:p>
    <w:p w14:paraId="31DCF476" w14:textId="77777777" w:rsidR="00E3694B" w:rsidRDefault="00E3694B" w:rsidP="00E3694B">
      <w:pPr>
        <w:spacing w:line="360" w:lineRule="auto"/>
        <w:jc w:val="both"/>
        <w:rPr>
          <w:rFonts w:ascii="Times New Roman" w:eastAsia="Times New Roman" w:hAnsi="Times New Roman" w:cs="Times New Roman"/>
          <w:b/>
          <w:i/>
          <w:sz w:val="24"/>
          <w:szCs w:val="24"/>
        </w:rPr>
      </w:pPr>
      <w:proofErr w:type="spellStart"/>
      <w:r>
        <w:rPr>
          <w:rFonts w:ascii="Times New Roman" w:eastAsia="Times New Roman" w:hAnsi="Times New Roman" w:cs="Times New Roman"/>
          <w:b/>
          <w:i/>
          <w:sz w:val="24"/>
          <w:szCs w:val="24"/>
        </w:rPr>
        <w:t>DigitalisDigitalisationR</w:t>
      </w:r>
      <w:proofErr w:type="spellEnd"/>
      <w:r>
        <w:rPr>
          <w:rFonts w:ascii="Times New Roman" w:eastAsia="Times New Roman" w:hAnsi="Times New Roman" w:cs="Times New Roman"/>
          <w:b/>
          <w:i/>
          <w:sz w:val="24"/>
          <w:szCs w:val="24"/>
        </w:rPr>
        <w:t xml:space="preserve"> process </w:t>
      </w:r>
    </w:p>
    <w:p w14:paraId="049B3374" w14:textId="77777777" w:rsidR="00E3694B" w:rsidRDefault="00E3694B" w:rsidP="00E36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outbreak highlighted the need for an adaptable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force and the ability to adjust to emerging demands swiftly. There is a growing focus within human resource policies and practices on promoting lifelong learning and enhancing skills (</w:t>
      </w:r>
      <w:r>
        <w:rPr>
          <w:rFonts w:ascii="Times New Roman" w:eastAsia="Times New Roman" w:hAnsi="Times New Roman" w:cs="Times New Roman"/>
          <w:color w:val="222222"/>
          <w:sz w:val="24"/>
          <w:szCs w:val="24"/>
          <w:highlight w:val="white"/>
        </w:rPr>
        <w:t xml:space="preserve">Porkodi </w:t>
      </w:r>
      <w:r>
        <w:rPr>
          <w:rFonts w:ascii="Times New Roman" w:eastAsia="Times New Roman" w:hAnsi="Times New Roman" w:cs="Times New Roman"/>
          <w:i/>
          <w:color w:val="222222"/>
          <w:sz w:val="24"/>
          <w:szCs w:val="24"/>
          <w:highlight w:val="white"/>
        </w:rPr>
        <w:t>et al.</w:t>
      </w:r>
      <w:r>
        <w:t>, 2021</w:t>
      </w:r>
      <w:r>
        <w:rPr>
          <w:rFonts w:ascii="Times New Roman" w:eastAsia="Times New Roman" w:hAnsi="Times New Roman" w:cs="Times New Roman"/>
          <w:sz w:val="24"/>
          <w:szCs w:val="24"/>
        </w:rPr>
        <w:t xml:space="preserve">). In order to facilitate the adaptation of personnel to evolving roles and responsibilities, it is essential to provide support in correcting gaps in knowledge and delivering training in emerging domains. By improving the competencies of its workforce, an </w:t>
      </w:r>
      <w:proofErr w:type="gramStart"/>
      <w:r>
        <w:rPr>
          <w:rFonts w:ascii="Times New Roman" w:eastAsia="Times New Roman" w:hAnsi="Times New Roman" w:cs="Times New Roman"/>
          <w:sz w:val="24"/>
          <w:szCs w:val="24"/>
        </w:rPr>
        <w:t>organization's</w:t>
      </w:r>
      <w:proofErr w:type="gramEnd"/>
      <w:r>
        <w:rPr>
          <w:rFonts w:ascii="Times New Roman" w:eastAsia="Times New Roman" w:hAnsi="Times New Roman" w:cs="Times New Roman"/>
          <w:sz w:val="24"/>
          <w:szCs w:val="24"/>
        </w:rPr>
        <w:t xml:space="preserve"> to foster innovation and adapt to market dynamics is augmented. In light of the pandemic, there has been a renewed commitment to addressing social and economic inequalities. </w:t>
      </w:r>
      <w:proofErr w:type="spellStart"/>
      <w:r>
        <w:rPr>
          <w:rFonts w:ascii="Times New Roman" w:eastAsia="Times New Roman" w:hAnsi="Times New Roman" w:cs="Times New Roman"/>
          <w:sz w:val="24"/>
          <w:szCs w:val="24"/>
        </w:rPr>
        <w:t>OrganisatOrganisationalsource</w:t>
      </w:r>
      <w:proofErr w:type="spellEnd"/>
      <w:r>
        <w:rPr>
          <w:rFonts w:ascii="Times New Roman" w:eastAsia="Times New Roman" w:hAnsi="Times New Roman" w:cs="Times New Roman"/>
          <w:sz w:val="24"/>
          <w:szCs w:val="24"/>
        </w:rPr>
        <w:t xml:space="preserve"> strategies are now emphasizing the prioritization a workforce that is characterized by diversity and inclusivity. Employers are implementing inclusive hiring practices and offering diversity training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to promote equitable treatment of all workers (</w:t>
      </w:r>
      <w:r>
        <w:rPr>
          <w:rFonts w:ascii="Times New Roman" w:eastAsia="Times New Roman" w:hAnsi="Times New Roman" w:cs="Times New Roman"/>
          <w:color w:val="222222"/>
          <w:sz w:val="24"/>
          <w:szCs w:val="24"/>
          <w:highlight w:val="white"/>
        </w:rPr>
        <w:t xml:space="preserve">Shaikh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2023</w:t>
      </w:r>
      <w:r>
        <w:rPr>
          <w:rFonts w:ascii="Times New Roman" w:eastAsia="Times New Roman" w:hAnsi="Times New Roman" w:cs="Times New Roman"/>
          <w:sz w:val="24"/>
          <w:szCs w:val="24"/>
        </w:rPr>
        <w:t>). Including Diversity, Equity, and Inclusion (DEI) considerations in organizations aimed at recruiting, keeping, and nurturing personnel is essential.</w:t>
      </w:r>
    </w:p>
    <w:p w14:paraId="5111A1C9" w14:textId="77777777" w:rsidR="00E3694B" w:rsidRDefault="00E3694B" w:rsidP="00E3694B">
      <w:pPr>
        <w:spacing w:line="360" w:lineRule="auto"/>
        <w:jc w:val="both"/>
        <w:rPr>
          <w:rFonts w:ascii="Times New Roman" w:eastAsia="Times New Roman" w:hAnsi="Times New Roman" w:cs="Times New Roman"/>
          <w:b/>
          <w:i/>
          <w:sz w:val="24"/>
          <w:szCs w:val="24"/>
        </w:rPr>
      </w:pPr>
      <w:proofErr w:type="spellStart"/>
      <w:r>
        <w:rPr>
          <w:rFonts w:ascii="Times New Roman" w:eastAsia="Times New Roman" w:hAnsi="Times New Roman" w:cs="Times New Roman"/>
          <w:b/>
          <w:i/>
          <w:sz w:val="24"/>
          <w:szCs w:val="24"/>
        </w:rPr>
        <w:t>Resikiling</w:t>
      </w:r>
      <w:proofErr w:type="spellEnd"/>
      <w:r>
        <w:rPr>
          <w:rFonts w:ascii="Times New Roman" w:eastAsia="Times New Roman" w:hAnsi="Times New Roman" w:cs="Times New Roman"/>
          <w:b/>
          <w:i/>
          <w:sz w:val="24"/>
          <w:szCs w:val="24"/>
        </w:rPr>
        <w:t xml:space="preserve"> and agility </w:t>
      </w:r>
    </w:p>
    <w:p w14:paraId="2C788226" w14:textId="77777777" w:rsidR="00E3694B" w:rsidRDefault="00E3694B" w:rsidP="00E36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the emergence of the Covid-19 pandemic, human resources (HR) initiatives have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the use of data analytics. The unpredictability of the pandemic underscored the need to use data-driven decision-making approaches to surmount challenges. Using data, human resources departments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workforce trends, make projections on personnel requirements and improve operational efficiency. This approach offers advantages in evaluating employee attitude, pinpointing areas of concern, and directing human resources initiatives. The post-Covid era has resulted in notable upheavals in human resources (HR) strategy (</w:t>
      </w:r>
      <w:r>
        <w:rPr>
          <w:rFonts w:ascii="Times New Roman" w:eastAsia="Times New Roman" w:hAnsi="Times New Roman" w:cs="Times New Roman"/>
          <w:color w:val="222222"/>
          <w:sz w:val="24"/>
          <w:szCs w:val="24"/>
          <w:highlight w:val="white"/>
        </w:rPr>
        <w:t>Manojkumar, 2023</w:t>
      </w:r>
      <w:r>
        <w:rPr>
          <w:rFonts w:ascii="Times New Roman" w:eastAsia="Times New Roman" w:hAnsi="Times New Roman" w:cs="Times New Roman"/>
          <w:sz w:val="24"/>
          <w:szCs w:val="24"/>
        </w:rPr>
        <w:t xml:space="preserve">). Remote work, employee well-being, </w:t>
      </w:r>
      <w:proofErr w:type="spellStart"/>
      <w:r>
        <w:rPr>
          <w:rFonts w:ascii="Times New Roman" w:eastAsia="Times New Roman" w:hAnsi="Times New Roman" w:cs="Times New Roman"/>
          <w:sz w:val="24"/>
          <w:szCs w:val="24"/>
        </w:rPr>
        <w:t>digitalizdigitalisation</w:t>
      </w:r>
      <w:proofErr w:type="spellEnd"/>
      <w:r>
        <w:rPr>
          <w:rFonts w:ascii="Times New Roman" w:eastAsia="Times New Roman" w:hAnsi="Times New Roman" w:cs="Times New Roman"/>
          <w:sz w:val="24"/>
          <w:szCs w:val="24"/>
        </w:rPr>
        <w:t xml:space="preserve">, diversity and inclusion, and data-driven decision-making have become prevalent human resource practices in contemporary times. The aforementioned steps have been implemented due to a collaborative effort to integrate the knowledge gained from the epidemic into subsequent workforce planning. The evolution of human resources strategies is an inevitable consequence of the evolving environment since these strategies aim to support people and drive </w:t>
      </w:r>
      <w:proofErr w:type="spellStart"/>
      <w:r>
        <w:rPr>
          <w:rFonts w:ascii="Times New Roman" w:eastAsia="Times New Roman" w:hAnsi="Times New Roman" w:cs="Times New Roman"/>
          <w:sz w:val="24"/>
          <w:szCs w:val="24"/>
        </w:rPr>
        <w:t>organisatorganisational</w:t>
      </w:r>
      <w:proofErr w:type="spellEnd"/>
      <w:r>
        <w:rPr>
          <w:rFonts w:ascii="Times New Roman" w:eastAsia="Times New Roman" w:hAnsi="Times New Roman" w:cs="Times New Roman"/>
          <w:sz w:val="24"/>
          <w:szCs w:val="24"/>
        </w:rPr>
        <w:t>.</w:t>
      </w:r>
    </w:p>
    <w:p w14:paraId="2625B563" w14:textId="77777777" w:rsidR="00E3694B" w:rsidRDefault="00E3694B" w:rsidP="00E3694B">
      <w:pPr>
        <w:pStyle w:val="Heading1"/>
        <w:spacing w:line="360" w:lineRule="auto"/>
        <w:rPr>
          <w:rFonts w:ascii="Times New Roman" w:eastAsia="Times New Roman" w:hAnsi="Times New Roman" w:cs="Times New Roman"/>
          <w:b/>
          <w:sz w:val="28"/>
          <w:szCs w:val="28"/>
        </w:rPr>
      </w:pPr>
      <w:bookmarkStart w:id="7" w:name="_dpl0r66k8cpj" w:colFirst="0" w:colLast="0"/>
      <w:bookmarkStart w:id="8" w:name="_Toc143210128"/>
      <w:bookmarkEnd w:id="7"/>
      <w:r>
        <w:rPr>
          <w:rFonts w:ascii="Times New Roman" w:eastAsia="Times New Roman" w:hAnsi="Times New Roman" w:cs="Times New Roman"/>
          <w:b/>
          <w:sz w:val="28"/>
          <w:szCs w:val="28"/>
        </w:rPr>
        <w:lastRenderedPageBreak/>
        <w:t>The emerging changes in Human Resourcing Strategies in the post-Brexit external environment</w:t>
      </w:r>
      <w:bookmarkEnd w:id="8"/>
    </w:p>
    <w:p w14:paraId="0FAC58AE" w14:textId="77777777" w:rsidR="00E3694B" w:rsidRDefault="00E3694B" w:rsidP="00E36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departure of the United Kingdom from the European Union, often referred to as Brexit, has given rise to a novel external landscape that has implications for all facets of corporate operations, including human resources strategy. In light of the United Kingdom's reconfiguration of its relationship with the European Union and the global community, there has been a need for human resource strategies to undergo modifications in order to accommodate the changing dynamics of the post-Brexit landscape (</w:t>
      </w:r>
      <w:proofErr w:type="spellStart"/>
      <w:r>
        <w:rPr>
          <w:rFonts w:ascii="Times New Roman" w:eastAsia="Times New Roman" w:hAnsi="Times New Roman" w:cs="Times New Roman"/>
          <w:color w:val="222222"/>
          <w:sz w:val="24"/>
          <w:szCs w:val="24"/>
          <w:highlight w:val="white"/>
        </w:rPr>
        <w:t>Moradlou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The emerging external environment presents a unique array of problems and possibilities evident in the ongoing transformations. After the occurrence of Brexit, some noteworthy changes have been seen in the domain of human resource strategy.</w:t>
      </w:r>
    </w:p>
    <w:p w14:paraId="61D2CA26" w14:textId="77777777" w:rsidR="00E3694B" w:rsidRDefault="00E3694B" w:rsidP="00E3694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workforce mobility </w:t>
      </w:r>
    </w:p>
    <w:p w14:paraId="6EA203D2" w14:textId="77777777" w:rsidR="00E3694B" w:rsidRDefault="00E3694B" w:rsidP="00E36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United Kingdom's withdrawal from the European Union, often referred to as Brexit, has resulted in substantial modifications to the legislation governing the free movement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between the United Kingdom and the European Union and other immigration policies. The aforementioned scenario significantly impacts the United Kingdom's capacity to recruit and retain proficient overseas personnel (</w:t>
      </w:r>
      <w:r>
        <w:rPr>
          <w:rFonts w:ascii="Times New Roman" w:eastAsia="Times New Roman" w:hAnsi="Times New Roman" w:cs="Times New Roman"/>
          <w:color w:val="222222"/>
          <w:sz w:val="24"/>
          <w:szCs w:val="24"/>
          <w:highlight w:val="white"/>
        </w:rPr>
        <w:t xml:space="preserve">Cumming,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There is a growing focus within human resource strategies on the concept of worker mobility, including the understanding and adaptation to changes in immigration regulations, such as those about visas and work permits. Business enterprises are actively seeking personnel outside the confines of the European Union, and a subset of these entities are allocating financial resources towards retraining their existing workers. The importance of talent acquisition and retention has grown in prominence as the United Kingdom faces the potential of a reduced pool of talent accessible to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European Union. The need to identify and keep skilled employees has led to a revolution in human resources practices. In order to effectively retain high-performing employees, it is necessary to modify recruitment methods to attract a broader range of potential candidates, place significant focus on the company's unique value proposition, provide attractive remuneration packages, and provide enticing prospects for career growth.</w:t>
      </w:r>
    </w:p>
    <w:p w14:paraId="58797E55" w14:textId="77777777" w:rsidR="00E3694B" w:rsidRDefault="00E3694B" w:rsidP="00E3694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Skill development and training </w:t>
      </w:r>
    </w:p>
    <w:p w14:paraId="47F06436" w14:textId="77777777" w:rsidR="00E3694B" w:rsidRDefault="00E3694B" w:rsidP="00E36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Given the dynamic nature of the external environment, it is essential to reaffirm the commitment to allocating resources towards the education and professional growth of the existing personnel. </w:t>
      </w:r>
      <w:r>
        <w:rPr>
          <w:rFonts w:ascii="Times New Roman" w:eastAsia="Times New Roman" w:hAnsi="Times New Roman" w:cs="Times New Roman"/>
          <w:sz w:val="24"/>
          <w:szCs w:val="24"/>
        </w:rPr>
        <w:lastRenderedPageBreak/>
        <w:t xml:space="preserve">Human resource strategies are increasingly focusing on implementing upskilling and reskilling initiatives. This strategic shift aims to effectively mitigate any skill shortages that may arise due to fluctuations in the accessibility of foreign talent. Numerous corporations are allocating resources towards the implementation of training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in order to effectively adapt to the dynamic requirements of their </w:t>
      </w:r>
      <w:proofErr w:type="spellStart"/>
      <w:r>
        <w:rPr>
          <w:rFonts w:ascii="Times New Roman" w:eastAsia="Times New Roman" w:hAnsi="Times New Roman" w:cs="Times New Roman"/>
          <w:sz w:val="24"/>
          <w:szCs w:val="24"/>
        </w:rPr>
        <w:t>organisatorganisationsbroader</w:t>
      </w:r>
      <w:proofErr w:type="spellEnd"/>
      <w:r>
        <w:rPr>
          <w:rFonts w:ascii="Times New Roman" w:eastAsia="Times New Roman" w:hAnsi="Times New Roman" w:cs="Times New Roman"/>
          <w:sz w:val="24"/>
          <w:szCs w:val="24"/>
        </w:rPr>
        <w:t xml:space="preserve"> business sector (</w:t>
      </w:r>
      <w:r>
        <w:rPr>
          <w:rFonts w:ascii="Times New Roman" w:eastAsia="Times New Roman" w:hAnsi="Times New Roman" w:cs="Times New Roman"/>
          <w:sz w:val="24"/>
          <w:szCs w:val="24"/>
          <w:highlight w:val="white"/>
        </w:rPr>
        <w:t xml:space="preserve">Topolansky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Brexit has presented companies with a novel array of regulatory challenges. Human resources practices are changing to adapt to the need for precise and current paperwork concerning the recruitment and selection of international personnel. In order to guarantee adherence to recently implemented regulations about work permits, visa applications, and right-to-work inspections, it is essential to mitigate any legal complexities.</w:t>
      </w:r>
    </w:p>
    <w:p w14:paraId="6C414395" w14:textId="77777777" w:rsidR="00E3694B" w:rsidRDefault="00E3694B" w:rsidP="00E3694B">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Investment and expansion decision </w:t>
      </w:r>
    </w:p>
    <w:p w14:paraId="1ECA8E69" w14:textId="77777777" w:rsidR="00E3694B" w:rsidRDefault="00E3694B" w:rsidP="00E36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trade dynamics and economic linkages have changed due to the modified external environment after Brexit. The policies and processes regarding human resources may potentially be impacted. Companies are proactively monitoring consumer demand, engaging in research to assess the economic impact on their respective sectors, and implementing suitable people strategies in response (</w:t>
      </w:r>
      <w:r>
        <w:rPr>
          <w:rFonts w:ascii="Times New Roman" w:eastAsia="Times New Roman" w:hAnsi="Times New Roman" w:cs="Times New Roman"/>
          <w:sz w:val="24"/>
          <w:szCs w:val="24"/>
          <w:highlight w:val="white"/>
        </w:rPr>
        <w:t>Malik, A. and Sanders, 2021</w:t>
      </w:r>
      <w:r>
        <w:rPr>
          <w:rFonts w:ascii="Times New Roman" w:eastAsia="Times New Roman" w:hAnsi="Times New Roman" w:cs="Times New Roman"/>
          <w:sz w:val="24"/>
          <w:szCs w:val="24"/>
        </w:rPr>
        <w:t xml:space="preserve">). The decision to depart the European Union, often called Brexit, has brought about significant changes in the United Kingdom's association with the European Union. However, it also offers a potential avenue for the nation to enhance its worldwide involvement. Human resource strategies increasingly incorporate talent from the European Union (EU) and many global regions. Contemporary </w:t>
      </w:r>
      <w:proofErr w:type="spellStart"/>
      <w:r>
        <w:rPr>
          <w:rFonts w:ascii="Times New Roman" w:eastAsia="Times New Roman" w:hAnsi="Times New Roman" w:cs="Times New Roman"/>
          <w:sz w:val="24"/>
          <w:szCs w:val="24"/>
        </w:rPr>
        <w:t>organisatorganisationssprioritiseblishment</w:t>
      </w:r>
      <w:proofErr w:type="spellEnd"/>
      <w:r>
        <w:rPr>
          <w:rFonts w:ascii="Times New Roman" w:eastAsia="Times New Roman" w:hAnsi="Times New Roman" w:cs="Times New Roman"/>
          <w:sz w:val="24"/>
          <w:szCs w:val="24"/>
        </w:rPr>
        <w:t xml:space="preserve"> of inclusive and supportive work cultures foster a sense of belonging and appreciation among workers from all backgrounds and with varied experiences. The external environment after Brexit has resulted in notable modifications to human resource strategies. Human resource strategies are changing in response to the difficulties and possibilities presented by the current business environment, particularly in talent acquisition and retention, regulatory compliance, and skill development (</w:t>
      </w:r>
      <w:r>
        <w:rPr>
          <w:rFonts w:ascii="Times New Roman" w:eastAsia="Times New Roman" w:hAnsi="Times New Roman" w:cs="Times New Roman"/>
          <w:sz w:val="24"/>
          <w:szCs w:val="24"/>
          <w:highlight w:val="white"/>
        </w:rPr>
        <w:t>ȘERBAN and ICHIMESCU, 2020</w:t>
      </w:r>
      <w:r>
        <w:rPr>
          <w:rFonts w:ascii="Times New Roman" w:eastAsia="Times New Roman" w:hAnsi="Times New Roman" w:cs="Times New Roman"/>
          <w:sz w:val="24"/>
          <w:szCs w:val="24"/>
        </w:rPr>
        <w:t>). In order to prosper and persist in the unpredictable post-Brexit climate, firms may adopt a flexible and proactive strategy.</w:t>
      </w:r>
    </w:p>
    <w:p w14:paraId="5BC61F8B" w14:textId="77777777" w:rsidR="00E3694B" w:rsidRDefault="00E3694B" w:rsidP="00E3694B">
      <w:pPr>
        <w:pStyle w:val="Heading1"/>
        <w:spacing w:line="360" w:lineRule="auto"/>
        <w:rPr>
          <w:rFonts w:ascii="Times New Roman" w:eastAsia="Times New Roman" w:hAnsi="Times New Roman" w:cs="Times New Roman"/>
          <w:b/>
          <w:sz w:val="28"/>
          <w:szCs w:val="28"/>
        </w:rPr>
      </w:pPr>
      <w:bookmarkStart w:id="9" w:name="_kvl2hfa5ws1a" w:colFirst="0" w:colLast="0"/>
      <w:bookmarkStart w:id="10" w:name="_Toc143210129"/>
      <w:bookmarkEnd w:id="9"/>
      <w:r>
        <w:rPr>
          <w:rFonts w:ascii="Times New Roman" w:eastAsia="Times New Roman" w:hAnsi="Times New Roman" w:cs="Times New Roman"/>
          <w:b/>
          <w:sz w:val="28"/>
          <w:szCs w:val="28"/>
        </w:rPr>
        <w:t>Conclusion</w:t>
      </w:r>
      <w:bookmarkEnd w:id="10"/>
      <w:r>
        <w:rPr>
          <w:rFonts w:ascii="Times New Roman" w:eastAsia="Times New Roman" w:hAnsi="Times New Roman" w:cs="Times New Roman"/>
          <w:b/>
          <w:sz w:val="28"/>
          <w:szCs w:val="28"/>
        </w:rPr>
        <w:t xml:space="preserve"> </w:t>
      </w:r>
    </w:p>
    <w:p w14:paraId="5AB509AF" w14:textId="77777777" w:rsidR="00E3694B" w:rsidRDefault="00E3694B" w:rsidP="00E3694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implications of Brexit on trade dynamics and economic interconnections have had a discernible influence on human resource strategies and processes. Organizational engaged in the </w:t>
      </w:r>
      <w:r>
        <w:rPr>
          <w:rFonts w:ascii="Times New Roman" w:eastAsia="Times New Roman" w:hAnsi="Times New Roman" w:cs="Times New Roman"/>
          <w:sz w:val="24"/>
          <w:szCs w:val="24"/>
        </w:rPr>
        <w:lastRenderedPageBreak/>
        <w:t>surveillance of customer feedback, doing comprehensive investigations, and formulating strategic approaches in response. The withdrawal of the United Kingdom from the European Union (EU) has transformed its association with the EU and given rise to fresh prospects for global involvement. Human resource strategies that emphasize fostering varied workplace cultures and ensuring adherence to legal regulations incorporate talent from the European Union (EU) and other regions. In order to thrive in the unpredictable post-Brexit landscape, enterprises must demonstrate adaptability and assertiveness.</w:t>
      </w:r>
    </w:p>
    <w:p w14:paraId="6E4177E1" w14:textId="77777777" w:rsidR="00E3694B" w:rsidRDefault="00E3694B" w:rsidP="00E3694B">
      <w:pPr>
        <w:spacing w:line="360" w:lineRule="auto"/>
      </w:pPr>
      <w:r>
        <w:br w:type="page"/>
      </w:r>
    </w:p>
    <w:p w14:paraId="60A0F5DC" w14:textId="77777777" w:rsidR="00E3694B" w:rsidRDefault="00E3694B" w:rsidP="00E3694B">
      <w:pPr>
        <w:pStyle w:val="Heading1"/>
        <w:spacing w:line="360" w:lineRule="auto"/>
        <w:rPr>
          <w:rFonts w:ascii="Times New Roman" w:eastAsia="Times New Roman" w:hAnsi="Times New Roman" w:cs="Times New Roman"/>
          <w:b/>
          <w:sz w:val="28"/>
          <w:szCs w:val="28"/>
        </w:rPr>
      </w:pPr>
      <w:bookmarkStart w:id="11" w:name="_8m3jfacgjmaf" w:colFirst="0" w:colLast="0"/>
      <w:bookmarkStart w:id="12" w:name="_Toc143210130"/>
      <w:bookmarkEnd w:id="11"/>
      <w:r>
        <w:rPr>
          <w:rFonts w:ascii="Times New Roman" w:eastAsia="Times New Roman" w:hAnsi="Times New Roman" w:cs="Times New Roman"/>
          <w:b/>
          <w:sz w:val="28"/>
          <w:szCs w:val="28"/>
        </w:rPr>
        <w:lastRenderedPageBreak/>
        <w:t>Reference</w:t>
      </w:r>
      <w:bookmarkEnd w:id="12"/>
      <w:r>
        <w:rPr>
          <w:rFonts w:ascii="Times New Roman" w:eastAsia="Times New Roman" w:hAnsi="Times New Roman" w:cs="Times New Roman"/>
          <w:b/>
          <w:sz w:val="28"/>
          <w:szCs w:val="28"/>
        </w:rPr>
        <w:t>s</w:t>
      </w:r>
    </w:p>
    <w:p w14:paraId="1A04F455" w14:textId="77777777" w:rsidR="00E3694B" w:rsidRPr="00600963" w:rsidRDefault="00E3694B" w:rsidP="00E3694B">
      <w:pPr>
        <w:spacing w:after="240" w:line="360" w:lineRule="auto"/>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Bell, D.N. and Blanchflower, D.G., 2020. US and UK </w:t>
      </w:r>
      <w:proofErr w:type="spellStart"/>
      <w:r w:rsidRPr="00600963">
        <w:rPr>
          <w:rFonts w:ascii="Times New Roman" w:eastAsia="Times New Roman" w:hAnsi="Times New Roman" w:cs="Times New Roman"/>
          <w:color w:val="222222"/>
          <w:sz w:val="24"/>
          <w:szCs w:val="24"/>
          <w:highlight w:val="white"/>
        </w:rPr>
        <w:t>labour</w:t>
      </w:r>
      <w:proofErr w:type="spellEnd"/>
      <w:r w:rsidRPr="00600963">
        <w:rPr>
          <w:rFonts w:ascii="Times New Roman" w:eastAsia="Times New Roman" w:hAnsi="Times New Roman" w:cs="Times New Roman"/>
          <w:color w:val="222222"/>
          <w:sz w:val="24"/>
          <w:szCs w:val="24"/>
          <w:highlight w:val="white"/>
        </w:rPr>
        <w:t xml:space="preserve"> markets before and during the Covid-19 crash. </w:t>
      </w:r>
      <w:r w:rsidRPr="00600963">
        <w:rPr>
          <w:rFonts w:ascii="Times New Roman" w:eastAsia="Times New Roman" w:hAnsi="Times New Roman" w:cs="Times New Roman"/>
          <w:i/>
          <w:color w:val="222222"/>
          <w:sz w:val="24"/>
          <w:szCs w:val="24"/>
          <w:highlight w:val="white"/>
        </w:rPr>
        <w:t>National Institute Economic Review</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252</w:t>
      </w:r>
      <w:r w:rsidRPr="00600963">
        <w:rPr>
          <w:rFonts w:ascii="Times New Roman" w:eastAsia="Times New Roman" w:hAnsi="Times New Roman" w:cs="Times New Roman"/>
          <w:color w:val="222222"/>
          <w:sz w:val="24"/>
          <w:szCs w:val="24"/>
          <w:highlight w:val="white"/>
        </w:rPr>
        <w:t xml:space="preserve">, </w:t>
      </w:r>
      <w:proofErr w:type="gramStart"/>
      <w:r w:rsidRPr="00600963">
        <w:rPr>
          <w:rFonts w:ascii="Times New Roman" w:eastAsia="Times New Roman" w:hAnsi="Times New Roman" w:cs="Times New Roman"/>
          <w:color w:val="222222"/>
          <w:sz w:val="24"/>
          <w:szCs w:val="24"/>
          <w:highlight w:val="white"/>
        </w:rPr>
        <w:t>pp.R</w:t>
      </w:r>
      <w:proofErr w:type="gramEnd"/>
      <w:r w:rsidRPr="00600963">
        <w:rPr>
          <w:rFonts w:ascii="Times New Roman" w:eastAsia="Times New Roman" w:hAnsi="Times New Roman" w:cs="Times New Roman"/>
          <w:color w:val="222222"/>
          <w:sz w:val="24"/>
          <w:szCs w:val="24"/>
          <w:highlight w:val="white"/>
        </w:rPr>
        <w:t>52-R69.</w:t>
      </w:r>
    </w:p>
    <w:p w14:paraId="4B1E1A93" w14:textId="77777777" w:rsidR="00E3694B" w:rsidRPr="00600963" w:rsidRDefault="00E3694B" w:rsidP="00E3694B">
      <w:pPr>
        <w:spacing w:after="240" w:line="360" w:lineRule="auto"/>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Brown, P. and Souto-Otero, M., 2020. The end of the credential society? An analysis of the relationship between education and the </w:t>
      </w:r>
      <w:proofErr w:type="spellStart"/>
      <w:r w:rsidRPr="00600963">
        <w:rPr>
          <w:rFonts w:ascii="Times New Roman" w:eastAsia="Times New Roman" w:hAnsi="Times New Roman" w:cs="Times New Roman"/>
          <w:color w:val="222222"/>
          <w:sz w:val="24"/>
          <w:szCs w:val="24"/>
          <w:highlight w:val="white"/>
        </w:rPr>
        <w:t>labour</w:t>
      </w:r>
      <w:proofErr w:type="spellEnd"/>
      <w:r w:rsidRPr="00600963">
        <w:rPr>
          <w:rFonts w:ascii="Times New Roman" w:eastAsia="Times New Roman" w:hAnsi="Times New Roman" w:cs="Times New Roman"/>
          <w:color w:val="222222"/>
          <w:sz w:val="24"/>
          <w:szCs w:val="24"/>
          <w:highlight w:val="white"/>
        </w:rPr>
        <w:t xml:space="preserve"> market using big data. </w:t>
      </w:r>
      <w:r w:rsidRPr="00600963">
        <w:rPr>
          <w:rFonts w:ascii="Times New Roman" w:eastAsia="Times New Roman" w:hAnsi="Times New Roman" w:cs="Times New Roman"/>
          <w:i/>
          <w:color w:val="222222"/>
          <w:sz w:val="24"/>
          <w:szCs w:val="24"/>
          <w:highlight w:val="white"/>
        </w:rPr>
        <w:t>Journal of Education Policy</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35</w:t>
      </w:r>
      <w:r w:rsidRPr="00600963">
        <w:rPr>
          <w:rFonts w:ascii="Times New Roman" w:eastAsia="Times New Roman" w:hAnsi="Times New Roman" w:cs="Times New Roman"/>
          <w:color w:val="222222"/>
          <w:sz w:val="24"/>
          <w:szCs w:val="24"/>
          <w:highlight w:val="white"/>
        </w:rPr>
        <w:t>(1), pp.95-118.</w:t>
      </w:r>
    </w:p>
    <w:p w14:paraId="5CEE4DFF" w14:textId="77777777" w:rsidR="00E3694B" w:rsidRPr="00600963" w:rsidRDefault="00E3694B" w:rsidP="00E3694B">
      <w:pPr>
        <w:spacing w:after="240" w:line="360" w:lineRule="auto"/>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Costa Dias, M., Joyce, R., Postel‐Vinay, F. and Xu, X., 2020. The challenges for </w:t>
      </w:r>
      <w:proofErr w:type="spellStart"/>
      <w:r w:rsidRPr="00600963">
        <w:rPr>
          <w:rFonts w:ascii="Times New Roman" w:eastAsia="Times New Roman" w:hAnsi="Times New Roman" w:cs="Times New Roman"/>
          <w:color w:val="222222"/>
          <w:sz w:val="24"/>
          <w:szCs w:val="24"/>
          <w:highlight w:val="white"/>
        </w:rPr>
        <w:t>labour</w:t>
      </w:r>
      <w:proofErr w:type="spellEnd"/>
      <w:r w:rsidRPr="00600963">
        <w:rPr>
          <w:rFonts w:ascii="Times New Roman" w:eastAsia="Times New Roman" w:hAnsi="Times New Roman" w:cs="Times New Roman"/>
          <w:color w:val="222222"/>
          <w:sz w:val="24"/>
          <w:szCs w:val="24"/>
          <w:highlight w:val="white"/>
        </w:rPr>
        <w:t xml:space="preserve"> market policy during the Covid‐19 pandemic. </w:t>
      </w:r>
      <w:r w:rsidRPr="00600963">
        <w:rPr>
          <w:rFonts w:ascii="Times New Roman" w:eastAsia="Times New Roman" w:hAnsi="Times New Roman" w:cs="Times New Roman"/>
          <w:i/>
          <w:color w:val="222222"/>
          <w:sz w:val="24"/>
          <w:szCs w:val="24"/>
          <w:highlight w:val="white"/>
        </w:rPr>
        <w:t>Fiscal Studies</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41</w:t>
      </w:r>
      <w:r w:rsidRPr="00600963">
        <w:rPr>
          <w:rFonts w:ascii="Times New Roman" w:eastAsia="Times New Roman" w:hAnsi="Times New Roman" w:cs="Times New Roman"/>
          <w:color w:val="222222"/>
          <w:sz w:val="24"/>
          <w:szCs w:val="24"/>
          <w:highlight w:val="white"/>
        </w:rPr>
        <w:t>(2), pp.371-382.</w:t>
      </w:r>
    </w:p>
    <w:p w14:paraId="3D330C40" w14:textId="77777777" w:rsidR="00E3694B" w:rsidRPr="00600963" w:rsidRDefault="00E3694B" w:rsidP="00E3694B">
      <w:pPr>
        <w:spacing w:line="360" w:lineRule="auto"/>
        <w:jc w:val="both"/>
        <w:rPr>
          <w:rFonts w:ascii="Times New Roman" w:eastAsia="Times New Roman" w:hAnsi="Times New Roman" w:cs="Times New Roman"/>
          <w:sz w:val="24"/>
          <w:szCs w:val="24"/>
          <w:highlight w:val="white"/>
        </w:rPr>
      </w:pPr>
      <w:r w:rsidRPr="00600963">
        <w:rPr>
          <w:rFonts w:ascii="Times New Roman" w:eastAsia="Times New Roman" w:hAnsi="Times New Roman" w:cs="Times New Roman"/>
          <w:sz w:val="24"/>
          <w:szCs w:val="24"/>
          <w:highlight w:val="white"/>
        </w:rPr>
        <w:t xml:space="preserve">Cumming, D.J., Wood, G. and Zahra, S.A., 2020. Human resource management practices in the context of rising right‐wing populism. </w:t>
      </w:r>
      <w:r w:rsidRPr="00600963">
        <w:rPr>
          <w:rFonts w:ascii="Times New Roman" w:eastAsia="Times New Roman" w:hAnsi="Times New Roman" w:cs="Times New Roman"/>
          <w:i/>
          <w:sz w:val="24"/>
          <w:szCs w:val="24"/>
          <w:highlight w:val="white"/>
        </w:rPr>
        <w:t>Human Resource Management Journal</w:t>
      </w:r>
      <w:r w:rsidRPr="00600963">
        <w:rPr>
          <w:rFonts w:ascii="Times New Roman" w:eastAsia="Times New Roman" w:hAnsi="Times New Roman" w:cs="Times New Roman"/>
          <w:sz w:val="24"/>
          <w:szCs w:val="24"/>
          <w:highlight w:val="white"/>
        </w:rPr>
        <w:t xml:space="preserve">, </w:t>
      </w:r>
      <w:r w:rsidRPr="00600963">
        <w:rPr>
          <w:rFonts w:ascii="Times New Roman" w:eastAsia="Times New Roman" w:hAnsi="Times New Roman" w:cs="Times New Roman"/>
          <w:i/>
          <w:sz w:val="24"/>
          <w:szCs w:val="24"/>
          <w:highlight w:val="white"/>
        </w:rPr>
        <w:t>30</w:t>
      </w:r>
      <w:r w:rsidRPr="00600963">
        <w:rPr>
          <w:rFonts w:ascii="Times New Roman" w:eastAsia="Times New Roman" w:hAnsi="Times New Roman" w:cs="Times New Roman"/>
          <w:sz w:val="24"/>
          <w:szCs w:val="24"/>
          <w:highlight w:val="white"/>
        </w:rPr>
        <w:t>(4), pp.525-536.</w:t>
      </w:r>
    </w:p>
    <w:p w14:paraId="6A69BA34" w14:textId="77777777" w:rsidR="00E3694B" w:rsidRPr="00600963" w:rsidRDefault="00E3694B" w:rsidP="00E3694B">
      <w:pPr>
        <w:spacing w:line="360" w:lineRule="auto"/>
        <w:jc w:val="both"/>
        <w:rPr>
          <w:rFonts w:ascii="Times New Roman" w:eastAsia="Times New Roman" w:hAnsi="Times New Roman" w:cs="Times New Roman"/>
          <w:color w:val="222222"/>
          <w:sz w:val="24"/>
          <w:szCs w:val="24"/>
          <w:highlight w:val="white"/>
        </w:rPr>
      </w:pPr>
      <w:proofErr w:type="spellStart"/>
      <w:r w:rsidRPr="00600963">
        <w:rPr>
          <w:rFonts w:ascii="Times New Roman" w:eastAsia="Times New Roman" w:hAnsi="Times New Roman" w:cs="Times New Roman"/>
          <w:color w:val="222222"/>
          <w:sz w:val="24"/>
          <w:szCs w:val="24"/>
          <w:highlight w:val="white"/>
        </w:rPr>
        <w:t>Ichsan</w:t>
      </w:r>
      <w:proofErr w:type="spellEnd"/>
      <w:r w:rsidRPr="00600963">
        <w:rPr>
          <w:rFonts w:ascii="Times New Roman" w:eastAsia="Times New Roman" w:hAnsi="Times New Roman" w:cs="Times New Roman"/>
          <w:color w:val="222222"/>
          <w:sz w:val="24"/>
          <w:szCs w:val="24"/>
          <w:highlight w:val="white"/>
        </w:rPr>
        <w:t xml:space="preserve">, R.N., Santosa, S., </w:t>
      </w:r>
      <w:proofErr w:type="spellStart"/>
      <w:r w:rsidRPr="00600963">
        <w:rPr>
          <w:rFonts w:ascii="Times New Roman" w:eastAsia="Times New Roman" w:hAnsi="Times New Roman" w:cs="Times New Roman"/>
          <w:color w:val="222222"/>
          <w:sz w:val="24"/>
          <w:szCs w:val="24"/>
          <w:highlight w:val="white"/>
        </w:rPr>
        <w:t>Shara</w:t>
      </w:r>
      <w:proofErr w:type="spellEnd"/>
      <w:r w:rsidRPr="00600963">
        <w:rPr>
          <w:rFonts w:ascii="Times New Roman" w:eastAsia="Times New Roman" w:hAnsi="Times New Roman" w:cs="Times New Roman"/>
          <w:color w:val="222222"/>
          <w:sz w:val="24"/>
          <w:szCs w:val="24"/>
          <w:highlight w:val="white"/>
        </w:rPr>
        <w:t xml:space="preserve">, Y. and </w:t>
      </w:r>
      <w:proofErr w:type="spellStart"/>
      <w:r w:rsidRPr="00600963">
        <w:rPr>
          <w:rFonts w:ascii="Times New Roman" w:eastAsia="Times New Roman" w:hAnsi="Times New Roman" w:cs="Times New Roman"/>
          <w:color w:val="222222"/>
          <w:sz w:val="24"/>
          <w:szCs w:val="24"/>
          <w:highlight w:val="white"/>
        </w:rPr>
        <w:t>Liriwati</w:t>
      </w:r>
      <w:proofErr w:type="spellEnd"/>
      <w:r w:rsidRPr="00600963">
        <w:rPr>
          <w:rFonts w:ascii="Times New Roman" w:eastAsia="Times New Roman" w:hAnsi="Times New Roman" w:cs="Times New Roman"/>
          <w:color w:val="222222"/>
          <w:sz w:val="24"/>
          <w:szCs w:val="24"/>
          <w:highlight w:val="white"/>
        </w:rPr>
        <w:t xml:space="preserve">, F.Y., 2020. Investigation of strategic human resource management practices in business after covid-19 disruption. </w:t>
      </w:r>
      <w:proofErr w:type="spellStart"/>
      <w:r w:rsidRPr="00600963">
        <w:rPr>
          <w:rFonts w:ascii="Times New Roman" w:eastAsia="Times New Roman" w:hAnsi="Times New Roman" w:cs="Times New Roman"/>
          <w:i/>
          <w:color w:val="222222"/>
          <w:sz w:val="24"/>
          <w:szCs w:val="24"/>
          <w:highlight w:val="white"/>
        </w:rPr>
        <w:t>PalArch's</w:t>
      </w:r>
      <w:proofErr w:type="spellEnd"/>
      <w:r w:rsidRPr="00600963">
        <w:rPr>
          <w:rFonts w:ascii="Times New Roman" w:eastAsia="Times New Roman" w:hAnsi="Times New Roman" w:cs="Times New Roman"/>
          <w:i/>
          <w:color w:val="222222"/>
          <w:sz w:val="24"/>
          <w:szCs w:val="24"/>
          <w:highlight w:val="white"/>
        </w:rPr>
        <w:t xml:space="preserve"> Journal of Archaeology of Egypt/Egyptology</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17</w:t>
      </w:r>
      <w:r w:rsidRPr="00600963">
        <w:rPr>
          <w:rFonts w:ascii="Times New Roman" w:eastAsia="Times New Roman" w:hAnsi="Times New Roman" w:cs="Times New Roman"/>
          <w:color w:val="222222"/>
          <w:sz w:val="24"/>
          <w:szCs w:val="24"/>
          <w:highlight w:val="white"/>
        </w:rPr>
        <w:t>(7), pp.13098-13110.</w:t>
      </w:r>
    </w:p>
    <w:p w14:paraId="75195D9D" w14:textId="77777777" w:rsidR="00E3694B" w:rsidRPr="00600963" w:rsidRDefault="00E3694B" w:rsidP="00E3694B">
      <w:pPr>
        <w:spacing w:after="240" w:line="360" w:lineRule="auto"/>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Keogh-Brown, M.R., Jensen, H.T., Edmunds, W.J. and Smith, R.D., 2020. The impact of Covid-19 associated </w:t>
      </w:r>
      <w:proofErr w:type="spellStart"/>
      <w:r w:rsidRPr="00600963">
        <w:rPr>
          <w:rFonts w:ascii="Times New Roman" w:eastAsia="Times New Roman" w:hAnsi="Times New Roman" w:cs="Times New Roman"/>
          <w:color w:val="222222"/>
          <w:sz w:val="24"/>
          <w:szCs w:val="24"/>
          <w:highlight w:val="white"/>
        </w:rPr>
        <w:t>behaviours</w:t>
      </w:r>
      <w:proofErr w:type="spellEnd"/>
      <w:r w:rsidRPr="00600963">
        <w:rPr>
          <w:rFonts w:ascii="Times New Roman" w:eastAsia="Times New Roman" w:hAnsi="Times New Roman" w:cs="Times New Roman"/>
          <w:color w:val="222222"/>
          <w:sz w:val="24"/>
          <w:szCs w:val="24"/>
          <w:highlight w:val="white"/>
        </w:rPr>
        <w:t xml:space="preserve"> and policies on the UK economy: A computable general equilibrium model. </w:t>
      </w:r>
      <w:r w:rsidRPr="00600963">
        <w:rPr>
          <w:rFonts w:ascii="Times New Roman" w:eastAsia="Times New Roman" w:hAnsi="Times New Roman" w:cs="Times New Roman"/>
          <w:i/>
          <w:color w:val="222222"/>
          <w:sz w:val="24"/>
          <w:szCs w:val="24"/>
          <w:highlight w:val="white"/>
        </w:rPr>
        <w:t>SSM-population health</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12</w:t>
      </w:r>
      <w:r w:rsidRPr="00600963">
        <w:rPr>
          <w:rFonts w:ascii="Times New Roman" w:eastAsia="Times New Roman" w:hAnsi="Times New Roman" w:cs="Times New Roman"/>
          <w:color w:val="222222"/>
          <w:sz w:val="24"/>
          <w:szCs w:val="24"/>
          <w:highlight w:val="white"/>
        </w:rPr>
        <w:t>, p.100651.</w:t>
      </w:r>
    </w:p>
    <w:p w14:paraId="6929527C" w14:textId="77777777" w:rsidR="00E3694B" w:rsidRPr="00600963" w:rsidRDefault="00E3694B" w:rsidP="00E3694B">
      <w:pPr>
        <w:spacing w:line="360" w:lineRule="auto"/>
        <w:jc w:val="both"/>
        <w:rPr>
          <w:rFonts w:ascii="Times New Roman" w:eastAsia="Times New Roman" w:hAnsi="Times New Roman" w:cs="Times New Roman"/>
          <w:sz w:val="24"/>
          <w:szCs w:val="24"/>
          <w:highlight w:val="white"/>
        </w:rPr>
      </w:pPr>
      <w:r w:rsidRPr="00600963">
        <w:rPr>
          <w:rFonts w:ascii="Times New Roman" w:eastAsia="Times New Roman" w:hAnsi="Times New Roman" w:cs="Times New Roman"/>
          <w:sz w:val="24"/>
          <w:szCs w:val="24"/>
          <w:highlight w:val="white"/>
        </w:rPr>
        <w:t xml:space="preserve">Malik, A. and Sanders, K., 2021. Managing human resources during a global crisis: A multilevel perspective. </w:t>
      </w:r>
      <w:r w:rsidRPr="00600963">
        <w:rPr>
          <w:rFonts w:ascii="Times New Roman" w:eastAsia="Times New Roman" w:hAnsi="Times New Roman" w:cs="Times New Roman"/>
          <w:i/>
          <w:sz w:val="24"/>
          <w:szCs w:val="24"/>
          <w:highlight w:val="white"/>
        </w:rPr>
        <w:t>British Journal of Management</w:t>
      </w:r>
      <w:r w:rsidRPr="00600963">
        <w:rPr>
          <w:rFonts w:ascii="Times New Roman" w:eastAsia="Times New Roman" w:hAnsi="Times New Roman" w:cs="Times New Roman"/>
          <w:sz w:val="24"/>
          <w:szCs w:val="24"/>
          <w:highlight w:val="white"/>
        </w:rPr>
        <w:t xml:space="preserve">, </w:t>
      </w:r>
      <w:r w:rsidRPr="00600963">
        <w:rPr>
          <w:rFonts w:ascii="Times New Roman" w:eastAsia="Times New Roman" w:hAnsi="Times New Roman" w:cs="Times New Roman"/>
          <w:i/>
          <w:sz w:val="24"/>
          <w:szCs w:val="24"/>
          <w:highlight w:val="white"/>
        </w:rPr>
        <w:t>32</w:t>
      </w:r>
      <w:r w:rsidRPr="00600963">
        <w:rPr>
          <w:rFonts w:ascii="Times New Roman" w:eastAsia="Times New Roman" w:hAnsi="Times New Roman" w:cs="Times New Roman"/>
          <w:sz w:val="24"/>
          <w:szCs w:val="24"/>
          <w:highlight w:val="white"/>
        </w:rPr>
        <w:t xml:space="preserve">(4), </w:t>
      </w:r>
      <w:proofErr w:type="gramStart"/>
      <w:r w:rsidRPr="00600963">
        <w:rPr>
          <w:rFonts w:ascii="Times New Roman" w:eastAsia="Times New Roman" w:hAnsi="Times New Roman" w:cs="Times New Roman"/>
          <w:sz w:val="24"/>
          <w:szCs w:val="24"/>
          <w:highlight w:val="white"/>
        </w:rPr>
        <w:t>pp.e</w:t>
      </w:r>
      <w:proofErr w:type="gramEnd"/>
      <w:r w:rsidRPr="00600963">
        <w:rPr>
          <w:rFonts w:ascii="Times New Roman" w:eastAsia="Times New Roman" w:hAnsi="Times New Roman" w:cs="Times New Roman"/>
          <w:sz w:val="24"/>
          <w:szCs w:val="24"/>
          <w:highlight w:val="white"/>
        </w:rPr>
        <w:t>1-e19.</w:t>
      </w:r>
    </w:p>
    <w:p w14:paraId="714E4206" w14:textId="77777777" w:rsidR="00E3694B" w:rsidRPr="00600963" w:rsidRDefault="00E3694B" w:rsidP="00E3694B">
      <w:pPr>
        <w:spacing w:line="360" w:lineRule="auto"/>
        <w:jc w:val="both"/>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Manojkumar, A., 2022. A </w:t>
      </w:r>
      <w:proofErr w:type="spellStart"/>
      <w:r w:rsidRPr="00600963">
        <w:rPr>
          <w:rFonts w:ascii="Times New Roman" w:eastAsia="Times New Roman" w:hAnsi="Times New Roman" w:cs="Times New Roman"/>
          <w:color w:val="222222"/>
          <w:sz w:val="24"/>
          <w:szCs w:val="24"/>
          <w:highlight w:val="white"/>
        </w:rPr>
        <w:t>Emprical</w:t>
      </w:r>
      <w:proofErr w:type="spellEnd"/>
      <w:r w:rsidRPr="00600963">
        <w:rPr>
          <w:rFonts w:ascii="Times New Roman" w:eastAsia="Times New Roman" w:hAnsi="Times New Roman" w:cs="Times New Roman"/>
          <w:color w:val="222222"/>
          <w:sz w:val="24"/>
          <w:szCs w:val="24"/>
          <w:highlight w:val="white"/>
        </w:rPr>
        <w:t xml:space="preserve"> Study on Pre and Post Covid </w:t>
      </w:r>
      <w:proofErr w:type="spellStart"/>
      <w:r w:rsidRPr="00600963">
        <w:rPr>
          <w:rFonts w:ascii="Times New Roman" w:eastAsia="Times New Roman" w:hAnsi="Times New Roman" w:cs="Times New Roman"/>
          <w:color w:val="222222"/>
          <w:sz w:val="24"/>
          <w:szCs w:val="24"/>
          <w:highlight w:val="white"/>
        </w:rPr>
        <w:t>Hr</w:t>
      </w:r>
      <w:proofErr w:type="spellEnd"/>
      <w:r w:rsidRPr="00600963">
        <w:rPr>
          <w:rFonts w:ascii="Times New Roman" w:eastAsia="Times New Roman" w:hAnsi="Times New Roman" w:cs="Times New Roman"/>
          <w:color w:val="222222"/>
          <w:sz w:val="24"/>
          <w:szCs w:val="24"/>
          <w:highlight w:val="white"/>
        </w:rPr>
        <w:t xml:space="preserve"> Practices in </w:t>
      </w:r>
      <w:proofErr w:type="gramStart"/>
      <w:r w:rsidRPr="00600963">
        <w:rPr>
          <w:rFonts w:ascii="Times New Roman" w:eastAsia="Times New Roman" w:hAnsi="Times New Roman" w:cs="Times New Roman"/>
          <w:color w:val="222222"/>
          <w:sz w:val="24"/>
          <w:szCs w:val="24"/>
          <w:highlight w:val="white"/>
        </w:rPr>
        <w:t>it</w:t>
      </w:r>
      <w:proofErr w:type="gramEnd"/>
      <w:r w:rsidRPr="00600963">
        <w:rPr>
          <w:rFonts w:ascii="Times New Roman" w:eastAsia="Times New Roman" w:hAnsi="Times New Roman" w:cs="Times New Roman"/>
          <w:color w:val="222222"/>
          <w:sz w:val="24"/>
          <w:szCs w:val="24"/>
          <w:highlight w:val="white"/>
        </w:rPr>
        <w:t xml:space="preserve"> Industry with Special Reference to Bangalore. </w:t>
      </w:r>
      <w:r w:rsidRPr="00600963">
        <w:rPr>
          <w:rFonts w:ascii="Times New Roman" w:eastAsia="Times New Roman" w:hAnsi="Times New Roman" w:cs="Times New Roman"/>
          <w:i/>
          <w:color w:val="222222"/>
          <w:sz w:val="24"/>
          <w:szCs w:val="24"/>
          <w:highlight w:val="white"/>
        </w:rPr>
        <w:t>East Asian Journal of Multidisciplinary Research</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1</w:t>
      </w:r>
      <w:r w:rsidRPr="00600963">
        <w:rPr>
          <w:rFonts w:ascii="Times New Roman" w:eastAsia="Times New Roman" w:hAnsi="Times New Roman" w:cs="Times New Roman"/>
          <w:color w:val="222222"/>
          <w:sz w:val="24"/>
          <w:szCs w:val="24"/>
          <w:highlight w:val="white"/>
        </w:rPr>
        <w:t>(8), pp.1593-1602.</w:t>
      </w:r>
    </w:p>
    <w:p w14:paraId="6247DE5B" w14:textId="77777777" w:rsidR="00E3694B" w:rsidRPr="00600963" w:rsidRDefault="00E3694B" w:rsidP="00E3694B">
      <w:pPr>
        <w:spacing w:line="360" w:lineRule="auto"/>
        <w:jc w:val="both"/>
        <w:rPr>
          <w:rFonts w:ascii="Times New Roman" w:eastAsia="Times New Roman" w:hAnsi="Times New Roman" w:cs="Times New Roman"/>
          <w:color w:val="222222"/>
          <w:sz w:val="24"/>
          <w:szCs w:val="24"/>
          <w:highlight w:val="white"/>
        </w:rPr>
      </w:pPr>
      <w:proofErr w:type="spellStart"/>
      <w:r w:rsidRPr="00600963">
        <w:rPr>
          <w:rFonts w:ascii="Times New Roman" w:eastAsia="Times New Roman" w:hAnsi="Times New Roman" w:cs="Times New Roman"/>
          <w:color w:val="222222"/>
          <w:sz w:val="24"/>
          <w:szCs w:val="24"/>
          <w:highlight w:val="white"/>
        </w:rPr>
        <w:t>Mefi</w:t>
      </w:r>
      <w:proofErr w:type="spellEnd"/>
      <w:r w:rsidRPr="00600963">
        <w:rPr>
          <w:rFonts w:ascii="Times New Roman" w:eastAsia="Times New Roman" w:hAnsi="Times New Roman" w:cs="Times New Roman"/>
          <w:color w:val="222222"/>
          <w:sz w:val="24"/>
          <w:szCs w:val="24"/>
          <w:highlight w:val="white"/>
        </w:rPr>
        <w:t xml:space="preserve">, N.P. and </w:t>
      </w:r>
      <w:proofErr w:type="spellStart"/>
      <w:r w:rsidRPr="00600963">
        <w:rPr>
          <w:rFonts w:ascii="Times New Roman" w:eastAsia="Times New Roman" w:hAnsi="Times New Roman" w:cs="Times New Roman"/>
          <w:color w:val="222222"/>
          <w:sz w:val="24"/>
          <w:szCs w:val="24"/>
          <w:highlight w:val="white"/>
        </w:rPr>
        <w:t>Asoba</w:t>
      </w:r>
      <w:proofErr w:type="spellEnd"/>
      <w:r w:rsidRPr="00600963">
        <w:rPr>
          <w:rFonts w:ascii="Times New Roman" w:eastAsia="Times New Roman" w:hAnsi="Times New Roman" w:cs="Times New Roman"/>
          <w:color w:val="222222"/>
          <w:sz w:val="24"/>
          <w:szCs w:val="24"/>
          <w:highlight w:val="white"/>
        </w:rPr>
        <w:t xml:space="preserve">, S.N., 2021. Sustainable human resource practices for </w:t>
      </w:r>
      <w:proofErr w:type="spellStart"/>
      <w:r w:rsidRPr="00600963">
        <w:rPr>
          <w:rFonts w:ascii="Times New Roman" w:eastAsia="Times New Roman" w:hAnsi="Times New Roman" w:cs="Times New Roman"/>
          <w:color w:val="222222"/>
          <w:sz w:val="24"/>
          <w:szCs w:val="24"/>
          <w:highlight w:val="white"/>
        </w:rPr>
        <w:t>organizatorganisationaliveness</w:t>
      </w:r>
      <w:proofErr w:type="spellEnd"/>
      <w:r w:rsidRPr="00600963">
        <w:rPr>
          <w:rFonts w:ascii="Times New Roman" w:eastAsia="Times New Roman" w:hAnsi="Times New Roman" w:cs="Times New Roman"/>
          <w:color w:val="222222"/>
          <w:sz w:val="24"/>
          <w:szCs w:val="24"/>
          <w:highlight w:val="white"/>
        </w:rPr>
        <w:t xml:space="preserve"> post the COVID-19 pandemic. </w:t>
      </w:r>
      <w:r w:rsidRPr="00600963">
        <w:rPr>
          <w:rFonts w:ascii="Times New Roman" w:eastAsia="Times New Roman" w:hAnsi="Times New Roman" w:cs="Times New Roman"/>
          <w:i/>
          <w:color w:val="222222"/>
          <w:sz w:val="24"/>
          <w:szCs w:val="24"/>
          <w:highlight w:val="white"/>
        </w:rPr>
        <w:t>Academy of Entrepreneurship Journal</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27</w:t>
      </w:r>
      <w:r w:rsidRPr="00600963">
        <w:rPr>
          <w:rFonts w:ascii="Times New Roman" w:eastAsia="Times New Roman" w:hAnsi="Times New Roman" w:cs="Times New Roman"/>
          <w:color w:val="222222"/>
          <w:sz w:val="24"/>
          <w:szCs w:val="24"/>
          <w:highlight w:val="white"/>
        </w:rPr>
        <w:t>(2), pp.1-7.</w:t>
      </w:r>
    </w:p>
    <w:p w14:paraId="7A2A44C3" w14:textId="77777777" w:rsidR="00E3694B" w:rsidRPr="00600963" w:rsidRDefault="00E3694B" w:rsidP="00E3694B">
      <w:pPr>
        <w:spacing w:line="360" w:lineRule="auto"/>
        <w:jc w:val="both"/>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Mer, A. and Virdi, A.S., 2023. Navigating the paradigm shift in HRM practices through the lens of artificial intelligence: A post-pandemic perspective. </w:t>
      </w:r>
      <w:r w:rsidRPr="00600963">
        <w:rPr>
          <w:rFonts w:ascii="Times New Roman" w:eastAsia="Times New Roman" w:hAnsi="Times New Roman" w:cs="Times New Roman"/>
          <w:i/>
          <w:color w:val="222222"/>
          <w:sz w:val="24"/>
          <w:szCs w:val="24"/>
          <w:highlight w:val="white"/>
        </w:rPr>
        <w:t>The Adoption and Effect of Artificial Intelligence on Human Resources Management, Part A</w:t>
      </w:r>
      <w:r w:rsidRPr="00600963">
        <w:rPr>
          <w:rFonts w:ascii="Times New Roman" w:eastAsia="Times New Roman" w:hAnsi="Times New Roman" w:cs="Times New Roman"/>
          <w:color w:val="222222"/>
          <w:sz w:val="24"/>
          <w:szCs w:val="24"/>
          <w:highlight w:val="white"/>
        </w:rPr>
        <w:t>, pp.123-154.</w:t>
      </w:r>
    </w:p>
    <w:p w14:paraId="429CE8C5" w14:textId="77777777" w:rsidR="00E3694B" w:rsidRPr="00600963" w:rsidRDefault="00E3694B" w:rsidP="00E3694B">
      <w:pPr>
        <w:spacing w:line="360" w:lineRule="auto"/>
        <w:jc w:val="both"/>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lastRenderedPageBreak/>
        <w:t xml:space="preserve">Mondal, S.R., Di Virgilio, F. and Das, S. eds., 2021. </w:t>
      </w:r>
      <w:r w:rsidRPr="00600963">
        <w:rPr>
          <w:rFonts w:ascii="Times New Roman" w:eastAsia="Times New Roman" w:hAnsi="Times New Roman" w:cs="Times New Roman"/>
          <w:i/>
          <w:color w:val="222222"/>
          <w:sz w:val="24"/>
          <w:szCs w:val="24"/>
          <w:highlight w:val="white"/>
        </w:rPr>
        <w:t>HR Analytics and Digital HR Practices: Digitalization Post COVID-19</w:t>
      </w:r>
      <w:r w:rsidRPr="00600963">
        <w:rPr>
          <w:rFonts w:ascii="Times New Roman" w:eastAsia="Times New Roman" w:hAnsi="Times New Roman" w:cs="Times New Roman"/>
          <w:color w:val="222222"/>
          <w:sz w:val="24"/>
          <w:szCs w:val="24"/>
          <w:highlight w:val="white"/>
        </w:rPr>
        <w:t>. Springer Nature.</w:t>
      </w:r>
    </w:p>
    <w:p w14:paraId="189AB831" w14:textId="77777777" w:rsidR="00E3694B" w:rsidRPr="00600963" w:rsidRDefault="00E3694B" w:rsidP="00E3694B">
      <w:pPr>
        <w:spacing w:line="360" w:lineRule="auto"/>
        <w:jc w:val="both"/>
        <w:rPr>
          <w:rFonts w:ascii="Times New Roman" w:eastAsia="Times New Roman" w:hAnsi="Times New Roman" w:cs="Times New Roman"/>
          <w:sz w:val="24"/>
          <w:szCs w:val="24"/>
          <w:highlight w:val="white"/>
        </w:rPr>
      </w:pPr>
      <w:proofErr w:type="spellStart"/>
      <w:r w:rsidRPr="00600963">
        <w:rPr>
          <w:rFonts w:ascii="Times New Roman" w:eastAsia="Times New Roman" w:hAnsi="Times New Roman" w:cs="Times New Roman"/>
          <w:sz w:val="24"/>
          <w:szCs w:val="24"/>
          <w:highlight w:val="white"/>
        </w:rPr>
        <w:t>Moradlou</w:t>
      </w:r>
      <w:proofErr w:type="spellEnd"/>
      <w:r w:rsidRPr="00600963">
        <w:rPr>
          <w:rFonts w:ascii="Times New Roman" w:eastAsia="Times New Roman" w:hAnsi="Times New Roman" w:cs="Times New Roman"/>
          <w:sz w:val="24"/>
          <w:szCs w:val="24"/>
          <w:highlight w:val="white"/>
        </w:rPr>
        <w:t xml:space="preserve">, H., </w:t>
      </w:r>
      <w:proofErr w:type="spellStart"/>
      <w:r w:rsidRPr="00600963">
        <w:rPr>
          <w:rFonts w:ascii="Times New Roman" w:eastAsia="Times New Roman" w:hAnsi="Times New Roman" w:cs="Times New Roman"/>
          <w:sz w:val="24"/>
          <w:szCs w:val="24"/>
          <w:highlight w:val="white"/>
        </w:rPr>
        <w:t>Fratocchi</w:t>
      </w:r>
      <w:proofErr w:type="spellEnd"/>
      <w:r w:rsidRPr="00600963">
        <w:rPr>
          <w:rFonts w:ascii="Times New Roman" w:eastAsia="Times New Roman" w:hAnsi="Times New Roman" w:cs="Times New Roman"/>
          <w:sz w:val="24"/>
          <w:szCs w:val="24"/>
          <w:highlight w:val="white"/>
        </w:rPr>
        <w:t xml:space="preserve">, L., Skipworth, H. and Ghadge, A., 2022. Post-Brexit back-shoring strategies: what UK manufacturing companies could learn from the </w:t>
      </w:r>
      <w:proofErr w:type="gramStart"/>
      <w:r w:rsidRPr="00600963">
        <w:rPr>
          <w:rFonts w:ascii="Times New Roman" w:eastAsia="Times New Roman" w:hAnsi="Times New Roman" w:cs="Times New Roman"/>
          <w:sz w:val="24"/>
          <w:szCs w:val="24"/>
          <w:highlight w:val="white"/>
        </w:rPr>
        <w:t>past?.</w:t>
      </w:r>
      <w:proofErr w:type="gramEnd"/>
      <w:r w:rsidRPr="00600963">
        <w:rPr>
          <w:rFonts w:ascii="Times New Roman" w:eastAsia="Times New Roman" w:hAnsi="Times New Roman" w:cs="Times New Roman"/>
          <w:sz w:val="24"/>
          <w:szCs w:val="24"/>
          <w:highlight w:val="white"/>
        </w:rPr>
        <w:t xml:space="preserve"> </w:t>
      </w:r>
      <w:r w:rsidRPr="00600963">
        <w:rPr>
          <w:rFonts w:ascii="Times New Roman" w:eastAsia="Times New Roman" w:hAnsi="Times New Roman" w:cs="Times New Roman"/>
          <w:i/>
          <w:sz w:val="24"/>
          <w:szCs w:val="24"/>
          <w:highlight w:val="white"/>
        </w:rPr>
        <w:t>Production Planning &amp; Control</w:t>
      </w:r>
      <w:r w:rsidRPr="00600963">
        <w:rPr>
          <w:rFonts w:ascii="Times New Roman" w:eastAsia="Times New Roman" w:hAnsi="Times New Roman" w:cs="Times New Roman"/>
          <w:sz w:val="24"/>
          <w:szCs w:val="24"/>
          <w:highlight w:val="white"/>
        </w:rPr>
        <w:t xml:space="preserve">, </w:t>
      </w:r>
      <w:r w:rsidRPr="00600963">
        <w:rPr>
          <w:rFonts w:ascii="Times New Roman" w:eastAsia="Times New Roman" w:hAnsi="Times New Roman" w:cs="Times New Roman"/>
          <w:i/>
          <w:sz w:val="24"/>
          <w:szCs w:val="24"/>
          <w:highlight w:val="white"/>
        </w:rPr>
        <w:t>33</w:t>
      </w:r>
      <w:r w:rsidRPr="00600963">
        <w:rPr>
          <w:rFonts w:ascii="Times New Roman" w:eastAsia="Times New Roman" w:hAnsi="Times New Roman" w:cs="Times New Roman"/>
          <w:sz w:val="24"/>
          <w:szCs w:val="24"/>
          <w:highlight w:val="white"/>
        </w:rPr>
        <w:t>(14), pp.1319-1336.</w:t>
      </w:r>
    </w:p>
    <w:p w14:paraId="0298F57D" w14:textId="77777777" w:rsidR="00E3694B" w:rsidRPr="00600963" w:rsidRDefault="00E3694B" w:rsidP="00E3694B">
      <w:pPr>
        <w:spacing w:after="240" w:line="360" w:lineRule="auto"/>
        <w:rPr>
          <w:rFonts w:ascii="Times New Roman" w:eastAsia="Times New Roman" w:hAnsi="Times New Roman" w:cs="Times New Roman"/>
          <w:sz w:val="24"/>
          <w:szCs w:val="24"/>
        </w:rPr>
      </w:pPr>
      <w:r w:rsidRPr="00600963">
        <w:rPr>
          <w:rFonts w:ascii="Times New Roman" w:eastAsia="Times New Roman" w:hAnsi="Times New Roman" w:cs="Times New Roman"/>
          <w:sz w:val="24"/>
          <w:szCs w:val="24"/>
        </w:rPr>
        <w:t xml:space="preserve">ONS, 2023. </w:t>
      </w:r>
      <w:proofErr w:type="spellStart"/>
      <w:r w:rsidRPr="00600963">
        <w:rPr>
          <w:rFonts w:ascii="Times New Roman" w:eastAsia="Times New Roman" w:hAnsi="Times New Roman" w:cs="Times New Roman"/>
          <w:i/>
          <w:sz w:val="24"/>
          <w:szCs w:val="24"/>
        </w:rPr>
        <w:t>Labour</w:t>
      </w:r>
      <w:proofErr w:type="spellEnd"/>
      <w:r w:rsidRPr="00600963">
        <w:rPr>
          <w:rFonts w:ascii="Times New Roman" w:eastAsia="Times New Roman" w:hAnsi="Times New Roman" w:cs="Times New Roman"/>
          <w:i/>
          <w:sz w:val="24"/>
          <w:szCs w:val="24"/>
        </w:rPr>
        <w:t xml:space="preserve"> market overview, UK - Office for National Statistics</w:t>
      </w:r>
      <w:r w:rsidRPr="00600963">
        <w:rPr>
          <w:rFonts w:ascii="Times New Roman" w:eastAsia="Times New Roman" w:hAnsi="Times New Roman" w:cs="Times New Roman"/>
          <w:sz w:val="24"/>
          <w:szCs w:val="24"/>
        </w:rPr>
        <w:t xml:space="preserve">. [online] www.ons.gov.uk. Available at: </w:t>
      </w:r>
      <w:hyperlink r:id="rId6" w:anchor=":~:text=Main%20points">
        <w:r w:rsidRPr="00600963">
          <w:rPr>
            <w:rFonts w:ascii="Times New Roman" w:eastAsia="Times New Roman" w:hAnsi="Times New Roman" w:cs="Times New Roman"/>
            <w:color w:val="1155CC"/>
            <w:sz w:val="24"/>
            <w:szCs w:val="24"/>
            <w:u w:val="single"/>
          </w:rPr>
          <w:t>https://www.ons.gov.uk/employmentandlabourmarket/peopleinwork/employmentandemployeetypes/bulletins/uklabourmarket/june2023#:~:text=Main%20points</w:t>
        </w:r>
      </w:hyperlink>
      <w:r>
        <w:rPr>
          <w:rFonts w:ascii="Times New Roman" w:eastAsia="Times New Roman" w:hAnsi="Times New Roman" w:cs="Times New Roman"/>
          <w:sz w:val="24"/>
          <w:szCs w:val="24"/>
        </w:rPr>
        <w:t xml:space="preserve"> [Accessed August 18, 2023].</w:t>
      </w:r>
    </w:p>
    <w:p w14:paraId="410E6D0A" w14:textId="77777777" w:rsidR="00E3694B" w:rsidRPr="00600963" w:rsidRDefault="00E3694B" w:rsidP="00E3694B">
      <w:pPr>
        <w:spacing w:line="360" w:lineRule="auto"/>
        <w:jc w:val="both"/>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Porkodi, S., Al-</w:t>
      </w:r>
      <w:proofErr w:type="spellStart"/>
      <w:r w:rsidRPr="00600963">
        <w:rPr>
          <w:rFonts w:ascii="Times New Roman" w:eastAsia="Times New Roman" w:hAnsi="Times New Roman" w:cs="Times New Roman"/>
          <w:color w:val="222222"/>
          <w:sz w:val="24"/>
          <w:szCs w:val="24"/>
          <w:highlight w:val="white"/>
        </w:rPr>
        <w:t>Zawaidi</w:t>
      </w:r>
      <w:proofErr w:type="spellEnd"/>
      <w:r w:rsidRPr="00600963">
        <w:rPr>
          <w:rFonts w:ascii="Times New Roman" w:eastAsia="Times New Roman" w:hAnsi="Times New Roman" w:cs="Times New Roman"/>
          <w:color w:val="222222"/>
          <w:sz w:val="24"/>
          <w:szCs w:val="24"/>
          <w:highlight w:val="white"/>
        </w:rPr>
        <w:t>, A.M., Al-</w:t>
      </w:r>
      <w:proofErr w:type="spellStart"/>
      <w:r w:rsidRPr="00600963">
        <w:rPr>
          <w:rFonts w:ascii="Times New Roman" w:eastAsia="Times New Roman" w:hAnsi="Times New Roman" w:cs="Times New Roman"/>
          <w:color w:val="222222"/>
          <w:sz w:val="24"/>
          <w:szCs w:val="24"/>
          <w:highlight w:val="white"/>
        </w:rPr>
        <w:t>Muharbi</w:t>
      </w:r>
      <w:proofErr w:type="spellEnd"/>
      <w:r w:rsidRPr="00600963">
        <w:rPr>
          <w:rFonts w:ascii="Times New Roman" w:eastAsia="Times New Roman" w:hAnsi="Times New Roman" w:cs="Times New Roman"/>
          <w:color w:val="222222"/>
          <w:sz w:val="24"/>
          <w:szCs w:val="24"/>
          <w:highlight w:val="white"/>
        </w:rPr>
        <w:t xml:space="preserve">, A.M., Al-Sarmi, L.M., Al-Shibli, H.M. and Al-Rahbi, W.N., 2021. Impact of Covid-19 HRM Challenges on HRM Practices for Routing the Post Pandemic: A Study with Special Reference to Oil &amp; Gas Companies in Oman. </w:t>
      </w:r>
      <w:r w:rsidRPr="00600963">
        <w:rPr>
          <w:rFonts w:ascii="Times New Roman" w:eastAsia="Times New Roman" w:hAnsi="Times New Roman" w:cs="Times New Roman"/>
          <w:i/>
          <w:color w:val="222222"/>
          <w:sz w:val="24"/>
          <w:szCs w:val="24"/>
          <w:highlight w:val="white"/>
        </w:rPr>
        <w:t>Advances in Social Sciences Research Journal</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8</w:t>
      </w:r>
      <w:r w:rsidRPr="00600963">
        <w:rPr>
          <w:rFonts w:ascii="Times New Roman" w:eastAsia="Times New Roman" w:hAnsi="Times New Roman" w:cs="Times New Roman"/>
          <w:color w:val="222222"/>
          <w:sz w:val="24"/>
          <w:szCs w:val="24"/>
          <w:highlight w:val="white"/>
        </w:rPr>
        <w:t>(9), pp.239-246.</w:t>
      </w:r>
    </w:p>
    <w:p w14:paraId="6179EE0D" w14:textId="77777777" w:rsidR="00E3694B" w:rsidRPr="00600963" w:rsidRDefault="00E3694B" w:rsidP="00E3694B">
      <w:pPr>
        <w:spacing w:line="360" w:lineRule="auto"/>
        <w:jc w:val="both"/>
        <w:rPr>
          <w:rFonts w:ascii="Times New Roman" w:hAnsi="Times New Roman" w:cs="Times New Roman"/>
          <w:sz w:val="24"/>
          <w:szCs w:val="24"/>
        </w:rPr>
      </w:pPr>
      <w:r w:rsidRPr="00600963">
        <w:rPr>
          <w:rFonts w:ascii="Times New Roman" w:eastAsia="Times New Roman" w:hAnsi="Times New Roman" w:cs="Times New Roman"/>
          <w:sz w:val="24"/>
          <w:szCs w:val="24"/>
          <w:highlight w:val="white"/>
        </w:rPr>
        <w:t xml:space="preserve">Șerban, E. and </w:t>
      </w:r>
      <w:proofErr w:type="spellStart"/>
      <w:r w:rsidRPr="00600963">
        <w:rPr>
          <w:rFonts w:ascii="Times New Roman" w:eastAsia="Times New Roman" w:hAnsi="Times New Roman" w:cs="Times New Roman"/>
          <w:sz w:val="24"/>
          <w:szCs w:val="24"/>
          <w:highlight w:val="white"/>
        </w:rPr>
        <w:t>Ichimescu</w:t>
      </w:r>
      <w:proofErr w:type="spellEnd"/>
      <w:r w:rsidRPr="00600963">
        <w:rPr>
          <w:rFonts w:ascii="Times New Roman" w:eastAsia="Times New Roman" w:hAnsi="Times New Roman" w:cs="Times New Roman"/>
          <w:sz w:val="24"/>
          <w:szCs w:val="24"/>
          <w:highlight w:val="white"/>
        </w:rPr>
        <w:t xml:space="preserve">, C., 2020. Romanian External Challenges Within The 2020 Security Environment. </w:t>
      </w:r>
      <w:r w:rsidRPr="00600963">
        <w:rPr>
          <w:rFonts w:ascii="Times New Roman" w:eastAsia="Times New Roman" w:hAnsi="Times New Roman" w:cs="Times New Roman"/>
          <w:i/>
          <w:sz w:val="24"/>
          <w:szCs w:val="24"/>
          <w:highlight w:val="white"/>
        </w:rPr>
        <w:t xml:space="preserve">Strategic Changes </w:t>
      </w:r>
      <w:proofErr w:type="gramStart"/>
      <w:r w:rsidRPr="00600963">
        <w:rPr>
          <w:rFonts w:ascii="Times New Roman" w:eastAsia="Times New Roman" w:hAnsi="Times New Roman" w:cs="Times New Roman"/>
          <w:i/>
          <w:sz w:val="24"/>
          <w:szCs w:val="24"/>
          <w:highlight w:val="white"/>
        </w:rPr>
        <w:t>In</w:t>
      </w:r>
      <w:proofErr w:type="gramEnd"/>
      <w:r w:rsidRPr="00600963">
        <w:rPr>
          <w:rFonts w:ascii="Times New Roman" w:eastAsia="Times New Roman" w:hAnsi="Times New Roman" w:cs="Times New Roman"/>
          <w:i/>
          <w:sz w:val="24"/>
          <w:szCs w:val="24"/>
          <w:highlight w:val="white"/>
        </w:rPr>
        <w:t xml:space="preserve"> Security And International Relations</w:t>
      </w:r>
      <w:r w:rsidRPr="00600963">
        <w:rPr>
          <w:rFonts w:ascii="Times New Roman" w:eastAsia="Times New Roman" w:hAnsi="Times New Roman" w:cs="Times New Roman"/>
          <w:sz w:val="24"/>
          <w:szCs w:val="24"/>
          <w:highlight w:val="white"/>
        </w:rPr>
        <w:t>, p.67.</w:t>
      </w:r>
    </w:p>
    <w:p w14:paraId="1DAE5C44" w14:textId="77777777" w:rsidR="00E3694B" w:rsidRPr="00600963" w:rsidRDefault="00E3694B" w:rsidP="00E3694B">
      <w:pPr>
        <w:spacing w:line="360" w:lineRule="auto"/>
        <w:jc w:val="both"/>
        <w:rPr>
          <w:rFonts w:ascii="Times New Roman" w:eastAsia="Times New Roman" w:hAnsi="Times New Roman" w:cs="Times New Roman"/>
          <w:color w:val="222222"/>
          <w:sz w:val="24"/>
          <w:szCs w:val="24"/>
          <w:highlight w:val="white"/>
        </w:rPr>
      </w:pPr>
      <w:r w:rsidRPr="00600963">
        <w:rPr>
          <w:rFonts w:ascii="Times New Roman" w:eastAsia="Times New Roman" w:hAnsi="Times New Roman" w:cs="Times New Roman"/>
          <w:color w:val="222222"/>
          <w:sz w:val="24"/>
          <w:szCs w:val="24"/>
          <w:highlight w:val="white"/>
        </w:rPr>
        <w:t xml:space="preserve">Shaikh, A.S., Soomro, A.H., Ali, U.A., Nasir, F., Khan, E.M.F. and Abro, R., 2023. HR Practices </w:t>
      </w:r>
      <w:proofErr w:type="gramStart"/>
      <w:r w:rsidRPr="00600963">
        <w:rPr>
          <w:rFonts w:ascii="Times New Roman" w:eastAsia="Times New Roman" w:hAnsi="Times New Roman" w:cs="Times New Roman"/>
          <w:color w:val="222222"/>
          <w:sz w:val="24"/>
          <w:szCs w:val="24"/>
          <w:highlight w:val="white"/>
        </w:rPr>
        <w:t>In</w:t>
      </w:r>
      <w:proofErr w:type="gramEnd"/>
      <w:r w:rsidRPr="00600963">
        <w:rPr>
          <w:rFonts w:ascii="Times New Roman" w:eastAsia="Times New Roman" w:hAnsi="Times New Roman" w:cs="Times New Roman"/>
          <w:color w:val="222222"/>
          <w:sz w:val="24"/>
          <w:szCs w:val="24"/>
          <w:highlight w:val="white"/>
        </w:rPr>
        <w:t xml:space="preserve"> The Post-COVID-19 Era And Their Impact On The Psychological Capital Growth Of Employees. </w:t>
      </w:r>
      <w:r w:rsidRPr="00600963">
        <w:rPr>
          <w:rFonts w:ascii="Times New Roman" w:eastAsia="Times New Roman" w:hAnsi="Times New Roman" w:cs="Times New Roman"/>
          <w:i/>
          <w:color w:val="222222"/>
          <w:sz w:val="24"/>
          <w:szCs w:val="24"/>
          <w:highlight w:val="white"/>
        </w:rPr>
        <w:t>Journal of Positive School Psychology</w:t>
      </w:r>
      <w:r w:rsidRPr="00600963">
        <w:rPr>
          <w:rFonts w:ascii="Times New Roman" w:eastAsia="Times New Roman" w:hAnsi="Times New Roman" w:cs="Times New Roman"/>
          <w:color w:val="222222"/>
          <w:sz w:val="24"/>
          <w:szCs w:val="24"/>
          <w:highlight w:val="white"/>
        </w:rPr>
        <w:t>, pp.1363-1383.</w:t>
      </w:r>
    </w:p>
    <w:p w14:paraId="451653A0" w14:textId="77777777" w:rsidR="00E3694B" w:rsidRPr="00600963" w:rsidRDefault="00E3694B" w:rsidP="00E3694B">
      <w:pPr>
        <w:spacing w:line="360" w:lineRule="auto"/>
        <w:jc w:val="both"/>
        <w:rPr>
          <w:rFonts w:ascii="Times New Roman" w:eastAsia="Times New Roman" w:hAnsi="Times New Roman" w:cs="Times New Roman"/>
          <w:sz w:val="24"/>
          <w:szCs w:val="24"/>
          <w:highlight w:val="white"/>
        </w:rPr>
      </w:pPr>
      <w:r w:rsidRPr="00600963">
        <w:rPr>
          <w:rFonts w:ascii="Times New Roman" w:eastAsia="Times New Roman" w:hAnsi="Times New Roman" w:cs="Times New Roman"/>
          <w:sz w:val="24"/>
          <w:szCs w:val="24"/>
          <w:highlight w:val="white"/>
        </w:rPr>
        <w:t xml:space="preserve">Topolansky, F., Dunn, A. and Triay, M.G., 2020. Can Greater Levels of Cooperation Help to Improve Productivity and Resilience in UK Agriculture Post Brexit Drawing Comparisons with the New Zealand Dairy Industry </w:t>
      </w:r>
      <w:proofErr w:type="gramStart"/>
      <w:r w:rsidRPr="00600963">
        <w:rPr>
          <w:rFonts w:ascii="Times New Roman" w:eastAsia="Times New Roman" w:hAnsi="Times New Roman" w:cs="Times New Roman"/>
          <w:sz w:val="24"/>
          <w:szCs w:val="24"/>
          <w:highlight w:val="white"/>
        </w:rPr>
        <w:t>Experience?.</w:t>
      </w:r>
      <w:proofErr w:type="gramEnd"/>
      <w:r w:rsidRPr="00600963">
        <w:rPr>
          <w:rFonts w:ascii="Times New Roman" w:eastAsia="Times New Roman" w:hAnsi="Times New Roman" w:cs="Times New Roman"/>
          <w:sz w:val="24"/>
          <w:szCs w:val="24"/>
          <w:highlight w:val="white"/>
        </w:rPr>
        <w:t xml:space="preserve"> </w:t>
      </w:r>
      <w:r w:rsidRPr="00600963">
        <w:rPr>
          <w:rFonts w:ascii="Times New Roman" w:eastAsia="Times New Roman" w:hAnsi="Times New Roman" w:cs="Times New Roman"/>
          <w:i/>
          <w:sz w:val="24"/>
          <w:szCs w:val="24"/>
          <w:highlight w:val="white"/>
        </w:rPr>
        <w:t>International Journal of Academic Research in Business and Social Sciences</w:t>
      </w:r>
      <w:r w:rsidRPr="00600963">
        <w:rPr>
          <w:rFonts w:ascii="Times New Roman" w:eastAsia="Times New Roman" w:hAnsi="Times New Roman" w:cs="Times New Roman"/>
          <w:sz w:val="24"/>
          <w:szCs w:val="24"/>
          <w:highlight w:val="white"/>
        </w:rPr>
        <w:t xml:space="preserve">, </w:t>
      </w:r>
      <w:r w:rsidRPr="00600963">
        <w:rPr>
          <w:rFonts w:ascii="Times New Roman" w:eastAsia="Times New Roman" w:hAnsi="Times New Roman" w:cs="Times New Roman"/>
          <w:i/>
          <w:sz w:val="24"/>
          <w:szCs w:val="24"/>
          <w:highlight w:val="white"/>
        </w:rPr>
        <w:t>10</w:t>
      </w:r>
      <w:r w:rsidRPr="00600963">
        <w:rPr>
          <w:rFonts w:ascii="Times New Roman" w:eastAsia="Times New Roman" w:hAnsi="Times New Roman" w:cs="Times New Roman"/>
          <w:sz w:val="24"/>
          <w:szCs w:val="24"/>
          <w:highlight w:val="white"/>
        </w:rPr>
        <w:t>(2), pp.277-293.</w:t>
      </w:r>
    </w:p>
    <w:p w14:paraId="04930070" w14:textId="77777777" w:rsidR="00E3694B" w:rsidRPr="00600963" w:rsidRDefault="00E3694B" w:rsidP="00E3694B">
      <w:pPr>
        <w:spacing w:after="240" w:line="360" w:lineRule="auto"/>
        <w:rPr>
          <w:rFonts w:ascii="Times New Roman" w:eastAsia="Times New Roman" w:hAnsi="Times New Roman" w:cs="Times New Roman"/>
          <w:color w:val="222222"/>
          <w:sz w:val="24"/>
          <w:szCs w:val="24"/>
          <w:highlight w:val="white"/>
        </w:rPr>
      </w:pPr>
      <w:proofErr w:type="spellStart"/>
      <w:r w:rsidRPr="00600963">
        <w:rPr>
          <w:rFonts w:ascii="Times New Roman" w:eastAsia="Times New Roman" w:hAnsi="Times New Roman" w:cs="Times New Roman"/>
          <w:color w:val="222222"/>
          <w:sz w:val="24"/>
          <w:szCs w:val="24"/>
          <w:highlight w:val="white"/>
        </w:rPr>
        <w:t>Watermeyer</w:t>
      </w:r>
      <w:proofErr w:type="spellEnd"/>
      <w:r w:rsidRPr="00600963">
        <w:rPr>
          <w:rFonts w:ascii="Times New Roman" w:eastAsia="Times New Roman" w:hAnsi="Times New Roman" w:cs="Times New Roman"/>
          <w:color w:val="222222"/>
          <w:sz w:val="24"/>
          <w:szCs w:val="24"/>
          <w:highlight w:val="white"/>
        </w:rPr>
        <w:t xml:space="preserve">, R., Crick, T., Knight, C. and Goodall, J., 2021. COVID-19 and digital disruption in UK universities: Afflictions and affordances of emergency online migration. </w:t>
      </w:r>
      <w:r w:rsidRPr="00600963">
        <w:rPr>
          <w:rFonts w:ascii="Times New Roman" w:eastAsia="Times New Roman" w:hAnsi="Times New Roman" w:cs="Times New Roman"/>
          <w:i/>
          <w:color w:val="222222"/>
          <w:sz w:val="24"/>
          <w:szCs w:val="24"/>
          <w:highlight w:val="white"/>
        </w:rPr>
        <w:t>Higher education</w:t>
      </w:r>
      <w:r w:rsidRPr="00600963">
        <w:rPr>
          <w:rFonts w:ascii="Times New Roman" w:eastAsia="Times New Roman" w:hAnsi="Times New Roman" w:cs="Times New Roman"/>
          <w:color w:val="222222"/>
          <w:sz w:val="24"/>
          <w:szCs w:val="24"/>
          <w:highlight w:val="white"/>
        </w:rPr>
        <w:t xml:space="preserve">, </w:t>
      </w:r>
      <w:r w:rsidRPr="00600963">
        <w:rPr>
          <w:rFonts w:ascii="Times New Roman" w:eastAsia="Times New Roman" w:hAnsi="Times New Roman" w:cs="Times New Roman"/>
          <w:i/>
          <w:color w:val="222222"/>
          <w:sz w:val="24"/>
          <w:szCs w:val="24"/>
          <w:highlight w:val="white"/>
        </w:rPr>
        <w:t>81</w:t>
      </w:r>
      <w:r w:rsidRPr="00600963">
        <w:rPr>
          <w:rFonts w:ascii="Times New Roman" w:eastAsia="Times New Roman" w:hAnsi="Times New Roman" w:cs="Times New Roman"/>
          <w:color w:val="222222"/>
          <w:sz w:val="24"/>
          <w:szCs w:val="24"/>
          <w:highlight w:val="white"/>
        </w:rPr>
        <w:t>, pp.623-641.</w:t>
      </w:r>
    </w:p>
    <w:p w14:paraId="2004ACFE" w14:textId="77777777" w:rsidR="00FD3021" w:rsidRDefault="00FD3021"/>
    <w:sectPr w:rsidR="00FD3021" w:rsidSect="00605053">
      <w:footerReference w:type="default" r:id="rId7"/>
      <w:headerReference w:type="first" r:id="rId8"/>
      <w:footerReference w:type="firs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9A3B6" w14:textId="77777777" w:rsidR="00000000" w:rsidRDefault="00000000">
    <w:pPr>
      <w:spacing w:line="360" w:lineRule="auto"/>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C82C9" w14:textId="77777777" w:rsidR="00000000" w:rsidRDefault="00000000"/>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59C56" w14:textId="77777777" w:rsidR="00000000" w:rsidRDefault="0000000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426"/>
    <w:rsid w:val="006C7426"/>
    <w:rsid w:val="00DA1469"/>
    <w:rsid w:val="00E3694B"/>
    <w:rsid w:val="00FD30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E7D512-40B4-4415-A5B4-E3FE3D731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94B"/>
    <w:pPr>
      <w:spacing w:after="0" w:line="276" w:lineRule="auto"/>
    </w:pPr>
    <w:rPr>
      <w:rFonts w:ascii="Arial" w:eastAsia="Arial" w:hAnsi="Arial" w:cs="Arial"/>
      <w:kern w:val="0"/>
      <w:lang w:val="en" w:eastAsia="en-IN"/>
      <w14:ligatures w14:val="none"/>
    </w:rPr>
  </w:style>
  <w:style w:type="paragraph" w:styleId="Heading1">
    <w:name w:val="heading 1"/>
    <w:basedOn w:val="Normal"/>
    <w:next w:val="Normal"/>
    <w:link w:val="Heading1Char"/>
    <w:uiPriority w:val="9"/>
    <w:qFormat/>
    <w:rsid w:val="00E3694B"/>
    <w:pPr>
      <w:keepNext/>
      <w:keepLines/>
      <w:spacing w:before="400" w:after="120"/>
      <w:outlineLvl w:val="0"/>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94B"/>
    <w:rPr>
      <w:rFonts w:ascii="Arial" w:eastAsia="Arial" w:hAnsi="Arial" w:cs="Arial"/>
      <w:kern w:val="0"/>
      <w:sz w:val="40"/>
      <w:szCs w:val="40"/>
      <w:lang w:val="en" w:eastAsia="en-IN"/>
      <w14:ligatures w14:val="none"/>
    </w:rPr>
  </w:style>
  <w:style w:type="paragraph" w:styleId="TOCHeading">
    <w:name w:val="TOC Heading"/>
    <w:basedOn w:val="Heading1"/>
    <w:next w:val="Normal"/>
    <w:uiPriority w:val="39"/>
    <w:unhideWhenUsed/>
    <w:qFormat/>
    <w:rsid w:val="00E3694B"/>
    <w:pPr>
      <w:spacing w:before="240" w:after="0" w:line="259" w:lineRule="auto"/>
      <w:outlineLvl w:val="9"/>
    </w:pPr>
    <w:rPr>
      <w:rFonts w:asciiTheme="majorHAnsi" w:eastAsiaTheme="majorEastAsia" w:hAnsiTheme="majorHAnsi" w:cstheme="majorBidi"/>
      <w:color w:val="2F5496" w:themeColor="accent1" w:themeShade="BF"/>
      <w:sz w:val="32"/>
      <w:szCs w:val="32"/>
      <w:lang w:val="en-US" w:eastAsia="en-US"/>
    </w:rPr>
  </w:style>
  <w:style w:type="paragraph" w:styleId="TOC1">
    <w:name w:val="toc 1"/>
    <w:basedOn w:val="Normal"/>
    <w:next w:val="Normal"/>
    <w:autoRedefine/>
    <w:uiPriority w:val="39"/>
    <w:unhideWhenUsed/>
    <w:rsid w:val="00E3694B"/>
    <w:pPr>
      <w:spacing w:after="100"/>
    </w:pPr>
  </w:style>
  <w:style w:type="character" w:styleId="Hyperlink">
    <w:name w:val="Hyperlink"/>
    <w:basedOn w:val="DefaultParagraphFont"/>
    <w:uiPriority w:val="99"/>
    <w:unhideWhenUsed/>
    <w:rsid w:val="00E369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employmentandlabourmarket/peopleinwork/employmentandemployeetypes/bulletins/uklabourmarket/june2023" TargetMode="External"/><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3297</Words>
  <Characters>18797</Characters>
  <Application>Microsoft Office Word</Application>
  <DocSecurity>0</DocSecurity>
  <Lines>156</Lines>
  <Paragraphs>44</Paragraphs>
  <ScaleCrop>false</ScaleCrop>
  <Company/>
  <LinksUpToDate>false</LinksUpToDate>
  <CharactersWithSpaces>22050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smitmacwan810@outlook.com</dc:creator>
  <cp:keywords/>
  <dc:description/>
  <cp:lastModifiedBy>smitmacwan810@outlook.com</cp:lastModifiedBy>
  <cp:revision>2</cp:revision>
  <dcterms:created xsi:type="dcterms:W3CDTF">2023-08-22T23:11:00Z</dcterms:created>
  <dcterms:modified xsi:type="dcterms:W3CDTF">2023-08-22T23:12:00Z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2dd5ca062b69c90664cde0f7d216c634540f4150dd8c602b532114bfa0a58ce9</vt:lpwstr>
  </property>
</Properties>
</file>