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7D04" w:rsidRDefault="006E7D04">
      <w:pPr>
        <w:pBdr>
          <w:top w:val="nil"/>
          <w:left w:val="nil"/>
          <w:bottom w:val="nil"/>
          <w:right w:val="nil"/>
          <w:between w:val="nil"/>
        </w:pBdr>
        <w:spacing w:line="360" w:lineRule="auto"/>
        <w:ind w:left="116"/>
        <w:rPr>
          <w:color w:val="000000"/>
          <w:sz w:val="20"/>
          <w:szCs w:val="20"/>
        </w:rPr>
      </w:pPr>
    </w:p>
    <w:p w:rsidR="006E7D04" w:rsidRDefault="006E7D04">
      <w:pPr>
        <w:pBdr>
          <w:top w:val="nil"/>
          <w:left w:val="nil"/>
          <w:bottom w:val="nil"/>
          <w:right w:val="nil"/>
          <w:between w:val="nil"/>
        </w:pBdr>
        <w:spacing w:line="360" w:lineRule="auto"/>
        <w:rPr>
          <w:color w:val="000000"/>
          <w:sz w:val="20"/>
          <w:szCs w:val="20"/>
        </w:rPr>
      </w:pPr>
    </w:p>
    <w:p w:rsidR="006E7D04" w:rsidRDefault="006E7D04">
      <w:pPr>
        <w:pBdr>
          <w:top w:val="nil"/>
          <w:left w:val="nil"/>
          <w:bottom w:val="nil"/>
          <w:right w:val="nil"/>
          <w:between w:val="nil"/>
        </w:pBdr>
        <w:spacing w:before="2" w:line="360" w:lineRule="auto"/>
        <w:rPr>
          <w:color w:val="000000"/>
          <w:sz w:val="28"/>
          <w:szCs w:val="28"/>
        </w:rPr>
      </w:pPr>
    </w:p>
    <w:p w:rsidR="006E7D04" w:rsidRDefault="00CD0C6F">
      <w:pPr>
        <w:spacing w:before="88" w:line="360" w:lineRule="auto"/>
        <w:ind w:left="3206" w:right="3239" w:hanging="1"/>
        <w:jc w:val="center"/>
        <w:rPr>
          <w:sz w:val="28"/>
          <w:szCs w:val="28"/>
        </w:rPr>
      </w:pPr>
      <w:r>
        <w:rPr>
          <w:sz w:val="28"/>
          <w:szCs w:val="28"/>
        </w:rPr>
        <w:t xml:space="preserve">NAME: </w:t>
      </w:r>
      <w:proofErr w:type="spellStart"/>
      <w:r>
        <w:rPr>
          <w:sz w:val="28"/>
          <w:szCs w:val="28"/>
        </w:rPr>
        <w:t>Jaymin</w:t>
      </w:r>
      <w:proofErr w:type="spellEnd"/>
      <w:r>
        <w:rPr>
          <w:sz w:val="28"/>
          <w:szCs w:val="28"/>
        </w:rPr>
        <w:t xml:space="preserve"> </w:t>
      </w:r>
      <w:proofErr w:type="spellStart"/>
      <w:r>
        <w:rPr>
          <w:sz w:val="28"/>
          <w:szCs w:val="28"/>
        </w:rPr>
        <w:t>mistry</w:t>
      </w:r>
      <w:proofErr w:type="spellEnd"/>
      <w:r>
        <w:rPr>
          <w:sz w:val="28"/>
          <w:szCs w:val="28"/>
        </w:rPr>
        <w:t xml:space="preserve"> </w:t>
      </w:r>
    </w:p>
    <w:p w:rsidR="006E7D04" w:rsidRDefault="00CD0C6F">
      <w:pPr>
        <w:spacing w:before="88" w:line="360" w:lineRule="auto"/>
        <w:ind w:left="3206" w:right="3239" w:hanging="1"/>
        <w:jc w:val="center"/>
        <w:rPr>
          <w:sz w:val="28"/>
          <w:szCs w:val="28"/>
        </w:rPr>
      </w:pPr>
      <w:r>
        <w:rPr>
          <w:sz w:val="28"/>
          <w:szCs w:val="28"/>
        </w:rPr>
        <w:t>STUDENT NUMBER: 2310745</w:t>
      </w:r>
    </w:p>
    <w:p w:rsidR="006E7D04" w:rsidRDefault="00CD0C6F">
      <w:pPr>
        <w:spacing w:before="88" w:line="360" w:lineRule="auto"/>
        <w:ind w:left="3206" w:right="3239" w:hanging="1"/>
        <w:jc w:val="center"/>
        <w:rPr>
          <w:sz w:val="28"/>
          <w:szCs w:val="28"/>
        </w:rPr>
      </w:pPr>
      <w:r>
        <w:rPr>
          <w:sz w:val="28"/>
          <w:szCs w:val="28"/>
        </w:rPr>
        <w:t>MODULE</w:t>
      </w:r>
    </w:p>
    <w:p w:rsidR="006E7D04" w:rsidRDefault="00CD0C6F">
      <w:pPr>
        <w:spacing w:line="360" w:lineRule="auto"/>
        <w:ind w:left="1950" w:right="1986"/>
        <w:jc w:val="center"/>
        <w:rPr>
          <w:b/>
          <w:sz w:val="34"/>
          <w:szCs w:val="34"/>
        </w:rPr>
      </w:pPr>
      <w:r>
        <w:rPr>
          <w:b/>
          <w:sz w:val="34"/>
          <w:szCs w:val="34"/>
        </w:rPr>
        <w:t>FINANCIAL MANAGMENT</w:t>
      </w:r>
    </w:p>
    <w:p w:rsidR="006E7D04" w:rsidRDefault="00CD0C6F">
      <w:pPr>
        <w:spacing w:line="360" w:lineRule="auto"/>
        <w:ind w:left="1950" w:right="1983"/>
        <w:jc w:val="center"/>
      </w:pPr>
      <w:r>
        <w:rPr>
          <w:sz w:val="28"/>
          <w:szCs w:val="28"/>
        </w:rPr>
        <w:t xml:space="preserve">SUBMISSION   :  Professor </w:t>
      </w:r>
      <w:proofErr w:type="spellStart"/>
      <w:r>
        <w:rPr>
          <w:sz w:val="28"/>
          <w:szCs w:val="28"/>
        </w:rPr>
        <w:t>Dr</w:t>
      </w:r>
      <w:proofErr w:type="spellEnd"/>
      <w:r>
        <w:rPr>
          <w:sz w:val="28"/>
          <w:szCs w:val="28"/>
        </w:rPr>
        <w:t xml:space="preserve"> David. Coke</w:t>
      </w:r>
      <w:r>
        <w:t>r</w:t>
      </w:r>
    </w:p>
    <w:p w:rsidR="006E7D04" w:rsidRDefault="006E7D04">
      <w:pPr>
        <w:pBdr>
          <w:top w:val="nil"/>
          <w:left w:val="nil"/>
          <w:bottom w:val="nil"/>
          <w:right w:val="nil"/>
          <w:between w:val="nil"/>
        </w:pBdr>
        <w:spacing w:line="360" w:lineRule="auto"/>
        <w:rPr>
          <w:b/>
          <w:color w:val="000000"/>
          <w:sz w:val="20"/>
          <w:szCs w:val="20"/>
        </w:rPr>
      </w:pPr>
    </w:p>
    <w:p w:rsidR="006E7D04" w:rsidRDefault="006E7D04">
      <w:pPr>
        <w:pBdr>
          <w:top w:val="nil"/>
          <w:left w:val="nil"/>
          <w:bottom w:val="nil"/>
          <w:right w:val="nil"/>
          <w:between w:val="nil"/>
        </w:pBdr>
        <w:spacing w:line="360" w:lineRule="auto"/>
        <w:rPr>
          <w:b/>
          <w:color w:val="000000"/>
          <w:sz w:val="20"/>
          <w:szCs w:val="20"/>
        </w:rPr>
      </w:pPr>
    </w:p>
    <w:p w:rsidR="006E7D04" w:rsidRDefault="006E7D04">
      <w:pPr>
        <w:pBdr>
          <w:top w:val="nil"/>
          <w:left w:val="nil"/>
          <w:bottom w:val="nil"/>
          <w:right w:val="nil"/>
          <w:between w:val="nil"/>
        </w:pBdr>
        <w:spacing w:before="2" w:line="360" w:lineRule="auto"/>
        <w:rPr>
          <w:b/>
          <w:color w:val="000000"/>
          <w:sz w:val="19"/>
          <w:szCs w:val="19"/>
        </w:rPr>
      </w:pPr>
    </w:p>
    <w:p w:rsidR="006E7D04" w:rsidRDefault="00CD0C6F">
      <w:pPr>
        <w:pStyle w:val="Title"/>
        <w:spacing w:line="360" w:lineRule="auto"/>
        <w:ind w:firstLine="861"/>
        <w:rPr>
          <w:u w:val="none"/>
        </w:rPr>
        <w:sectPr w:rsidR="006E7D04">
          <w:footerReference w:type="default" r:id="rId7"/>
          <w:pgSz w:w="11900" w:h="16840"/>
          <w:pgMar w:top="1600" w:right="1100" w:bottom="1180" w:left="580" w:header="0" w:footer="999" w:gutter="0"/>
          <w:pgNumType w:start="1"/>
          <w:cols w:space="720"/>
        </w:sectPr>
      </w:pPr>
      <w:r>
        <w:t>A report on Financial Analysis of Tesla</w:t>
      </w:r>
    </w:p>
    <w:p w:rsidR="006E7D04" w:rsidRDefault="00CD0C6F">
      <w:pPr>
        <w:pStyle w:val="Heading1"/>
        <w:spacing w:before="60" w:line="360" w:lineRule="auto"/>
        <w:ind w:firstLine="861"/>
        <w:rPr>
          <w:sz w:val="24"/>
          <w:szCs w:val="24"/>
        </w:rPr>
      </w:pPr>
      <w:bookmarkStart w:id="0" w:name="_2et92p0" w:colFirst="0" w:colLast="0"/>
      <w:bookmarkEnd w:id="0"/>
      <w:r>
        <w:rPr>
          <w:sz w:val="24"/>
          <w:szCs w:val="24"/>
        </w:rPr>
        <w:t>Abstract</w:t>
      </w:r>
    </w:p>
    <w:p w:rsidR="006E7D04" w:rsidRDefault="00CD0C6F">
      <w:pPr>
        <w:widowControl/>
        <w:spacing w:line="360" w:lineRule="auto"/>
        <w:jc w:val="both"/>
        <w:rPr>
          <w:sz w:val="24"/>
          <w:szCs w:val="24"/>
        </w:rPr>
      </w:pPr>
      <w:r>
        <w:rPr>
          <w:sz w:val="24"/>
          <w:szCs w:val="24"/>
        </w:rPr>
        <w:t xml:space="preserve">The analysis assessed Tesla, Inc.'s financial position from 2017 to 2021. One of the primary goals of this level is to increase professional understanding of ratio analysis so that how the association is carried out in manufacturing can be understood. Tesla </w:t>
      </w:r>
      <w:proofErr w:type="spellStart"/>
      <w:r>
        <w:rPr>
          <w:sz w:val="24"/>
          <w:szCs w:val="24"/>
        </w:rPr>
        <w:t>Inc</w:t>
      </w:r>
      <w:proofErr w:type="spellEnd"/>
      <w:r>
        <w:rPr>
          <w:sz w:val="24"/>
          <w:szCs w:val="24"/>
        </w:rPr>
        <w:t xml:space="preserve"> completed the statistics and used independent data to establish five different relationships, namely debt, effectiveness, liquidness, activity, or cash-flow relationship. Following that, the advantages and disadvantages of NPV, PBP, and ARR are discussed and evaluated. There are certain financial management tactics that a firm may implement to enhance its management.</w:t>
      </w: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sectPr w:rsidR="006E7D04">
          <w:pgSz w:w="11900" w:h="16840"/>
          <w:pgMar w:top="1380" w:right="1100" w:bottom="1180" w:left="580" w:header="0" w:footer="999" w:gutter="0"/>
          <w:cols w:space="720"/>
        </w:sectPr>
      </w:pPr>
    </w:p>
    <w:p w:rsidR="006E7D04" w:rsidRDefault="00CD0C6F">
      <w:pPr>
        <w:keepNext/>
        <w:keepLines/>
        <w:widowControl/>
        <w:pBdr>
          <w:top w:val="nil"/>
          <w:left w:val="nil"/>
          <w:bottom w:val="nil"/>
          <w:right w:val="nil"/>
          <w:between w:val="nil"/>
        </w:pBdr>
        <w:spacing w:before="240" w:line="360" w:lineRule="auto"/>
        <w:jc w:val="center"/>
        <w:rPr>
          <w:color w:val="000000"/>
          <w:sz w:val="32"/>
          <w:szCs w:val="32"/>
        </w:rPr>
      </w:pPr>
      <w:r>
        <w:rPr>
          <w:color w:val="000000"/>
          <w:sz w:val="32"/>
          <w:szCs w:val="32"/>
        </w:rPr>
        <w:t>Table of Contents</w:t>
      </w:r>
    </w:p>
    <w:sdt>
      <w:sdtPr>
        <w:id w:val="539477351"/>
        <w:docPartObj>
          <w:docPartGallery w:val="Table of Contents"/>
          <w:docPartUnique/>
        </w:docPartObj>
      </w:sdtPr>
      <w:sdtEndPr/>
      <w:sdtContent>
        <w:p w:rsidR="006E7D04" w:rsidRDefault="00CD0C6F">
          <w:pPr>
            <w:tabs>
              <w:tab w:val="right" w:leader="dot" w:pos="12000"/>
            </w:tabs>
            <w:spacing w:before="60" w:line="360" w:lineRule="auto"/>
            <w:rPr>
              <w:b/>
              <w:color w:val="000000"/>
            </w:rPr>
          </w:pPr>
          <w:r>
            <w:fldChar w:fldCharType="begin"/>
          </w:r>
          <w:r>
            <w:instrText xml:space="preserve"> TOC \h \u \z \t "Heading 1,1,Heading 2,2,Heading 3,3,"</w:instrText>
          </w:r>
          <w:r>
            <w:fldChar w:fldCharType="separate"/>
          </w:r>
          <w:hyperlink w:anchor="_2et92p0">
            <w:r>
              <w:rPr>
                <w:b/>
                <w:color w:val="000000"/>
              </w:rPr>
              <w:t>Abstract</w:t>
            </w:r>
            <w:r>
              <w:rPr>
                <w:b/>
                <w:color w:val="000000"/>
              </w:rPr>
              <w:tab/>
              <w:t>2</w:t>
            </w:r>
          </w:hyperlink>
        </w:p>
        <w:p w:rsidR="006E7D04" w:rsidRDefault="00CD0C6F">
          <w:pPr>
            <w:tabs>
              <w:tab w:val="right" w:leader="dot" w:pos="12000"/>
            </w:tabs>
            <w:spacing w:before="60" w:line="360" w:lineRule="auto"/>
            <w:rPr>
              <w:b/>
              <w:color w:val="000000"/>
            </w:rPr>
          </w:pPr>
          <w:hyperlink w:anchor="_h3crfphvkpek">
            <w:r>
              <w:rPr>
                <w:b/>
                <w:color w:val="000000"/>
              </w:rPr>
              <w:t>PART A</w:t>
            </w:r>
            <w:r>
              <w:rPr>
                <w:b/>
                <w:color w:val="000000"/>
              </w:rPr>
              <w:tab/>
              <w:t>6</w:t>
            </w:r>
          </w:hyperlink>
        </w:p>
        <w:p w:rsidR="006E7D04" w:rsidRDefault="00CD0C6F">
          <w:pPr>
            <w:tabs>
              <w:tab w:val="right" w:leader="dot" w:pos="12000"/>
            </w:tabs>
            <w:spacing w:before="60" w:line="360" w:lineRule="auto"/>
            <w:rPr>
              <w:b/>
              <w:color w:val="000000"/>
            </w:rPr>
          </w:pPr>
          <w:hyperlink w:anchor="_3dy6vkm">
            <w:r>
              <w:rPr>
                <w:color w:val="000000"/>
                <w:sz w:val="24"/>
                <w:szCs w:val="24"/>
              </w:rPr>
              <w:t>1. Introduction</w:t>
            </w:r>
            <w:r>
              <w:rPr>
                <w:color w:val="000000"/>
                <w:sz w:val="24"/>
                <w:szCs w:val="24"/>
              </w:rPr>
              <w:tab/>
              <w:t>6</w:t>
            </w:r>
          </w:hyperlink>
        </w:p>
        <w:p w:rsidR="006E7D04" w:rsidRDefault="00CD0C6F">
          <w:pPr>
            <w:tabs>
              <w:tab w:val="right" w:leader="dot" w:pos="12000"/>
            </w:tabs>
            <w:spacing w:before="60" w:line="360" w:lineRule="auto"/>
            <w:rPr>
              <w:b/>
              <w:color w:val="000000"/>
            </w:rPr>
          </w:pPr>
          <w:hyperlink w:anchor="_17lu5bv79eyz">
            <w:r>
              <w:rPr>
                <w:b/>
                <w:color w:val="000000"/>
              </w:rPr>
              <w:t>PART B</w:t>
            </w:r>
            <w:r>
              <w:rPr>
                <w:b/>
                <w:color w:val="000000"/>
              </w:rPr>
              <w:tab/>
              <w:t>6</w:t>
            </w:r>
          </w:hyperlink>
        </w:p>
        <w:p w:rsidR="006E7D04" w:rsidRDefault="00CD0C6F">
          <w:pPr>
            <w:tabs>
              <w:tab w:val="right" w:leader="dot" w:pos="12000"/>
            </w:tabs>
            <w:spacing w:before="60" w:line="360" w:lineRule="auto"/>
            <w:rPr>
              <w:b/>
              <w:color w:val="000000"/>
            </w:rPr>
          </w:pPr>
          <w:hyperlink w:anchor="_4d34og8">
            <w:r>
              <w:rPr>
                <w:color w:val="000000"/>
                <w:sz w:val="24"/>
                <w:szCs w:val="24"/>
              </w:rPr>
              <w:t>2. Discussion and Analysis</w:t>
            </w:r>
            <w:r>
              <w:rPr>
                <w:color w:val="000000"/>
                <w:sz w:val="24"/>
                <w:szCs w:val="24"/>
              </w:rPr>
              <w:tab/>
              <w:t>6</w:t>
            </w:r>
          </w:hyperlink>
        </w:p>
        <w:p w:rsidR="006E7D04" w:rsidRDefault="00CD0C6F">
          <w:pPr>
            <w:tabs>
              <w:tab w:val="right" w:leader="dot" w:pos="12000"/>
            </w:tabs>
            <w:spacing w:before="60" w:line="360" w:lineRule="auto"/>
            <w:rPr>
              <w:b/>
              <w:color w:val="000000"/>
            </w:rPr>
          </w:pPr>
          <w:hyperlink w:anchor="_17dp8vu">
            <w:r>
              <w:rPr>
                <w:color w:val="000000"/>
                <w:sz w:val="24"/>
                <w:szCs w:val="24"/>
              </w:rPr>
              <w:t>2.1 Calculation of key finance ratios</w:t>
            </w:r>
            <w:r>
              <w:rPr>
                <w:color w:val="000000"/>
                <w:sz w:val="24"/>
                <w:szCs w:val="24"/>
              </w:rPr>
              <w:tab/>
              <w:t>8</w:t>
            </w:r>
          </w:hyperlink>
        </w:p>
        <w:p w:rsidR="006E7D04" w:rsidRDefault="00CD0C6F">
          <w:pPr>
            <w:tabs>
              <w:tab w:val="right" w:leader="dot" w:pos="12000"/>
            </w:tabs>
            <w:spacing w:before="60" w:line="360" w:lineRule="auto"/>
            <w:rPr>
              <w:b/>
              <w:color w:val="000000"/>
            </w:rPr>
          </w:pPr>
          <w:hyperlink w:anchor="_lnxbz9">
            <w:r>
              <w:rPr>
                <w:color w:val="000000"/>
                <w:sz w:val="24"/>
                <w:szCs w:val="24"/>
              </w:rPr>
              <w:t>2.1.1 Liquidness ratio</w:t>
            </w:r>
            <w:r>
              <w:rPr>
                <w:color w:val="000000"/>
                <w:sz w:val="24"/>
                <w:szCs w:val="24"/>
              </w:rPr>
              <w:tab/>
              <w:t>8</w:t>
            </w:r>
          </w:hyperlink>
        </w:p>
        <w:p w:rsidR="006E7D04" w:rsidRDefault="00CD0C6F">
          <w:pPr>
            <w:tabs>
              <w:tab w:val="right" w:leader="dot" w:pos="12000"/>
            </w:tabs>
            <w:spacing w:before="60" w:line="360" w:lineRule="auto"/>
            <w:rPr>
              <w:b/>
              <w:color w:val="000000"/>
            </w:rPr>
          </w:pPr>
          <w:hyperlink w:anchor="_1ksv4uv">
            <w:r>
              <w:rPr>
                <w:color w:val="000000"/>
                <w:sz w:val="24"/>
                <w:szCs w:val="24"/>
              </w:rPr>
              <w:t>2.1.2 Activity Relation</w:t>
            </w:r>
            <w:r>
              <w:rPr>
                <w:color w:val="000000"/>
                <w:sz w:val="24"/>
                <w:szCs w:val="24"/>
              </w:rPr>
              <w:tab/>
              <w:t>8</w:t>
            </w:r>
          </w:hyperlink>
        </w:p>
        <w:p w:rsidR="006E7D04" w:rsidRDefault="00CD0C6F">
          <w:pPr>
            <w:tabs>
              <w:tab w:val="right" w:leader="dot" w:pos="12000"/>
            </w:tabs>
            <w:spacing w:before="60" w:line="360" w:lineRule="auto"/>
            <w:rPr>
              <w:b/>
              <w:color w:val="000000"/>
            </w:rPr>
          </w:pPr>
          <w:hyperlink w:anchor="_z337ya">
            <w:r>
              <w:rPr>
                <w:color w:val="000000"/>
                <w:sz w:val="24"/>
                <w:szCs w:val="24"/>
              </w:rPr>
              <w:t>2.1.3 Debt Relation</w:t>
            </w:r>
            <w:r>
              <w:rPr>
                <w:color w:val="000000"/>
                <w:sz w:val="24"/>
                <w:szCs w:val="24"/>
              </w:rPr>
              <w:tab/>
              <w:t>8</w:t>
            </w:r>
          </w:hyperlink>
        </w:p>
        <w:p w:rsidR="006E7D04" w:rsidRDefault="00CD0C6F">
          <w:pPr>
            <w:tabs>
              <w:tab w:val="right" w:leader="dot" w:pos="12000"/>
            </w:tabs>
            <w:spacing w:before="60" w:line="360" w:lineRule="auto"/>
            <w:rPr>
              <w:b/>
              <w:color w:val="000000"/>
            </w:rPr>
          </w:pPr>
          <w:hyperlink w:anchor="_1y810tw">
            <w:r>
              <w:rPr>
                <w:color w:val="000000"/>
                <w:sz w:val="24"/>
                <w:szCs w:val="24"/>
              </w:rPr>
              <w:t>2.1.4 Profitability Proportion</w:t>
            </w:r>
            <w:r>
              <w:rPr>
                <w:color w:val="000000"/>
                <w:sz w:val="24"/>
                <w:szCs w:val="24"/>
              </w:rPr>
              <w:tab/>
              <w:t>9</w:t>
            </w:r>
          </w:hyperlink>
        </w:p>
        <w:p w:rsidR="006E7D04" w:rsidRDefault="00CD0C6F">
          <w:pPr>
            <w:tabs>
              <w:tab w:val="right" w:leader="dot" w:pos="12000"/>
            </w:tabs>
            <w:spacing w:before="60" w:line="360" w:lineRule="auto"/>
            <w:rPr>
              <w:b/>
              <w:color w:val="000000"/>
            </w:rPr>
          </w:pPr>
          <w:hyperlink w:anchor="_2xcytpi">
            <w:r>
              <w:rPr>
                <w:color w:val="000000"/>
                <w:sz w:val="24"/>
                <w:szCs w:val="24"/>
              </w:rPr>
              <w:t>2.1.5 A Cash-Flow ratio</w:t>
            </w:r>
            <w:r>
              <w:rPr>
                <w:color w:val="000000"/>
                <w:sz w:val="24"/>
                <w:szCs w:val="24"/>
              </w:rPr>
              <w:tab/>
              <w:t>9</w:t>
            </w:r>
          </w:hyperlink>
        </w:p>
        <w:p w:rsidR="006E7D04" w:rsidRDefault="00CD0C6F">
          <w:pPr>
            <w:tabs>
              <w:tab w:val="right" w:leader="dot" w:pos="12000"/>
            </w:tabs>
            <w:spacing w:before="60" w:line="360" w:lineRule="auto"/>
            <w:rPr>
              <w:b/>
              <w:color w:val="000000"/>
            </w:rPr>
          </w:pPr>
          <w:hyperlink w:anchor="_3whwml4">
            <w:r>
              <w:rPr>
                <w:color w:val="000000"/>
                <w:sz w:val="24"/>
                <w:szCs w:val="24"/>
              </w:rPr>
              <w:t>2.2 Evaluation of ratios</w:t>
            </w:r>
            <w:r>
              <w:rPr>
                <w:color w:val="000000"/>
                <w:sz w:val="24"/>
                <w:szCs w:val="24"/>
              </w:rPr>
              <w:tab/>
              <w:t>9</w:t>
            </w:r>
          </w:hyperlink>
        </w:p>
        <w:p w:rsidR="006E7D04" w:rsidRDefault="00CD0C6F">
          <w:pPr>
            <w:tabs>
              <w:tab w:val="right" w:leader="dot" w:pos="12000"/>
            </w:tabs>
            <w:spacing w:before="60" w:line="360" w:lineRule="auto"/>
            <w:rPr>
              <w:b/>
              <w:color w:val="000000"/>
            </w:rPr>
          </w:pPr>
          <w:hyperlink w:anchor="_2bn6wsx">
            <w:r>
              <w:rPr>
                <w:color w:val="000000"/>
                <w:sz w:val="24"/>
                <w:szCs w:val="24"/>
              </w:rPr>
              <w:t>Current ratio</w:t>
            </w:r>
            <w:r>
              <w:rPr>
                <w:color w:val="000000"/>
                <w:sz w:val="24"/>
                <w:szCs w:val="24"/>
              </w:rPr>
              <w:tab/>
              <w:t>9</w:t>
            </w:r>
          </w:hyperlink>
        </w:p>
        <w:p w:rsidR="006E7D04" w:rsidRDefault="00CD0C6F">
          <w:pPr>
            <w:tabs>
              <w:tab w:val="right" w:leader="dot" w:pos="12000"/>
            </w:tabs>
            <w:spacing w:before="60" w:line="360" w:lineRule="auto"/>
            <w:rPr>
              <w:b/>
              <w:color w:val="000000"/>
            </w:rPr>
          </w:pPr>
          <w:hyperlink w:anchor="_qsh70q">
            <w:r>
              <w:rPr>
                <w:color w:val="000000"/>
                <w:sz w:val="24"/>
                <w:szCs w:val="24"/>
              </w:rPr>
              <w:t>Rapid Ratio</w:t>
            </w:r>
            <w:r>
              <w:rPr>
                <w:color w:val="000000"/>
                <w:sz w:val="24"/>
                <w:szCs w:val="24"/>
              </w:rPr>
              <w:tab/>
              <w:t>10</w:t>
            </w:r>
          </w:hyperlink>
        </w:p>
        <w:p w:rsidR="006E7D04" w:rsidRDefault="00CD0C6F">
          <w:pPr>
            <w:tabs>
              <w:tab w:val="right" w:leader="dot" w:pos="12000"/>
            </w:tabs>
            <w:spacing w:before="60" w:line="360" w:lineRule="auto"/>
            <w:rPr>
              <w:b/>
              <w:color w:val="000000"/>
            </w:rPr>
          </w:pPr>
          <w:hyperlink w:anchor="_3as4poj">
            <w:r>
              <w:rPr>
                <w:color w:val="000000"/>
                <w:sz w:val="24"/>
                <w:szCs w:val="24"/>
              </w:rPr>
              <w:t>Money Ratio</w:t>
            </w:r>
            <w:r>
              <w:rPr>
                <w:color w:val="000000"/>
                <w:sz w:val="24"/>
                <w:szCs w:val="24"/>
              </w:rPr>
              <w:tab/>
              <w:t>10</w:t>
            </w:r>
          </w:hyperlink>
        </w:p>
        <w:p w:rsidR="006E7D04" w:rsidRDefault="00CD0C6F">
          <w:pPr>
            <w:tabs>
              <w:tab w:val="right" w:leader="dot" w:pos="12000"/>
            </w:tabs>
            <w:spacing w:before="60" w:line="360" w:lineRule="auto"/>
            <w:rPr>
              <w:b/>
              <w:color w:val="000000"/>
            </w:rPr>
          </w:pPr>
          <w:hyperlink w:anchor="_1pxezwc">
            <w:r>
              <w:rPr>
                <w:color w:val="000000"/>
                <w:sz w:val="24"/>
                <w:szCs w:val="24"/>
              </w:rPr>
              <w:t>Activity Ratio</w:t>
            </w:r>
            <w:r>
              <w:rPr>
                <w:color w:val="000000"/>
                <w:sz w:val="24"/>
                <w:szCs w:val="24"/>
              </w:rPr>
              <w:tab/>
              <w:t>10</w:t>
            </w:r>
          </w:hyperlink>
        </w:p>
        <w:p w:rsidR="006E7D04" w:rsidRDefault="00CD0C6F">
          <w:pPr>
            <w:tabs>
              <w:tab w:val="right" w:leader="dot" w:pos="12000"/>
            </w:tabs>
            <w:spacing w:before="60" w:line="360" w:lineRule="auto"/>
            <w:rPr>
              <w:b/>
              <w:color w:val="000000"/>
            </w:rPr>
          </w:pPr>
          <w:hyperlink w:anchor="_49x2ik5">
            <w:r>
              <w:rPr>
                <w:color w:val="000000"/>
                <w:sz w:val="24"/>
                <w:szCs w:val="24"/>
              </w:rPr>
              <w:t>Inventory turnover ratio</w:t>
            </w:r>
            <w:r>
              <w:rPr>
                <w:color w:val="000000"/>
                <w:sz w:val="24"/>
                <w:szCs w:val="24"/>
              </w:rPr>
              <w:tab/>
              <w:t>10</w:t>
            </w:r>
          </w:hyperlink>
        </w:p>
        <w:p w:rsidR="006E7D04" w:rsidRDefault="00CD0C6F">
          <w:pPr>
            <w:tabs>
              <w:tab w:val="right" w:leader="dot" w:pos="12000"/>
            </w:tabs>
            <w:spacing w:before="60" w:line="360" w:lineRule="auto"/>
            <w:rPr>
              <w:b/>
              <w:color w:val="000000"/>
            </w:rPr>
          </w:pPr>
          <w:hyperlink w:anchor="_2p2csry">
            <w:r>
              <w:rPr>
                <w:color w:val="000000"/>
                <w:sz w:val="24"/>
                <w:szCs w:val="24"/>
              </w:rPr>
              <w:t>Receivable Turnover Ratio</w:t>
            </w:r>
            <w:r>
              <w:rPr>
                <w:color w:val="000000"/>
                <w:sz w:val="24"/>
                <w:szCs w:val="24"/>
              </w:rPr>
              <w:tab/>
              <w:t>11</w:t>
            </w:r>
          </w:hyperlink>
        </w:p>
        <w:p w:rsidR="006E7D04" w:rsidRDefault="00CD0C6F">
          <w:pPr>
            <w:tabs>
              <w:tab w:val="right" w:leader="dot" w:pos="12000"/>
            </w:tabs>
            <w:spacing w:before="60" w:line="360" w:lineRule="auto"/>
            <w:rPr>
              <w:b/>
              <w:color w:val="000000"/>
            </w:rPr>
          </w:pPr>
          <w:hyperlink w:anchor="_147n2zr">
            <w:r>
              <w:rPr>
                <w:color w:val="000000"/>
                <w:sz w:val="24"/>
                <w:szCs w:val="24"/>
              </w:rPr>
              <w:t>Total Assets business Ratio</w:t>
            </w:r>
            <w:r>
              <w:rPr>
                <w:color w:val="000000"/>
                <w:sz w:val="24"/>
                <w:szCs w:val="24"/>
              </w:rPr>
              <w:tab/>
              <w:t>11</w:t>
            </w:r>
          </w:hyperlink>
        </w:p>
        <w:p w:rsidR="006E7D04" w:rsidRDefault="00CD0C6F">
          <w:pPr>
            <w:tabs>
              <w:tab w:val="right" w:leader="dot" w:pos="12000"/>
            </w:tabs>
            <w:spacing w:before="60" w:line="360" w:lineRule="auto"/>
            <w:rPr>
              <w:b/>
              <w:color w:val="000000"/>
            </w:rPr>
          </w:pPr>
          <w:hyperlink w:anchor="_3o7alnk">
            <w:r>
              <w:rPr>
                <w:color w:val="000000"/>
                <w:sz w:val="24"/>
                <w:szCs w:val="24"/>
              </w:rPr>
              <w:t>Debt Ratio</w:t>
            </w:r>
            <w:r>
              <w:rPr>
                <w:color w:val="000000"/>
                <w:sz w:val="24"/>
                <w:szCs w:val="24"/>
              </w:rPr>
              <w:tab/>
              <w:t>11</w:t>
            </w:r>
          </w:hyperlink>
        </w:p>
        <w:p w:rsidR="006E7D04" w:rsidRDefault="00CD0C6F">
          <w:pPr>
            <w:tabs>
              <w:tab w:val="right" w:leader="dot" w:pos="12000"/>
            </w:tabs>
            <w:spacing w:before="60" w:line="360" w:lineRule="auto"/>
            <w:rPr>
              <w:b/>
              <w:color w:val="000000"/>
            </w:rPr>
          </w:pPr>
          <w:hyperlink w:anchor="_23ckvvd">
            <w:r>
              <w:rPr>
                <w:color w:val="000000"/>
                <w:sz w:val="24"/>
                <w:szCs w:val="24"/>
              </w:rPr>
              <w:t>Debt Ratio</w:t>
            </w:r>
            <w:r>
              <w:rPr>
                <w:color w:val="000000"/>
                <w:sz w:val="24"/>
                <w:szCs w:val="24"/>
              </w:rPr>
              <w:tab/>
              <w:t>11</w:t>
            </w:r>
          </w:hyperlink>
        </w:p>
        <w:p w:rsidR="006E7D04" w:rsidRDefault="00CD0C6F">
          <w:pPr>
            <w:tabs>
              <w:tab w:val="right" w:leader="dot" w:pos="12000"/>
            </w:tabs>
            <w:spacing w:before="60" w:line="360" w:lineRule="auto"/>
            <w:rPr>
              <w:b/>
              <w:color w:val="000000"/>
            </w:rPr>
          </w:pPr>
          <w:hyperlink w:anchor="_ihv636">
            <w:r>
              <w:rPr>
                <w:color w:val="000000"/>
                <w:sz w:val="24"/>
                <w:szCs w:val="24"/>
              </w:rPr>
              <w:t>Times Interest earned Ratio</w:t>
            </w:r>
            <w:r>
              <w:rPr>
                <w:color w:val="000000"/>
                <w:sz w:val="24"/>
                <w:szCs w:val="24"/>
              </w:rPr>
              <w:tab/>
              <w:t>12</w:t>
            </w:r>
          </w:hyperlink>
        </w:p>
        <w:p w:rsidR="006E7D04" w:rsidRDefault="00CD0C6F">
          <w:pPr>
            <w:tabs>
              <w:tab w:val="right" w:leader="dot" w:pos="12000"/>
            </w:tabs>
            <w:spacing w:before="60" w:line="360" w:lineRule="auto"/>
            <w:rPr>
              <w:b/>
              <w:color w:val="000000"/>
            </w:rPr>
          </w:pPr>
          <w:hyperlink w:anchor="_32hioqz">
            <w:r>
              <w:rPr>
                <w:color w:val="000000"/>
                <w:sz w:val="24"/>
                <w:szCs w:val="24"/>
              </w:rPr>
              <w:t>Profitability Ratio</w:t>
            </w:r>
            <w:r>
              <w:rPr>
                <w:color w:val="000000"/>
                <w:sz w:val="24"/>
                <w:szCs w:val="24"/>
              </w:rPr>
              <w:tab/>
              <w:t>12</w:t>
            </w:r>
          </w:hyperlink>
        </w:p>
        <w:p w:rsidR="006E7D04" w:rsidRDefault="00CD0C6F">
          <w:pPr>
            <w:tabs>
              <w:tab w:val="right" w:leader="dot" w:pos="12000"/>
            </w:tabs>
            <w:spacing w:before="60" w:line="360" w:lineRule="auto"/>
            <w:rPr>
              <w:b/>
              <w:color w:val="000000"/>
            </w:rPr>
          </w:pPr>
          <w:hyperlink w:anchor="_1hmsyys">
            <w:r>
              <w:rPr>
                <w:color w:val="000000"/>
                <w:sz w:val="24"/>
                <w:szCs w:val="24"/>
              </w:rPr>
              <w:t>Return on Possessions</w:t>
            </w:r>
            <w:r>
              <w:rPr>
                <w:color w:val="000000"/>
                <w:sz w:val="24"/>
                <w:szCs w:val="24"/>
              </w:rPr>
              <w:tab/>
              <w:t>12</w:t>
            </w:r>
          </w:hyperlink>
        </w:p>
        <w:p w:rsidR="006E7D04" w:rsidRDefault="00CD0C6F">
          <w:pPr>
            <w:tabs>
              <w:tab w:val="right" w:leader="dot" w:pos="12000"/>
            </w:tabs>
            <w:spacing w:before="60" w:line="360" w:lineRule="auto"/>
            <w:rPr>
              <w:b/>
              <w:color w:val="000000"/>
            </w:rPr>
          </w:pPr>
          <w:hyperlink w:anchor="_41mghml">
            <w:r>
              <w:rPr>
                <w:color w:val="000000"/>
                <w:sz w:val="24"/>
                <w:szCs w:val="24"/>
              </w:rPr>
              <w:t>Profit Boundary</w:t>
            </w:r>
            <w:r>
              <w:rPr>
                <w:color w:val="000000"/>
                <w:sz w:val="24"/>
                <w:szCs w:val="24"/>
              </w:rPr>
              <w:tab/>
              <w:t>13</w:t>
            </w:r>
          </w:hyperlink>
        </w:p>
        <w:p w:rsidR="006E7D04" w:rsidRDefault="00CD0C6F">
          <w:pPr>
            <w:tabs>
              <w:tab w:val="right" w:leader="dot" w:pos="12000"/>
            </w:tabs>
            <w:spacing w:before="60" w:line="360" w:lineRule="auto"/>
            <w:rPr>
              <w:b/>
              <w:color w:val="000000"/>
            </w:rPr>
          </w:pPr>
          <w:hyperlink w:anchor="_2grqrue">
            <w:r>
              <w:rPr>
                <w:color w:val="000000"/>
                <w:sz w:val="24"/>
                <w:szCs w:val="24"/>
              </w:rPr>
              <w:t>Cash Flow Relation</w:t>
            </w:r>
            <w:r>
              <w:rPr>
                <w:color w:val="000000"/>
                <w:sz w:val="24"/>
                <w:szCs w:val="24"/>
              </w:rPr>
              <w:tab/>
              <w:t>13</w:t>
            </w:r>
          </w:hyperlink>
        </w:p>
        <w:p w:rsidR="006E7D04" w:rsidRDefault="00CD0C6F">
          <w:pPr>
            <w:tabs>
              <w:tab w:val="right" w:leader="dot" w:pos="12000"/>
            </w:tabs>
            <w:spacing w:before="60" w:line="360" w:lineRule="auto"/>
            <w:rPr>
              <w:b/>
              <w:color w:val="000000"/>
            </w:rPr>
          </w:pPr>
          <w:hyperlink w:anchor="_vx1227">
            <w:r>
              <w:rPr>
                <w:color w:val="000000"/>
                <w:sz w:val="24"/>
                <w:szCs w:val="24"/>
              </w:rPr>
              <w:t>Cash flow on whole assets ratio</w:t>
            </w:r>
            <w:r>
              <w:rPr>
                <w:color w:val="000000"/>
                <w:sz w:val="24"/>
                <w:szCs w:val="24"/>
              </w:rPr>
              <w:tab/>
              <w:t>13</w:t>
            </w:r>
          </w:hyperlink>
        </w:p>
        <w:p w:rsidR="006E7D04" w:rsidRDefault="00CD0C6F">
          <w:pPr>
            <w:tabs>
              <w:tab w:val="right" w:leader="dot" w:pos="12000"/>
            </w:tabs>
            <w:spacing w:before="60" w:line="360" w:lineRule="auto"/>
            <w:rPr>
              <w:b/>
              <w:color w:val="000000"/>
            </w:rPr>
          </w:pPr>
          <w:hyperlink w:anchor="_3fwokq0">
            <w:r>
              <w:rPr>
                <w:color w:val="000000"/>
                <w:sz w:val="24"/>
                <w:szCs w:val="24"/>
              </w:rPr>
              <w:t>Cash Flow to Auctions Ratio</w:t>
            </w:r>
            <w:r>
              <w:rPr>
                <w:color w:val="000000"/>
                <w:sz w:val="24"/>
                <w:szCs w:val="24"/>
              </w:rPr>
              <w:tab/>
              <w:t>13</w:t>
            </w:r>
          </w:hyperlink>
        </w:p>
        <w:p w:rsidR="006E7D04" w:rsidRDefault="00CD0C6F">
          <w:pPr>
            <w:tabs>
              <w:tab w:val="right" w:leader="dot" w:pos="12000"/>
            </w:tabs>
            <w:spacing w:before="60" w:line="360" w:lineRule="auto"/>
            <w:rPr>
              <w:b/>
              <w:color w:val="000000"/>
            </w:rPr>
          </w:pPr>
          <w:hyperlink w:anchor="_4f1mdlm">
            <w:r>
              <w:rPr>
                <w:color w:val="000000"/>
                <w:sz w:val="24"/>
                <w:szCs w:val="24"/>
              </w:rPr>
              <w:t>2.3 comparison of Tesla with the major competitors</w:t>
            </w:r>
            <w:r>
              <w:rPr>
                <w:color w:val="000000"/>
                <w:sz w:val="24"/>
                <w:szCs w:val="24"/>
              </w:rPr>
              <w:tab/>
              <w:t>14</w:t>
            </w:r>
          </w:hyperlink>
        </w:p>
        <w:p w:rsidR="006E7D04" w:rsidRDefault="00CD0C6F">
          <w:pPr>
            <w:tabs>
              <w:tab w:val="right" w:leader="dot" w:pos="12000"/>
            </w:tabs>
            <w:spacing w:before="60" w:line="360" w:lineRule="auto"/>
            <w:rPr>
              <w:b/>
              <w:color w:val="000000"/>
            </w:rPr>
          </w:pPr>
          <w:hyperlink w:anchor="_19c6y18">
            <w:r>
              <w:rPr>
                <w:color w:val="000000"/>
                <w:sz w:val="24"/>
                <w:szCs w:val="24"/>
              </w:rPr>
              <w:t>2.3.1 Future Competition</w:t>
            </w:r>
            <w:r>
              <w:rPr>
                <w:color w:val="000000"/>
                <w:sz w:val="24"/>
                <w:szCs w:val="24"/>
              </w:rPr>
              <w:tab/>
              <w:t>14</w:t>
            </w:r>
          </w:hyperlink>
        </w:p>
        <w:p w:rsidR="006E7D04" w:rsidRDefault="00CD0C6F">
          <w:pPr>
            <w:tabs>
              <w:tab w:val="right" w:leader="dot" w:pos="12000"/>
            </w:tabs>
            <w:spacing w:before="60" w:line="360" w:lineRule="auto"/>
            <w:rPr>
              <w:b/>
              <w:color w:val="000000"/>
            </w:rPr>
          </w:pPr>
          <w:hyperlink w:anchor="_28h4qwu">
            <w:r>
              <w:rPr>
                <w:color w:val="000000"/>
                <w:sz w:val="24"/>
                <w:szCs w:val="24"/>
              </w:rPr>
              <w:t>2.4 Tips to improve the financial management</w:t>
            </w:r>
            <w:r>
              <w:rPr>
                <w:color w:val="000000"/>
                <w:sz w:val="24"/>
                <w:szCs w:val="24"/>
              </w:rPr>
              <w:tab/>
              <w:t>14</w:t>
            </w:r>
          </w:hyperlink>
        </w:p>
        <w:p w:rsidR="006E7D04" w:rsidRDefault="00CD0C6F">
          <w:pPr>
            <w:tabs>
              <w:tab w:val="right" w:leader="dot" w:pos="12000"/>
            </w:tabs>
            <w:spacing w:before="60" w:line="360" w:lineRule="auto"/>
            <w:rPr>
              <w:b/>
              <w:color w:val="000000"/>
            </w:rPr>
          </w:pPr>
          <w:hyperlink w:anchor="_37m2jsg">
            <w:r>
              <w:rPr>
                <w:color w:val="000000"/>
                <w:sz w:val="24"/>
                <w:szCs w:val="24"/>
              </w:rPr>
              <w:t>2.5 Investment evaluation</w:t>
            </w:r>
            <w:r>
              <w:rPr>
                <w:color w:val="000000"/>
                <w:sz w:val="24"/>
                <w:szCs w:val="24"/>
              </w:rPr>
              <w:tab/>
              <w:t>14</w:t>
            </w:r>
          </w:hyperlink>
        </w:p>
        <w:p w:rsidR="006E7D04" w:rsidRDefault="00CD0C6F">
          <w:pPr>
            <w:tabs>
              <w:tab w:val="right" w:leader="dot" w:pos="12000"/>
            </w:tabs>
            <w:spacing w:before="60" w:line="360" w:lineRule="auto"/>
            <w:rPr>
              <w:b/>
              <w:color w:val="000000"/>
            </w:rPr>
          </w:pPr>
          <w:hyperlink w:anchor="_hbb1c3apmqf9">
            <w:r>
              <w:rPr>
                <w:b/>
                <w:color w:val="000000"/>
              </w:rPr>
              <w:t>PART 3</w:t>
            </w:r>
            <w:r>
              <w:rPr>
                <w:b/>
                <w:color w:val="000000"/>
              </w:rPr>
              <w:tab/>
              <w:t>15</w:t>
            </w:r>
          </w:hyperlink>
        </w:p>
        <w:p w:rsidR="006E7D04" w:rsidRDefault="00CD0C6F">
          <w:pPr>
            <w:tabs>
              <w:tab w:val="right" w:leader="dot" w:pos="12000"/>
            </w:tabs>
            <w:spacing w:before="60" w:line="360" w:lineRule="auto"/>
            <w:rPr>
              <w:b/>
              <w:color w:val="000000"/>
            </w:rPr>
          </w:pPr>
          <w:hyperlink w:anchor="_2lwamvv">
            <w:r>
              <w:rPr>
                <w:color w:val="000000"/>
                <w:sz w:val="24"/>
                <w:szCs w:val="24"/>
              </w:rPr>
              <w:t>3.1.1 Rewards of using Net Current Worth</w:t>
            </w:r>
            <w:r>
              <w:rPr>
                <w:color w:val="000000"/>
                <w:sz w:val="24"/>
                <w:szCs w:val="24"/>
              </w:rPr>
              <w:tab/>
              <w:t>15</w:t>
            </w:r>
          </w:hyperlink>
        </w:p>
        <w:p w:rsidR="006E7D04" w:rsidRDefault="00CD0C6F">
          <w:pPr>
            <w:tabs>
              <w:tab w:val="right" w:leader="dot" w:pos="12000"/>
            </w:tabs>
            <w:spacing w:before="60" w:line="360" w:lineRule="auto"/>
            <w:rPr>
              <w:b/>
              <w:color w:val="000000"/>
            </w:rPr>
          </w:pPr>
          <w:hyperlink w:anchor="_3l18frh">
            <w:r>
              <w:rPr>
                <w:color w:val="000000"/>
                <w:sz w:val="24"/>
                <w:szCs w:val="24"/>
              </w:rPr>
              <w:t>3.1.2 Difficulties of using Remaining Current Worth</w:t>
            </w:r>
            <w:r>
              <w:rPr>
                <w:color w:val="000000"/>
                <w:sz w:val="24"/>
                <w:szCs w:val="24"/>
              </w:rPr>
              <w:tab/>
              <w:t>15</w:t>
            </w:r>
          </w:hyperlink>
        </w:p>
        <w:p w:rsidR="006E7D04" w:rsidRDefault="00CD0C6F">
          <w:pPr>
            <w:tabs>
              <w:tab w:val="right" w:leader="dot" w:pos="12000"/>
            </w:tabs>
            <w:spacing w:before="60" w:line="360" w:lineRule="auto"/>
            <w:rPr>
              <w:b/>
              <w:color w:val="000000"/>
            </w:rPr>
          </w:pPr>
          <w:hyperlink w:anchor="_4k668n3">
            <w:r>
              <w:rPr>
                <w:color w:val="000000"/>
                <w:sz w:val="24"/>
                <w:szCs w:val="24"/>
              </w:rPr>
              <w:t>3.1.3 Advantages of using the payback period</w:t>
            </w:r>
            <w:r>
              <w:rPr>
                <w:color w:val="000000"/>
                <w:sz w:val="24"/>
                <w:szCs w:val="24"/>
              </w:rPr>
              <w:tab/>
              <w:t>15</w:t>
            </w:r>
          </w:hyperlink>
        </w:p>
        <w:p w:rsidR="006E7D04" w:rsidRDefault="00CD0C6F">
          <w:pPr>
            <w:tabs>
              <w:tab w:val="right" w:leader="dot" w:pos="12000"/>
            </w:tabs>
            <w:spacing w:before="60" w:line="360" w:lineRule="auto"/>
            <w:rPr>
              <w:b/>
              <w:color w:val="000000"/>
            </w:rPr>
          </w:pPr>
          <w:hyperlink w:anchor="_1egqt2p">
            <w:r>
              <w:rPr>
                <w:color w:val="000000"/>
                <w:sz w:val="24"/>
                <w:szCs w:val="24"/>
              </w:rPr>
              <w:t>3.1.4 Disadvantage of using the Payback Period</w:t>
            </w:r>
            <w:r>
              <w:rPr>
                <w:color w:val="000000"/>
                <w:sz w:val="24"/>
                <w:szCs w:val="24"/>
              </w:rPr>
              <w:tab/>
              <w:t>15</w:t>
            </w:r>
          </w:hyperlink>
        </w:p>
        <w:p w:rsidR="006E7D04" w:rsidRDefault="00CD0C6F">
          <w:pPr>
            <w:tabs>
              <w:tab w:val="right" w:leader="dot" w:pos="12000"/>
            </w:tabs>
            <w:spacing w:before="60" w:line="360" w:lineRule="auto"/>
            <w:rPr>
              <w:b/>
              <w:color w:val="000000"/>
            </w:rPr>
          </w:pPr>
          <w:hyperlink w:anchor="_2dlolyb">
            <w:r>
              <w:rPr>
                <w:color w:val="000000"/>
                <w:sz w:val="24"/>
                <w:szCs w:val="24"/>
              </w:rPr>
              <w:t>3.1.5 Rewards of Secretarial Rate of Reappearance</w:t>
            </w:r>
            <w:r>
              <w:rPr>
                <w:color w:val="000000"/>
                <w:sz w:val="24"/>
                <w:szCs w:val="24"/>
              </w:rPr>
              <w:tab/>
              <w:t>15</w:t>
            </w:r>
          </w:hyperlink>
        </w:p>
        <w:p w:rsidR="006E7D04" w:rsidRDefault="00CD0C6F">
          <w:pPr>
            <w:tabs>
              <w:tab w:val="right" w:leader="dot" w:pos="12000"/>
            </w:tabs>
            <w:spacing w:before="60" w:line="360" w:lineRule="auto"/>
            <w:rPr>
              <w:b/>
              <w:color w:val="000000"/>
            </w:rPr>
          </w:pPr>
          <w:hyperlink w:anchor="_3cqmetx">
            <w:r>
              <w:rPr>
                <w:color w:val="000000"/>
                <w:sz w:val="24"/>
                <w:szCs w:val="24"/>
              </w:rPr>
              <w:t>3.1.6 Disadvantages of Accounting Rate of Return</w:t>
            </w:r>
            <w:r>
              <w:rPr>
                <w:color w:val="000000"/>
                <w:sz w:val="24"/>
                <w:szCs w:val="24"/>
              </w:rPr>
              <w:tab/>
              <w:t>16</w:t>
            </w:r>
          </w:hyperlink>
        </w:p>
        <w:p w:rsidR="006E7D04" w:rsidRDefault="00CD0C6F">
          <w:pPr>
            <w:tabs>
              <w:tab w:val="right" w:leader="dot" w:pos="12000"/>
            </w:tabs>
            <w:spacing w:before="60" w:line="360" w:lineRule="auto"/>
            <w:rPr>
              <w:b/>
              <w:color w:val="000000"/>
            </w:rPr>
          </w:pPr>
          <w:hyperlink w:anchor="_1664s55">
            <w:r>
              <w:rPr>
                <w:color w:val="000000"/>
                <w:sz w:val="24"/>
                <w:szCs w:val="24"/>
              </w:rPr>
              <w:t>3.2.2 Accounting Rate of Reappearance</w:t>
            </w:r>
            <w:r>
              <w:rPr>
                <w:color w:val="000000"/>
                <w:sz w:val="24"/>
                <w:szCs w:val="24"/>
              </w:rPr>
              <w:tab/>
              <w:t>17</w:t>
            </w:r>
          </w:hyperlink>
        </w:p>
        <w:p w:rsidR="006E7D04" w:rsidRDefault="00CD0C6F">
          <w:pPr>
            <w:tabs>
              <w:tab w:val="right" w:leader="dot" w:pos="12000"/>
            </w:tabs>
            <w:spacing w:before="60" w:line="360" w:lineRule="auto"/>
            <w:rPr>
              <w:b/>
              <w:color w:val="000000"/>
            </w:rPr>
          </w:pPr>
          <w:hyperlink w:anchor="_25b2l0r">
            <w:r>
              <w:rPr>
                <w:color w:val="000000"/>
                <w:sz w:val="24"/>
                <w:szCs w:val="24"/>
              </w:rPr>
              <w:t>3.2.3 Payback Period</w:t>
            </w:r>
            <w:r>
              <w:rPr>
                <w:color w:val="000000"/>
                <w:sz w:val="24"/>
                <w:szCs w:val="24"/>
              </w:rPr>
              <w:tab/>
              <w:t>17</w:t>
            </w:r>
          </w:hyperlink>
        </w:p>
        <w:p w:rsidR="006E7D04" w:rsidRDefault="00CD0C6F">
          <w:pPr>
            <w:tabs>
              <w:tab w:val="right" w:leader="dot" w:pos="12000"/>
            </w:tabs>
            <w:spacing w:before="60" w:line="360" w:lineRule="auto"/>
            <w:rPr>
              <w:b/>
              <w:color w:val="000000"/>
            </w:rPr>
          </w:pPr>
          <w:hyperlink w:anchor="_34g0dwd">
            <w:r>
              <w:rPr>
                <w:b/>
                <w:color w:val="000000"/>
                <w:sz w:val="24"/>
                <w:szCs w:val="24"/>
              </w:rPr>
              <w:t>4</w:t>
            </w:r>
          </w:hyperlink>
          <w:hyperlink w:anchor="_34g0dwd">
            <w:r>
              <w:rPr>
                <w:color w:val="000000"/>
                <w:sz w:val="24"/>
                <w:szCs w:val="24"/>
              </w:rPr>
              <w:t>. Conclusion</w:t>
            </w:r>
            <w:r>
              <w:rPr>
                <w:color w:val="000000"/>
                <w:sz w:val="24"/>
                <w:szCs w:val="24"/>
              </w:rPr>
              <w:tab/>
              <w:t>17</w:t>
            </w:r>
          </w:hyperlink>
          <w:r>
            <w:fldChar w:fldCharType="end"/>
          </w:r>
        </w:p>
      </w:sdtContent>
    </w:sdt>
    <w:p w:rsidR="006E7D04" w:rsidRDefault="006E7D04">
      <w:pPr>
        <w:spacing w:line="360" w:lineRule="auto"/>
        <w:jc w:val="both"/>
        <w:rPr>
          <w:sz w:val="24"/>
          <w:szCs w:val="24"/>
        </w:rPr>
      </w:pPr>
    </w:p>
    <w:p w:rsidR="006E7D04" w:rsidRDefault="00CD0C6F">
      <w:pPr>
        <w:spacing w:line="360" w:lineRule="auto"/>
        <w:jc w:val="both"/>
        <w:rPr>
          <w:sz w:val="24"/>
          <w:szCs w:val="24"/>
        </w:rPr>
      </w:pPr>
      <w:r>
        <w:br w:type="page"/>
      </w:r>
    </w:p>
    <w:p w:rsidR="006E7D04" w:rsidRDefault="00CD0C6F">
      <w:pPr>
        <w:spacing w:line="360" w:lineRule="auto"/>
        <w:jc w:val="both"/>
        <w:rPr>
          <w:b/>
          <w:sz w:val="24"/>
          <w:szCs w:val="24"/>
        </w:rPr>
      </w:pPr>
      <w:r>
        <w:rPr>
          <w:b/>
          <w:sz w:val="24"/>
          <w:szCs w:val="24"/>
        </w:rPr>
        <w:t xml:space="preserve">Index of tables </w:t>
      </w:r>
    </w:p>
    <w:p w:rsidR="006E7D04" w:rsidRDefault="006E7D04">
      <w:pPr>
        <w:spacing w:line="360" w:lineRule="auto"/>
        <w:jc w:val="both"/>
        <w:rPr>
          <w:sz w:val="24"/>
          <w:szCs w:val="24"/>
        </w:rPr>
      </w:pPr>
    </w:p>
    <w:p w:rsidR="006E7D04" w:rsidRDefault="00CD0C6F">
      <w:pPr>
        <w:spacing w:line="360" w:lineRule="auto"/>
        <w:jc w:val="both"/>
        <w:rPr>
          <w:sz w:val="24"/>
          <w:szCs w:val="24"/>
        </w:rPr>
      </w:pPr>
      <w:r>
        <w:rPr>
          <w:sz w:val="24"/>
          <w:szCs w:val="24"/>
        </w:rPr>
        <w:t xml:space="preserve">Table 1: Wateriness Relations of Tesla Inc. </w:t>
      </w:r>
    </w:p>
    <w:p w:rsidR="006E7D04" w:rsidRDefault="00CD0C6F">
      <w:pPr>
        <w:spacing w:line="360" w:lineRule="auto"/>
        <w:jc w:val="both"/>
        <w:rPr>
          <w:sz w:val="24"/>
          <w:szCs w:val="24"/>
        </w:rPr>
      </w:pPr>
      <w:r>
        <w:rPr>
          <w:sz w:val="24"/>
          <w:szCs w:val="24"/>
        </w:rPr>
        <w:t>Table 2: Activity ratio of Tesla Inc.</w:t>
      </w:r>
    </w:p>
    <w:p w:rsidR="006E7D04" w:rsidRDefault="00CD0C6F">
      <w:pPr>
        <w:spacing w:line="360" w:lineRule="auto"/>
        <w:jc w:val="both"/>
        <w:rPr>
          <w:sz w:val="24"/>
          <w:szCs w:val="24"/>
        </w:rPr>
      </w:pPr>
      <w:r>
        <w:rPr>
          <w:sz w:val="24"/>
          <w:szCs w:val="24"/>
        </w:rPr>
        <w:t>Table 3: Debit ratio of Tesla Inc.</w:t>
      </w:r>
    </w:p>
    <w:p w:rsidR="006E7D04" w:rsidRDefault="00CD0C6F">
      <w:pPr>
        <w:spacing w:line="360" w:lineRule="auto"/>
        <w:jc w:val="both"/>
        <w:rPr>
          <w:sz w:val="24"/>
          <w:szCs w:val="24"/>
        </w:rPr>
      </w:pPr>
      <w:r>
        <w:rPr>
          <w:sz w:val="24"/>
          <w:szCs w:val="24"/>
        </w:rPr>
        <w:t>Table 4: Profitability Ratio</w:t>
      </w:r>
    </w:p>
    <w:p w:rsidR="006E7D04" w:rsidRDefault="00CD0C6F">
      <w:pPr>
        <w:spacing w:line="360" w:lineRule="auto"/>
        <w:jc w:val="both"/>
        <w:rPr>
          <w:sz w:val="24"/>
          <w:szCs w:val="24"/>
        </w:rPr>
      </w:pPr>
      <w:r>
        <w:rPr>
          <w:sz w:val="24"/>
          <w:szCs w:val="24"/>
        </w:rPr>
        <w:t>Table 5: Cash flow ratio of Tesla Inc.</w:t>
      </w:r>
    </w:p>
    <w:p w:rsidR="006E7D04" w:rsidRDefault="00CD0C6F">
      <w:pPr>
        <w:spacing w:line="360" w:lineRule="auto"/>
        <w:jc w:val="both"/>
        <w:rPr>
          <w:sz w:val="24"/>
          <w:szCs w:val="24"/>
        </w:rPr>
      </w:pPr>
      <w:r>
        <w:rPr>
          <w:sz w:val="24"/>
          <w:szCs w:val="24"/>
        </w:rPr>
        <w:t>Table 6: Net present value</w:t>
      </w: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pPr>
    </w:p>
    <w:p w:rsidR="006E7D04" w:rsidRDefault="006E7D04">
      <w:pPr>
        <w:spacing w:line="360" w:lineRule="auto"/>
        <w:jc w:val="both"/>
        <w:rPr>
          <w:sz w:val="24"/>
          <w:szCs w:val="24"/>
        </w:rPr>
        <w:sectPr w:rsidR="006E7D04">
          <w:pgSz w:w="11900" w:h="16840"/>
          <w:pgMar w:top="1600" w:right="1100" w:bottom="1180" w:left="580" w:header="0" w:footer="999" w:gutter="0"/>
          <w:cols w:space="720"/>
        </w:sectPr>
      </w:pPr>
    </w:p>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Style w:val="Heading1"/>
        <w:tabs>
          <w:tab w:val="left" w:pos="1142"/>
        </w:tabs>
        <w:spacing w:before="0" w:line="360" w:lineRule="auto"/>
        <w:ind w:left="0"/>
        <w:jc w:val="center"/>
        <w:rPr>
          <w:color w:val="000009"/>
          <w:u w:val="single"/>
        </w:rPr>
      </w:pPr>
      <w:bookmarkStart w:id="1" w:name="_h3crfphvkpek" w:colFirst="0" w:colLast="0"/>
      <w:bookmarkEnd w:id="1"/>
      <w:r>
        <w:rPr>
          <w:color w:val="000009"/>
          <w:u w:val="single"/>
        </w:rPr>
        <w:t>PART A</w:t>
      </w:r>
    </w:p>
    <w:p w:rsidR="006E7D04" w:rsidRDefault="00CD0C6F">
      <w:pPr>
        <w:pStyle w:val="Heading1"/>
        <w:numPr>
          <w:ilvl w:val="0"/>
          <w:numId w:val="1"/>
        </w:numPr>
        <w:tabs>
          <w:tab w:val="left" w:pos="1142"/>
        </w:tabs>
        <w:spacing w:before="0" w:line="360" w:lineRule="auto"/>
        <w:ind w:hanging="281"/>
      </w:pPr>
      <w:bookmarkStart w:id="2" w:name="tyjcwt" w:colFirst="0" w:colLast="0"/>
      <w:bookmarkStart w:id="3" w:name="_3dy6vkm" w:colFirst="0" w:colLast="0"/>
      <w:bookmarkEnd w:id="2"/>
      <w:bookmarkEnd w:id="3"/>
      <w:r>
        <w:rPr>
          <w:color w:val="000009"/>
          <w:sz w:val="24"/>
          <w:szCs w:val="24"/>
        </w:rPr>
        <w:t>Introduction</w:t>
      </w:r>
    </w:p>
    <w:p w:rsidR="006E7D04" w:rsidRDefault="00CD0C6F">
      <w:pPr>
        <w:spacing w:line="360" w:lineRule="auto"/>
        <w:ind w:firstLine="720"/>
        <w:jc w:val="both"/>
        <w:rPr>
          <w:sz w:val="24"/>
          <w:szCs w:val="24"/>
        </w:rPr>
      </w:pPr>
      <w:r>
        <w:rPr>
          <w:sz w:val="24"/>
          <w:szCs w:val="24"/>
        </w:rPr>
        <w:t>Tesla was established in 2003 by a group of engineers who wanted to demonstrate to the general public that driving electric cars could be faster, better, and more fun than driving fuel cars (</w:t>
      </w:r>
      <w:proofErr w:type="spellStart"/>
      <w:r>
        <w:rPr>
          <w:sz w:val="24"/>
          <w:szCs w:val="24"/>
        </w:rPr>
        <w:t>Teece</w:t>
      </w:r>
      <w:proofErr w:type="spellEnd"/>
      <w:r>
        <w:rPr>
          <w:sz w:val="24"/>
          <w:szCs w:val="24"/>
        </w:rPr>
        <w:t>, 2018). In addition to electric vehicle manufacturer, Tesla now manufactures scalable sustainable energy generation systems. In line with Tesla, the earlier the world stops using fossil fuels and shifts to a zero-emission future, the better (</w:t>
      </w:r>
      <w:proofErr w:type="spellStart"/>
      <w:r>
        <w:rPr>
          <w:sz w:val="24"/>
          <w:szCs w:val="24"/>
        </w:rPr>
        <w:t>Teece</w:t>
      </w:r>
      <w:proofErr w:type="spellEnd"/>
      <w:r>
        <w:rPr>
          <w:sz w:val="24"/>
          <w:szCs w:val="24"/>
        </w:rPr>
        <w:t xml:space="preserve">, 2018). </w:t>
      </w:r>
    </w:p>
    <w:p w:rsidR="006E7D04" w:rsidRDefault="00CD0C6F">
      <w:pPr>
        <w:spacing w:line="360" w:lineRule="auto"/>
        <w:ind w:firstLine="720"/>
        <w:jc w:val="both"/>
        <w:rPr>
          <w:sz w:val="24"/>
          <w:szCs w:val="24"/>
        </w:rPr>
      </w:pPr>
      <w:r>
        <w:rPr>
          <w:sz w:val="24"/>
          <w:szCs w:val="24"/>
        </w:rPr>
        <w:t xml:space="preserve">This vehicle, which was introduced in 2008, exhibited Tesla’s innovative battery and electric powertrain technology. They went on to create Mosel S, not only the world’s first electric sedan but also the leader in every other class. The Model S has reinvented what the world anticipated from a motor vehicle of the 20th century and has combined horsepower, economy and safety. It has the most comprehensive set of electric vehicles, over-the-air technology upgrades that improve it over-time and record-breaking </w:t>
      </w:r>
      <w:r>
        <w:rPr>
          <w:sz w:val="24"/>
          <w:szCs w:val="24"/>
        </w:rPr>
        <w:t xml:space="preserve">power output from zero to sixty </w:t>
      </w:r>
      <w:proofErr w:type="spellStart"/>
      <w:r>
        <w:rPr>
          <w:sz w:val="24"/>
          <w:szCs w:val="24"/>
        </w:rPr>
        <w:t>kmh</w:t>
      </w:r>
      <w:proofErr w:type="spellEnd"/>
      <w:r>
        <w:rPr>
          <w:sz w:val="24"/>
          <w:szCs w:val="24"/>
        </w:rPr>
        <w:t xml:space="preserve"> in 2.28 seconds according to the motors’ trend (Perkins and </w:t>
      </w:r>
      <w:proofErr w:type="spellStart"/>
      <w:r>
        <w:rPr>
          <w:sz w:val="24"/>
          <w:szCs w:val="24"/>
        </w:rPr>
        <w:t>Murmann</w:t>
      </w:r>
      <w:proofErr w:type="spellEnd"/>
      <w:r>
        <w:rPr>
          <w:sz w:val="24"/>
          <w:szCs w:val="24"/>
        </w:rPr>
        <w:t>, 2018).</w:t>
      </w:r>
    </w:p>
    <w:p w:rsidR="006E7D04" w:rsidRDefault="00CD0C6F">
      <w:pPr>
        <w:spacing w:line="360" w:lineRule="auto"/>
        <w:ind w:firstLine="720"/>
        <w:jc w:val="both"/>
        <w:rPr>
          <w:sz w:val="24"/>
          <w:szCs w:val="24"/>
        </w:rPr>
      </w:pPr>
      <w:r>
        <w:rPr>
          <w:sz w:val="24"/>
          <w:szCs w:val="24"/>
        </w:rPr>
        <w:t>In 2015, Tesla came up with the Model X, the fastest, most capable and safest sports utility vehicle ever made. It was given five stars for overall safety by the Administration for National Highway Traffic Safety (</w:t>
      </w:r>
      <w:proofErr w:type="spellStart"/>
      <w:r>
        <w:rPr>
          <w:sz w:val="24"/>
          <w:szCs w:val="24"/>
        </w:rPr>
        <w:t>Teece</w:t>
      </w:r>
      <w:proofErr w:type="spellEnd"/>
      <w:r>
        <w:rPr>
          <w:sz w:val="24"/>
          <w:szCs w:val="24"/>
        </w:rPr>
        <w:t xml:space="preserve">, 2018). As part Elon Musk’s strategic moves by Tesla they unveiled the Model 3, a low-volume, low-cost electric motor that was to become a reality in 2017. A semi designed to save customers at least $200,000 over a million units based solely on fuel costs was introduced immediately as the most comfortable and safe vehicle. Tesla introduced the Model Y a mid-sized SUV with room for about seven passengers in 2019 (Perking and </w:t>
      </w:r>
      <w:proofErr w:type="spellStart"/>
      <w:r>
        <w:rPr>
          <w:sz w:val="24"/>
          <w:szCs w:val="24"/>
        </w:rPr>
        <w:t>Murmann</w:t>
      </w:r>
      <w:proofErr w:type="spellEnd"/>
      <w:r>
        <w:rPr>
          <w:sz w:val="24"/>
          <w:szCs w:val="24"/>
        </w:rPr>
        <w:t>, 2018).</w:t>
      </w:r>
    </w:p>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Style w:val="Heading1"/>
        <w:tabs>
          <w:tab w:val="left" w:pos="1142"/>
        </w:tabs>
        <w:spacing w:before="1" w:line="360" w:lineRule="auto"/>
        <w:ind w:left="0"/>
        <w:jc w:val="center"/>
        <w:rPr>
          <w:color w:val="000009"/>
          <w:u w:val="single"/>
        </w:rPr>
      </w:pPr>
      <w:bookmarkStart w:id="4" w:name="_17lu5bv79eyz" w:colFirst="0" w:colLast="0"/>
      <w:bookmarkEnd w:id="4"/>
      <w:r>
        <w:rPr>
          <w:color w:val="000009"/>
          <w:u w:val="single"/>
        </w:rPr>
        <w:t>PART B</w:t>
      </w:r>
    </w:p>
    <w:p w:rsidR="006E7D04" w:rsidRDefault="00CD0C6F">
      <w:pPr>
        <w:pStyle w:val="Heading1"/>
        <w:numPr>
          <w:ilvl w:val="0"/>
          <w:numId w:val="1"/>
        </w:numPr>
        <w:tabs>
          <w:tab w:val="left" w:pos="1142"/>
        </w:tabs>
        <w:spacing w:before="1" w:line="360" w:lineRule="auto"/>
        <w:ind w:hanging="281"/>
      </w:pPr>
      <w:bookmarkStart w:id="5" w:name="1t3h5sf" w:colFirst="0" w:colLast="0"/>
      <w:bookmarkStart w:id="6" w:name="_4d34og8" w:colFirst="0" w:colLast="0"/>
      <w:bookmarkEnd w:id="5"/>
      <w:bookmarkEnd w:id="6"/>
      <w:r>
        <w:rPr>
          <w:color w:val="000009"/>
          <w:sz w:val="24"/>
          <w:szCs w:val="24"/>
        </w:rPr>
        <w:t>Discussion and Analysis</w:t>
      </w:r>
    </w:p>
    <w:p w:rsidR="006E7D04" w:rsidRDefault="00CD0C6F">
      <w:pPr>
        <w:pBdr>
          <w:top w:val="nil"/>
          <w:left w:val="nil"/>
          <w:bottom w:val="nil"/>
          <w:right w:val="nil"/>
          <w:between w:val="nil"/>
        </w:pBdr>
        <w:spacing w:before="60" w:line="360" w:lineRule="auto"/>
        <w:ind w:right="335" w:firstLine="720"/>
        <w:jc w:val="both"/>
        <w:rPr>
          <w:color w:val="000000"/>
          <w:sz w:val="24"/>
          <w:szCs w:val="24"/>
        </w:rPr>
      </w:pPr>
      <w:r>
        <w:rPr>
          <w:color w:val="000000"/>
          <w:sz w:val="24"/>
          <w:szCs w:val="24"/>
        </w:rPr>
        <w:t>The ratio analysis is a precise quantitative method that purposes to increase knowledge about the financial position of a company under different conditions. Thus, in the final analysis of the position, ratio analysis is used in most analyses because it presents a scenario that actually exists in a company of different fiscal years (</w:t>
      </w:r>
      <w:proofErr w:type="spellStart"/>
      <w:r>
        <w:rPr>
          <w:color w:val="000000"/>
          <w:sz w:val="24"/>
          <w:szCs w:val="24"/>
        </w:rPr>
        <w:t>Almenhali</w:t>
      </w:r>
      <w:proofErr w:type="spellEnd"/>
      <w:r>
        <w:rPr>
          <w:color w:val="000000"/>
          <w:sz w:val="24"/>
          <w:szCs w:val="24"/>
        </w:rPr>
        <w:t xml:space="preserve"> et al., 2021). The report comprehends the company’s liquidity, debt ratio, efficiency, and profitability by using financial ratios. These different scenes of monetary policy deal with the many different financial conditions of a single </w:t>
      </w:r>
      <w:proofErr w:type="spellStart"/>
      <w:r>
        <w:rPr>
          <w:color w:val="000000"/>
          <w:sz w:val="24"/>
          <w:szCs w:val="24"/>
        </w:rPr>
        <w:t>organisation</w:t>
      </w:r>
      <w:proofErr w:type="spellEnd"/>
      <w:r>
        <w:rPr>
          <w:color w:val="000000"/>
          <w:sz w:val="24"/>
          <w:szCs w:val="24"/>
        </w:rPr>
        <w:t>. On the other hand, from the point of view, a correlation between two associations according to location in the same company may be possible if the associations are viewed under different conditions (</w:t>
      </w:r>
      <w:proofErr w:type="spellStart"/>
      <w:r>
        <w:rPr>
          <w:color w:val="000000"/>
          <w:sz w:val="24"/>
          <w:szCs w:val="24"/>
        </w:rPr>
        <w:t>Almenhali</w:t>
      </w:r>
      <w:proofErr w:type="spellEnd"/>
      <w:r>
        <w:rPr>
          <w:color w:val="000000"/>
          <w:sz w:val="24"/>
          <w:szCs w:val="24"/>
        </w:rPr>
        <w:t xml:space="preserve"> et al., 2021).</w:t>
      </w:r>
    </w:p>
    <w:p w:rsidR="006E7D04" w:rsidRDefault="00CD0C6F">
      <w:pPr>
        <w:pBdr>
          <w:top w:val="nil"/>
          <w:left w:val="nil"/>
          <w:bottom w:val="nil"/>
          <w:right w:val="nil"/>
          <w:between w:val="nil"/>
        </w:pBdr>
        <w:spacing w:before="60" w:line="360" w:lineRule="auto"/>
        <w:ind w:right="335" w:firstLine="720"/>
        <w:jc w:val="both"/>
        <w:rPr>
          <w:color w:val="000000"/>
          <w:sz w:val="24"/>
          <w:szCs w:val="24"/>
        </w:rPr>
      </w:pPr>
      <w:r>
        <w:rPr>
          <w:color w:val="000000"/>
          <w:sz w:val="24"/>
          <w:szCs w:val="24"/>
        </w:rPr>
        <w:t xml:space="preserve">They argued that it was very important in provision of balance of percentages alongside other methods of assessment. Thus, the monetary research or </w:t>
      </w:r>
      <w:proofErr w:type="spellStart"/>
      <w:r>
        <w:rPr>
          <w:color w:val="000000"/>
          <w:sz w:val="24"/>
          <w:szCs w:val="24"/>
        </w:rPr>
        <w:t>organisation</w:t>
      </w:r>
      <w:proofErr w:type="spellEnd"/>
      <w:r>
        <w:rPr>
          <w:color w:val="000000"/>
          <w:sz w:val="24"/>
          <w:szCs w:val="24"/>
        </w:rPr>
        <w:t xml:space="preserve"> of the relations may have a wider view of the fiscal status of that particular relationship in this setting. It could be claimed that ratio analysis helps in operating and strategic decision making for company management after this deliberation. The evaluation also helps investors in making choices from their perspective (</w:t>
      </w:r>
      <w:proofErr w:type="spellStart"/>
      <w:r>
        <w:rPr>
          <w:color w:val="000000"/>
          <w:sz w:val="24"/>
          <w:szCs w:val="24"/>
        </w:rPr>
        <w:t>Almenhali</w:t>
      </w:r>
      <w:proofErr w:type="spellEnd"/>
      <w:r>
        <w:rPr>
          <w:color w:val="000000"/>
          <w:sz w:val="24"/>
          <w:szCs w:val="24"/>
        </w:rPr>
        <w:t xml:space="preserve"> et al., 2021).</w:t>
      </w:r>
    </w:p>
    <w:p w:rsidR="006E7D04" w:rsidRDefault="00CD0C6F">
      <w:pPr>
        <w:pBdr>
          <w:top w:val="nil"/>
          <w:left w:val="nil"/>
          <w:bottom w:val="nil"/>
          <w:right w:val="nil"/>
          <w:between w:val="nil"/>
        </w:pBdr>
        <w:spacing w:before="60" w:line="360" w:lineRule="auto"/>
        <w:ind w:right="335" w:firstLine="720"/>
        <w:jc w:val="both"/>
        <w:rPr>
          <w:color w:val="000000"/>
          <w:sz w:val="24"/>
          <w:szCs w:val="24"/>
        </w:rPr>
      </w:pPr>
      <w:r>
        <w:rPr>
          <w:color w:val="000000"/>
          <w:sz w:val="24"/>
          <w:szCs w:val="24"/>
        </w:rPr>
        <w:t xml:space="preserve">The shareholder may appraise a simple investment from the analysis of current and previous periodic reports of partnerships and by reviewing those accounts. Ratio analysis can be performed in four stages recommended to be followed by every </w:t>
      </w:r>
      <w:proofErr w:type="spellStart"/>
      <w:r>
        <w:rPr>
          <w:color w:val="000000"/>
          <w:sz w:val="24"/>
          <w:szCs w:val="24"/>
        </w:rPr>
        <w:t>organisation</w:t>
      </w:r>
      <w:proofErr w:type="spellEnd"/>
      <w:r>
        <w:rPr>
          <w:color w:val="000000"/>
          <w:sz w:val="24"/>
          <w:szCs w:val="24"/>
        </w:rPr>
        <w:t>. In the beginning, the essential accounting information from the financial statements needs to be obtained. After that, it is vital to relate that set of connected figures in the following manner. In the third step, the manager will evaluate the calculated ratio to the industry benchmark to understand the situation correctly. After that, in the last stage, it is recommended that the stakeholder interpreting these comparisons critically should prepare the banks’ audited accounts or any other rep</w:t>
      </w:r>
      <w:r>
        <w:rPr>
          <w:color w:val="000000"/>
          <w:sz w:val="24"/>
          <w:szCs w:val="24"/>
        </w:rPr>
        <w:t>ort to reflect the financial issues of businesses (Strauss and Smith, 2019).</w:t>
      </w:r>
    </w:p>
    <w:p w:rsidR="006E7D04" w:rsidRDefault="00CD0C6F">
      <w:pPr>
        <w:pBdr>
          <w:top w:val="nil"/>
          <w:left w:val="nil"/>
          <w:bottom w:val="nil"/>
          <w:right w:val="nil"/>
          <w:between w:val="nil"/>
        </w:pBdr>
        <w:spacing w:before="60" w:line="360" w:lineRule="auto"/>
        <w:ind w:right="335" w:firstLine="720"/>
        <w:jc w:val="both"/>
        <w:rPr>
          <w:color w:val="000000"/>
          <w:sz w:val="24"/>
          <w:szCs w:val="24"/>
        </w:rPr>
        <w:sectPr w:rsidR="006E7D04">
          <w:pgSz w:w="11900" w:h="16840"/>
          <w:pgMar w:top="1380" w:right="1100" w:bottom="1180" w:left="580" w:header="0" w:footer="999" w:gutter="0"/>
          <w:cols w:space="720"/>
        </w:sectPr>
      </w:pPr>
      <w:r>
        <w:rPr>
          <w:color w:val="000000"/>
          <w:sz w:val="24"/>
          <w:szCs w:val="24"/>
        </w:rPr>
        <w:t xml:space="preserve">The </w:t>
      </w:r>
      <w:proofErr w:type="spellStart"/>
      <w:r>
        <w:rPr>
          <w:color w:val="000000"/>
          <w:sz w:val="24"/>
          <w:szCs w:val="24"/>
        </w:rPr>
        <w:t>Gigafactory</w:t>
      </w:r>
      <w:proofErr w:type="spellEnd"/>
      <w:r>
        <w:rPr>
          <w:color w:val="000000"/>
          <w:sz w:val="24"/>
          <w:szCs w:val="24"/>
        </w:rPr>
        <w:t xml:space="preserve"> 1 is a facility aimed to reduce the battery cell cost, which is used in petroleum products and Tesla’s car. Tesla employs thousands of people making batteries for specific production numbers, which is achieved by bringing cell manufacturing in-house (Perkins and </w:t>
      </w:r>
      <w:proofErr w:type="spellStart"/>
      <w:r>
        <w:rPr>
          <w:color w:val="000000"/>
          <w:sz w:val="24"/>
          <w:szCs w:val="24"/>
        </w:rPr>
        <w:t>Murmann</w:t>
      </w:r>
      <w:proofErr w:type="spellEnd"/>
      <w:r>
        <w:rPr>
          <w:color w:val="000000"/>
          <w:sz w:val="24"/>
          <w:szCs w:val="24"/>
        </w:rPr>
        <w:t>, 2018).</w:t>
      </w:r>
    </w:p>
    <w:p w:rsidR="006E7D04" w:rsidRDefault="00CD0C6F">
      <w:pPr>
        <w:pStyle w:val="Heading1"/>
        <w:numPr>
          <w:ilvl w:val="1"/>
          <w:numId w:val="1"/>
        </w:numPr>
        <w:tabs>
          <w:tab w:val="left" w:pos="1282"/>
        </w:tabs>
        <w:spacing w:before="60" w:line="360" w:lineRule="auto"/>
        <w:rPr>
          <w:color w:val="000009"/>
          <w:sz w:val="24"/>
          <w:szCs w:val="24"/>
        </w:rPr>
      </w:pPr>
      <w:bookmarkStart w:id="7" w:name="2s8eyo1" w:colFirst="0" w:colLast="0"/>
      <w:bookmarkStart w:id="8" w:name="_17dp8vu" w:colFirst="0" w:colLast="0"/>
      <w:bookmarkEnd w:id="7"/>
      <w:bookmarkEnd w:id="8"/>
      <w:r>
        <w:rPr>
          <w:color w:val="000009"/>
          <w:sz w:val="24"/>
          <w:szCs w:val="24"/>
        </w:rPr>
        <w:t>Calculation of key finance ratios</w:t>
      </w:r>
      <w:bookmarkStart w:id="9" w:name="3rdcrjn" w:colFirst="0" w:colLast="0"/>
      <w:bookmarkEnd w:id="9"/>
    </w:p>
    <w:p w:rsidR="006E7D04" w:rsidRDefault="00CD0C6F">
      <w:pPr>
        <w:spacing w:line="360" w:lineRule="auto"/>
        <w:jc w:val="both"/>
        <w:rPr>
          <w:sz w:val="24"/>
          <w:szCs w:val="24"/>
        </w:rPr>
      </w:pPr>
      <w:r>
        <w:rPr>
          <w:sz w:val="24"/>
          <w:szCs w:val="24"/>
        </w:rPr>
        <w:t xml:space="preserve"> </w:t>
      </w:r>
      <w:r>
        <w:rPr>
          <w:sz w:val="24"/>
          <w:szCs w:val="24"/>
        </w:rPr>
        <w:tab/>
        <w:t xml:space="preserve">A study evaluating Tesla employed ratio analysis techniques and tools. However, following this evaluation, tangible data from 2017 to 2021 may be deemed gathered (Strauss and Smith, 2019). Three key financial statements were used to collect data: the income statement, balance sheet, and statement of cash flows. The activity ratio, cash flow ratio, and debt ratio were used to assess the company’s financial and liquidity condition. The given significance of this argument, the financial analysis must include </w:t>
      </w:r>
      <w:r>
        <w:rPr>
          <w:sz w:val="24"/>
          <w:szCs w:val="24"/>
        </w:rPr>
        <w:t>below-ratio analysis</w:t>
      </w:r>
      <w:r>
        <w:rPr>
          <w:color w:val="000009"/>
          <w:sz w:val="24"/>
          <w:szCs w:val="24"/>
        </w:rPr>
        <w:t>.</w:t>
      </w:r>
    </w:p>
    <w:p w:rsidR="006E7D04" w:rsidRDefault="006E7D04">
      <w:pPr>
        <w:pBdr>
          <w:top w:val="nil"/>
          <w:left w:val="nil"/>
          <w:bottom w:val="nil"/>
          <w:right w:val="nil"/>
          <w:between w:val="nil"/>
        </w:pBdr>
        <w:spacing w:before="11" w:line="360" w:lineRule="auto"/>
        <w:jc w:val="both"/>
        <w:rPr>
          <w:color w:val="000000"/>
          <w:sz w:val="24"/>
          <w:szCs w:val="24"/>
        </w:rPr>
      </w:pPr>
    </w:p>
    <w:p w:rsidR="006E7D04" w:rsidRDefault="00CD0C6F">
      <w:pPr>
        <w:pStyle w:val="Heading1"/>
        <w:numPr>
          <w:ilvl w:val="2"/>
          <w:numId w:val="1"/>
        </w:numPr>
        <w:tabs>
          <w:tab w:val="left" w:pos="1492"/>
        </w:tabs>
        <w:spacing w:before="0" w:line="360" w:lineRule="auto"/>
        <w:ind w:left="1492" w:hanging="631"/>
        <w:rPr>
          <w:color w:val="000009"/>
          <w:sz w:val="24"/>
          <w:szCs w:val="24"/>
        </w:rPr>
      </w:pPr>
      <w:bookmarkStart w:id="10" w:name="26in1rg" w:colFirst="0" w:colLast="0"/>
      <w:bookmarkStart w:id="11" w:name="_lnxbz9" w:colFirst="0" w:colLast="0"/>
      <w:bookmarkEnd w:id="10"/>
      <w:bookmarkEnd w:id="11"/>
      <w:r>
        <w:rPr>
          <w:color w:val="000009"/>
          <w:sz w:val="24"/>
          <w:szCs w:val="24"/>
        </w:rPr>
        <w:t>Liquidness ratio</w:t>
      </w:r>
    </w:p>
    <w:p w:rsidR="006E7D04" w:rsidRDefault="00CD0C6F">
      <w:pPr>
        <w:pBdr>
          <w:top w:val="nil"/>
          <w:left w:val="nil"/>
          <w:bottom w:val="nil"/>
          <w:right w:val="nil"/>
          <w:between w:val="nil"/>
        </w:pBdr>
        <w:spacing w:before="160" w:line="360" w:lineRule="auto"/>
        <w:ind w:right="336" w:firstLine="720"/>
        <w:jc w:val="both"/>
        <w:rPr>
          <w:color w:val="000000"/>
          <w:sz w:val="24"/>
          <w:szCs w:val="24"/>
        </w:rPr>
      </w:pPr>
      <w:r>
        <w:rPr>
          <w:color w:val="000000"/>
          <w:sz w:val="24"/>
          <w:szCs w:val="24"/>
        </w:rPr>
        <w:t xml:space="preserve">In liquidness ratio, three types of bonds were required, open, rolling sales, cash relationships, current relationships and express relationships. All these numbers demonstration the estimated liquidity position. It is necessary to look at its liquidity, including the money available to meet short-term obligations and sufficient liquidity to face fluctuations in operations while </w:t>
      </w:r>
      <w:proofErr w:type="spellStart"/>
      <w:r>
        <w:rPr>
          <w:color w:val="000000"/>
          <w:sz w:val="24"/>
          <w:szCs w:val="24"/>
        </w:rPr>
        <w:t>analysing</w:t>
      </w:r>
      <w:proofErr w:type="spellEnd"/>
      <w:r>
        <w:rPr>
          <w:color w:val="000000"/>
          <w:sz w:val="24"/>
          <w:szCs w:val="24"/>
        </w:rPr>
        <w:t xml:space="preserve"> the financial situation of the company. Therefore, this liquid ratio can </w:t>
      </w:r>
      <w:proofErr w:type="spellStart"/>
      <w:r>
        <w:rPr>
          <w:color w:val="000000"/>
          <w:sz w:val="24"/>
          <w:szCs w:val="24"/>
        </w:rPr>
        <w:t>emphasise</w:t>
      </w:r>
      <w:proofErr w:type="spellEnd"/>
      <w:r>
        <w:rPr>
          <w:color w:val="000000"/>
          <w:sz w:val="24"/>
          <w:szCs w:val="24"/>
        </w:rPr>
        <w:t xml:space="preserve"> such a situation more. Therefore, Tesla management should understand its situation from 2017 to 2021 using cash ratio, current ratio and quick ratio (</w:t>
      </w:r>
      <w:proofErr w:type="spellStart"/>
      <w:r>
        <w:rPr>
          <w:color w:val="000000"/>
          <w:sz w:val="24"/>
          <w:szCs w:val="24"/>
        </w:rPr>
        <w:t>Swahn</w:t>
      </w:r>
      <w:proofErr w:type="spellEnd"/>
      <w:r>
        <w:rPr>
          <w:color w:val="000000"/>
          <w:sz w:val="24"/>
          <w:szCs w:val="24"/>
        </w:rPr>
        <w:t>, 2021).</w:t>
      </w:r>
    </w:p>
    <w:p w:rsidR="006E7D04" w:rsidRDefault="00CD0C6F">
      <w:pPr>
        <w:pStyle w:val="Heading1"/>
        <w:numPr>
          <w:ilvl w:val="2"/>
          <w:numId w:val="1"/>
        </w:numPr>
        <w:tabs>
          <w:tab w:val="left" w:pos="1478"/>
        </w:tabs>
        <w:spacing w:before="160" w:line="360" w:lineRule="auto"/>
        <w:ind w:left="1478" w:hanging="617"/>
        <w:rPr>
          <w:color w:val="000009"/>
          <w:sz w:val="24"/>
          <w:szCs w:val="24"/>
        </w:rPr>
      </w:pPr>
      <w:bookmarkStart w:id="12" w:name="35nkun2" w:colFirst="0" w:colLast="0"/>
      <w:bookmarkStart w:id="13" w:name="_1ksv4uv" w:colFirst="0" w:colLast="0"/>
      <w:bookmarkEnd w:id="12"/>
      <w:bookmarkEnd w:id="13"/>
      <w:r>
        <w:rPr>
          <w:color w:val="000009"/>
          <w:sz w:val="24"/>
          <w:szCs w:val="24"/>
        </w:rPr>
        <w:t>Activity Relation</w:t>
      </w:r>
    </w:p>
    <w:p w:rsidR="006E7D04" w:rsidRDefault="00CD0C6F">
      <w:pPr>
        <w:spacing w:line="360" w:lineRule="auto"/>
        <w:ind w:firstLine="720"/>
        <w:jc w:val="both"/>
        <w:rPr>
          <w:sz w:val="24"/>
          <w:szCs w:val="24"/>
        </w:rPr>
      </w:pPr>
      <w:r>
        <w:rPr>
          <w:sz w:val="24"/>
          <w:szCs w:val="24"/>
        </w:rPr>
        <w:t>The financial health of this company is examined using three performance ratios as shown above. Asset turnover, inventory turnover and accounts receivable ratio are the three operating ratios (</w:t>
      </w:r>
      <w:proofErr w:type="spellStart"/>
      <w:r>
        <w:rPr>
          <w:sz w:val="24"/>
          <w:szCs w:val="24"/>
        </w:rPr>
        <w:t>Swahn</w:t>
      </w:r>
      <w:proofErr w:type="spellEnd"/>
      <w:r>
        <w:rPr>
          <w:sz w:val="24"/>
          <w:szCs w:val="24"/>
        </w:rPr>
        <w:t>, 2021). On the basis of these ratios, the Tesla authority was able to determine how actively the connection worked in the company at that moment. The use of the inventory and total assets of the company can be understood using the ratios used in this scenario (</w:t>
      </w:r>
      <w:proofErr w:type="spellStart"/>
      <w:r>
        <w:rPr>
          <w:sz w:val="24"/>
          <w:szCs w:val="24"/>
        </w:rPr>
        <w:t>Swahn</w:t>
      </w:r>
      <w:proofErr w:type="spellEnd"/>
      <w:r>
        <w:rPr>
          <w:sz w:val="24"/>
          <w:szCs w:val="24"/>
        </w:rPr>
        <w:t>, 2021).</w:t>
      </w:r>
    </w:p>
    <w:p w:rsidR="006E7D04" w:rsidRDefault="00CD0C6F">
      <w:pPr>
        <w:pStyle w:val="Heading1"/>
        <w:numPr>
          <w:ilvl w:val="2"/>
          <w:numId w:val="1"/>
        </w:numPr>
        <w:tabs>
          <w:tab w:val="left" w:pos="1492"/>
        </w:tabs>
        <w:spacing w:before="41" w:line="360" w:lineRule="auto"/>
        <w:ind w:left="1492" w:hanging="631"/>
        <w:rPr>
          <w:color w:val="000009"/>
          <w:sz w:val="24"/>
          <w:szCs w:val="24"/>
        </w:rPr>
      </w:pPr>
      <w:bookmarkStart w:id="14" w:name="2jxsxqh" w:colFirst="0" w:colLast="0"/>
      <w:bookmarkStart w:id="15" w:name="44sinio" w:colFirst="0" w:colLast="0"/>
      <w:bookmarkStart w:id="16" w:name="_z337ya" w:colFirst="0" w:colLast="0"/>
      <w:bookmarkEnd w:id="14"/>
      <w:bookmarkEnd w:id="15"/>
      <w:bookmarkEnd w:id="16"/>
      <w:r>
        <w:rPr>
          <w:color w:val="000009"/>
          <w:sz w:val="24"/>
          <w:szCs w:val="24"/>
        </w:rPr>
        <w:t>Debt Relation</w:t>
      </w:r>
    </w:p>
    <w:p w:rsidR="006E7D04" w:rsidRDefault="006E7D04">
      <w:pPr>
        <w:spacing w:line="360" w:lineRule="auto"/>
        <w:jc w:val="both"/>
        <w:rPr>
          <w:sz w:val="24"/>
          <w:szCs w:val="24"/>
        </w:rPr>
      </w:pPr>
    </w:p>
    <w:p w:rsidR="006E7D04" w:rsidRDefault="00CD0C6F">
      <w:pPr>
        <w:spacing w:line="360" w:lineRule="auto"/>
        <w:ind w:firstLine="720"/>
        <w:jc w:val="both"/>
        <w:rPr>
          <w:sz w:val="24"/>
          <w:szCs w:val="24"/>
        </w:rPr>
        <w:sectPr w:rsidR="006E7D04">
          <w:pgSz w:w="11900" w:h="16840"/>
          <w:pgMar w:top="1380" w:right="1100" w:bottom="1180" w:left="580" w:header="0" w:footer="999" w:gutter="0"/>
          <w:cols w:space="720"/>
        </w:sectPr>
      </w:pPr>
      <w:r>
        <w:rPr>
          <w:sz w:val="24"/>
          <w:szCs w:val="24"/>
        </w:rPr>
        <w:t xml:space="preserve">The financial analysis in this case </w:t>
      </w:r>
      <w:proofErr w:type="spellStart"/>
      <w:r>
        <w:rPr>
          <w:sz w:val="24"/>
          <w:szCs w:val="24"/>
        </w:rPr>
        <w:t>analysed</w:t>
      </w:r>
      <w:proofErr w:type="spellEnd"/>
      <w:r>
        <w:rPr>
          <w:sz w:val="24"/>
          <w:szCs w:val="24"/>
        </w:rPr>
        <w:t xml:space="preserve"> the institution’s financial leverage, which involved both debt and interest rates. A person could use the debt ratio to assess the company’s financial debt and its working capital. The   analysis can quickly determine the leverage of the Tesla association by these debt ratios (Chen, 2021).</w:t>
      </w:r>
    </w:p>
    <w:p w:rsidR="006E7D04" w:rsidRDefault="00CD0C6F">
      <w:pPr>
        <w:pStyle w:val="Heading1"/>
        <w:numPr>
          <w:ilvl w:val="2"/>
          <w:numId w:val="1"/>
        </w:numPr>
        <w:tabs>
          <w:tab w:val="left" w:pos="1492"/>
        </w:tabs>
        <w:spacing w:before="60" w:line="360" w:lineRule="auto"/>
        <w:ind w:left="1492" w:hanging="631"/>
        <w:rPr>
          <w:color w:val="000009"/>
          <w:sz w:val="24"/>
          <w:szCs w:val="24"/>
        </w:rPr>
      </w:pPr>
      <w:bookmarkStart w:id="17" w:name="3j2qqm3" w:colFirst="0" w:colLast="0"/>
      <w:bookmarkStart w:id="18" w:name="_1y810tw" w:colFirst="0" w:colLast="0"/>
      <w:bookmarkEnd w:id="17"/>
      <w:bookmarkEnd w:id="18"/>
      <w:r>
        <w:rPr>
          <w:color w:val="000009"/>
          <w:sz w:val="24"/>
          <w:szCs w:val="24"/>
        </w:rPr>
        <w:t>Profitability Proportion</w:t>
      </w:r>
    </w:p>
    <w:p w:rsidR="006E7D04" w:rsidRDefault="00CD0C6F">
      <w:pPr>
        <w:pBdr>
          <w:top w:val="nil"/>
          <w:left w:val="nil"/>
          <w:bottom w:val="nil"/>
          <w:right w:val="nil"/>
          <w:between w:val="nil"/>
        </w:pBdr>
        <w:spacing w:before="162" w:line="360" w:lineRule="auto"/>
        <w:ind w:right="335" w:firstLine="720"/>
        <w:jc w:val="both"/>
        <w:rPr>
          <w:color w:val="000000"/>
          <w:sz w:val="24"/>
          <w:szCs w:val="24"/>
        </w:rPr>
      </w:pPr>
      <w:r>
        <w:rPr>
          <w:color w:val="000000"/>
          <w:sz w:val="24"/>
          <w:szCs w:val="24"/>
        </w:rPr>
        <w:t>The profitability of a company is measured by profit margin, return on equity (ROE), and return upon equity. The Profitability ratios show various financial metrics that can be used to understand how well a company can generate revenue relative to its revenue. The profitability of Tesla can be determined by a financial mentor using data from five fiscal years.</w:t>
      </w:r>
    </w:p>
    <w:p w:rsidR="006E7D04" w:rsidRDefault="00CD0C6F">
      <w:pPr>
        <w:pStyle w:val="Heading1"/>
        <w:numPr>
          <w:ilvl w:val="2"/>
          <w:numId w:val="1"/>
        </w:numPr>
        <w:tabs>
          <w:tab w:val="left" w:pos="1478"/>
        </w:tabs>
        <w:spacing w:line="360" w:lineRule="auto"/>
        <w:ind w:left="1478" w:hanging="617"/>
        <w:rPr>
          <w:color w:val="000009"/>
          <w:sz w:val="24"/>
          <w:szCs w:val="24"/>
        </w:rPr>
      </w:pPr>
      <w:bookmarkStart w:id="19" w:name="4i7ojhp" w:colFirst="0" w:colLast="0"/>
      <w:bookmarkStart w:id="20" w:name="_2xcytpi" w:colFirst="0" w:colLast="0"/>
      <w:bookmarkEnd w:id="19"/>
      <w:bookmarkEnd w:id="20"/>
      <w:r>
        <w:rPr>
          <w:color w:val="000009"/>
          <w:sz w:val="24"/>
          <w:szCs w:val="24"/>
        </w:rPr>
        <w:t>A Cash-Flow ratio</w:t>
      </w:r>
    </w:p>
    <w:p w:rsidR="006E7D04" w:rsidRDefault="00CD0C6F">
      <w:pPr>
        <w:pBdr>
          <w:top w:val="nil"/>
          <w:left w:val="nil"/>
          <w:bottom w:val="nil"/>
          <w:right w:val="nil"/>
          <w:between w:val="nil"/>
        </w:pBdr>
        <w:spacing w:before="159" w:line="360" w:lineRule="auto"/>
        <w:ind w:right="337" w:firstLine="720"/>
        <w:jc w:val="both"/>
        <w:rPr>
          <w:color w:val="000000"/>
          <w:sz w:val="24"/>
          <w:szCs w:val="24"/>
        </w:rPr>
      </w:pPr>
      <w:r>
        <w:rPr>
          <w:color w:val="000000"/>
          <w:sz w:val="24"/>
          <w:szCs w:val="24"/>
        </w:rPr>
        <w:t>The cash flow operations could be used to pay off short-term debts. The management of Tesla could now assess whether they can manage their short-term liabilities using cash flow in this context or by comparing it with the total number of properties in relation to sales and cash flow (Chen, 2021).</w:t>
      </w:r>
    </w:p>
    <w:p w:rsidR="006E7D04" w:rsidRDefault="00CD0C6F">
      <w:pPr>
        <w:pStyle w:val="Heading1"/>
        <w:numPr>
          <w:ilvl w:val="1"/>
          <w:numId w:val="1"/>
        </w:numPr>
        <w:tabs>
          <w:tab w:val="left" w:pos="1282"/>
        </w:tabs>
        <w:spacing w:line="360" w:lineRule="auto"/>
        <w:rPr>
          <w:color w:val="000009"/>
          <w:sz w:val="24"/>
          <w:szCs w:val="24"/>
        </w:rPr>
      </w:pPr>
      <w:bookmarkStart w:id="21" w:name="1ci93xb" w:colFirst="0" w:colLast="0"/>
      <w:bookmarkStart w:id="22" w:name="_3whwml4" w:colFirst="0" w:colLast="0"/>
      <w:bookmarkEnd w:id="21"/>
      <w:bookmarkEnd w:id="22"/>
      <w:r>
        <w:rPr>
          <w:color w:val="000009"/>
          <w:sz w:val="24"/>
          <w:szCs w:val="24"/>
        </w:rPr>
        <w:t>Evaluation of ratios</w:t>
      </w:r>
    </w:p>
    <w:p w:rsidR="006E7D04" w:rsidRDefault="006E7D04">
      <w:pPr>
        <w:pBdr>
          <w:top w:val="nil"/>
          <w:left w:val="nil"/>
          <w:bottom w:val="nil"/>
          <w:right w:val="nil"/>
          <w:between w:val="nil"/>
        </w:pBdr>
        <w:spacing w:line="360" w:lineRule="auto"/>
        <w:jc w:val="both"/>
        <w:rPr>
          <w:b/>
          <w:color w:val="000000"/>
          <w:sz w:val="24"/>
          <w:szCs w:val="24"/>
        </w:rPr>
      </w:pPr>
    </w:p>
    <w:p w:rsidR="006E7D04" w:rsidRDefault="00CD0C6F">
      <w:pPr>
        <w:spacing w:line="360" w:lineRule="auto"/>
        <w:ind w:left="861"/>
        <w:jc w:val="both"/>
        <w:rPr>
          <w:b/>
          <w:sz w:val="24"/>
          <w:szCs w:val="24"/>
        </w:rPr>
      </w:pPr>
      <w:r>
        <w:rPr>
          <w:b/>
          <w:sz w:val="24"/>
          <w:szCs w:val="24"/>
        </w:rPr>
        <w:t>Liquidity ratio</w:t>
      </w:r>
    </w:p>
    <w:p w:rsidR="006E7D04" w:rsidRDefault="006E7D04">
      <w:pPr>
        <w:pBdr>
          <w:top w:val="nil"/>
          <w:left w:val="nil"/>
          <w:bottom w:val="nil"/>
          <w:right w:val="nil"/>
          <w:between w:val="nil"/>
        </w:pBdr>
        <w:spacing w:before="8" w:line="360" w:lineRule="auto"/>
        <w:jc w:val="both"/>
        <w:rPr>
          <w:b/>
          <w:color w:val="000000"/>
          <w:sz w:val="24"/>
          <w:szCs w:val="24"/>
        </w:rPr>
      </w:pPr>
    </w:p>
    <w:p w:rsidR="006E7D04" w:rsidRDefault="00CD0C6F">
      <w:pPr>
        <w:pBdr>
          <w:top w:val="nil"/>
          <w:left w:val="nil"/>
          <w:bottom w:val="nil"/>
          <w:right w:val="nil"/>
          <w:between w:val="nil"/>
        </w:pBdr>
        <w:spacing w:before="1" w:line="360" w:lineRule="auto"/>
        <w:ind w:left="861"/>
        <w:jc w:val="both"/>
        <w:rPr>
          <w:color w:val="000000"/>
          <w:sz w:val="24"/>
          <w:szCs w:val="24"/>
        </w:rPr>
      </w:pPr>
      <w:r>
        <w:rPr>
          <w:color w:val="000000"/>
          <w:sz w:val="24"/>
          <w:szCs w:val="24"/>
        </w:rPr>
        <w:t>Table 1: Wateriness Relations of Tesla Inc.</w:t>
      </w:r>
    </w:p>
    <w:p w:rsidR="006E7D04" w:rsidRDefault="006E7D04">
      <w:pPr>
        <w:pBdr>
          <w:top w:val="nil"/>
          <w:left w:val="nil"/>
          <w:bottom w:val="nil"/>
          <w:right w:val="nil"/>
          <w:between w:val="nil"/>
        </w:pBdr>
        <w:spacing w:before="10" w:line="360" w:lineRule="auto"/>
        <w:jc w:val="both"/>
        <w:rPr>
          <w:color w:val="000000"/>
          <w:sz w:val="24"/>
          <w:szCs w:val="24"/>
        </w:rPr>
      </w:pPr>
    </w:p>
    <w:tbl>
      <w:tblPr>
        <w:tblStyle w:val="a"/>
        <w:tblW w:w="9016" w:type="dxa"/>
        <w:tblInd w:w="754"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1838"/>
        <w:gridCol w:w="1276"/>
        <w:gridCol w:w="1392"/>
        <w:gridCol w:w="1504"/>
        <w:gridCol w:w="1502"/>
        <w:gridCol w:w="1504"/>
      </w:tblGrid>
      <w:tr w:rsidR="006E7D04">
        <w:trPr>
          <w:trHeight w:val="270"/>
        </w:trPr>
        <w:tc>
          <w:tcPr>
            <w:tcW w:w="183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Ratio/day</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2021</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2020</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2019</w:t>
            </w:r>
          </w:p>
        </w:tc>
        <w:tc>
          <w:tcPr>
            <w:tcW w:w="150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2018</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2017</w:t>
            </w:r>
          </w:p>
        </w:tc>
      </w:tr>
      <w:tr w:rsidR="006E7D04">
        <w:trPr>
          <w:trHeight w:val="685"/>
        </w:trPr>
        <w:tc>
          <w:tcPr>
            <w:tcW w:w="183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Current</w:t>
            </w:r>
          </w:p>
          <w:p w:rsidR="006E7D04" w:rsidRDefault="00CD0C6F">
            <w:pPr>
              <w:pBdr>
                <w:top w:val="nil"/>
                <w:left w:val="nil"/>
                <w:bottom w:val="nil"/>
                <w:right w:val="nil"/>
                <w:between w:val="nil"/>
              </w:pBdr>
              <w:spacing w:before="138" w:line="360" w:lineRule="auto"/>
              <w:ind w:left="112"/>
              <w:jc w:val="both"/>
              <w:rPr>
                <w:b/>
                <w:color w:val="000000"/>
                <w:sz w:val="24"/>
                <w:szCs w:val="24"/>
              </w:rPr>
            </w:pPr>
            <w:r>
              <w:rPr>
                <w:b/>
                <w:color w:val="000000"/>
                <w:sz w:val="24"/>
                <w:szCs w:val="24"/>
              </w:rPr>
              <w:t>relation</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1.39</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1.89</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1.13</w:t>
            </w:r>
          </w:p>
        </w:tc>
        <w:tc>
          <w:tcPr>
            <w:tcW w:w="150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0.82</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0.86</w:t>
            </w:r>
          </w:p>
        </w:tc>
      </w:tr>
      <w:tr w:rsidR="006E7D04">
        <w:trPr>
          <w:trHeight w:val="271"/>
        </w:trPr>
        <w:tc>
          <w:tcPr>
            <w:tcW w:w="183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Quick relation</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1.06</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1.58</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0.80</w:t>
            </w:r>
          </w:p>
        </w:tc>
        <w:tc>
          <w:tcPr>
            <w:tcW w:w="150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0.53</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0.56</w:t>
            </w:r>
          </w:p>
        </w:tc>
      </w:tr>
      <w:tr w:rsidR="006E7D04">
        <w:trPr>
          <w:trHeight w:val="271"/>
        </w:trPr>
        <w:tc>
          <w:tcPr>
            <w:tcW w:w="183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Cash relation</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0.93</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1.39</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0.61</w:t>
            </w:r>
          </w:p>
        </w:tc>
        <w:tc>
          <w:tcPr>
            <w:tcW w:w="150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0.40</w:t>
            </w:r>
          </w:p>
        </w:tc>
        <w:tc>
          <w:tcPr>
            <w:tcW w:w="15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0.46</w:t>
            </w:r>
          </w:p>
        </w:tc>
      </w:tr>
    </w:tbl>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Style w:val="Heading1"/>
        <w:spacing w:before="0" w:line="360" w:lineRule="auto"/>
        <w:ind w:firstLine="861"/>
        <w:rPr>
          <w:sz w:val="24"/>
          <w:szCs w:val="24"/>
        </w:rPr>
      </w:pPr>
      <w:bookmarkStart w:id="23" w:name="_2bn6wsx" w:colFirst="0" w:colLast="0"/>
      <w:bookmarkEnd w:id="23"/>
      <w:r>
        <w:rPr>
          <w:sz w:val="24"/>
          <w:szCs w:val="24"/>
        </w:rPr>
        <w:t>Current ratio</w:t>
      </w:r>
    </w:p>
    <w:p w:rsidR="006E7D04" w:rsidRDefault="006E7D04">
      <w:pPr>
        <w:pBdr>
          <w:top w:val="nil"/>
          <w:left w:val="nil"/>
          <w:bottom w:val="nil"/>
          <w:right w:val="nil"/>
          <w:between w:val="nil"/>
        </w:pBdr>
        <w:spacing w:before="11" w:line="360" w:lineRule="auto"/>
        <w:jc w:val="both"/>
        <w:rPr>
          <w:b/>
          <w:color w:val="000000"/>
          <w:sz w:val="24"/>
          <w:szCs w:val="24"/>
        </w:rPr>
      </w:pPr>
    </w:p>
    <w:p w:rsidR="006E7D04" w:rsidRDefault="00CD0C6F">
      <w:pPr>
        <w:pBdr>
          <w:top w:val="nil"/>
          <w:left w:val="nil"/>
          <w:bottom w:val="nil"/>
          <w:right w:val="nil"/>
          <w:between w:val="nil"/>
        </w:pBdr>
        <w:spacing w:line="360" w:lineRule="auto"/>
        <w:ind w:right="333" w:firstLine="720"/>
        <w:jc w:val="both"/>
        <w:rPr>
          <w:color w:val="000000"/>
          <w:sz w:val="24"/>
          <w:szCs w:val="24"/>
        </w:rPr>
        <w:sectPr w:rsidR="006E7D04">
          <w:pgSz w:w="11900" w:h="16840"/>
          <w:pgMar w:top="1380" w:right="1100" w:bottom="1180" w:left="580" w:header="0" w:footer="999" w:gutter="0"/>
          <w:cols w:space="720"/>
        </w:sectPr>
      </w:pPr>
      <w:r>
        <w:rPr>
          <w:color w:val="000000"/>
          <w:sz w:val="24"/>
          <w:szCs w:val="24"/>
        </w:rPr>
        <w:t>The current ratio margin of Tesla was found to be higher than expected over the five-year period, reaching a maximum of88 in 2020 and then falling to 1.38 in 2021. In 2020, the company’s ratio margin was the highest. Between 2017 and 2020, Tesla’s ratio shows that it has a stable and efficient level of current assets to meet its short-term obligations and that it can continue its normal operations (</w:t>
      </w:r>
      <w:proofErr w:type="spellStart"/>
      <w:r>
        <w:rPr>
          <w:color w:val="000000"/>
          <w:sz w:val="24"/>
          <w:szCs w:val="24"/>
        </w:rPr>
        <w:t>Rotta</w:t>
      </w:r>
      <w:proofErr w:type="spellEnd"/>
      <w:r>
        <w:rPr>
          <w:color w:val="000000"/>
          <w:sz w:val="24"/>
          <w:szCs w:val="24"/>
        </w:rPr>
        <w:t xml:space="preserve"> et al., 2021). Covid-19 or shutdowns until 2021 will pose challenges for the company in deciding to decrease the margin from the current ratio this year</w:t>
      </w:r>
      <w:r>
        <w:rPr>
          <w:sz w:val="24"/>
          <w:szCs w:val="24"/>
        </w:rPr>
        <w:t>.</w:t>
      </w:r>
    </w:p>
    <w:p w:rsidR="006E7D04" w:rsidRDefault="00CD0C6F">
      <w:pPr>
        <w:pStyle w:val="Heading1"/>
        <w:spacing w:before="88" w:line="360" w:lineRule="auto"/>
        <w:ind w:firstLine="861"/>
        <w:rPr>
          <w:sz w:val="24"/>
          <w:szCs w:val="24"/>
        </w:rPr>
      </w:pPr>
      <w:bookmarkStart w:id="24" w:name="_qsh70q" w:colFirst="0" w:colLast="0"/>
      <w:bookmarkEnd w:id="24"/>
      <w:r>
        <w:rPr>
          <w:sz w:val="24"/>
          <w:szCs w:val="24"/>
        </w:rPr>
        <w:t>Rapid Ratio</w:t>
      </w:r>
    </w:p>
    <w:p w:rsidR="006E7D04" w:rsidRDefault="006E7D04">
      <w:pPr>
        <w:pBdr>
          <w:top w:val="nil"/>
          <w:left w:val="nil"/>
          <w:bottom w:val="nil"/>
          <w:right w:val="nil"/>
          <w:between w:val="nil"/>
        </w:pBdr>
        <w:spacing w:line="360" w:lineRule="auto"/>
        <w:jc w:val="both"/>
        <w:rPr>
          <w:b/>
          <w:color w:val="000000"/>
          <w:sz w:val="24"/>
          <w:szCs w:val="24"/>
        </w:rPr>
      </w:pPr>
    </w:p>
    <w:p w:rsidR="006E7D04" w:rsidRDefault="00CD0C6F">
      <w:pPr>
        <w:pBdr>
          <w:top w:val="nil"/>
          <w:left w:val="nil"/>
          <w:bottom w:val="nil"/>
          <w:right w:val="nil"/>
          <w:between w:val="nil"/>
        </w:pBdr>
        <w:spacing w:line="360" w:lineRule="auto"/>
        <w:ind w:right="335" w:firstLine="720"/>
        <w:jc w:val="both"/>
        <w:rPr>
          <w:color w:val="000000"/>
          <w:sz w:val="24"/>
          <w:szCs w:val="24"/>
        </w:rPr>
      </w:pPr>
      <w:r>
        <w:rPr>
          <w:color w:val="000000"/>
          <w:sz w:val="24"/>
          <w:szCs w:val="24"/>
        </w:rPr>
        <w:t>Also, the current ratio, Tesla’s quick ratio, has been growing for four years. Also, the business had the highest IM rate in 2021, which is 1.59, but in 2021, the limit dropped to 1.08. The main reason for this development between 2017 and 2020 at a rapid pace is the increased limit of liquid assets without listing (</w:t>
      </w:r>
      <w:proofErr w:type="spellStart"/>
      <w:r>
        <w:rPr>
          <w:color w:val="000000"/>
          <w:sz w:val="24"/>
          <w:szCs w:val="24"/>
        </w:rPr>
        <w:t>Rotta</w:t>
      </w:r>
      <w:proofErr w:type="spellEnd"/>
      <w:r>
        <w:rPr>
          <w:color w:val="000000"/>
          <w:sz w:val="24"/>
          <w:szCs w:val="24"/>
        </w:rPr>
        <w:t xml:space="preserve"> et al., 2021). The product will fail in 2021 as Tesla’s low-budget version will not be available for consumers in various cities in the future due to its high cost.</w:t>
      </w:r>
    </w:p>
    <w:p w:rsidR="006E7D04" w:rsidRDefault="00CD0C6F">
      <w:pPr>
        <w:pStyle w:val="Heading1"/>
        <w:spacing w:line="360" w:lineRule="auto"/>
        <w:ind w:left="921"/>
        <w:rPr>
          <w:sz w:val="24"/>
          <w:szCs w:val="24"/>
        </w:rPr>
      </w:pPr>
      <w:bookmarkStart w:id="25" w:name="_3as4poj" w:colFirst="0" w:colLast="0"/>
      <w:bookmarkEnd w:id="25"/>
      <w:r>
        <w:rPr>
          <w:sz w:val="24"/>
          <w:szCs w:val="24"/>
        </w:rPr>
        <w:t>Money Ratio</w:t>
      </w:r>
    </w:p>
    <w:p w:rsidR="006E7D04" w:rsidRDefault="006E7D04">
      <w:pPr>
        <w:pBdr>
          <w:top w:val="nil"/>
          <w:left w:val="nil"/>
          <w:bottom w:val="nil"/>
          <w:right w:val="nil"/>
          <w:between w:val="nil"/>
        </w:pBdr>
        <w:spacing w:before="8" w:line="360" w:lineRule="auto"/>
        <w:jc w:val="both"/>
        <w:rPr>
          <w:b/>
          <w:color w:val="000000"/>
          <w:sz w:val="24"/>
          <w:szCs w:val="24"/>
        </w:rPr>
      </w:pPr>
    </w:p>
    <w:p w:rsidR="006E7D04" w:rsidRDefault="00CD0C6F">
      <w:pPr>
        <w:widowControl/>
        <w:spacing w:line="360" w:lineRule="auto"/>
        <w:ind w:firstLine="720"/>
        <w:jc w:val="both"/>
        <w:rPr>
          <w:sz w:val="24"/>
          <w:szCs w:val="24"/>
        </w:rPr>
      </w:pPr>
      <w:r>
        <w:rPr>
          <w:sz w:val="24"/>
          <w:szCs w:val="24"/>
        </w:rPr>
        <w:t xml:space="preserve">Among the liquidity relations, it had also been reported that Tesla’s money proportion had increased over the last four years; Tesla had an upper cash ratio border of 1.36 in 2020, but the margin had fallen to 0.92 in 2021. This advanced development border of money % indicates that Tesla has significant cash availability, but that availability will decrease in the coming year. Furthermore, creditors would greatly favor a larger cash ratio since it might suggest easier repayment of short-term debts for four </w:t>
      </w:r>
      <w:r>
        <w:rPr>
          <w:sz w:val="24"/>
          <w:szCs w:val="24"/>
        </w:rPr>
        <w:t>years (</w:t>
      </w:r>
      <w:proofErr w:type="spellStart"/>
      <w:r>
        <w:rPr>
          <w:sz w:val="24"/>
          <w:szCs w:val="24"/>
        </w:rPr>
        <w:t>Rotta</w:t>
      </w:r>
      <w:proofErr w:type="spellEnd"/>
      <w:r>
        <w:rPr>
          <w:sz w:val="24"/>
          <w:szCs w:val="24"/>
        </w:rPr>
        <w:t xml:space="preserve"> et al., 2021).</w:t>
      </w:r>
    </w:p>
    <w:p w:rsidR="006E7D04" w:rsidRDefault="00CD0C6F">
      <w:pPr>
        <w:pStyle w:val="Heading1"/>
        <w:spacing w:before="160" w:line="360" w:lineRule="auto"/>
        <w:ind w:firstLine="861"/>
        <w:rPr>
          <w:sz w:val="24"/>
          <w:szCs w:val="24"/>
        </w:rPr>
      </w:pPr>
      <w:bookmarkStart w:id="26" w:name="_1pxezwc" w:colFirst="0" w:colLast="0"/>
      <w:bookmarkEnd w:id="26"/>
      <w:r>
        <w:rPr>
          <w:sz w:val="24"/>
          <w:szCs w:val="24"/>
        </w:rPr>
        <w:t>Activity Ratio</w:t>
      </w:r>
    </w:p>
    <w:p w:rsidR="006E7D04" w:rsidRDefault="006E7D04">
      <w:pPr>
        <w:pBdr>
          <w:top w:val="nil"/>
          <w:left w:val="nil"/>
          <w:bottom w:val="nil"/>
          <w:right w:val="nil"/>
          <w:between w:val="nil"/>
        </w:pBdr>
        <w:spacing w:line="360" w:lineRule="auto"/>
        <w:jc w:val="both"/>
        <w:rPr>
          <w:b/>
          <w:color w:val="000000"/>
          <w:sz w:val="24"/>
          <w:szCs w:val="24"/>
        </w:rPr>
      </w:pPr>
    </w:p>
    <w:p w:rsidR="006E7D04" w:rsidRDefault="00CD0C6F">
      <w:pPr>
        <w:pBdr>
          <w:top w:val="nil"/>
          <w:left w:val="nil"/>
          <w:bottom w:val="nil"/>
          <w:right w:val="nil"/>
          <w:between w:val="nil"/>
        </w:pBdr>
        <w:spacing w:line="360" w:lineRule="auto"/>
        <w:ind w:left="861"/>
        <w:jc w:val="both"/>
        <w:rPr>
          <w:color w:val="000000"/>
          <w:sz w:val="24"/>
          <w:szCs w:val="24"/>
        </w:rPr>
      </w:pPr>
      <w:r>
        <w:rPr>
          <w:color w:val="000000"/>
          <w:sz w:val="24"/>
          <w:szCs w:val="24"/>
        </w:rPr>
        <w:t>Table 2: Activity ratio of Tesla Inc.</w:t>
      </w:r>
    </w:p>
    <w:p w:rsidR="006E7D04" w:rsidRDefault="006E7D04">
      <w:pPr>
        <w:pBdr>
          <w:top w:val="nil"/>
          <w:left w:val="nil"/>
          <w:bottom w:val="nil"/>
          <w:right w:val="nil"/>
          <w:between w:val="nil"/>
        </w:pBdr>
        <w:spacing w:before="10" w:line="360" w:lineRule="auto"/>
        <w:jc w:val="both"/>
        <w:rPr>
          <w:color w:val="000000"/>
          <w:sz w:val="24"/>
          <w:szCs w:val="24"/>
        </w:rPr>
      </w:pPr>
    </w:p>
    <w:tbl>
      <w:tblPr>
        <w:tblStyle w:val="a0"/>
        <w:tblW w:w="9782" w:type="dxa"/>
        <w:tblInd w:w="322"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3322"/>
        <w:gridCol w:w="1074"/>
        <w:gridCol w:w="1276"/>
        <w:gridCol w:w="1276"/>
        <w:gridCol w:w="1442"/>
        <w:gridCol w:w="1392"/>
      </w:tblGrid>
      <w:tr w:rsidR="006E7D04">
        <w:trPr>
          <w:trHeight w:val="271"/>
        </w:trPr>
        <w:tc>
          <w:tcPr>
            <w:tcW w:w="332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Ratio/year</w:t>
            </w:r>
          </w:p>
        </w:tc>
        <w:tc>
          <w:tcPr>
            <w:tcW w:w="10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2021</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2020</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2019</w:t>
            </w:r>
          </w:p>
        </w:tc>
        <w:tc>
          <w:tcPr>
            <w:tcW w:w="144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2018</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2017</w:t>
            </w:r>
          </w:p>
        </w:tc>
      </w:tr>
      <w:tr w:rsidR="006E7D04">
        <w:trPr>
          <w:trHeight w:val="271"/>
        </w:trPr>
        <w:tc>
          <w:tcPr>
            <w:tcW w:w="332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Inventory Turnover ratio</w:t>
            </w:r>
          </w:p>
        </w:tc>
        <w:tc>
          <w:tcPr>
            <w:tcW w:w="10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6.98</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6.51</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6.15</w:t>
            </w:r>
          </w:p>
        </w:tc>
        <w:tc>
          <w:tcPr>
            <w:tcW w:w="144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6.48</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4.40</w:t>
            </w:r>
          </w:p>
        </w:tc>
      </w:tr>
      <w:tr w:rsidR="006E7D04">
        <w:trPr>
          <w:trHeight w:val="270"/>
        </w:trPr>
        <w:tc>
          <w:tcPr>
            <w:tcW w:w="332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Receivable Turnover Ratio</w:t>
            </w:r>
          </w:p>
        </w:tc>
        <w:tc>
          <w:tcPr>
            <w:tcW w:w="10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27.27</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19.65</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21.63</w:t>
            </w:r>
          </w:p>
        </w:tc>
        <w:tc>
          <w:tcPr>
            <w:tcW w:w="144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29.31</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23.18</w:t>
            </w:r>
          </w:p>
        </w:tc>
      </w:tr>
      <w:tr w:rsidR="006E7D04">
        <w:trPr>
          <w:trHeight w:val="271"/>
        </w:trPr>
        <w:tc>
          <w:tcPr>
            <w:tcW w:w="332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Total Assets Turnover Ratio</w:t>
            </w:r>
          </w:p>
        </w:tc>
        <w:tc>
          <w:tcPr>
            <w:tcW w:w="10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0.86</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0.73</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0.77</w:t>
            </w:r>
          </w:p>
        </w:tc>
        <w:tc>
          <w:tcPr>
            <w:tcW w:w="144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0.74</w:t>
            </w:r>
          </w:p>
        </w:tc>
        <w:tc>
          <w:tcPr>
            <w:tcW w:w="13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0.46</w:t>
            </w:r>
          </w:p>
        </w:tc>
      </w:tr>
    </w:tbl>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before="9" w:line="360" w:lineRule="auto"/>
        <w:jc w:val="both"/>
        <w:rPr>
          <w:color w:val="000000"/>
          <w:sz w:val="24"/>
          <w:szCs w:val="24"/>
        </w:rPr>
      </w:pPr>
    </w:p>
    <w:p w:rsidR="006E7D04" w:rsidRDefault="00CD0C6F">
      <w:pPr>
        <w:pStyle w:val="Heading1"/>
        <w:spacing w:before="0" w:line="360" w:lineRule="auto"/>
        <w:ind w:firstLine="861"/>
        <w:rPr>
          <w:sz w:val="24"/>
          <w:szCs w:val="24"/>
        </w:rPr>
      </w:pPr>
      <w:bookmarkStart w:id="27" w:name="_49x2ik5" w:colFirst="0" w:colLast="0"/>
      <w:bookmarkEnd w:id="27"/>
      <w:r>
        <w:rPr>
          <w:sz w:val="24"/>
          <w:szCs w:val="24"/>
        </w:rPr>
        <w:t>Inventory turnover ratio</w:t>
      </w:r>
    </w:p>
    <w:p w:rsidR="006E7D04" w:rsidRDefault="006E7D04">
      <w:pPr>
        <w:pBdr>
          <w:top w:val="nil"/>
          <w:left w:val="nil"/>
          <w:bottom w:val="nil"/>
          <w:right w:val="nil"/>
          <w:between w:val="nil"/>
        </w:pBdr>
        <w:spacing w:before="9" w:line="360" w:lineRule="auto"/>
        <w:jc w:val="both"/>
        <w:rPr>
          <w:b/>
          <w:color w:val="000000"/>
          <w:sz w:val="24"/>
          <w:szCs w:val="24"/>
        </w:rPr>
      </w:pPr>
    </w:p>
    <w:p w:rsidR="006E7D04" w:rsidRDefault="00CD0C6F">
      <w:pPr>
        <w:widowControl/>
        <w:spacing w:after="240" w:line="360" w:lineRule="auto"/>
        <w:ind w:firstLine="720"/>
        <w:jc w:val="both"/>
        <w:rPr>
          <w:sz w:val="24"/>
          <w:szCs w:val="24"/>
        </w:rPr>
      </w:pPr>
      <w:r>
        <w:rPr>
          <w:sz w:val="24"/>
          <w:szCs w:val="24"/>
        </w:rPr>
        <w:t>Higher inventory turnover is intended to result in faster sales or the usage of inventory that is less likely to deteriorate. Significantly, Tesla’s predicted inventory turnover fluctuated during the five-year period, with the 2021 association having the greatest inventory turnover ratio of 6.98 (</w:t>
      </w:r>
      <w:proofErr w:type="spellStart"/>
      <w:r>
        <w:rPr>
          <w:sz w:val="24"/>
          <w:szCs w:val="24"/>
        </w:rPr>
        <w:t>Husna</w:t>
      </w:r>
      <w:proofErr w:type="spellEnd"/>
      <w:r>
        <w:rPr>
          <w:sz w:val="24"/>
          <w:szCs w:val="24"/>
        </w:rPr>
        <w:t xml:space="preserve"> and </w:t>
      </w:r>
      <w:proofErr w:type="spellStart"/>
      <w:r>
        <w:rPr>
          <w:sz w:val="24"/>
          <w:szCs w:val="24"/>
        </w:rPr>
        <w:t>Satria</w:t>
      </w:r>
      <w:proofErr w:type="spellEnd"/>
      <w:r>
        <w:rPr>
          <w:sz w:val="24"/>
          <w:szCs w:val="24"/>
        </w:rPr>
        <w:t xml:space="preserve">, 2019). </w:t>
      </w:r>
    </w:p>
    <w:p w:rsidR="006E7D04" w:rsidRDefault="00CD0C6F">
      <w:pPr>
        <w:widowControl/>
        <w:spacing w:after="240" w:line="360" w:lineRule="auto"/>
        <w:ind w:firstLine="720"/>
        <w:jc w:val="both"/>
        <w:rPr>
          <w:sz w:val="24"/>
          <w:szCs w:val="24"/>
        </w:rPr>
      </w:pPr>
      <w:r>
        <w:rPr>
          <w:sz w:val="24"/>
          <w:szCs w:val="24"/>
        </w:rPr>
        <w:t xml:space="preserve">In understanding of Tesla’s variable inventory turnover ratio, it was concluded that the </w:t>
      </w:r>
      <w:proofErr w:type="spellStart"/>
      <w:r>
        <w:rPr>
          <w:sz w:val="24"/>
          <w:szCs w:val="24"/>
        </w:rPr>
        <w:t>organisation</w:t>
      </w:r>
      <w:proofErr w:type="spellEnd"/>
      <w:r>
        <w:rPr>
          <w:sz w:val="24"/>
          <w:szCs w:val="24"/>
        </w:rPr>
        <w:t xml:space="preserve"> is unable to sell or use the stockpiles in order to enhance sales appropriately. Furthermore, it is the result of inefficient inventory management.</w:t>
      </w:r>
    </w:p>
    <w:p w:rsidR="006E7D04" w:rsidRDefault="00CD0C6F">
      <w:pPr>
        <w:pStyle w:val="Heading1"/>
        <w:spacing w:before="160" w:line="360" w:lineRule="auto"/>
        <w:ind w:firstLine="861"/>
        <w:rPr>
          <w:sz w:val="24"/>
          <w:szCs w:val="24"/>
        </w:rPr>
      </w:pPr>
      <w:bookmarkStart w:id="28" w:name="_2p2csry" w:colFirst="0" w:colLast="0"/>
      <w:bookmarkEnd w:id="28"/>
      <w:r>
        <w:rPr>
          <w:sz w:val="24"/>
          <w:szCs w:val="24"/>
        </w:rPr>
        <w:t>Receivable Turnover Ratio</w:t>
      </w:r>
    </w:p>
    <w:p w:rsidR="006E7D04" w:rsidRDefault="006E7D04">
      <w:pPr>
        <w:pBdr>
          <w:top w:val="nil"/>
          <w:left w:val="nil"/>
          <w:bottom w:val="nil"/>
          <w:right w:val="nil"/>
          <w:between w:val="nil"/>
        </w:pBdr>
        <w:spacing w:line="360" w:lineRule="auto"/>
        <w:jc w:val="both"/>
        <w:rPr>
          <w:b/>
          <w:color w:val="000000"/>
          <w:sz w:val="24"/>
          <w:szCs w:val="24"/>
        </w:rPr>
      </w:pPr>
    </w:p>
    <w:p w:rsidR="006E7D04" w:rsidRDefault="00CD0C6F">
      <w:pPr>
        <w:widowControl/>
        <w:spacing w:after="240" w:line="360" w:lineRule="auto"/>
        <w:ind w:firstLine="720"/>
        <w:jc w:val="both"/>
        <w:rPr>
          <w:sz w:val="24"/>
          <w:szCs w:val="24"/>
        </w:rPr>
      </w:pPr>
      <w:r>
        <w:rPr>
          <w:sz w:val="24"/>
          <w:szCs w:val="24"/>
        </w:rPr>
        <w:t>This ratio should show a company’s ability to offer credit and recover debts. Tesla’s receivable turnover ratio appears to be changing at a slower rate. Furthermore, Tesla’s debt turnover reduced dramatically in 2019 and 2020 after reaching a maximum margin of 29.31 in 2018 and 2019, and it dropped to a profit margin of 19.65 in 2020. (</w:t>
      </w:r>
      <w:proofErr w:type="spellStart"/>
      <w:r>
        <w:rPr>
          <w:sz w:val="24"/>
          <w:szCs w:val="24"/>
        </w:rPr>
        <w:t>Husna</w:t>
      </w:r>
      <w:proofErr w:type="spellEnd"/>
      <w:r>
        <w:rPr>
          <w:sz w:val="24"/>
          <w:szCs w:val="24"/>
        </w:rPr>
        <w:t xml:space="preserve">, and </w:t>
      </w:r>
      <w:proofErr w:type="spellStart"/>
      <w:r>
        <w:rPr>
          <w:sz w:val="24"/>
          <w:szCs w:val="24"/>
        </w:rPr>
        <w:t>Satria</w:t>
      </w:r>
      <w:proofErr w:type="spellEnd"/>
      <w:r>
        <w:rPr>
          <w:sz w:val="24"/>
          <w:szCs w:val="24"/>
        </w:rPr>
        <w:t>, 2019). However, following 2020 and again in 2021, the margin of Receivable turnover expanded dramatically. Musk’s weak credit policy, which brings him closer to his end customers, is the primary driver of the margin decline in 2020. However, after that, they adjust their policies that effect how the margin expands in 2021 (</w:t>
      </w:r>
      <w:proofErr w:type="spellStart"/>
      <w:r>
        <w:rPr>
          <w:sz w:val="24"/>
          <w:szCs w:val="24"/>
        </w:rPr>
        <w:t>Husna</w:t>
      </w:r>
      <w:proofErr w:type="spellEnd"/>
      <w:r>
        <w:rPr>
          <w:sz w:val="24"/>
          <w:szCs w:val="24"/>
        </w:rPr>
        <w:t xml:space="preserve"> and </w:t>
      </w:r>
      <w:proofErr w:type="spellStart"/>
      <w:r>
        <w:rPr>
          <w:sz w:val="24"/>
          <w:szCs w:val="24"/>
        </w:rPr>
        <w:t>Satria</w:t>
      </w:r>
      <w:proofErr w:type="spellEnd"/>
      <w:r>
        <w:rPr>
          <w:sz w:val="24"/>
          <w:szCs w:val="24"/>
        </w:rPr>
        <w:t>, 2019).</w:t>
      </w:r>
    </w:p>
    <w:p w:rsidR="006E7D04" w:rsidRDefault="00CD0C6F">
      <w:pPr>
        <w:pStyle w:val="Heading1"/>
        <w:spacing w:line="360" w:lineRule="auto"/>
        <w:ind w:firstLine="861"/>
        <w:rPr>
          <w:sz w:val="24"/>
          <w:szCs w:val="24"/>
        </w:rPr>
      </w:pPr>
      <w:bookmarkStart w:id="29" w:name="_147n2zr" w:colFirst="0" w:colLast="0"/>
      <w:bookmarkEnd w:id="29"/>
      <w:r>
        <w:rPr>
          <w:sz w:val="24"/>
          <w:szCs w:val="24"/>
        </w:rPr>
        <w:t>Total Assets business Ratio</w:t>
      </w:r>
    </w:p>
    <w:p w:rsidR="006E7D04" w:rsidRDefault="006E7D04">
      <w:pPr>
        <w:pBdr>
          <w:top w:val="nil"/>
          <w:left w:val="nil"/>
          <w:bottom w:val="nil"/>
          <w:right w:val="nil"/>
          <w:between w:val="nil"/>
        </w:pBdr>
        <w:spacing w:before="8" w:line="360" w:lineRule="auto"/>
        <w:jc w:val="both"/>
        <w:rPr>
          <w:b/>
          <w:color w:val="000000"/>
          <w:sz w:val="24"/>
          <w:szCs w:val="24"/>
        </w:rPr>
      </w:pPr>
    </w:p>
    <w:p w:rsidR="006E7D04" w:rsidRDefault="00CD0C6F">
      <w:pPr>
        <w:widowControl/>
        <w:spacing w:line="360" w:lineRule="auto"/>
        <w:ind w:firstLine="720"/>
        <w:jc w:val="both"/>
        <w:rPr>
          <w:sz w:val="24"/>
          <w:szCs w:val="24"/>
        </w:rPr>
      </w:pPr>
      <w:r>
        <w:rPr>
          <w:sz w:val="24"/>
          <w:szCs w:val="24"/>
        </w:rPr>
        <w:t>This ratio should be used to assess how well associations use their resources to increase sales income. Thus, it is observed that Tesla’s margins of total asset turnover altered during a five-year period. Tesla’s total turnover of assets margin fell to 0.73 in 2020, after reaching its peak of 0.86 in 2021. It demonstrates inefficiencies in Tesla’s asset management and the efficient use of assets to generate income (</w:t>
      </w:r>
      <w:proofErr w:type="spellStart"/>
      <w:r>
        <w:rPr>
          <w:sz w:val="24"/>
          <w:szCs w:val="24"/>
        </w:rPr>
        <w:t>Basdekis</w:t>
      </w:r>
      <w:proofErr w:type="spellEnd"/>
      <w:r>
        <w:rPr>
          <w:sz w:val="24"/>
          <w:szCs w:val="24"/>
        </w:rPr>
        <w:t xml:space="preserve"> et al., 2020).</w:t>
      </w:r>
    </w:p>
    <w:p w:rsidR="006E7D04" w:rsidRDefault="00CD0C6F">
      <w:pPr>
        <w:pStyle w:val="Heading1"/>
        <w:spacing w:line="360" w:lineRule="auto"/>
        <w:ind w:firstLine="861"/>
        <w:rPr>
          <w:sz w:val="24"/>
          <w:szCs w:val="24"/>
        </w:rPr>
      </w:pPr>
      <w:bookmarkStart w:id="30" w:name="_3o7alnk" w:colFirst="0" w:colLast="0"/>
      <w:bookmarkEnd w:id="30"/>
      <w:r>
        <w:rPr>
          <w:sz w:val="24"/>
          <w:szCs w:val="24"/>
        </w:rPr>
        <w:t>Debt Ratio</w:t>
      </w:r>
    </w:p>
    <w:p w:rsidR="006E7D04" w:rsidRDefault="006E7D04">
      <w:pPr>
        <w:pBdr>
          <w:top w:val="nil"/>
          <w:left w:val="nil"/>
          <w:bottom w:val="nil"/>
          <w:right w:val="nil"/>
          <w:between w:val="nil"/>
        </w:pBdr>
        <w:spacing w:before="10" w:line="360" w:lineRule="auto"/>
        <w:jc w:val="both"/>
        <w:rPr>
          <w:b/>
          <w:color w:val="000000"/>
          <w:sz w:val="24"/>
          <w:szCs w:val="24"/>
        </w:rPr>
      </w:pPr>
    </w:p>
    <w:p w:rsidR="006E7D04" w:rsidRDefault="00CD0C6F">
      <w:pPr>
        <w:pBdr>
          <w:top w:val="nil"/>
          <w:left w:val="nil"/>
          <w:bottom w:val="nil"/>
          <w:right w:val="nil"/>
          <w:between w:val="nil"/>
        </w:pBdr>
        <w:spacing w:line="360" w:lineRule="auto"/>
        <w:ind w:left="861"/>
        <w:jc w:val="both"/>
        <w:rPr>
          <w:color w:val="000000"/>
          <w:sz w:val="24"/>
          <w:szCs w:val="24"/>
        </w:rPr>
      </w:pPr>
      <w:r>
        <w:rPr>
          <w:color w:val="000000"/>
          <w:sz w:val="24"/>
          <w:szCs w:val="24"/>
        </w:rPr>
        <w:t>Table 3: Debit ratio of Tesla Inc.</w:t>
      </w:r>
    </w:p>
    <w:p w:rsidR="006E7D04" w:rsidRDefault="006E7D04">
      <w:pPr>
        <w:pBdr>
          <w:top w:val="nil"/>
          <w:left w:val="nil"/>
          <w:bottom w:val="nil"/>
          <w:right w:val="nil"/>
          <w:between w:val="nil"/>
        </w:pBdr>
        <w:spacing w:before="11" w:line="360" w:lineRule="auto"/>
        <w:jc w:val="both"/>
        <w:rPr>
          <w:color w:val="000000"/>
          <w:sz w:val="24"/>
          <w:szCs w:val="24"/>
        </w:rPr>
      </w:pPr>
    </w:p>
    <w:tbl>
      <w:tblPr>
        <w:tblStyle w:val="a1"/>
        <w:tblW w:w="9306" w:type="dxa"/>
        <w:tblInd w:w="464"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3262"/>
        <w:gridCol w:w="992"/>
        <w:gridCol w:w="1276"/>
        <w:gridCol w:w="1134"/>
        <w:gridCol w:w="1276"/>
        <w:gridCol w:w="1366"/>
      </w:tblGrid>
      <w:tr w:rsidR="006E7D04">
        <w:trPr>
          <w:trHeight w:val="270"/>
        </w:trPr>
        <w:tc>
          <w:tcPr>
            <w:tcW w:w="326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Ratio/Year</w:t>
            </w:r>
          </w:p>
        </w:tc>
        <w:tc>
          <w:tcPr>
            <w:tcW w:w="9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2021</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2020</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2019</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2018</w:t>
            </w:r>
          </w:p>
        </w:tc>
        <w:tc>
          <w:tcPr>
            <w:tcW w:w="136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2017</w:t>
            </w:r>
          </w:p>
        </w:tc>
      </w:tr>
      <w:tr w:rsidR="006E7D04">
        <w:trPr>
          <w:trHeight w:val="270"/>
        </w:trPr>
        <w:tc>
          <w:tcPr>
            <w:tcW w:w="326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Debt ratio</w:t>
            </w:r>
          </w:p>
        </w:tc>
        <w:tc>
          <w:tcPr>
            <w:tcW w:w="9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0.22</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0.56</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0.78</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0.81</w:t>
            </w:r>
          </w:p>
        </w:tc>
        <w:tc>
          <w:tcPr>
            <w:tcW w:w="136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0.82</w:t>
            </w:r>
          </w:p>
        </w:tc>
      </w:tr>
      <w:tr w:rsidR="006E7D04">
        <w:trPr>
          <w:trHeight w:val="271"/>
        </w:trPr>
        <w:tc>
          <w:tcPr>
            <w:tcW w:w="326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Times Interest Earned Ratio</w:t>
            </w:r>
          </w:p>
        </w:tc>
        <w:tc>
          <w:tcPr>
            <w:tcW w:w="992"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17.50</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2.54</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0.03</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-0.052</w:t>
            </w:r>
          </w:p>
        </w:tc>
        <w:tc>
          <w:tcPr>
            <w:tcW w:w="136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-3.69</w:t>
            </w:r>
          </w:p>
        </w:tc>
      </w:tr>
    </w:tbl>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before="9" w:line="360" w:lineRule="auto"/>
        <w:jc w:val="both"/>
        <w:rPr>
          <w:color w:val="000000"/>
          <w:sz w:val="24"/>
          <w:szCs w:val="24"/>
        </w:rPr>
      </w:pPr>
    </w:p>
    <w:p w:rsidR="006E7D04" w:rsidRDefault="00CD0C6F">
      <w:pPr>
        <w:pStyle w:val="Heading1"/>
        <w:spacing w:before="0" w:line="360" w:lineRule="auto"/>
        <w:ind w:firstLine="861"/>
        <w:rPr>
          <w:sz w:val="24"/>
          <w:szCs w:val="24"/>
        </w:rPr>
      </w:pPr>
      <w:bookmarkStart w:id="31" w:name="_23ckvvd" w:colFirst="0" w:colLast="0"/>
      <w:bookmarkEnd w:id="31"/>
      <w:r>
        <w:rPr>
          <w:sz w:val="24"/>
          <w:szCs w:val="24"/>
        </w:rPr>
        <w:t>Debt Ratio</w:t>
      </w:r>
    </w:p>
    <w:p w:rsidR="006E7D04" w:rsidRDefault="00CD0C6F">
      <w:pPr>
        <w:widowControl/>
        <w:spacing w:after="240" w:line="360" w:lineRule="auto"/>
        <w:ind w:firstLine="720"/>
        <w:jc w:val="both"/>
        <w:rPr>
          <w:sz w:val="24"/>
          <w:szCs w:val="24"/>
        </w:rPr>
      </w:pPr>
      <w:r>
        <w:rPr>
          <w:sz w:val="24"/>
          <w:szCs w:val="24"/>
        </w:rPr>
        <w:t xml:space="preserve">This ratio should be used to calculate the proportion of an association’s assets that are financed by debt capital. In the case of Tesla, it was noted that the association’s debt level margin had progressively declined over a five-year span. </w:t>
      </w:r>
    </w:p>
    <w:p w:rsidR="006E7D04" w:rsidRDefault="00CD0C6F">
      <w:pPr>
        <w:widowControl/>
        <w:spacing w:after="240" w:line="360" w:lineRule="auto"/>
        <w:ind w:firstLine="720"/>
        <w:jc w:val="both"/>
        <w:rPr>
          <w:sz w:val="24"/>
          <w:szCs w:val="24"/>
        </w:rPr>
      </w:pPr>
      <w:r>
        <w:rPr>
          <w:sz w:val="24"/>
          <w:szCs w:val="24"/>
        </w:rPr>
        <w:t xml:space="preserve">According to </w:t>
      </w:r>
      <w:proofErr w:type="spellStart"/>
      <w:r>
        <w:rPr>
          <w:sz w:val="24"/>
          <w:szCs w:val="24"/>
        </w:rPr>
        <w:t>Basdekis</w:t>
      </w:r>
      <w:proofErr w:type="spellEnd"/>
      <w:r>
        <w:rPr>
          <w:sz w:val="24"/>
          <w:szCs w:val="24"/>
        </w:rPr>
        <w:t xml:space="preserve"> et al. (2020), Tesla has the lowest debt-to-income ratio cap in 2021 at 0.22. This suggests that Tesla’s reliance on debt funding for its assets is decreasing. Moreover, this ought to be the most unambiguous sign for Tesla that lowering asset loan financing will lower liquidity or debt risk for the business. Customers will benefit from the improved reputation of the company (</w:t>
      </w:r>
      <w:proofErr w:type="spellStart"/>
      <w:r>
        <w:rPr>
          <w:sz w:val="24"/>
          <w:szCs w:val="24"/>
        </w:rPr>
        <w:t>Basdekis</w:t>
      </w:r>
      <w:proofErr w:type="spellEnd"/>
      <w:r>
        <w:rPr>
          <w:sz w:val="24"/>
          <w:szCs w:val="24"/>
        </w:rPr>
        <w:t xml:space="preserve"> et al., 2020). </w:t>
      </w:r>
    </w:p>
    <w:p w:rsidR="006E7D04" w:rsidRDefault="00CD0C6F">
      <w:pPr>
        <w:pStyle w:val="Heading1"/>
        <w:spacing w:before="160" w:line="360" w:lineRule="auto"/>
        <w:ind w:firstLine="861"/>
        <w:rPr>
          <w:sz w:val="24"/>
          <w:szCs w:val="24"/>
        </w:rPr>
      </w:pPr>
      <w:bookmarkStart w:id="32" w:name="_ihv636" w:colFirst="0" w:colLast="0"/>
      <w:bookmarkEnd w:id="32"/>
      <w:r>
        <w:rPr>
          <w:sz w:val="24"/>
          <w:szCs w:val="24"/>
        </w:rPr>
        <w:t>Times Interest earned Ratio</w:t>
      </w:r>
    </w:p>
    <w:p w:rsidR="006E7D04" w:rsidRDefault="00CD0C6F">
      <w:pPr>
        <w:spacing w:line="360" w:lineRule="auto"/>
        <w:ind w:firstLine="720"/>
        <w:jc w:val="both"/>
        <w:rPr>
          <w:sz w:val="24"/>
          <w:szCs w:val="24"/>
        </w:rPr>
      </w:pPr>
      <w:r>
        <w:rPr>
          <w:sz w:val="24"/>
          <w:szCs w:val="24"/>
        </w:rPr>
        <w:t>The ratio could indicate the company’s ability to pay back its debt based on its present revenues. Thus, considering present income. Therefore, the margin had increased over the course of the four years, particularly after turning positive for the continuing process in 2017 and 2018, based on Tesla’s interest earned ratio for those periods (</w:t>
      </w:r>
      <w:proofErr w:type="spellStart"/>
      <w:r>
        <w:rPr>
          <w:sz w:val="24"/>
          <w:szCs w:val="24"/>
        </w:rPr>
        <w:t>Siagian</w:t>
      </w:r>
      <w:proofErr w:type="spellEnd"/>
      <w:r>
        <w:rPr>
          <w:sz w:val="24"/>
          <w:szCs w:val="24"/>
        </w:rPr>
        <w:t xml:space="preserve"> et al., 2021). Furthermore, in 2021, Tesla had the highest times interest earned ratio (17.50). With a higher maximum interest rate, Tesla is demonstrating that it has sound financial standing and can meet its debt payments with its present revenue.</w:t>
      </w:r>
    </w:p>
    <w:p w:rsidR="006E7D04" w:rsidRDefault="00CD0C6F">
      <w:pPr>
        <w:pStyle w:val="Heading1"/>
        <w:spacing w:line="360" w:lineRule="auto"/>
        <w:ind w:firstLine="861"/>
        <w:rPr>
          <w:sz w:val="24"/>
          <w:szCs w:val="24"/>
        </w:rPr>
      </w:pPr>
      <w:bookmarkStart w:id="33" w:name="_32hioqz" w:colFirst="0" w:colLast="0"/>
      <w:bookmarkEnd w:id="33"/>
      <w:r>
        <w:rPr>
          <w:sz w:val="24"/>
          <w:szCs w:val="24"/>
        </w:rPr>
        <w:t>Profitability Ratio</w:t>
      </w:r>
    </w:p>
    <w:p w:rsidR="006E7D04" w:rsidRDefault="006E7D04">
      <w:pPr>
        <w:pBdr>
          <w:top w:val="nil"/>
          <w:left w:val="nil"/>
          <w:bottom w:val="nil"/>
          <w:right w:val="nil"/>
          <w:between w:val="nil"/>
        </w:pBdr>
        <w:spacing w:before="9" w:line="360" w:lineRule="auto"/>
        <w:jc w:val="both"/>
        <w:rPr>
          <w:b/>
          <w:color w:val="000000"/>
          <w:sz w:val="24"/>
          <w:szCs w:val="24"/>
        </w:rPr>
      </w:pPr>
    </w:p>
    <w:tbl>
      <w:tblPr>
        <w:tblStyle w:val="a2"/>
        <w:tblW w:w="9016" w:type="dxa"/>
        <w:tblInd w:w="754"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2776"/>
        <w:gridCol w:w="1046"/>
        <w:gridCol w:w="1274"/>
        <w:gridCol w:w="1276"/>
        <w:gridCol w:w="1418"/>
        <w:gridCol w:w="1226"/>
      </w:tblGrid>
      <w:tr w:rsidR="006E7D04">
        <w:trPr>
          <w:trHeight w:val="270"/>
        </w:trPr>
        <w:tc>
          <w:tcPr>
            <w:tcW w:w="27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Ratio/Year</w:t>
            </w:r>
          </w:p>
        </w:tc>
        <w:tc>
          <w:tcPr>
            <w:tcW w:w="104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2021</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2020</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2019</w:t>
            </w:r>
          </w:p>
        </w:tc>
        <w:tc>
          <w:tcPr>
            <w:tcW w:w="141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2018</w:t>
            </w:r>
          </w:p>
        </w:tc>
        <w:tc>
          <w:tcPr>
            <w:tcW w:w="122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4"/>
              <w:jc w:val="both"/>
              <w:rPr>
                <w:b/>
                <w:color w:val="000000"/>
                <w:sz w:val="24"/>
                <w:szCs w:val="24"/>
              </w:rPr>
            </w:pPr>
            <w:r>
              <w:rPr>
                <w:b/>
                <w:color w:val="000000"/>
                <w:sz w:val="24"/>
                <w:szCs w:val="24"/>
              </w:rPr>
              <w:t>2017</w:t>
            </w:r>
          </w:p>
        </w:tc>
      </w:tr>
      <w:tr w:rsidR="006E7D04">
        <w:trPr>
          <w:trHeight w:val="343"/>
        </w:trPr>
        <w:tc>
          <w:tcPr>
            <w:tcW w:w="27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Return on Equity (ROE)</w:t>
            </w:r>
          </w:p>
        </w:tc>
        <w:tc>
          <w:tcPr>
            <w:tcW w:w="104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18.19%</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2.99%</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-11.54%</w:t>
            </w:r>
          </w:p>
        </w:tc>
        <w:tc>
          <w:tcPr>
            <w:tcW w:w="141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-16.95%</w:t>
            </w:r>
          </w:p>
        </w:tc>
        <w:tc>
          <w:tcPr>
            <w:tcW w:w="122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4"/>
              <w:jc w:val="both"/>
              <w:rPr>
                <w:color w:val="000000"/>
                <w:sz w:val="24"/>
                <w:szCs w:val="24"/>
              </w:rPr>
            </w:pPr>
            <w:r>
              <w:rPr>
                <w:color w:val="000000"/>
                <w:sz w:val="24"/>
                <w:szCs w:val="24"/>
              </w:rPr>
              <w:t>-37.47%</w:t>
            </w:r>
          </w:p>
        </w:tc>
      </w:tr>
      <w:tr w:rsidR="006E7D04">
        <w:trPr>
          <w:trHeight w:val="271"/>
        </w:trPr>
        <w:tc>
          <w:tcPr>
            <w:tcW w:w="27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Return on Assets (ROA)</w:t>
            </w:r>
          </w:p>
        </w:tc>
        <w:tc>
          <w:tcPr>
            <w:tcW w:w="104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9.08%</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1.32%</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-2.51%</w:t>
            </w:r>
          </w:p>
        </w:tc>
        <w:tc>
          <w:tcPr>
            <w:tcW w:w="141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-3.28%</w:t>
            </w:r>
          </w:p>
        </w:tc>
        <w:tc>
          <w:tcPr>
            <w:tcW w:w="122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4"/>
              <w:jc w:val="both"/>
              <w:rPr>
                <w:color w:val="000000"/>
                <w:sz w:val="24"/>
                <w:szCs w:val="24"/>
              </w:rPr>
            </w:pPr>
            <w:r>
              <w:rPr>
                <w:color w:val="000000"/>
                <w:sz w:val="24"/>
                <w:szCs w:val="24"/>
              </w:rPr>
              <w:t>-6.84%</w:t>
            </w:r>
          </w:p>
        </w:tc>
      </w:tr>
      <w:tr w:rsidR="006E7D04">
        <w:trPr>
          <w:trHeight w:val="271"/>
        </w:trPr>
        <w:tc>
          <w:tcPr>
            <w:tcW w:w="27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Profit margin</w:t>
            </w:r>
          </w:p>
        </w:tc>
        <w:tc>
          <w:tcPr>
            <w:tcW w:w="104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28.4%</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21.02%</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16.56%</w:t>
            </w:r>
          </w:p>
        </w:tc>
        <w:tc>
          <w:tcPr>
            <w:tcW w:w="1418"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18.83%</w:t>
            </w:r>
          </w:p>
        </w:tc>
        <w:tc>
          <w:tcPr>
            <w:tcW w:w="122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4"/>
              <w:jc w:val="both"/>
              <w:rPr>
                <w:color w:val="000000"/>
                <w:sz w:val="24"/>
                <w:szCs w:val="24"/>
              </w:rPr>
            </w:pPr>
            <w:r>
              <w:rPr>
                <w:color w:val="000000"/>
                <w:sz w:val="24"/>
                <w:szCs w:val="24"/>
              </w:rPr>
              <w:t>18.90%</w:t>
            </w:r>
          </w:p>
        </w:tc>
      </w:tr>
    </w:tbl>
    <w:p w:rsidR="006E7D04" w:rsidRDefault="006E7D04">
      <w:pPr>
        <w:pBdr>
          <w:top w:val="nil"/>
          <w:left w:val="nil"/>
          <w:bottom w:val="nil"/>
          <w:right w:val="nil"/>
          <w:between w:val="nil"/>
        </w:pBdr>
        <w:spacing w:line="360" w:lineRule="auto"/>
        <w:jc w:val="both"/>
        <w:rPr>
          <w:b/>
          <w:color w:val="000000"/>
          <w:sz w:val="24"/>
          <w:szCs w:val="24"/>
        </w:rPr>
      </w:pPr>
    </w:p>
    <w:p w:rsidR="006E7D04" w:rsidRDefault="00CD0C6F">
      <w:pPr>
        <w:spacing w:before="227" w:line="360" w:lineRule="auto"/>
        <w:ind w:left="861"/>
        <w:jc w:val="both"/>
        <w:rPr>
          <w:b/>
          <w:sz w:val="24"/>
          <w:szCs w:val="24"/>
        </w:rPr>
      </w:pPr>
      <w:r>
        <w:rPr>
          <w:b/>
          <w:sz w:val="24"/>
          <w:szCs w:val="24"/>
        </w:rPr>
        <w:t>Return on Justice (ROE)</w:t>
      </w:r>
    </w:p>
    <w:p w:rsidR="006E7D04" w:rsidRDefault="00CD0C6F">
      <w:pPr>
        <w:widowControl/>
        <w:spacing w:line="360" w:lineRule="auto"/>
        <w:ind w:firstLine="720"/>
        <w:jc w:val="both"/>
        <w:rPr>
          <w:sz w:val="24"/>
          <w:szCs w:val="24"/>
        </w:rPr>
      </w:pPr>
      <w:r>
        <w:rPr>
          <w:sz w:val="24"/>
          <w:szCs w:val="24"/>
        </w:rPr>
        <w:t>Tesla’s return on equity has increased dramatically during the past five years. After a protracted declining trend, Tesla had the highest and most beneficial limit of return on equity in 2021—18.19%. The key reason for this is that the return on equity was negative as the net profit margin declined. However, when net income or profit growth has been positive, Tesla’s returns have risen. Therefore, it is possible to conclude that the association’s current performance helps members as long as its return on in</w:t>
      </w:r>
      <w:r>
        <w:rPr>
          <w:sz w:val="24"/>
          <w:szCs w:val="24"/>
        </w:rPr>
        <w:t>vestment is above average (</w:t>
      </w:r>
      <w:proofErr w:type="spellStart"/>
      <w:r>
        <w:rPr>
          <w:sz w:val="24"/>
          <w:szCs w:val="24"/>
        </w:rPr>
        <w:t>Siagian</w:t>
      </w:r>
      <w:proofErr w:type="spellEnd"/>
      <w:r>
        <w:rPr>
          <w:sz w:val="24"/>
          <w:szCs w:val="24"/>
        </w:rPr>
        <w:t xml:space="preserve"> et al., 2021).</w:t>
      </w:r>
    </w:p>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Style w:val="Heading1"/>
        <w:spacing w:before="0" w:line="360" w:lineRule="auto"/>
        <w:ind w:firstLine="861"/>
        <w:rPr>
          <w:sz w:val="24"/>
          <w:szCs w:val="24"/>
        </w:rPr>
        <w:sectPr w:rsidR="006E7D04">
          <w:pgSz w:w="11900" w:h="16840"/>
          <w:pgMar w:top="1380" w:right="1100" w:bottom="1180" w:left="580" w:header="0" w:footer="999" w:gutter="0"/>
          <w:cols w:space="720"/>
        </w:sectPr>
      </w:pPr>
      <w:bookmarkStart w:id="34" w:name="_1hmsyys" w:colFirst="0" w:colLast="0"/>
      <w:bookmarkEnd w:id="34"/>
      <w:r>
        <w:rPr>
          <w:sz w:val="24"/>
          <w:szCs w:val="24"/>
        </w:rPr>
        <w:t>Return on Possessions</w:t>
      </w:r>
    </w:p>
    <w:p w:rsidR="006E7D04" w:rsidRDefault="00CD0C6F">
      <w:pPr>
        <w:widowControl/>
        <w:spacing w:line="360" w:lineRule="auto"/>
        <w:ind w:firstLine="720"/>
        <w:jc w:val="both"/>
        <w:rPr>
          <w:sz w:val="24"/>
          <w:szCs w:val="24"/>
        </w:rPr>
      </w:pPr>
      <w:r>
        <w:rPr>
          <w:sz w:val="24"/>
          <w:szCs w:val="24"/>
        </w:rPr>
        <w:t>Tesla’s ROA margin has increased significantly during the previous five years, rising parallel to ROE and peaking at 9.08% of the firm in 2020. Given these factors, Tesla is currently positioned to make money while lowering investment levels (</w:t>
      </w:r>
      <w:proofErr w:type="spellStart"/>
      <w:r>
        <w:rPr>
          <w:sz w:val="24"/>
          <w:szCs w:val="24"/>
        </w:rPr>
        <w:t>Siagian</w:t>
      </w:r>
      <w:proofErr w:type="spellEnd"/>
      <w:r>
        <w:rPr>
          <w:sz w:val="24"/>
          <w:szCs w:val="24"/>
        </w:rPr>
        <w:t xml:space="preserve"> et al., 2021).</w:t>
      </w:r>
    </w:p>
    <w:p w:rsidR="006E7D04" w:rsidRDefault="00CD0C6F">
      <w:pPr>
        <w:pStyle w:val="Heading1"/>
        <w:spacing w:before="160" w:line="360" w:lineRule="auto"/>
        <w:ind w:firstLine="861"/>
        <w:rPr>
          <w:sz w:val="24"/>
          <w:szCs w:val="24"/>
        </w:rPr>
      </w:pPr>
      <w:bookmarkStart w:id="35" w:name="_41mghml" w:colFirst="0" w:colLast="0"/>
      <w:bookmarkEnd w:id="35"/>
      <w:r>
        <w:rPr>
          <w:sz w:val="24"/>
          <w:szCs w:val="24"/>
        </w:rPr>
        <w:t>Profit Boundary</w:t>
      </w:r>
    </w:p>
    <w:p w:rsidR="006E7D04" w:rsidRDefault="00CD0C6F">
      <w:pPr>
        <w:widowControl/>
        <w:spacing w:line="360" w:lineRule="auto"/>
        <w:ind w:firstLine="720"/>
        <w:jc w:val="both"/>
        <w:rPr>
          <w:sz w:val="24"/>
          <w:szCs w:val="24"/>
        </w:rPr>
      </w:pPr>
      <w:r>
        <w:rPr>
          <w:sz w:val="24"/>
          <w:szCs w:val="24"/>
        </w:rPr>
        <w:t>Tesla’s profit margin has varied over the last five years, rising to 28.4% in 2021 and down to 16.56% in 2019. The primary reason for the smaller profit margin is that the determined sales value is not much more than the cost, indicating unpredictability and unexpected profitability. As a result, sales income decreases (</w:t>
      </w:r>
      <w:proofErr w:type="spellStart"/>
      <w:r>
        <w:rPr>
          <w:sz w:val="24"/>
          <w:szCs w:val="24"/>
        </w:rPr>
        <w:t>Kamaluddin</w:t>
      </w:r>
      <w:proofErr w:type="spellEnd"/>
      <w:r>
        <w:rPr>
          <w:sz w:val="24"/>
          <w:szCs w:val="24"/>
        </w:rPr>
        <w:t xml:space="preserve"> et al., 2019).</w:t>
      </w:r>
    </w:p>
    <w:p w:rsidR="006E7D04" w:rsidRDefault="00CD0C6F">
      <w:pPr>
        <w:pStyle w:val="Heading1"/>
        <w:spacing w:line="360" w:lineRule="auto"/>
        <w:ind w:firstLine="861"/>
        <w:rPr>
          <w:sz w:val="24"/>
          <w:szCs w:val="24"/>
        </w:rPr>
      </w:pPr>
      <w:bookmarkStart w:id="36" w:name="_2grqrue" w:colFirst="0" w:colLast="0"/>
      <w:bookmarkEnd w:id="36"/>
      <w:r>
        <w:rPr>
          <w:sz w:val="24"/>
          <w:szCs w:val="24"/>
        </w:rPr>
        <w:t>Cash Flow Relation</w:t>
      </w:r>
    </w:p>
    <w:p w:rsidR="006E7D04" w:rsidRDefault="006E7D04">
      <w:pPr>
        <w:pBdr>
          <w:top w:val="nil"/>
          <w:left w:val="nil"/>
          <w:bottom w:val="nil"/>
          <w:right w:val="nil"/>
          <w:between w:val="nil"/>
        </w:pBdr>
        <w:spacing w:before="8" w:line="360" w:lineRule="auto"/>
        <w:jc w:val="both"/>
        <w:rPr>
          <w:b/>
          <w:color w:val="000000"/>
          <w:sz w:val="24"/>
          <w:szCs w:val="24"/>
        </w:rPr>
      </w:pPr>
    </w:p>
    <w:p w:rsidR="006E7D04" w:rsidRDefault="00CD0C6F">
      <w:pPr>
        <w:pBdr>
          <w:top w:val="nil"/>
          <w:left w:val="nil"/>
          <w:bottom w:val="nil"/>
          <w:right w:val="nil"/>
          <w:between w:val="nil"/>
        </w:pBdr>
        <w:spacing w:before="1" w:line="360" w:lineRule="auto"/>
        <w:ind w:left="861"/>
        <w:jc w:val="both"/>
        <w:rPr>
          <w:color w:val="000000"/>
          <w:sz w:val="24"/>
          <w:szCs w:val="24"/>
        </w:rPr>
      </w:pPr>
      <w:r>
        <w:rPr>
          <w:color w:val="000000"/>
          <w:sz w:val="24"/>
          <w:szCs w:val="24"/>
        </w:rPr>
        <w:t>Table 5: Cash flow ratio of Tesla Inc.</w:t>
      </w:r>
    </w:p>
    <w:p w:rsidR="006E7D04" w:rsidRDefault="006E7D04">
      <w:pPr>
        <w:pBdr>
          <w:top w:val="nil"/>
          <w:left w:val="nil"/>
          <w:bottom w:val="nil"/>
          <w:right w:val="nil"/>
          <w:between w:val="nil"/>
        </w:pBdr>
        <w:spacing w:before="10" w:line="360" w:lineRule="auto"/>
        <w:jc w:val="both"/>
        <w:rPr>
          <w:color w:val="000000"/>
          <w:sz w:val="24"/>
          <w:szCs w:val="24"/>
        </w:rPr>
      </w:pPr>
    </w:p>
    <w:tbl>
      <w:tblPr>
        <w:tblStyle w:val="a3"/>
        <w:tblW w:w="9498" w:type="dxa"/>
        <w:tblInd w:w="605"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3404"/>
        <w:gridCol w:w="1134"/>
        <w:gridCol w:w="1274"/>
        <w:gridCol w:w="1276"/>
        <w:gridCol w:w="1276"/>
        <w:gridCol w:w="1134"/>
      </w:tblGrid>
      <w:tr w:rsidR="006E7D04">
        <w:trPr>
          <w:trHeight w:val="271"/>
        </w:trPr>
        <w:tc>
          <w:tcPr>
            <w:tcW w:w="34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Ratio/year</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2021</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2020</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2019</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2018</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2017</w:t>
            </w:r>
          </w:p>
        </w:tc>
      </w:tr>
      <w:tr w:rsidR="006E7D04">
        <w:trPr>
          <w:trHeight w:val="685"/>
        </w:trPr>
        <w:tc>
          <w:tcPr>
            <w:tcW w:w="34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Cash Flow   on Total Assets</w:t>
            </w:r>
          </w:p>
          <w:p w:rsidR="006E7D04" w:rsidRDefault="00CD0C6F">
            <w:pPr>
              <w:pBdr>
                <w:top w:val="nil"/>
                <w:left w:val="nil"/>
                <w:bottom w:val="nil"/>
                <w:right w:val="nil"/>
                <w:between w:val="nil"/>
              </w:pBdr>
              <w:spacing w:before="138" w:line="360" w:lineRule="auto"/>
              <w:ind w:left="115"/>
              <w:jc w:val="both"/>
              <w:rPr>
                <w:b/>
                <w:color w:val="000000"/>
                <w:sz w:val="24"/>
                <w:szCs w:val="24"/>
              </w:rPr>
            </w:pPr>
            <w:r>
              <w:rPr>
                <w:b/>
                <w:color w:val="000000"/>
                <w:sz w:val="24"/>
                <w:szCs w:val="24"/>
              </w:rPr>
              <w:t>Ratio</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0.201</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0.137</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0.075</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0.072</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-0.002</w:t>
            </w:r>
          </w:p>
        </w:tc>
      </w:tr>
      <w:tr w:rsidR="006E7D04">
        <w:trPr>
          <w:trHeight w:val="271"/>
        </w:trPr>
        <w:tc>
          <w:tcPr>
            <w:tcW w:w="34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Cash Flow on Sales Ratio</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0.21</w:t>
            </w:r>
          </w:p>
        </w:tc>
        <w:tc>
          <w:tcPr>
            <w:tcW w:w="127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0.19</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0.10</w:t>
            </w:r>
          </w:p>
        </w:tc>
        <w:tc>
          <w:tcPr>
            <w:tcW w:w="127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0.10</w:t>
            </w:r>
          </w:p>
        </w:tc>
        <w:tc>
          <w:tcPr>
            <w:tcW w:w="113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-0.01</w:t>
            </w:r>
          </w:p>
        </w:tc>
      </w:tr>
    </w:tbl>
    <w:p w:rsidR="006E7D04" w:rsidRDefault="006E7D04">
      <w:pPr>
        <w:pBdr>
          <w:top w:val="nil"/>
          <w:left w:val="nil"/>
          <w:bottom w:val="nil"/>
          <w:right w:val="nil"/>
          <w:between w:val="nil"/>
        </w:pBdr>
        <w:spacing w:line="360" w:lineRule="auto"/>
        <w:jc w:val="both"/>
        <w:rPr>
          <w:color w:val="000000"/>
          <w:sz w:val="24"/>
          <w:szCs w:val="24"/>
        </w:rPr>
      </w:pPr>
    </w:p>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Style w:val="Heading1"/>
        <w:spacing w:before="0" w:line="360" w:lineRule="auto"/>
        <w:ind w:firstLine="861"/>
        <w:rPr>
          <w:sz w:val="24"/>
          <w:szCs w:val="24"/>
        </w:rPr>
      </w:pPr>
      <w:bookmarkStart w:id="37" w:name="_vx1227" w:colFirst="0" w:colLast="0"/>
      <w:bookmarkEnd w:id="37"/>
      <w:r>
        <w:rPr>
          <w:sz w:val="24"/>
          <w:szCs w:val="24"/>
        </w:rPr>
        <w:t>Cash flow on whole assets ratio</w:t>
      </w:r>
    </w:p>
    <w:p w:rsidR="006E7D04" w:rsidRDefault="00CD0C6F">
      <w:pPr>
        <w:widowControl/>
        <w:spacing w:line="360" w:lineRule="auto"/>
        <w:ind w:firstLine="720"/>
        <w:jc w:val="both"/>
        <w:rPr>
          <w:sz w:val="24"/>
          <w:szCs w:val="24"/>
        </w:rPr>
      </w:pPr>
      <w:r>
        <w:rPr>
          <w:sz w:val="24"/>
          <w:szCs w:val="24"/>
        </w:rPr>
        <w:t>This ratio evaluates the efficiency of a company by comparing cash flows to assets without intervention or revenue recognition. As a result, it was found that for Tesla, the cash flow to balance sheet ratio increased gradually over five years. Moreover, the association recorded the highest margin of 0.201 in 2021. A relatively high increase in the total assets ratio indicates that Tesla is successfully using its cash flow without affecting sales growth (</w:t>
      </w:r>
      <w:proofErr w:type="spellStart"/>
      <w:r>
        <w:rPr>
          <w:sz w:val="24"/>
          <w:szCs w:val="24"/>
        </w:rPr>
        <w:t>Kamaluddin</w:t>
      </w:r>
      <w:proofErr w:type="spellEnd"/>
      <w:r>
        <w:rPr>
          <w:sz w:val="24"/>
          <w:szCs w:val="24"/>
        </w:rPr>
        <w:t xml:space="preserve"> et al., 2019).</w:t>
      </w:r>
    </w:p>
    <w:p w:rsidR="006E7D04" w:rsidRDefault="00CD0C6F">
      <w:pPr>
        <w:pStyle w:val="Heading1"/>
        <w:spacing w:line="360" w:lineRule="auto"/>
        <w:ind w:firstLine="861"/>
        <w:rPr>
          <w:sz w:val="24"/>
          <w:szCs w:val="24"/>
        </w:rPr>
      </w:pPr>
      <w:bookmarkStart w:id="38" w:name="_3fwokq0" w:colFirst="0" w:colLast="0"/>
      <w:bookmarkEnd w:id="38"/>
      <w:r>
        <w:rPr>
          <w:sz w:val="24"/>
          <w:szCs w:val="24"/>
        </w:rPr>
        <w:t>Cash Flow to Auctions Ratio</w:t>
      </w:r>
    </w:p>
    <w:p w:rsidR="006E7D04" w:rsidRDefault="00CD0C6F">
      <w:pPr>
        <w:widowControl/>
        <w:spacing w:line="360" w:lineRule="auto"/>
        <w:ind w:firstLine="720"/>
        <w:jc w:val="both"/>
        <w:rPr>
          <w:sz w:val="24"/>
          <w:szCs w:val="24"/>
        </w:rPr>
        <w:sectPr w:rsidR="006E7D04">
          <w:pgSz w:w="11900" w:h="16840"/>
          <w:pgMar w:top="1380" w:right="1100" w:bottom="1180" w:left="580" w:header="0" w:footer="999" w:gutter="0"/>
          <w:cols w:space="720"/>
        </w:sectPr>
      </w:pPr>
      <w:r>
        <w:rPr>
          <w:sz w:val="24"/>
          <w:szCs w:val="24"/>
        </w:rPr>
        <w:t>On the other hand, this ratio shows how successfully the company generates cash flow compared to sales. Importantly, Tesla’s working capital as a percentage of sales has gradually increased over the past five years. Moreover, Tesla’s cash flow to sales margin ratio in 2021 was 0.21, which is the highest (</w:t>
      </w:r>
      <w:proofErr w:type="spellStart"/>
      <w:r>
        <w:rPr>
          <w:sz w:val="24"/>
          <w:szCs w:val="24"/>
        </w:rPr>
        <w:t>Kamaluddin</w:t>
      </w:r>
      <w:proofErr w:type="spellEnd"/>
      <w:r>
        <w:rPr>
          <w:sz w:val="24"/>
          <w:szCs w:val="24"/>
        </w:rPr>
        <w:t xml:space="preserve"> et al., 2019). This higher and higher limit indicates that Tesla is operating efficiently and is able to convert revenue into cash.</w:t>
      </w:r>
    </w:p>
    <w:p w:rsidR="006E7D04" w:rsidRDefault="00CD0C6F">
      <w:pPr>
        <w:pStyle w:val="Heading1"/>
        <w:numPr>
          <w:ilvl w:val="1"/>
          <w:numId w:val="1"/>
        </w:numPr>
        <w:tabs>
          <w:tab w:val="left" w:pos="1282"/>
        </w:tabs>
        <w:spacing w:before="60" w:line="360" w:lineRule="auto"/>
        <w:rPr>
          <w:color w:val="000009"/>
          <w:sz w:val="24"/>
          <w:szCs w:val="24"/>
        </w:rPr>
      </w:pPr>
      <w:bookmarkStart w:id="39" w:name="1v1yuxt" w:colFirst="0" w:colLast="0"/>
      <w:bookmarkStart w:id="40" w:name="_4f1mdlm" w:colFirst="0" w:colLast="0"/>
      <w:bookmarkEnd w:id="39"/>
      <w:bookmarkEnd w:id="40"/>
      <w:r>
        <w:rPr>
          <w:color w:val="000009"/>
          <w:sz w:val="24"/>
          <w:szCs w:val="24"/>
        </w:rPr>
        <w:t>comparison of Tesla with the major competitors</w:t>
      </w:r>
    </w:p>
    <w:p w:rsidR="006E7D04" w:rsidRDefault="00CD0C6F">
      <w:pPr>
        <w:widowControl/>
        <w:spacing w:line="360" w:lineRule="auto"/>
        <w:ind w:firstLine="720"/>
        <w:jc w:val="both"/>
        <w:rPr>
          <w:sz w:val="24"/>
          <w:szCs w:val="24"/>
        </w:rPr>
      </w:pPr>
      <w:r>
        <w:rPr>
          <w:sz w:val="24"/>
          <w:szCs w:val="24"/>
        </w:rPr>
        <w:t>Nissan is Tesla’s biggest competitor; it is a major worldwide carmaker and the world’s largest manufacturer of electric vehicles. Nissan offers a broad choice of Branding in more than 191 countries across the world owing to ingenuity in their goods and services (Yang, 2022). Nissan is without a doubt a major producer of electric vehicles, with global sales of more than 320,000 EVs in April 2018, compared to Tesla’s global sales of 100,000 to 150,000 EVs in the same month. Nissan’s intelligent mobility promi</w:t>
      </w:r>
      <w:r>
        <w:rPr>
          <w:sz w:val="24"/>
          <w:szCs w:val="24"/>
        </w:rPr>
        <w:t>ses that consumers would engage in a seamless driving experience in which a customer would feel greater freedom and the car would become its partner (Yang, 2022).</w:t>
      </w:r>
    </w:p>
    <w:p w:rsidR="006E7D04" w:rsidRDefault="00CD0C6F">
      <w:pPr>
        <w:pStyle w:val="Heading1"/>
        <w:numPr>
          <w:ilvl w:val="2"/>
          <w:numId w:val="1"/>
        </w:numPr>
        <w:tabs>
          <w:tab w:val="left" w:pos="1492"/>
        </w:tabs>
        <w:spacing w:line="360" w:lineRule="auto"/>
        <w:ind w:left="1492" w:hanging="631"/>
        <w:rPr>
          <w:color w:val="000009"/>
          <w:sz w:val="24"/>
          <w:szCs w:val="24"/>
        </w:rPr>
      </w:pPr>
      <w:bookmarkStart w:id="41" w:name="2u6wntf" w:colFirst="0" w:colLast="0"/>
      <w:bookmarkStart w:id="42" w:name="_19c6y18" w:colFirst="0" w:colLast="0"/>
      <w:bookmarkEnd w:id="41"/>
      <w:bookmarkEnd w:id="42"/>
      <w:r>
        <w:rPr>
          <w:color w:val="000009"/>
          <w:sz w:val="24"/>
          <w:szCs w:val="24"/>
        </w:rPr>
        <w:t>Future Competition</w:t>
      </w:r>
    </w:p>
    <w:p w:rsidR="006E7D04" w:rsidRDefault="00CD0C6F">
      <w:pPr>
        <w:widowControl/>
        <w:spacing w:after="240" w:line="360" w:lineRule="auto"/>
        <w:ind w:firstLine="720"/>
        <w:jc w:val="both"/>
        <w:rPr>
          <w:sz w:val="24"/>
          <w:szCs w:val="24"/>
        </w:rPr>
      </w:pPr>
      <w:r>
        <w:rPr>
          <w:sz w:val="24"/>
          <w:szCs w:val="24"/>
        </w:rPr>
        <w:t xml:space="preserve">Tesla indicated on its earnings call for the second quarter of 2021 that it will begin manufacturing its cyber truck (an EV pickup). They want to begin producing electric semi-tractors the following year. Ford and General Motors are already developing electric pickup trucks, so Tesla will face increased rivalry in the market. In 2021, both manufacturers announced that their well-known trucks would be available in all-electric variants. </w:t>
      </w:r>
    </w:p>
    <w:p w:rsidR="006E7D04" w:rsidRDefault="00CD0C6F">
      <w:pPr>
        <w:widowControl/>
        <w:spacing w:after="240" w:line="360" w:lineRule="auto"/>
        <w:ind w:firstLine="720"/>
        <w:jc w:val="both"/>
        <w:rPr>
          <w:sz w:val="24"/>
          <w:szCs w:val="24"/>
        </w:rPr>
      </w:pPr>
      <w:r>
        <w:rPr>
          <w:sz w:val="24"/>
          <w:szCs w:val="24"/>
        </w:rPr>
        <w:t>A 400-mile Chevrolet Silverado EV is currently in development, according to GM, although no release date has been announced. The Ford F-150 Lighting electric truck, which Ford says will enter the market next year, has up to 300 km of range..</w:t>
      </w:r>
    </w:p>
    <w:p w:rsidR="006E7D04" w:rsidRDefault="00CD0C6F">
      <w:pPr>
        <w:pStyle w:val="Heading1"/>
        <w:numPr>
          <w:ilvl w:val="1"/>
          <w:numId w:val="1"/>
        </w:numPr>
        <w:tabs>
          <w:tab w:val="left" w:pos="1279"/>
        </w:tabs>
        <w:spacing w:line="360" w:lineRule="auto"/>
        <w:ind w:left="1278" w:hanging="418"/>
        <w:rPr>
          <w:color w:val="000009"/>
          <w:sz w:val="24"/>
          <w:szCs w:val="24"/>
        </w:rPr>
      </w:pPr>
      <w:bookmarkStart w:id="43" w:name="3tbugp1" w:colFirst="0" w:colLast="0"/>
      <w:bookmarkStart w:id="44" w:name="_28h4qwu" w:colFirst="0" w:colLast="0"/>
      <w:bookmarkEnd w:id="43"/>
      <w:bookmarkEnd w:id="44"/>
      <w:r>
        <w:rPr>
          <w:color w:val="000009"/>
          <w:sz w:val="24"/>
          <w:szCs w:val="24"/>
        </w:rPr>
        <w:t>Tips to improve the financial management</w:t>
      </w:r>
    </w:p>
    <w:p w:rsidR="006E7D04" w:rsidRDefault="00CD0C6F">
      <w:pPr>
        <w:spacing w:line="360" w:lineRule="auto"/>
        <w:ind w:firstLine="720"/>
        <w:jc w:val="both"/>
        <w:rPr>
          <w:sz w:val="24"/>
          <w:szCs w:val="24"/>
        </w:rPr>
      </w:pPr>
      <w:r>
        <w:rPr>
          <w:sz w:val="24"/>
          <w:szCs w:val="24"/>
        </w:rPr>
        <w:t>To begin with, the company has a comprehensive business strategy that shows where the business is currently and where it plans to go in the coming years. Next, they must constantly monitor their financial situation. They need to know the bank balance, the amount of sales made and the amount of inventory to be purchased (Fang, 2022). Businesses that benefit from this will fail, even with the most favorable credit terms, if there is not enough money to cover day-to-day expenses such as paying employees and re</w:t>
      </w:r>
      <w:r>
        <w:rPr>
          <w:sz w:val="24"/>
          <w:szCs w:val="24"/>
        </w:rPr>
        <w:t xml:space="preserve">nt. They need to know the minimum of their business needs and make sure they don’t fall below it. If so, they must keep its current records. Venture capital comes with challenges that can cripple a small </w:t>
      </w:r>
      <w:proofErr w:type="spellStart"/>
      <w:r>
        <w:rPr>
          <w:sz w:val="24"/>
          <w:szCs w:val="24"/>
        </w:rPr>
        <w:t>organisation</w:t>
      </w:r>
      <w:proofErr w:type="spellEnd"/>
      <w:r>
        <w:rPr>
          <w:sz w:val="24"/>
          <w:szCs w:val="24"/>
        </w:rPr>
        <w:t xml:space="preserve">, but it is the most affordable form of financing for most small </w:t>
      </w:r>
      <w:proofErr w:type="spellStart"/>
      <w:r>
        <w:rPr>
          <w:sz w:val="24"/>
          <w:szCs w:val="24"/>
        </w:rPr>
        <w:t>organisations</w:t>
      </w:r>
      <w:proofErr w:type="spellEnd"/>
      <w:r>
        <w:rPr>
          <w:sz w:val="24"/>
          <w:szCs w:val="24"/>
        </w:rPr>
        <w:t>. Finally, they should deal with problems arising in case of overload to get quick help from experts. They could also take some steps to reduce the impact, such as evaluating how they can improve their cash flow manage</w:t>
      </w:r>
      <w:r>
        <w:rPr>
          <w:sz w:val="24"/>
          <w:szCs w:val="24"/>
        </w:rPr>
        <w:t>ment (Song, 2022).</w:t>
      </w:r>
    </w:p>
    <w:p w:rsidR="006E7D04" w:rsidRDefault="00CD0C6F">
      <w:pPr>
        <w:pStyle w:val="Heading1"/>
        <w:numPr>
          <w:ilvl w:val="1"/>
          <w:numId w:val="1"/>
        </w:numPr>
        <w:tabs>
          <w:tab w:val="left" w:pos="1282"/>
        </w:tabs>
        <w:spacing w:before="160" w:line="360" w:lineRule="auto"/>
        <w:rPr>
          <w:color w:val="000009"/>
          <w:sz w:val="24"/>
          <w:szCs w:val="24"/>
        </w:rPr>
      </w:pPr>
      <w:bookmarkStart w:id="45" w:name="nmf14n" w:colFirst="0" w:colLast="0"/>
      <w:bookmarkStart w:id="46" w:name="_37m2jsg" w:colFirst="0" w:colLast="0"/>
      <w:bookmarkEnd w:id="45"/>
      <w:bookmarkEnd w:id="46"/>
      <w:r>
        <w:rPr>
          <w:color w:val="000009"/>
          <w:sz w:val="24"/>
          <w:szCs w:val="24"/>
        </w:rPr>
        <w:t>Investment evaluation</w:t>
      </w:r>
    </w:p>
    <w:p w:rsidR="006E7D04" w:rsidRDefault="00CD0C6F">
      <w:pPr>
        <w:widowControl/>
        <w:spacing w:line="360" w:lineRule="auto"/>
        <w:ind w:firstLine="720"/>
        <w:jc w:val="both"/>
        <w:rPr>
          <w:sz w:val="24"/>
          <w:szCs w:val="24"/>
        </w:rPr>
      </w:pPr>
      <w:r>
        <w:rPr>
          <w:sz w:val="24"/>
          <w:szCs w:val="24"/>
        </w:rPr>
        <w:t>Investment assessment is the process by which investors and businesses decide whether or not an investment will be lucrative. Examples of methods for determining the viability and affordability of investing in new commodities, long-term initiatives, machinery, etc.</w:t>
      </w:r>
    </w:p>
    <w:p w:rsidR="006E7D04" w:rsidRDefault="00CD0C6F">
      <w:pPr>
        <w:pStyle w:val="Heading1"/>
        <w:tabs>
          <w:tab w:val="left" w:pos="1210"/>
        </w:tabs>
        <w:spacing w:before="160" w:line="360" w:lineRule="auto"/>
        <w:jc w:val="center"/>
        <w:rPr>
          <w:u w:val="single"/>
        </w:rPr>
      </w:pPr>
      <w:bookmarkStart w:id="47" w:name="_hbb1c3apmqf9" w:colFirst="0" w:colLast="0"/>
      <w:bookmarkEnd w:id="47"/>
      <w:r>
        <w:rPr>
          <w:u w:val="single"/>
        </w:rPr>
        <w:t>PART 3</w:t>
      </w:r>
    </w:p>
    <w:p w:rsidR="006E7D04" w:rsidRDefault="00CD0C6F">
      <w:pPr>
        <w:pBdr>
          <w:top w:val="nil"/>
          <w:left w:val="nil"/>
          <w:bottom w:val="nil"/>
          <w:right w:val="nil"/>
          <w:between w:val="nil"/>
        </w:pBdr>
        <w:tabs>
          <w:tab w:val="left" w:pos="1210"/>
        </w:tabs>
        <w:spacing w:before="160" w:line="360" w:lineRule="auto"/>
        <w:jc w:val="both"/>
        <w:rPr>
          <w:b/>
          <w:color w:val="000009"/>
          <w:sz w:val="24"/>
          <w:szCs w:val="24"/>
        </w:rPr>
      </w:pPr>
      <w:r>
        <w:rPr>
          <w:b/>
          <w:color w:val="000009"/>
          <w:sz w:val="24"/>
          <w:szCs w:val="24"/>
        </w:rPr>
        <w:t xml:space="preserve">3.1 </w:t>
      </w:r>
      <w:bookmarkStart w:id="48" w:name="1mrcu09" w:colFirst="0" w:colLast="0"/>
      <w:bookmarkEnd w:id="48"/>
      <w:r>
        <w:rPr>
          <w:b/>
          <w:color w:val="000009"/>
          <w:sz w:val="24"/>
          <w:szCs w:val="24"/>
        </w:rPr>
        <w:t>Advantages and disadvantages of the NPV, PBP, and ARR</w:t>
      </w:r>
    </w:p>
    <w:p w:rsidR="006E7D04" w:rsidRDefault="00CD0C6F">
      <w:pPr>
        <w:pStyle w:val="Heading1"/>
        <w:tabs>
          <w:tab w:val="left" w:pos="1492"/>
        </w:tabs>
        <w:spacing w:before="1" w:line="360" w:lineRule="auto"/>
        <w:ind w:left="0"/>
        <w:rPr>
          <w:color w:val="000009"/>
          <w:sz w:val="24"/>
          <w:szCs w:val="24"/>
        </w:rPr>
      </w:pPr>
      <w:bookmarkStart w:id="49" w:name="_2lwamvv" w:colFirst="0" w:colLast="0"/>
      <w:bookmarkEnd w:id="49"/>
      <w:r>
        <w:rPr>
          <w:color w:val="000009"/>
          <w:sz w:val="24"/>
          <w:szCs w:val="24"/>
        </w:rPr>
        <w:t xml:space="preserve">3.1.1 </w:t>
      </w:r>
      <w:bookmarkStart w:id="50" w:name="46r0co2" w:colFirst="0" w:colLast="0"/>
      <w:bookmarkEnd w:id="50"/>
      <w:r>
        <w:rPr>
          <w:color w:val="000009"/>
          <w:sz w:val="24"/>
          <w:szCs w:val="24"/>
        </w:rPr>
        <w:t>Rewards of using Net Current Worth</w:t>
      </w:r>
    </w:p>
    <w:p w:rsidR="006E7D04" w:rsidRDefault="00CD0C6F">
      <w:pPr>
        <w:widowControl/>
        <w:spacing w:line="360" w:lineRule="auto"/>
        <w:ind w:firstLine="720"/>
        <w:jc w:val="both"/>
        <w:rPr>
          <w:sz w:val="24"/>
          <w:szCs w:val="24"/>
        </w:rPr>
      </w:pPr>
      <w:r>
        <w:rPr>
          <w:sz w:val="24"/>
          <w:szCs w:val="24"/>
        </w:rPr>
        <w:t>The primary benefit of using net present value is that it incorporates the notion of money’s time value, which asserts that a paper dollar is worth more than a dollar tomorrow owing to its earning potential (Song, 2022). The NPV calculation considers the projected net cash flows from investment to viabilities. The NPV approach streamlines business decision-making. It aids in not only assessing small-scale efforts, but also determining if a certain investment is worthwhile or not (</w:t>
      </w:r>
      <w:proofErr w:type="spellStart"/>
      <w:r>
        <w:rPr>
          <w:sz w:val="24"/>
          <w:szCs w:val="24"/>
        </w:rPr>
        <w:t>Gafarov</w:t>
      </w:r>
      <w:proofErr w:type="spellEnd"/>
      <w:r>
        <w:rPr>
          <w:sz w:val="24"/>
          <w:szCs w:val="24"/>
        </w:rPr>
        <w:t>, 2019).</w:t>
      </w:r>
    </w:p>
    <w:p w:rsidR="006E7D04" w:rsidRDefault="00CD0C6F">
      <w:pPr>
        <w:pStyle w:val="Heading1"/>
        <w:tabs>
          <w:tab w:val="left" w:pos="1492"/>
        </w:tabs>
        <w:spacing w:line="360" w:lineRule="auto"/>
        <w:ind w:left="0"/>
        <w:rPr>
          <w:color w:val="000009"/>
          <w:sz w:val="24"/>
          <w:szCs w:val="24"/>
        </w:rPr>
      </w:pPr>
      <w:bookmarkStart w:id="51" w:name="_3l18frh" w:colFirst="0" w:colLast="0"/>
      <w:bookmarkEnd w:id="51"/>
      <w:r>
        <w:rPr>
          <w:color w:val="000009"/>
          <w:sz w:val="24"/>
          <w:szCs w:val="24"/>
        </w:rPr>
        <w:t xml:space="preserve">3.1.2 </w:t>
      </w:r>
      <w:bookmarkStart w:id="52" w:name="111kx3o" w:colFirst="0" w:colLast="0"/>
      <w:bookmarkEnd w:id="52"/>
      <w:r>
        <w:rPr>
          <w:color w:val="000009"/>
          <w:sz w:val="24"/>
          <w:szCs w:val="24"/>
        </w:rPr>
        <w:t>Difficulties of using Remaining Current Worth</w:t>
      </w:r>
    </w:p>
    <w:p w:rsidR="006E7D04" w:rsidRDefault="00CD0C6F">
      <w:pPr>
        <w:widowControl/>
        <w:spacing w:line="360" w:lineRule="auto"/>
        <w:ind w:firstLine="720"/>
        <w:jc w:val="both"/>
        <w:rPr>
          <w:sz w:val="24"/>
          <w:szCs w:val="24"/>
        </w:rPr>
      </w:pPr>
      <w:r>
        <w:rPr>
          <w:sz w:val="24"/>
          <w:szCs w:val="24"/>
        </w:rPr>
        <w:t>The whole net present value computation relies on the present value of future cash flows being discounted at the required rate of return. There are no formulas for figuring out this rate. The associations have the last say over the percentage numbers, therefore an erroneous NPV might occasionally arise from an improper rate return. The inability of NPV to compare projects of different sizes is another drawback. Rather than being expressed as a percentage, the net present value (NPV) is a fixed sum. Therefor</w:t>
      </w:r>
      <w:r>
        <w:rPr>
          <w:sz w:val="24"/>
          <w:szCs w:val="24"/>
        </w:rPr>
        <w:t>e, the net current value (NPV) of larger projects is typically higher than that of smaller ones (</w:t>
      </w:r>
      <w:proofErr w:type="spellStart"/>
      <w:r>
        <w:rPr>
          <w:sz w:val="24"/>
          <w:szCs w:val="24"/>
        </w:rPr>
        <w:t>Gafarov</w:t>
      </w:r>
      <w:proofErr w:type="spellEnd"/>
      <w:r>
        <w:rPr>
          <w:sz w:val="24"/>
          <w:szCs w:val="24"/>
        </w:rPr>
        <w:t>, 2019).</w:t>
      </w:r>
    </w:p>
    <w:p w:rsidR="006E7D04" w:rsidRDefault="00CD0C6F">
      <w:pPr>
        <w:pStyle w:val="Heading1"/>
        <w:tabs>
          <w:tab w:val="left" w:pos="1478"/>
        </w:tabs>
        <w:spacing w:line="360" w:lineRule="auto"/>
        <w:ind w:left="0"/>
        <w:rPr>
          <w:color w:val="000009"/>
          <w:sz w:val="24"/>
          <w:szCs w:val="24"/>
        </w:rPr>
      </w:pPr>
      <w:bookmarkStart w:id="53" w:name="_4k668n3" w:colFirst="0" w:colLast="0"/>
      <w:bookmarkEnd w:id="53"/>
      <w:r>
        <w:rPr>
          <w:color w:val="000009"/>
          <w:sz w:val="24"/>
          <w:szCs w:val="24"/>
        </w:rPr>
        <w:t xml:space="preserve">3.1.3 </w:t>
      </w:r>
      <w:bookmarkStart w:id="54" w:name="206ipza" w:colFirst="0" w:colLast="0"/>
      <w:bookmarkEnd w:id="54"/>
      <w:r>
        <w:rPr>
          <w:color w:val="000009"/>
          <w:sz w:val="24"/>
          <w:szCs w:val="24"/>
        </w:rPr>
        <w:t>Advantages of using the payback period</w:t>
      </w:r>
    </w:p>
    <w:p w:rsidR="006E7D04" w:rsidRDefault="00CD0C6F">
      <w:pPr>
        <w:widowControl/>
        <w:spacing w:line="360" w:lineRule="auto"/>
        <w:ind w:firstLine="720"/>
        <w:jc w:val="both"/>
        <w:rPr>
          <w:sz w:val="24"/>
          <w:szCs w:val="24"/>
        </w:rPr>
      </w:pPr>
      <w:r>
        <w:rPr>
          <w:sz w:val="24"/>
          <w:szCs w:val="24"/>
        </w:rPr>
        <w:t>In comparison to other capital budgeting approaches, this strategy is fairly simple to calculate and requires just a few data inputs. They only need the project’s initial cost and annual cash flows to calculate the PBP (</w:t>
      </w:r>
      <w:proofErr w:type="spellStart"/>
      <w:r>
        <w:rPr>
          <w:sz w:val="24"/>
          <w:szCs w:val="24"/>
        </w:rPr>
        <w:t>Musah</w:t>
      </w:r>
      <w:proofErr w:type="spellEnd"/>
      <w:r>
        <w:rPr>
          <w:sz w:val="24"/>
          <w:szCs w:val="24"/>
        </w:rPr>
        <w:t xml:space="preserve"> et al., 2018). Even when the inputs are the same, some strategies require extra assumptions. Managers can quickly calculate the PBP of projects since it requires fewer inputs and is simple to compute. The management may now make judgements slower, which is crucial due to restricted resources.</w:t>
      </w:r>
    </w:p>
    <w:p w:rsidR="006E7D04" w:rsidRDefault="00CD0C6F">
      <w:pPr>
        <w:pStyle w:val="Heading1"/>
        <w:tabs>
          <w:tab w:val="left" w:pos="1492"/>
        </w:tabs>
        <w:spacing w:before="160" w:line="360" w:lineRule="auto"/>
        <w:ind w:left="0"/>
        <w:rPr>
          <w:color w:val="000009"/>
          <w:sz w:val="24"/>
          <w:szCs w:val="24"/>
        </w:rPr>
      </w:pPr>
      <w:bookmarkStart w:id="55" w:name="_1egqt2p" w:colFirst="0" w:colLast="0"/>
      <w:bookmarkEnd w:id="55"/>
      <w:r>
        <w:rPr>
          <w:color w:val="000009"/>
          <w:sz w:val="24"/>
          <w:szCs w:val="24"/>
        </w:rPr>
        <w:t xml:space="preserve">3.1.4 </w:t>
      </w:r>
      <w:bookmarkStart w:id="56" w:name="2zbgiuw" w:colFirst="0" w:colLast="0"/>
      <w:bookmarkEnd w:id="56"/>
      <w:r>
        <w:rPr>
          <w:color w:val="000009"/>
          <w:sz w:val="24"/>
          <w:szCs w:val="24"/>
        </w:rPr>
        <w:t>Disadvantage of using the Payback Period</w:t>
      </w:r>
    </w:p>
    <w:p w:rsidR="006E7D04" w:rsidRDefault="00CD0C6F">
      <w:pPr>
        <w:widowControl/>
        <w:spacing w:line="360" w:lineRule="auto"/>
        <w:ind w:firstLine="720"/>
        <w:jc w:val="both"/>
        <w:rPr>
          <w:sz w:val="24"/>
          <w:szCs w:val="24"/>
        </w:rPr>
      </w:pPr>
      <w:r>
        <w:rPr>
          <w:sz w:val="24"/>
          <w:szCs w:val="24"/>
        </w:rPr>
        <w:t>It ignores the time value of money, which is a critical business fundamental. This is one of the key downsides of payback time in terms of monetary value. According to the money value theory, money earned early is more valuable than money received later because it has the potential to create further returns through investment. This method solely examines cash flows until the initial investment is repaid. It does not account for the cash flows of the subsequent year (</w:t>
      </w:r>
      <w:proofErr w:type="spellStart"/>
      <w:r>
        <w:rPr>
          <w:sz w:val="24"/>
          <w:szCs w:val="24"/>
        </w:rPr>
        <w:t>Musah</w:t>
      </w:r>
      <w:proofErr w:type="spellEnd"/>
      <w:r>
        <w:rPr>
          <w:sz w:val="24"/>
          <w:szCs w:val="24"/>
        </w:rPr>
        <w:t xml:space="preserve"> et al., 2018).</w:t>
      </w:r>
    </w:p>
    <w:p w:rsidR="006E7D04" w:rsidRDefault="00CD0C6F">
      <w:pPr>
        <w:pStyle w:val="Heading1"/>
        <w:tabs>
          <w:tab w:val="left" w:pos="1492"/>
        </w:tabs>
        <w:spacing w:line="360" w:lineRule="auto"/>
        <w:ind w:left="0"/>
        <w:rPr>
          <w:color w:val="000009"/>
          <w:sz w:val="24"/>
          <w:szCs w:val="24"/>
        </w:rPr>
      </w:pPr>
      <w:bookmarkStart w:id="57" w:name="_2dlolyb" w:colFirst="0" w:colLast="0"/>
      <w:bookmarkEnd w:id="57"/>
      <w:r>
        <w:rPr>
          <w:color w:val="000009"/>
          <w:sz w:val="24"/>
          <w:szCs w:val="24"/>
        </w:rPr>
        <w:t xml:space="preserve">3.1.5 </w:t>
      </w:r>
      <w:bookmarkStart w:id="58" w:name="3ygebqi" w:colFirst="0" w:colLast="0"/>
      <w:bookmarkEnd w:id="58"/>
      <w:r>
        <w:rPr>
          <w:color w:val="000009"/>
          <w:sz w:val="24"/>
          <w:szCs w:val="24"/>
        </w:rPr>
        <w:t>Rewards of Secretarial Rate of Reappearance</w:t>
      </w:r>
    </w:p>
    <w:p w:rsidR="006E7D04" w:rsidRDefault="00CD0C6F">
      <w:pPr>
        <w:widowControl/>
        <w:spacing w:line="360" w:lineRule="auto"/>
        <w:ind w:firstLine="720"/>
        <w:jc w:val="both"/>
        <w:rPr>
          <w:sz w:val="24"/>
          <w:szCs w:val="24"/>
        </w:rPr>
      </w:pPr>
      <w:r>
        <w:rPr>
          <w:sz w:val="24"/>
          <w:szCs w:val="24"/>
        </w:rPr>
        <w:t>This is a simple approach that quickly determines the return by using the revenues from an investment. Over the program’s economic life, the payback pattern is simple to comprehend and calculate. It illustrates the profitability of an investment and aids in calculating the current performance of any project (</w:t>
      </w:r>
      <w:proofErr w:type="spellStart"/>
      <w:r>
        <w:rPr>
          <w:sz w:val="24"/>
          <w:szCs w:val="24"/>
        </w:rPr>
        <w:t>Musah</w:t>
      </w:r>
      <w:proofErr w:type="spellEnd"/>
      <w:r>
        <w:rPr>
          <w:sz w:val="24"/>
          <w:szCs w:val="24"/>
        </w:rPr>
        <w:t xml:space="preserve"> et al., 2018). This approach makes it possible to evaluate a large number of really competitive offers. Those who invest in securities should employ this method more frequently to assess their choices.</w:t>
      </w:r>
    </w:p>
    <w:p w:rsidR="006E7D04" w:rsidRDefault="00CD0C6F">
      <w:pPr>
        <w:pStyle w:val="Heading1"/>
        <w:tabs>
          <w:tab w:val="left" w:pos="1492"/>
        </w:tabs>
        <w:spacing w:line="360" w:lineRule="auto"/>
        <w:ind w:left="0"/>
        <w:rPr>
          <w:color w:val="000009"/>
          <w:sz w:val="24"/>
          <w:szCs w:val="24"/>
        </w:rPr>
      </w:pPr>
      <w:bookmarkStart w:id="59" w:name="_3cqmetx" w:colFirst="0" w:colLast="0"/>
      <w:bookmarkEnd w:id="59"/>
      <w:r>
        <w:rPr>
          <w:color w:val="000009"/>
          <w:sz w:val="24"/>
          <w:szCs w:val="24"/>
        </w:rPr>
        <w:t xml:space="preserve">3.1.6 </w:t>
      </w:r>
      <w:bookmarkStart w:id="60" w:name="sqyw64" w:colFirst="0" w:colLast="0"/>
      <w:bookmarkEnd w:id="60"/>
      <w:r>
        <w:rPr>
          <w:color w:val="000009"/>
          <w:sz w:val="24"/>
          <w:szCs w:val="24"/>
        </w:rPr>
        <w:t>Disadvantages of Accounting Rate of Return</w:t>
      </w:r>
    </w:p>
    <w:p w:rsidR="006E7D04" w:rsidRDefault="00CD0C6F">
      <w:pPr>
        <w:widowControl/>
        <w:spacing w:line="360" w:lineRule="auto"/>
        <w:ind w:firstLine="720"/>
        <w:jc w:val="both"/>
        <w:rPr>
          <w:sz w:val="24"/>
          <w:szCs w:val="24"/>
        </w:rPr>
      </w:pPr>
      <w:r>
        <w:rPr>
          <w:sz w:val="24"/>
          <w:szCs w:val="24"/>
        </w:rPr>
        <w:t xml:space="preserve">This approach is focused only on accounting earnings and overlooks other factors like taxes and inflows. It can’t be used to start a project in separate locations or at different times. The main drawback of this approach is that it disregards time. The value of money over time has a big impact on how sustainable an investment is. When working on several tasks, it might not produce the precise results needed. </w:t>
      </w:r>
      <w:proofErr w:type="spellStart"/>
      <w:r>
        <w:rPr>
          <w:sz w:val="24"/>
          <w:szCs w:val="24"/>
        </w:rPr>
        <w:t>Analysing</w:t>
      </w:r>
      <w:proofErr w:type="spellEnd"/>
      <w:r>
        <w:rPr>
          <w:sz w:val="24"/>
          <w:szCs w:val="24"/>
        </w:rPr>
        <w:t xml:space="preserve"> the same project via the lens of return on investment ignores both outcomes and exogenous influences. As a result, it is inappropriate for extensive and protracted tasks</w:t>
      </w:r>
      <w:r>
        <w:t xml:space="preserve"> (Lu, Shon and Zhang, 2020).</w:t>
      </w:r>
    </w:p>
    <w:p w:rsidR="006E7D04" w:rsidRDefault="006E7D04">
      <w:pPr>
        <w:pBdr>
          <w:top w:val="nil"/>
          <w:left w:val="nil"/>
          <w:bottom w:val="nil"/>
          <w:right w:val="nil"/>
          <w:between w:val="nil"/>
        </w:pBdr>
        <w:spacing w:before="10" w:line="360" w:lineRule="auto"/>
        <w:jc w:val="both"/>
        <w:rPr>
          <w:color w:val="000000"/>
          <w:sz w:val="24"/>
          <w:szCs w:val="24"/>
        </w:rPr>
      </w:pPr>
    </w:p>
    <w:p w:rsidR="006E7D04" w:rsidRDefault="00CD0C6F">
      <w:pPr>
        <w:pBdr>
          <w:top w:val="nil"/>
          <w:left w:val="nil"/>
          <w:bottom w:val="nil"/>
          <w:right w:val="nil"/>
          <w:between w:val="nil"/>
        </w:pBdr>
        <w:tabs>
          <w:tab w:val="left" w:pos="1222"/>
        </w:tabs>
        <w:spacing w:line="360" w:lineRule="auto"/>
        <w:jc w:val="both"/>
        <w:rPr>
          <w:b/>
          <w:color w:val="000009"/>
          <w:sz w:val="24"/>
          <w:szCs w:val="24"/>
        </w:rPr>
      </w:pPr>
      <w:r>
        <w:rPr>
          <w:b/>
          <w:color w:val="000009"/>
          <w:sz w:val="24"/>
          <w:szCs w:val="24"/>
        </w:rPr>
        <w:t xml:space="preserve">3.2 </w:t>
      </w:r>
      <w:bookmarkStart w:id="61" w:name="1rvwp1q" w:colFirst="0" w:colLast="0"/>
      <w:bookmarkEnd w:id="61"/>
      <w:r>
        <w:rPr>
          <w:b/>
          <w:color w:val="000009"/>
          <w:sz w:val="24"/>
          <w:szCs w:val="24"/>
        </w:rPr>
        <w:t>Evaluation</w:t>
      </w:r>
    </w:p>
    <w:p w:rsidR="006E7D04" w:rsidRDefault="006E7D04">
      <w:pPr>
        <w:pBdr>
          <w:top w:val="nil"/>
          <w:left w:val="nil"/>
          <w:bottom w:val="nil"/>
          <w:right w:val="nil"/>
          <w:between w:val="nil"/>
        </w:pBdr>
        <w:spacing w:before="11" w:line="360" w:lineRule="auto"/>
        <w:jc w:val="both"/>
        <w:rPr>
          <w:b/>
          <w:color w:val="000000"/>
          <w:sz w:val="24"/>
          <w:szCs w:val="24"/>
        </w:rPr>
      </w:pPr>
    </w:p>
    <w:p w:rsidR="006E7D04" w:rsidRDefault="00CD0C6F">
      <w:pPr>
        <w:pBdr>
          <w:top w:val="nil"/>
          <w:left w:val="nil"/>
          <w:bottom w:val="nil"/>
          <w:right w:val="nil"/>
          <w:between w:val="nil"/>
        </w:pBdr>
        <w:tabs>
          <w:tab w:val="left" w:pos="1402"/>
        </w:tabs>
        <w:spacing w:line="360" w:lineRule="auto"/>
        <w:jc w:val="both"/>
        <w:rPr>
          <w:b/>
          <w:color w:val="000009"/>
          <w:sz w:val="24"/>
          <w:szCs w:val="24"/>
        </w:rPr>
      </w:pPr>
      <w:r>
        <w:rPr>
          <w:b/>
          <w:color w:val="000009"/>
          <w:sz w:val="24"/>
          <w:szCs w:val="24"/>
        </w:rPr>
        <w:t xml:space="preserve">3.2.1 </w:t>
      </w:r>
      <w:bookmarkStart w:id="62" w:name="4bvk7pj" w:colFirst="0" w:colLast="0"/>
      <w:bookmarkEnd w:id="62"/>
      <w:r>
        <w:rPr>
          <w:b/>
          <w:color w:val="000009"/>
          <w:sz w:val="24"/>
          <w:szCs w:val="24"/>
        </w:rPr>
        <w:t>Net present value</w:t>
      </w:r>
    </w:p>
    <w:p w:rsidR="006E7D04" w:rsidRDefault="00CD0C6F">
      <w:pPr>
        <w:widowControl/>
        <w:spacing w:line="360" w:lineRule="auto"/>
        <w:jc w:val="both"/>
        <w:rPr>
          <w:sz w:val="24"/>
          <w:szCs w:val="24"/>
        </w:rPr>
      </w:pPr>
      <w:r>
        <w:rPr>
          <w:sz w:val="24"/>
          <w:szCs w:val="24"/>
        </w:rPr>
        <w:t xml:space="preserve">Net current value (NPV), a rummage-sale approach, is used to calculate the present worth of a future stream of expenditure from an investment, firm, or strategy. They had to estimate the amount and quality of future cash flows and select a discount rate equivalent to the lowest permitted rate of return in order to compute net present value (NPV) (Lu et al., 2020). Then business B is more profitable than company A, they should hire company B for the position. Since business B has an average NPV of 3.4 while </w:t>
      </w:r>
      <w:r>
        <w:rPr>
          <w:sz w:val="24"/>
          <w:szCs w:val="24"/>
        </w:rPr>
        <w:t>company A has an average NPV of 2.71, company B is selected.</w:t>
      </w:r>
    </w:p>
    <w:p w:rsidR="006E7D04" w:rsidRDefault="006E7D04">
      <w:pPr>
        <w:tabs>
          <w:tab w:val="left" w:pos="1402"/>
        </w:tabs>
        <w:spacing w:line="360" w:lineRule="auto"/>
        <w:rPr>
          <w:b/>
          <w:color w:val="000009"/>
          <w:sz w:val="24"/>
          <w:szCs w:val="24"/>
        </w:rPr>
      </w:pPr>
    </w:p>
    <w:p w:rsidR="006E7D04" w:rsidRDefault="006E7D04">
      <w:pPr>
        <w:pBdr>
          <w:top w:val="nil"/>
          <w:left w:val="nil"/>
          <w:bottom w:val="nil"/>
          <w:right w:val="nil"/>
          <w:between w:val="nil"/>
        </w:pBdr>
        <w:spacing w:line="360" w:lineRule="auto"/>
        <w:jc w:val="both"/>
        <w:rPr>
          <w:b/>
          <w:color w:val="000000"/>
          <w:sz w:val="24"/>
          <w:szCs w:val="24"/>
        </w:rPr>
      </w:pPr>
    </w:p>
    <w:tbl>
      <w:tblPr>
        <w:tblStyle w:val="a4"/>
        <w:tblW w:w="9014" w:type="dxa"/>
        <w:tblInd w:w="754"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000" w:firstRow="0" w:lastRow="0" w:firstColumn="0" w:lastColumn="0" w:noHBand="0" w:noVBand="0"/>
      </w:tblPr>
      <w:tblGrid>
        <w:gridCol w:w="3004"/>
        <w:gridCol w:w="3006"/>
        <w:gridCol w:w="3004"/>
      </w:tblGrid>
      <w:tr w:rsidR="006E7D04">
        <w:trPr>
          <w:trHeight w:val="270"/>
        </w:trPr>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b/>
                <w:color w:val="000000"/>
                <w:sz w:val="24"/>
                <w:szCs w:val="24"/>
              </w:rPr>
            </w:pPr>
            <w:r>
              <w:rPr>
                <w:b/>
                <w:color w:val="000000"/>
                <w:sz w:val="24"/>
                <w:szCs w:val="24"/>
              </w:rPr>
              <w:t>Year</w:t>
            </w:r>
          </w:p>
        </w:tc>
        <w:tc>
          <w:tcPr>
            <w:tcW w:w="300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b/>
                <w:color w:val="000000"/>
                <w:sz w:val="24"/>
                <w:szCs w:val="24"/>
              </w:rPr>
            </w:pPr>
            <w:r>
              <w:rPr>
                <w:b/>
                <w:color w:val="000000"/>
                <w:sz w:val="24"/>
                <w:szCs w:val="24"/>
              </w:rPr>
              <w:t>A</w:t>
            </w:r>
          </w:p>
        </w:tc>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b/>
                <w:color w:val="000000"/>
                <w:sz w:val="24"/>
                <w:szCs w:val="24"/>
              </w:rPr>
            </w:pPr>
            <w:r>
              <w:rPr>
                <w:b/>
                <w:color w:val="000000"/>
                <w:sz w:val="24"/>
                <w:szCs w:val="24"/>
              </w:rPr>
              <w:t>B</w:t>
            </w:r>
          </w:p>
        </w:tc>
      </w:tr>
      <w:tr w:rsidR="006E7D04">
        <w:trPr>
          <w:trHeight w:val="271"/>
        </w:trPr>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1</w:t>
            </w:r>
          </w:p>
        </w:tc>
        <w:tc>
          <w:tcPr>
            <w:tcW w:w="300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0</w:t>
            </w:r>
          </w:p>
        </w:tc>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13.42</w:t>
            </w:r>
          </w:p>
        </w:tc>
      </w:tr>
      <w:tr w:rsidR="006E7D04">
        <w:trPr>
          <w:trHeight w:val="270"/>
        </w:trPr>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2</w:t>
            </w:r>
          </w:p>
        </w:tc>
        <w:tc>
          <w:tcPr>
            <w:tcW w:w="300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12</w:t>
            </w:r>
          </w:p>
        </w:tc>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13</w:t>
            </w:r>
          </w:p>
        </w:tc>
      </w:tr>
      <w:tr w:rsidR="006E7D04">
        <w:trPr>
          <w:trHeight w:val="270"/>
        </w:trPr>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3</w:t>
            </w:r>
          </w:p>
        </w:tc>
        <w:tc>
          <w:tcPr>
            <w:tcW w:w="300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14.31</w:t>
            </w:r>
          </w:p>
        </w:tc>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11.73</w:t>
            </w:r>
          </w:p>
        </w:tc>
      </w:tr>
      <w:tr w:rsidR="006E7D04">
        <w:trPr>
          <w:trHeight w:val="270"/>
        </w:trPr>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2"/>
              <w:jc w:val="both"/>
              <w:rPr>
                <w:color w:val="000000"/>
                <w:sz w:val="24"/>
                <w:szCs w:val="24"/>
              </w:rPr>
            </w:pPr>
            <w:r>
              <w:rPr>
                <w:color w:val="000000"/>
                <w:sz w:val="24"/>
                <w:szCs w:val="24"/>
              </w:rPr>
              <w:t>4</w:t>
            </w:r>
          </w:p>
        </w:tc>
        <w:tc>
          <w:tcPr>
            <w:tcW w:w="3006"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5"/>
              <w:jc w:val="both"/>
              <w:rPr>
                <w:color w:val="000000"/>
                <w:sz w:val="24"/>
                <w:szCs w:val="24"/>
              </w:rPr>
            </w:pPr>
            <w:r>
              <w:rPr>
                <w:color w:val="000000"/>
                <w:sz w:val="24"/>
                <w:szCs w:val="24"/>
              </w:rPr>
              <w:t>6.400</w:t>
            </w:r>
          </w:p>
        </w:tc>
        <w:tc>
          <w:tcPr>
            <w:tcW w:w="3004" w:type="dxa"/>
            <w:tcBorders>
              <w:left w:val="single" w:sz="4" w:space="0" w:color="000009"/>
              <w:right w:val="single" w:sz="4" w:space="0" w:color="000009"/>
            </w:tcBorders>
          </w:tcPr>
          <w:p w:rsidR="006E7D04" w:rsidRDefault="00CD0C6F">
            <w:pPr>
              <w:pBdr>
                <w:top w:val="nil"/>
                <w:left w:val="nil"/>
                <w:bottom w:val="nil"/>
                <w:right w:val="nil"/>
                <w:between w:val="nil"/>
              </w:pBdr>
              <w:spacing w:line="360" w:lineRule="auto"/>
              <w:ind w:left="113"/>
              <w:jc w:val="both"/>
              <w:rPr>
                <w:color w:val="000000"/>
                <w:sz w:val="24"/>
                <w:szCs w:val="24"/>
              </w:rPr>
            </w:pPr>
            <w:r>
              <w:rPr>
                <w:color w:val="000000"/>
                <w:sz w:val="24"/>
                <w:szCs w:val="24"/>
              </w:rPr>
              <w:t>16.28</w:t>
            </w:r>
          </w:p>
        </w:tc>
      </w:tr>
    </w:tbl>
    <w:p w:rsidR="006E7D04" w:rsidRDefault="006E7D04">
      <w:pPr>
        <w:spacing w:line="360" w:lineRule="auto"/>
        <w:jc w:val="both"/>
        <w:rPr>
          <w:sz w:val="24"/>
          <w:szCs w:val="24"/>
        </w:rPr>
        <w:sectPr w:rsidR="006E7D04">
          <w:pgSz w:w="11900" w:h="16840"/>
          <w:pgMar w:top="1380" w:right="1100" w:bottom="1180" w:left="580" w:header="0" w:footer="999" w:gutter="0"/>
          <w:cols w:space="720"/>
        </w:sectPr>
      </w:pPr>
    </w:p>
    <w:p w:rsidR="006E7D04" w:rsidRDefault="00CD0C6F">
      <w:pPr>
        <w:pStyle w:val="Heading1"/>
        <w:tabs>
          <w:tab w:val="left" w:pos="1478"/>
        </w:tabs>
        <w:spacing w:line="360" w:lineRule="auto"/>
        <w:ind w:left="0"/>
        <w:rPr>
          <w:color w:val="000009"/>
          <w:sz w:val="24"/>
          <w:szCs w:val="24"/>
        </w:rPr>
      </w:pPr>
      <w:bookmarkStart w:id="63" w:name="_1664s55" w:colFirst="0" w:colLast="0"/>
      <w:bookmarkEnd w:id="63"/>
      <w:r>
        <w:rPr>
          <w:color w:val="000009"/>
          <w:sz w:val="24"/>
          <w:szCs w:val="24"/>
        </w:rPr>
        <w:t>3.2.2 A</w:t>
      </w:r>
      <w:bookmarkStart w:id="64" w:name="2r0uhxc" w:colFirst="0" w:colLast="0"/>
      <w:bookmarkEnd w:id="64"/>
      <w:r>
        <w:rPr>
          <w:color w:val="000009"/>
          <w:sz w:val="24"/>
          <w:szCs w:val="24"/>
        </w:rPr>
        <w:t>ccounting Rate of Reappearance</w:t>
      </w:r>
    </w:p>
    <w:p w:rsidR="006E7D04" w:rsidRDefault="00CD0C6F">
      <w:pPr>
        <w:widowControl/>
        <w:spacing w:line="360" w:lineRule="auto"/>
        <w:ind w:firstLine="720"/>
        <w:jc w:val="both"/>
        <w:rPr>
          <w:sz w:val="24"/>
          <w:szCs w:val="24"/>
        </w:rPr>
      </w:pPr>
      <w:r>
        <w:rPr>
          <w:sz w:val="24"/>
          <w:szCs w:val="24"/>
        </w:rPr>
        <w:t>The estimated percentage rate of return on an asset or investment in relation to the investment’s initial cost is represented by the accounting rate of return, or ARR, formula. By multiplying the revenue of assets ratio by the company’s original investment, the accounting rate of return formula determines the ratio of return that may be expected throughout the duration of a project or an asset’s lifespan (Lu et al., 2020). ARR does not account for the time value of money, or free cash flow, which may be a c</w:t>
      </w:r>
      <w:r>
        <w:rPr>
          <w:sz w:val="24"/>
          <w:szCs w:val="24"/>
        </w:rPr>
        <w:t>rucial component of business upkeep. The margin for the company is 0.166 ARR, whereas the margin for company B is 0.42 ARR. Company B ought to implement it by ARR as they have a larger profit margin than Company A</w:t>
      </w:r>
      <w:r>
        <w:t>.</w:t>
      </w:r>
    </w:p>
    <w:p w:rsidR="006E7D04" w:rsidRDefault="00CD0C6F">
      <w:pPr>
        <w:pStyle w:val="Heading1"/>
        <w:tabs>
          <w:tab w:val="left" w:pos="1492"/>
        </w:tabs>
        <w:spacing w:line="360" w:lineRule="auto"/>
        <w:ind w:left="0"/>
        <w:rPr>
          <w:color w:val="000009"/>
          <w:sz w:val="24"/>
          <w:szCs w:val="24"/>
        </w:rPr>
      </w:pPr>
      <w:bookmarkStart w:id="65" w:name="_25b2l0r" w:colFirst="0" w:colLast="0"/>
      <w:bookmarkEnd w:id="65"/>
      <w:r>
        <w:rPr>
          <w:color w:val="000009"/>
          <w:sz w:val="24"/>
          <w:szCs w:val="24"/>
        </w:rPr>
        <w:t xml:space="preserve">3.2.3 </w:t>
      </w:r>
      <w:bookmarkStart w:id="66" w:name="3q5sasy" w:colFirst="0" w:colLast="0"/>
      <w:bookmarkEnd w:id="66"/>
      <w:r>
        <w:rPr>
          <w:color w:val="000009"/>
          <w:sz w:val="24"/>
          <w:szCs w:val="24"/>
        </w:rPr>
        <w:t>Payback Period</w:t>
      </w:r>
    </w:p>
    <w:p w:rsidR="006E7D04" w:rsidRDefault="00CD0C6F">
      <w:pPr>
        <w:spacing w:line="360" w:lineRule="auto"/>
        <w:ind w:firstLine="720"/>
        <w:jc w:val="both"/>
        <w:rPr>
          <w:sz w:val="24"/>
          <w:szCs w:val="24"/>
        </w:rPr>
      </w:pPr>
      <w:r>
        <w:rPr>
          <w:sz w:val="24"/>
          <w:szCs w:val="24"/>
        </w:rPr>
        <w:t>PBP (payback Period) is often employed when long-term cash flows, especially those over a period of several years, are difficult to anticipate because no data is needed beyond the breakeven point. It might be used as a screening technique for projects or as an initial assessment for high-risk projects during uncertain financial times (Liu, 2022). The payback period is usually estimated using the amount of time needed to recover the capital investment from the beginning of production. The payback period (PBP</w:t>
      </w:r>
      <w:r>
        <w:rPr>
          <w:sz w:val="24"/>
          <w:szCs w:val="24"/>
        </w:rPr>
        <w:t>) measures how long it takes for the net total cash flow generated from the plant’s inception to match the fixed capital investment, which is subject to depreciation. It takes Company B two years to determine the PBP of the provided data, but it takes Company A six years. Liu (2022).</w:t>
      </w:r>
    </w:p>
    <w:p w:rsidR="006E7D04" w:rsidRDefault="006E7D04">
      <w:pPr>
        <w:spacing w:line="360" w:lineRule="auto"/>
      </w:pPr>
    </w:p>
    <w:p w:rsidR="006E7D04" w:rsidRDefault="00CD0C6F">
      <w:pPr>
        <w:pStyle w:val="Heading1"/>
        <w:tabs>
          <w:tab w:val="left" w:pos="1142"/>
        </w:tabs>
        <w:spacing w:before="217" w:line="360" w:lineRule="auto"/>
        <w:ind w:left="1142"/>
        <w:rPr>
          <w:sz w:val="24"/>
          <w:szCs w:val="24"/>
        </w:rPr>
      </w:pPr>
      <w:bookmarkStart w:id="67" w:name="_34g0dwd" w:colFirst="0" w:colLast="0"/>
      <w:bookmarkEnd w:id="67"/>
      <w:r>
        <w:rPr>
          <w:color w:val="000009"/>
          <w:sz w:val="24"/>
          <w:szCs w:val="24"/>
        </w:rPr>
        <w:t xml:space="preserve">4. </w:t>
      </w:r>
      <w:bookmarkStart w:id="68" w:name="kgcv8k" w:colFirst="0" w:colLast="0"/>
      <w:bookmarkEnd w:id="68"/>
      <w:r>
        <w:rPr>
          <w:color w:val="000009"/>
          <w:sz w:val="24"/>
          <w:szCs w:val="24"/>
        </w:rPr>
        <w:t>Conclusion</w:t>
      </w:r>
    </w:p>
    <w:p w:rsidR="006E7D04" w:rsidRDefault="00CD0C6F">
      <w:pPr>
        <w:widowControl/>
        <w:spacing w:line="360" w:lineRule="auto"/>
        <w:ind w:firstLine="720"/>
        <w:jc w:val="both"/>
      </w:pPr>
      <w:r>
        <w:rPr>
          <w:sz w:val="24"/>
          <w:szCs w:val="24"/>
        </w:rPr>
        <w:t xml:space="preserve">It is possible to draw the conclusion that ratio-based financial analysis is essential based on the analysis and discussion provided above. This is because a review of the company’s financial state, profitability, cash-flow position, liquidity, and any possible solvency issues should be made easier with the use of a financial ratio analysis. Notably, based on the five-year financial examination of the multinational automotive behemoth Tesla Motors, it was discovered that the association’s overall financial </w:t>
      </w:r>
      <w:r>
        <w:rPr>
          <w:sz w:val="24"/>
          <w:szCs w:val="24"/>
        </w:rPr>
        <w:t xml:space="preserve">status is presently stronger in the market. Over the last five years, Tesla’s working capital, debt, and liquidity have all remained consistent, and there has been no danger of bankruptcy. On the other hand, it was found that Tesla’s asset </w:t>
      </w:r>
      <w:proofErr w:type="spellStart"/>
      <w:r>
        <w:rPr>
          <w:sz w:val="24"/>
          <w:szCs w:val="24"/>
        </w:rPr>
        <w:t>utilisation</w:t>
      </w:r>
      <w:proofErr w:type="spellEnd"/>
      <w:r>
        <w:rPr>
          <w:sz w:val="24"/>
          <w:szCs w:val="24"/>
        </w:rPr>
        <w:t xml:space="preserve">, net income margin, and receivables management had all declined dramatically. It is recommended that the management </w:t>
      </w:r>
      <w:proofErr w:type="spellStart"/>
      <w:r>
        <w:rPr>
          <w:sz w:val="24"/>
          <w:szCs w:val="24"/>
        </w:rPr>
        <w:t>prioritise</w:t>
      </w:r>
      <w:proofErr w:type="spellEnd"/>
      <w:r>
        <w:rPr>
          <w:sz w:val="24"/>
          <w:szCs w:val="24"/>
        </w:rPr>
        <w:t xml:space="preserve"> asset and financial management, as well as expeditious debt collection and cost containment strategies. It should raise long-term pro</w:t>
      </w:r>
      <w:r>
        <w:rPr>
          <w:sz w:val="24"/>
          <w:szCs w:val="24"/>
        </w:rPr>
        <w:t>fitability forecasts and improve operational efficiency. Tesla would increase its profitability by using improved financial management to create better products and ideas. They also go into the advantages and disadvantages of net value, payback period, and accounting return rate in their study.</w:t>
      </w: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CD0C6F">
      <w:pPr>
        <w:pBdr>
          <w:top w:val="nil"/>
          <w:left w:val="nil"/>
          <w:bottom w:val="nil"/>
          <w:right w:val="nil"/>
          <w:between w:val="nil"/>
        </w:pBdr>
        <w:spacing w:before="235" w:line="360" w:lineRule="auto"/>
        <w:rPr>
          <w:b/>
          <w:sz w:val="24"/>
          <w:szCs w:val="24"/>
        </w:rPr>
      </w:pPr>
      <w:r>
        <w:br w:type="page"/>
      </w:r>
    </w:p>
    <w:p w:rsidR="006E7D04" w:rsidRDefault="00CD0C6F">
      <w:pPr>
        <w:pBdr>
          <w:top w:val="nil"/>
          <w:left w:val="nil"/>
          <w:bottom w:val="nil"/>
          <w:right w:val="nil"/>
          <w:between w:val="nil"/>
        </w:pBdr>
        <w:spacing w:before="235" w:line="360" w:lineRule="auto"/>
        <w:rPr>
          <w:b/>
          <w:color w:val="000000"/>
          <w:sz w:val="24"/>
          <w:szCs w:val="24"/>
        </w:rPr>
      </w:pPr>
      <w:r>
        <w:rPr>
          <w:b/>
          <w:sz w:val="24"/>
          <w:szCs w:val="24"/>
        </w:rPr>
        <w:t xml:space="preserve">5. </w:t>
      </w:r>
      <w:r>
        <w:rPr>
          <w:b/>
          <w:color w:val="000000"/>
          <w:sz w:val="24"/>
          <w:szCs w:val="24"/>
        </w:rPr>
        <w:t>References</w:t>
      </w:r>
    </w:p>
    <w:p w:rsidR="006E7D04" w:rsidRDefault="006E7D04">
      <w:pPr>
        <w:pBdr>
          <w:top w:val="nil"/>
          <w:left w:val="nil"/>
          <w:bottom w:val="nil"/>
          <w:right w:val="nil"/>
          <w:between w:val="nil"/>
        </w:pBdr>
        <w:spacing w:before="235" w:line="360" w:lineRule="auto"/>
        <w:ind w:left="1142"/>
        <w:rPr>
          <w:b/>
          <w:sz w:val="24"/>
          <w:szCs w:val="24"/>
        </w:rPr>
      </w:pPr>
    </w:p>
    <w:p w:rsidR="006E7D04" w:rsidRDefault="00CD0C6F">
      <w:pPr>
        <w:pBdr>
          <w:top w:val="nil"/>
          <w:left w:val="nil"/>
          <w:bottom w:val="nil"/>
          <w:right w:val="nil"/>
          <w:between w:val="nil"/>
        </w:pBdr>
        <w:spacing w:after="200" w:line="360" w:lineRule="auto"/>
        <w:ind w:left="1584" w:right="339" w:hanging="720"/>
        <w:jc w:val="both"/>
        <w:rPr>
          <w:color w:val="000000"/>
          <w:sz w:val="24"/>
          <w:szCs w:val="24"/>
        </w:rPr>
      </w:pPr>
      <w:proofErr w:type="spellStart"/>
      <w:r>
        <w:rPr>
          <w:color w:val="000000"/>
          <w:sz w:val="24"/>
          <w:szCs w:val="24"/>
        </w:rPr>
        <w:t>Almenhali</w:t>
      </w:r>
      <w:proofErr w:type="spellEnd"/>
      <w:r>
        <w:rPr>
          <w:color w:val="000000"/>
          <w:sz w:val="24"/>
          <w:szCs w:val="24"/>
        </w:rPr>
        <w:t xml:space="preserve">, A., </w:t>
      </w:r>
      <w:proofErr w:type="spellStart"/>
      <w:r>
        <w:rPr>
          <w:color w:val="000000"/>
          <w:sz w:val="24"/>
          <w:szCs w:val="24"/>
        </w:rPr>
        <w:t>Alhajeri</w:t>
      </w:r>
      <w:proofErr w:type="spellEnd"/>
      <w:r>
        <w:rPr>
          <w:color w:val="000000"/>
          <w:sz w:val="24"/>
          <w:szCs w:val="24"/>
        </w:rPr>
        <w:t xml:space="preserve">, H., </w:t>
      </w:r>
      <w:proofErr w:type="spellStart"/>
      <w:r>
        <w:rPr>
          <w:color w:val="000000"/>
          <w:sz w:val="24"/>
          <w:szCs w:val="24"/>
        </w:rPr>
        <w:t>Almansoori</w:t>
      </w:r>
      <w:proofErr w:type="spellEnd"/>
      <w:r>
        <w:rPr>
          <w:color w:val="000000"/>
          <w:sz w:val="24"/>
          <w:szCs w:val="24"/>
        </w:rPr>
        <w:t xml:space="preserve">, H., </w:t>
      </w:r>
      <w:proofErr w:type="spellStart"/>
      <w:r>
        <w:rPr>
          <w:color w:val="000000"/>
          <w:sz w:val="24"/>
          <w:szCs w:val="24"/>
        </w:rPr>
        <w:t>Aljneibi</w:t>
      </w:r>
      <w:proofErr w:type="spellEnd"/>
      <w:r>
        <w:rPr>
          <w:color w:val="000000"/>
          <w:sz w:val="24"/>
          <w:szCs w:val="24"/>
        </w:rPr>
        <w:t xml:space="preserve">, N., </w:t>
      </w:r>
      <w:proofErr w:type="spellStart"/>
      <w:r>
        <w:rPr>
          <w:color w:val="000000"/>
          <w:sz w:val="24"/>
          <w:szCs w:val="24"/>
        </w:rPr>
        <w:t>Almansoori</w:t>
      </w:r>
      <w:proofErr w:type="spellEnd"/>
      <w:r>
        <w:rPr>
          <w:color w:val="000000"/>
          <w:sz w:val="24"/>
          <w:szCs w:val="24"/>
        </w:rPr>
        <w:t xml:space="preserve">, N., </w:t>
      </w:r>
      <w:proofErr w:type="spellStart"/>
      <w:r>
        <w:rPr>
          <w:color w:val="000000"/>
          <w:sz w:val="24"/>
          <w:szCs w:val="24"/>
        </w:rPr>
        <w:t>Alsulaity</w:t>
      </w:r>
      <w:proofErr w:type="spellEnd"/>
      <w:r>
        <w:rPr>
          <w:color w:val="000000"/>
          <w:sz w:val="24"/>
          <w:szCs w:val="24"/>
        </w:rPr>
        <w:t xml:space="preserve">, N., Mohammed, Y. and </w:t>
      </w:r>
      <w:proofErr w:type="spellStart"/>
      <w:r>
        <w:rPr>
          <w:color w:val="000000"/>
          <w:sz w:val="24"/>
          <w:szCs w:val="24"/>
        </w:rPr>
        <w:t>Nobanee</w:t>
      </w:r>
      <w:proofErr w:type="spellEnd"/>
      <w:r>
        <w:rPr>
          <w:color w:val="000000"/>
          <w:sz w:val="24"/>
          <w:szCs w:val="24"/>
        </w:rPr>
        <w:t xml:space="preserve">, H., 2021. Financial Analysis of Tesla. </w:t>
      </w:r>
      <w:r>
        <w:rPr>
          <w:i/>
          <w:color w:val="000000"/>
          <w:sz w:val="24"/>
          <w:szCs w:val="24"/>
        </w:rPr>
        <w:t>Available at SSRN 3896901</w:t>
      </w:r>
      <w:r>
        <w:rPr>
          <w:color w:val="000000"/>
          <w:sz w:val="24"/>
          <w:szCs w:val="24"/>
        </w:rPr>
        <w:t>.</w:t>
      </w:r>
    </w:p>
    <w:p w:rsidR="006E7D04" w:rsidRDefault="00CD0C6F">
      <w:pPr>
        <w:pBdr>
          <w:top w:val="nil"/>
          <w:left w:val="nil"/>
          <w:bottom w:val="nil"/>
          <w:right w:val="nil"/>
          <w:between w:val="nil"/>
        </w:pBdr>
        <w:spacing w:after="200" w:line="360" w:lineRule="auto"/>
        <w:ind w:left="1584" w:right="336" w:hanging="720"/>
        <w:jc w:val="both"/>
        <w:rPr>
          <w:color w:val="000000"/>
          <w:sz w:val="24"/>
          <w:szCs w:val="24"/>
        </w:rPr>
      </w:pPr>
      <w:proofErr w:type="spellStart"/>
      <w:r>
        <w:rPr>
          <w:color w:val="000000"/>
          <w:sz w:val="24"/>
          <w:szCs w:val="24"/>
        </w:rPr>
        <w:t>Basdekis</w:t>
      </w:r>
      <w:proofErr w:type="spellEnd"/>
      <w:r>
        <w:rPr>
          <w:color w:val="000000"/>
          <w:sz w:val="24"/>
          <w:szCs w:val="24"/>
        </w:rPr>
        <w:t xml:space="preserve">, C., </w:t>
      </w:r>
      <w:proofErr w:type="spellStart"/>
      <w:r>
        <w:rPr>
          <w:color w:val="000000"/>
          <w:sz w:val="24"/>
          <w:szCs w:val="24"/>
        </w:rPr>
        <w:t>Christopoulos</w:t>
      </w:r>
      <w:proofErr w:type="spellEnd"/>
      <w:r>
        <w:rPr>
          <w:color w:val="000000"/>
          <w:sz w:val="24"/>
          <w:szCs w:val="24"/>
        </w:rPr>
        <w:t xml:space="preserve">, A., </w:t>
      </w:r>
      <w:proofErr w:type="spellStart"/>
      <w:r>
        <w:rPr>
          <w:color w:val="000000"/>
          <w:sz w:val="24"/>
          <w:szCs w:val="24"/>
        </w:rPr>
        <w:t>Katsampoxakis</w:t>
      </w:r>
      <w:proofErr w:type="spellEnd"/>
      <w:r>
        <w:rPr>
          <w:color w:val="000000"/>
          <w:sz w:val="24"/>
          <w:szCs w:val="24"/>
        </w:rPr>
        <w:t xml:space="preserve">, I. and </w:t>
      </w:r>
      <w:proofErr w:type="spellStart"/>
      <w:r>
        <w:rPr>
          <w:color w:val="000000"/>
          <w:sz w:val="24"/>
          <w:szCs w:val="24"/>
        </w:rPr>
        <w:t>Lyras</w:t>
      </w:r>
      <w:proofErr w:type="spellEnd"/>
      <w:r>
        <w:rPr>
          <w:color w:val="000000"/>
          <w:sz w:val="24"/>
          <w:szCs w:val="24"/>
        </w:rPr>
        <w:t xml:space="preserve">, A., 2020. Profitability and optimal debt ratio of the automobiles and parts sector in the Euro area. </w:t>
      </w:r>
      <w:r>
        <w:rPr>
          <w:i/>
          <w:color w:val="000000"/>
          <w:sz w:val="24"/>
          <w:szCs w:val="24"/>
        </w:rPr>
        <w:t>Journal of Capital Markets Studies</w:t>
      </w:r>
      <w:r>
        <w:rPr>
          <w:color w:val="000000"/>
          <w:sz w:val="24"/>
          <w:szCs w:val="24"/>
        </w:rPr>
        <w:t>.</w:t>
      </w:r>
    </w:p>
    <w:p w:rsidR="006E7D04" w:rsidRDefault="00CD0C6F">
      <w:pPr>
        <w:spacing w:after="200" w:line="360" w:lineRule="auto"/>
        <w:ind w:left="1584" w:right="338" w:hanging="720"/>
        <w:jc w:val="both"/>
        <w:rPr>
          <w:sz w:val="24"/>
          <w:szCs w:val="24"/>
        </w:rPr>
      </w:pPr>
      <w:r>
        <w:rPr>
          <w:sz w:val="24"/>
          <w:szCs w:val="24"/>
        </w:rPr>
        <w:t xml:space="preserve">Chen, L., 2021, June. Brief Managerial Approach Analysis of Tesla in China: An Insight into Brand Competitiveness of the Supply-Experience-Optimizing Approaches of Tesla Inc. in China. In </w:t>
      </w:r>
      <w:r>
        <w:rPr>
          <w:i/>
          <w:sz w:val="24"/>
          <w:szCs w:val="24"/>
        </w:rPr>
        <w:t xml:space="preserve">2021 2nd International Conference on Internet and E-Business </w:t>
      </w:r>
      <w:r>
        <w:rPr>
          <w:sz w:val="24"/>
          <w:szCs w:val="24"/>
        </w:rPr>
        <w:t>(pp. 129-133).</w:t>
      </w:r>
    </w:p>
    <w:p w:rsidR="006E7D04" w:rsidRDefault="00CD0C6F">
      <w:pPr>
        <w:spacing w:after="200" w:line="360" w:lineRule="auto"/>
        <w:ind w:left="1584" w:right="330" w:hanging="720"/>
        <w:jc w:val="both"/>
        <w:rPr>
          <w:sz w:val="24"/>
          <w:szCs w:val="24"/>
        </w:rPr>
      </w:pPr>
      <w:r>
        <w:rPr>
          <w:sz w:val="24"/>
          <w:szCs w:val="24"/>
        </w:rPr>
        <w:t xml:space="preserve">Fang, J., 2022, July. An Overall Financial Analysis of Tesla. In </w:t>
      </w:r>
      <w:r>
        <w:rPr>
          <w:i/>
          <w:sz w:val="24"/>
          <w:szCs w:val="24"/>
        </w:rPr>
        <w:t xml:space="preserve">2022 2nd International Conference on Enterprise Management and Economic Development (ICEMED 2022) </w:t>
      </w:r>
      <w:r>
        <w:rPr>
          <w:sz w:val="24"/>
          <w:szCs w:val="24"/>
        </w:rPr>
        <w:t>(pp. 1233-1238). Atlantis Press.</w:t>
      </w:r>
    </w:p>
    <w:p w:rsidR="006E7D04" w:rsidRDefault="00CD0C6F">
      <w:pPr>
        <w:spacing w:after="200" w:line="360" w:lineRule="auto"/>
        <w:ind w:left="1584" w:right="337" w:hanging="720"/>
        <w:jc w:val="both"/>
        <w:rPr>
          <w:sz w:val="24"/>
          <w:szCs w:val="24"/>
        </w:rPr>
      </w:pPr>
      <w:proofErr w:type="spellStart"/>
      <w:r>
        <w:rPr>
          <w:sz w:val="24"/>
          <w:szCs w:val="24"/>
        </w:rPr>
        <w:t>Fellingham</w:t>
      </w:r>
      <w:proofErr w:type="spellEnd"/>
      <w:r>
        <w:rPr>
          <w:sz w:val="24"/>
          <w:szCs w:val="24"/>
        </w:rPr>
        <w:t xml:space="preserve">, J., Lin, H. and Schroeder, D., 2022. Entropy, Double Entry Accounting and Quantum Entanglement. </w:t>
      </w:r>
      <w:r>
        <w:rPr>
          <w:i/>
          <w:sz w:val="24"/>
          <w:szCs w:val="24"/>
        </w:rPr>
        <w:t>Foundations and Trends® in Accounting</w:t>
      </w:r>
      <w:r>
        <w:rPr>
          <w:sz w:val="24"/>
          <w:szCs w:val="24"/>
        </w:rPr>
        <w:t xml:space="preserve">, </w:t>
      </w:r>
      <w:r>
        <w:rPr>
          <w:i/>
          <w:sz w:val="24"/>
          <w:szCs w:val="24"/>
        </w:rPr>
        <w:t>16</w:t>
      </w:r>
      <w:r>
        <w:rPr>
          <w:sz w:val="24"/>
          <w:szCs w:val="24"/>
        </w:rPr>
        <w:t>(4), pp.308-396.</w:t>
      </w:r>
    </w:p>
    <w:p w:rsidR="006E7D04" w:rsidRDefault="00CD0C6F">
      <w:pPr>
        <w:pBdr>
          <w:top w:val="nil"/>
          <w:left w:val="nil"/>
          <w:bottom w:val="nil"/>
          <w:right w:val="nil"/>
          <w:between w:val="nil"/>
        </w:pBdr>
        <w:spacing w:after="200" w:line="360" w:lineRule="auto"/>
        <w:ind w:left="1584" w:right="336" w:hanging="720"/>
        <w:jc w:val="both"/>
        <w:rPr>
          <w:color w:val="000000"/>
          <w:sz w:val="24"/>
          <w:szCs w:val="24"/>
        </w:rPr>
      </w:pPr>
      <w:r>
        <w:rPr>
          <w:color w:val="000000"/>
          <w:sz w:val="24"/>
          <w:szCs w:val="24"/>
        </w:rPr>
        <w:t xml:space="preserve">Fleckenstein, M. and </w:t>
      </w:r>
      <w:proofErr w:type="spellStart"/>
      <w:r>
        <w:rPr>
          <w:color w:val="000000"/>
          <w:sz w:val="24"/>
          <w:szCs w:val="24"/>
        </w:rPr>
        <w:t>Longstaff</w:t>
      </w:r>
      <w:proofErr w:type="spellEnd"/>
      <w:r>
        <w:rPr>
          <w:color w:val="000000"/>
          <w:sz w:val="24"/>
          <w:szCs w:val="24"/>
        </w:rPr>
        <w:t xml:space="preserve">, F.A., 2020. Renting balance sheet space: Intermediary balance sheet rental costs and the valuation of derivatives. </w:t>
      </w:r>
      <w:r>
        <w:rPr>
          <w:i/>
          <w:color w:val="000000"/>
          <w:sz w:val="24"/>
          <w:szCs w:val="24"/>
        </w:rPr>
        <w:t>The Review of Financial Studies</w:t>
      </w:r>
      <w:r>
        <w:rPr>
          <w:color w:val="000000"/>
          <w:sz w:val="24"/>
          <w:szCs w:val="24"/>
        </w:rPr>
        <w:t xml:space="preserve">, </w:t>
      </w:r>
      <w:r>
        <w:rPr>
          <w:i/>
          <w:color w:val="000000"/>
          <w:sz w:val="24"/>
          <w:szCs w:val="24"/>
        </w:rPr>
        <w:t>33</w:t>
      </w:r>
      <w:r>
        <w:rPr>
          <w:color w:val="000000"/>
          <w:sz w:val="24"/>
          <w:szCs w:val="24"/>
        </w:rPr>
        <w:t>(11), pp.5051-5091.</w:t>
      </w:r>
    </w:p>
    <w:p w:rsidR="006E7D04" w:rsidRDefault="00CD0C6F">
      <w:pPr>
        <w:spacing w:after="200" w:line="360" w:lineRule="auto"/>
        <w:ind w:left="1584" w:right="357" w:hanging="720"/>
        <w:jc w:val="both"/>
        <w:rPr>
          <w:sz w:val="24"/>
          <w:szCs w:val="24"/>
        </w:rPr>
      </w:pPr>
      <w:proofErr w:type="spellStart"/>
      <w:r>
        <w:rPr>
          <w:sz w:val="24"/>
          <w:szCs w:val="24"/>
        </w:rPr>
        <w:t>Gafarov</w:t>
      </w:r>
      <w:proofErr w:type="spellEnd"/>
      <w:r>
        <w:rPr>
          <w:sz w:val="24"/>
          <w:szCs w:val="24"/>
        </w:rPr>
        <w:t xml:space="preserve">, R., 2019. </w:t>
      </w:r>
      <w:r>
        <w:rPr>
          <w:i/>
          <w:sz w:val="24"/>
          <w:szCs w:val="24"/>
        </w:rPr>
        <w:t xml:space="preserve">Evaluation of the financial position and the performance of Tesla, </w:t>
      </w:r>
      <w:proofErr w:type="spellStart"/>
      <w:r>
        <w:rPr>
          <w:i/>
          <w:sz w:val="24"/>
          <w:szCs w:val="24"/>
        </w:rPr>
        <w:t>Inc</w:t>
      </w:r>
      <w:proofErr w:type="spellEnd"/>
      <w:r>
        <w:rPr>
          <w:i/>
          <w:sz w:val="24"/>
          <w:szCs w:val="24"/>
        </w:rPr>
        <w:t xml:space="preserve"> </w:t>
      </w:r>
      <w:r>
        <w:rPr>
          <w:sz w:val="24"/>
          <w:szCs w:val="24"/>
        </w:rPr>
        <w:t xml:space="preserve">(Doctoral dissertation, </w:t>
      </w:r>
      <w:proofErr w:type="spellStart"/>
      <w:r>
        <w:rPr>
          <w:sz w:val="24"/>
          <w:szCs w:val="24"/>
        </w:rPr>
        <w:t>Masarykova</w:t>
      </w:r>
      <w:proofErr w:type="spellEnd"/>
      <w:r>
        <w:rPr>
          <w:sz w:val="24"/>
          <w:szCs w:val="24"/>
        </w:rPr>
        <w:t xml:space="preserve"> </w:t>
      </w:r>
      <w:proofErr w:type="spellStart"/>
      <w:r>
        <w:rPr>
          <w:sz w:val="24"/>
          <w:szCs w:val="24"/>
        </w:rPr>
        <w:t>univerzita</w:t>
      </w:r>
      <w:proofErr w:type="spellEnd"/>
      <w:r>
        <w:rPr>
          <w:sz w:val="24"/>
          <w:szCs w:val="24"/>
        </w:rPr>
        <w:t xml:space="preserve">, </w:t>
      </w:r>
      <w:proofErr w:type="spellStart"/>
      <w:r>
        <w:rPr>
          <w:sz w:val="24"/>
          <w:szCs w:val="24"/>
        </w:rPr>
        <w:t>Ekonomicko-správní</w:t>
      </w:r>
      <w:proofErr w:type="spellEnd"/>
      <w:r>
        <w:rPr>
          <w:sz w:val="24"/>
          <w:szCs w:val="24"/>
        </w:rPr>
        <w:t xml:space="preserve"> </w:t>
      </w:r>
      <w:proofErr w:type="spellStart"/>
      <w:r>
        <w:rPr>
          <w:sz w:val="24"/>
          <w:szCs w:val="24"/>
        </w:rPr>
        <w:t>fakulta</w:t>
      </w:r>
      <w:proofErr w:type="spellEnd"/>
      <w:r>
        <w:rPr>
          <w:sz w:val="24"/>
          <w:szCs w:val="24"/>
        </w:rPr>
        <w:t>).</w:t>
      </w:r>
    </w:p>
    <w:p w:rsidR="006E7D04" w:rsidRDefault="00CD0C6F">
      <w:pPr>
        <w:spacing w:after="200" w:line="360" w:lineRule="auto"/>
        <w:ind w:left="1584" w:right="335" w:hanging="720"/>
        <w:jc w:val="both"/>
        <w:rPr>
          <w:sz w:val="24"/>
          <w:szCs w:val="24"/>
        </w:rPr>
      </w:pPr>
      <w:proofErr w:type="spellStart"/>
      <w:r>
        <w:rPr>
          <w:sz w:val="24"/>
          <w:szCs w:val="24"/>
        </w:rPr>
        <w:t>Husna</w:t>
      </w:r>
      <w:proofErr w:type="spellEnd"/>
      <w:r>
        <w:rPr>
          <w:sz w:val="24"/>
          <w:szCs w:val="24"/>
        </w:rPr>
        <w:t xml:space="preserve">, A. and </w:t>
      </w:r>
      <w:proofErr w:type="spellStart"/>
      <w:r>
        <w:rPr>
          <w:sz w:val="24"/>
          <w:szCs w:val="24"/>
        </w:rPr>
        <w:t>Satria</w:t>
      </w:r>
      <w:proofErr w:type="spellEnd"/>
      <w:r>
        <w:rPr>
          <w:sz w:val="24"/>
          <w:szCs w:val="24"/>
        </w:rPr>
        <w:t xml:space="preserve">, I., 2019. Effects of return on asset, debt to asset ratio, current ratio, firm size, and dividend payout ratio on firm value. </w:t>
      </w:r>
      <w:r>
        <w:rPr>
          <w:i/>
          <w:sz w:val="24"/>
          <w:szCs w:val="24"/>
        </w:rPr>
        <w:t>International Journal of Economics and Financial Issues</w:t>
      </w:r>
      <w:r>
        <w:rPr>
          <w:sz w:val="24"/>
          <w:szCs w:val="24"/>
        </w:rPr>
        <w:t xml:space="preserve">, </w:t>
      </w:r>
      <w:r>
        <w:rPr>
          <w:i/>
          <w:sz w:val="24"/>
          <w:szCs w:val="24"/>
        </w:rPr>
        <w:t>9</w:t>
      </w:r>
      <w:r>
        <w:rPr>
          <w:sz w:val="24"/>
          <w:szCs w:val="24"/>
        </w:rPr>
        <w:t>(5), p.50.</w:t>
      </w:r>
    </w:p>
    <w:p w:rsidR="006E7D04" w:rsidRDefault="00CD0C6F">
      <w:pPr>
        <w:spacing w:after="200" w:line="360" w:lineRule="auto"/>
        <w:ind w:left="1584" w:hanging="720"/>
        <w:jc w:val="both"/>
        <w:rPr>
          <w:sz w:val="24"/>
          <w:szCs w:val="24"/>
        </w:rPr>
      </w:pPr>
      <w:r>
        <w:rPr>
          <w:i/>
          <w:sz w:val="24"/>
          <w:szCs w:val="24"/>
        </w:rPr>
        <w:t>Journal of Management (IJM)</w:t>
      </w:r>
      <w:r>
        <w:rPr>
          <w:sz w:val="24"/>
          <w:szCs w:val="24"/>
        </w:rPr>
        <w:t xml:space="preserve">, </w:t>
      </w:r>
      <w:r>
        <w:rPr>
          <w:i/>
          <w:sz w:val="24"/>
          <w:szCs w:val="24"/>
        </w:rPr>
        <w:t>11</w:t>
      </w:r>
      <w:r>
        <w:rPr>
          <w:sz w:val="24"/>
          <w:szCs w:val="24"/>
        </w:rPr>
        <w:t>(04).</w:t>
      </w:r>
    </w:p>
    <w:p w:rsidR="006E7D04" w:rsidRDefault="00CD0C6F">
      <w:pPr>
        <w:spacing w:after="200" w:line="360" w:lineRule="auto"/>
        <w:ind w:left="1584" w:right="335" w:hanging="720"/>
        <w:jc w:val="both"/>
        <w:rPr>
          <w:sz w:val="24"/>
          <w:szCs w:val="24"/>
        </w:rPr>
      </w:pPr>
      <w:proofErr w:type="spellStart"/>
      <w:r>
        <w:rPr>
          <w:sz w:val="24"/>
          <w:szCs w:val="24"/>
        </w:rPr>
        <w:t>Kamaluddin</w:t>
      </w:r>
      <w:proofErr w:type="spellEnd"/>
      <w:r>
        <w:rPr>
          <w:sz w:val="24"/>
          <w:szCs w:val="24"/>
        </w:rPr>
        <w:t xml:space="preserve">, A., </w:t>
      </w:r>
      <w:proofErr w:type="spellStart"/>
      <w:r>
        <w:rPr>
          <w:sz w:val="24"/>
          <w:szCs w:val="24"/>
        </w:rPr>
        <w:t>Ishak</w:t>
      </w:r>
      <w:proofErr w:type="spellEnd"/>
      <w:r>
        <w:rPr>
          <w:sz w:val="24"/>
          <w:szCs w:val="24"/>
        </w:rPr>
        <w:t xml:space="preserve">, N. and Mohammed, N.F., 2019. Financial distress prediction through cash flow ratios analysis. </w:t>
      </w:r>
      <w:r>
        <w:rPr>
          <w:i/>
          <w:sz w:val="24"/>
          <w:szCs w:val="24"/>
        </w:rPr>
        <w:t>International Journal of Financial Research</w:t>
      </w:r>
      <w:r>
        <w:rPr>
          <w:sz w:val="24"/>
          <w:szCs w:val="24"/>
        </w:rPr>
        <w:t xml:space="preserve">, </w:t>
      </w:r>
      <w:r>
        <w:rPr>
          <w:i/>
          <w:sz w:val="24"/>
          <w:szCs w:val="24"/>
        </w:rPr>
        <w:t>10</w:t>
      </w:r>
      <w:r>
        <w:rPr>
          <w:sz w:val="24"/>
          <w:szCs w:val="24"/>
        </w:rPr>
        <w:t>(3), pp.63-76.</w:t>
      </w:r>
    </w:p>
    <w:p w:rsidR="006E7D04" w:rsidRDefault="00CD0C6F">
      <w:pPr>
        <w:spacing w:after="200" w:line="360" w:lineRule="auto"/>
        <w:ind w:left="1584" w:right="330" w:hanging="720"/>
        <w:jc w:val="both"/>
        <w:rPr>
          <w:sz w:val="24"/>
          <w:szCs w:val="24"/>
        </w:rPr>
      </w:pPr>
      <w:r>
        <w:rPr>
          <w:sz w:val="24"/>
          <w:szCs w:val="24"/>
        </w:rPr>
        <w:t xml:space="preserve">Liu, Y., 2022, July. Evaluation Method Based on NPV and IRR. In </w:t>
      </w:r>
      <w:r>
        <w:rPr>
          <w:i/>
          <w:sz w:val="24"/>
          <w:szCs w:val="24"/>
        </w:rPr>
        <w:t xml:space="preserve">2022 2nd International Conference on Enterprise Management and Economic Development (ICEMED 2022) </w:t>
      </w:r>
      <w:r>
        <w:rPr>
          <w:sz w:val="24"/>
          <w:szCs w:val="24"/>
        </w:rPr>
        <w:t>(pp. 816-820). Atlantis Press.</w:t>
      </w:r>
    </w:p>
    <w:p w:rsidR="006E7D04" w:rsidRDefault="00CD0C6F">
      <w:pPr>
        <w:spacing w:after="200" w:line="360" w:lineRule="auto"/>
        <w:ind w:left="1584" w:right="330" w:hanging="720"/>
        <w:jc w:val="both"/>
        <w:rPr>
          <w:sz w:val="24"/>
          <w:szCs w:val="24"/>
        </w:rPr>
      </w:pPr>
      <w:r>
        <w:rPr>
          <w:sz w:val="24"/>
          <w:szCs w:val="24"/>
        </w:rPr>
        <w:t xml:space="preserve">Lu, J., Shon, J. and Zhang, P., 2020. Understanding the dissolution of nonprofit organizations: A financial management perspective. </w:t>
      </w:r>
      <w:r>
        <w:rPr>
          <w:i/>
          <w:sz w:val="24"/>
          <w:szCs w:val="24"/>
        </w:rPr>
        <w:t>Nonprofit and Voluntary Sector Quarterly</w:t>
      </w:r>
      <w:r>
        <w:rPr>
          <w:sz w:val="24"/>
          <w:szCs w:val="24"/>
        </w:rPr>
        <w:t xml:space="preserve">, </w:t>
      </w:r>
      <w:r>
        <w:rPr>
          <w:i/>
          <w:sz w:val="24"/>
          <w:szCs w:val="24"/>
        </w:rPr>
        <w:t>49</w:t>
      </w:r>
      <w:r>
        <w:rPr>
          <w:sz w:val="24"/>
          <w:szCs w:val="24"/>
        </w:rPr>
        <w:t>(1), pp.29- 52.</w:t>
      </w:r>
    </w:p>
    <w:p w:rsidR="006E7D04" w:rsidRDefault="00CD0C6F">
      <w:pPr>
        <w:spacing w:after="200" w:line="360" w:lineRule="auto"/>
        <w:ind w:left="1584" w:hanging="720"/>
        <w:jc w:val="both"/>
        <w:rPr>
          <w:sz w:val="24"/>
          <w:szCs w:val="24"/>
        </w:rPr>
      </w:pPr>
      <w:proofErr w:type="spellStart"/>
      <w:r>
        <w:rPr>
          <w:sz w:val="24"/>
          <w:szCs w:val="24"/>
        </w:rPr>
        <w:t>Maheshwari</w:t>
      </w:r>
      <w:proofErr w:type="spellEnd"/>
      <w:r>
        <w:rPr>
          <w:sz w:val="24"/>
          <w:szCs w:val="24"/>
        </w:rPr>
        <w:t xml:space="preserve">. </w:t>
      </w:r>
      <w:r>
        <w:rPr>
          <w:i/>
          <w:sz w:val="24"/>
          <w:szCs w:val="24"/>
        </w:rPr>
        <w:t>Principles of Management Accounting</w:t>
      </w:r>
      <w:r>
        <w:rPr>
          <w:sz w:val="24"/>
          <w:szCs w:val="24"/>
        </w:rPr>
        <w:t>. Sultan Chand &amp; Sons, 2021.</w:t>
      </w:r>
    </w:p>
    <w:p w:rsidR="006E7D04" w:rsidRDefault="00CD0C6F">
      <w:pPr>
        <w:spacing w:after="200" w:line="360" w:lineRule="auto"/>
        <w:ind w:left="1584" w:right="338" w:hanging="720"/>
        <w:jc w:val="both"/>
        <w:rPr>
          <w:sz w:val="24"/>
          <w:szCs w:val="24"/>
        </w:rPr>
      </w:pPr>
      <w:proofErr w:type="spellStart"/>
      <w:r>
        <w:rPr>
          <w:sz w:val="24"/>
          <w:szCs w:val="24"/>
        </w:rPr>
        <w:t>Musah</w:t>
      </w:r>
      <w:proofErr w:type="spellEnd"/>
      <w:r>
        <w:rPr>
          <w:sz w:val="24"/>
          <w:szCs w:val="24"/>
        </w:rPr>
        <w:t xml:space="preserve">, A., </w:t>
      </w:r>
      <w:proofErr w:type="spellStart"/>
      <w:r>
        <w:rPr>
          <w:sz w:val="24"/>
          <w:szCs w:val="24"/>
        </w:rPr>
        <w:t>Gakpetor</w:t>
      </w:r>
      <w:proofErr w:type="spellEnd"/>
      <w:r>
        <w:rPr>
          <w:sz w:val="24"/>
          <w:szCs w:val="24"/>
        </w:rPr>
        <w:t xml:space="preserve">, E.D. and </w:t>
      </w:r>
      <w:proofErr w:type="spellStart"/>
      <w:r>
        <w:rPr>
          <w:sz w:val="24"/>
          <w:szCs w:val="24"/>
        </w:rPr>
        <w:t>Pomaa</w:t>
      </w:r>
      <w:proofErr w:type="spellEnd"/>
      <w:r>
        <w:rPr>
          <w:sz w:val="24"/>
          <w:szCs w:val="24"/>
        </w:rPr>
        <w:t xml:space="preserve">, P., 2018. Financial management practices, firm growth and profitability of small and medium scale enterprises (SMEs). </w:t>
      </w:r>
      <w:r>
        <w:rPr>
          <w:i/>
          <w:sz w:val="24"/>
          <w:szCs w:val="24"/>
        </w:rPr>
        <w:t>Information management and business review</w:t>
      </w:r>
      <w:r>
        <w:rPr>
          <w:sz w:val="24"/>
          <w:szCs w:val="24"/>
        </w:rPr>
        <w:t xml:space="preserve">, </w:t>
      </w:r>
      <w:r>
        <w:rPr>
          <w:i/>
          <w:sz w:val="24"/>
          <w:szCs w:val="24"/>
        </w:rPr>
        <w:t>10</w:t>
      </w:r>
      <w:r>
        <w:rPr>
          <w:sz w:val="24"/>
          <w:szCs w:val="24"/>
        </w:rPr>
        <w:t>(3), pp.25-37.</w:t>
      </w:r>
    </w:p>
    <w:p w:rsidR="006E7D04" w:rsidRDefault="00CD0C6F">
      <w:pPr>
        <w:pBdr>
          <w:top w:val="nil"/>
          <w:left w:val="nil"/>
          <w:bottom w:val="nil"/>
          <w:right w:val="nil"/>
          <w:between w:val="nil"/>
        </w:pBdr>
        <w:spacing w:after="200" w:line="360" w:lineRule="auto"/>
        <w:ind w:left="1584" w:right="342" w:hanging="720"/>
        <w:jc w:val="both"/>
        <w:rPr>
          <w:color w:val="000000"/>
          <w:sz w:val="24"/>
          <w:szCs w:val="24"/>
        </w:rPr>
      </w:pPr>
      <w:proofErr w:type="spellStart"/>
      <w:r>
        <w:rPr>
          <w:color w:val="000000"/>
          <w:sz w:val="24"/>
          <w:szCs w:val="24"/>
        </w:rPr>
        <w:t>Okpala</w:t>
      </w:r>
      <w:proofErr w:type="spellEnd"/>
      <w:r>
        <w:rPr>
          <w:color w:val="000000"/>
          <w:sz w:val="24"/>
          <w:szCs w:val="24"/>
        </w:rPr>
        <w:t>, K., 2018. Management Accounting in Information System and Effective Business Decisions: An Evaluation of Quoted FMCG Manufacturing Firms.</w:t>
      </w:r>
    </w:p>
    <w:p w:rsidR="006E7D04" w:rsidRDefault="00CD0C6F">
      <w:pPr>
        <w:pBdr>
          <w:top w:val="nil"/>
          <w:left w:val="nil"/>
          <w:bottom w:val="nil"/>
          <w:right w:val="nil"/>
          <w:between w:val="nil"/>
        </w:pBdr>
        <w:spacing w:after="200" w:line="360" w:lineRule="auto"/>
        <w:ind w:left="1584" w:right="330" w:hanging="720"/>
        <w:jc w:val="both"/>
        <w:rPr>
          <w:color w:val="000000"/>
          <w:sz w:val="24"/>
          <w:szCs w:val="24"/>
        </w:rPr>
      </w:pPr>
      <w:r>
        <w:rPr>
          <w:color w:val="000000"/>
          <w:sz w:val="24"/>
          <w:szCs w:val="24"/>
        </w:rPr>
        <w:t xml:space="preserve">Perkins, G. and </w:t>
      </w:r>
      <w:proofErr w:type="spellStart"/>
      <w:r>
        <w:rPr>
          <w:color w:val="000000"/>
          <w:sz w:val="24"/>
          <w:szCs w:val="24"/>
        </w:rPr>
        <w:t>Murmann</w:t>
      </w:r>
      <w:proofErr w:type="spellEnd"/>
      <w:r>
        <w:rPr>
          <w:color w:val="000000"/>
          <w:sz w:val="24"/>
          <w:szCs w:val="24"/>
        </w:rPr>
        <w:t xml:space="preserve">, J.P., 2018. What does the success of Tesla mean for the future dynamics in the global automobile sector?. </w:t>
      </w:r>
      <w:r>
        <w:rPr>
          <w:i/>
          <w:color w:val="000000"/>
          <w:sz w:val="24"/>
          <w:szCs w:val="24"/>
        </w:rPr>
        <w:t>Management and Organization Review</w:t>
      </w:r>
      <w:r>
        <w:rPr>
          <w:color w:val="000000"/>
          <w:sz w:val="24"/>
          <w:szCs w:val="24"/>
        </w:rPr>
        <w:t xml:space="preserve">, </w:t>
      </w:r>
      <w:r>
        <w:rPr>
          <w:i/>
          <w:color w:val="000000"/>
          <w:sz w:val="24"/>
          <w:szCs w:val="24"/>
        </w:rPr>
        <w:t>14</w:t>
      </w:r>
      <w:r>
        <w:rPr>
          <w:color w:val="000000"/>
          <w:sz w:val="24"/>
          <w:szCs w:val="24"/>
        </w:rPr>
        <w:t>(3), pp.471-480.</w:t>
      </w:r>
    </w:p>
    <w:p w:rsidR="006E7D04" w:rsidRDefault="00CD0C6F">
      <w:pPr>
        <w:pBdr>
          <w:top w:val="nil"/>
          <w:left w:val="nil"/>
          <w:bottom w:val="nil"/>
          <w:right w:val="nil"/>
          <w:between w:val="nil"/>
        </w:pBdr>
        <w:spacing w:after="200" w:line="360" w:lineRule="auto"/>
        <w:ind w:left="1584" w:right="343" w:hanging="720"/>
        <w:jc w:val="both"/>
        <w:rPr>
          <w:color w:val="000000"/>
          <w:sz w:val="24"/>
          <w:szCs w:val="24"/>
        </w:rPr>
      </w:pPr>
      <w:proofErr w:type="spellStart"/>
      <w:r>
        <w:rPr>
          <w:color w:val="000000"/>
          <w:sz w:val="24"/>
          <w:szCs w:val="24"/>
        </w:rPr>
        <w:t>Rotta</w:t>
      </w:r>
      <w:proofErr w:type="spellEnd"/>
      <w:r>
        <w:rPr>
          <w:color w:val="000000"/>
          <w:sz w:val="24"/>
          <w:szCs w:val="24"/>
        </w:rPr>
        <w:t xml:space="preserve">, J., </w:t>
      </w:r>
      <w:proofErr w:type="spellStart"/>
      <w:r>
        <w:rPr>
          <w:color w:val="000000"/>
          <w:sz w:val="24"/>
          <w:szCs w:val="24"/>
        </w:rPr>
        <w:t>Perosa</w:t>
      </w:r>
      <w:proofErr w:type="spellEnd"/>
      <w:r>
        <w:rPr>
          <w:color w:val="000000"/>
          <w:sz w:val="24"/>
          <w:szCs w:val="24"/>
        </w:rPr>
        <w:t xml:space="preserve">, V., </w:t>
      </w:r>
      <w:proofErr w:type="spellStart"/>
      <w:r>
        <w:rPr>
          <w:color w:val="000000"/>
          <w:sz w:val="24"/>
          <w:szCs w:val="24"/>
        </w:rPr>
        <w:t>Yakupov</w:t>
      </w:r>
      <w:proofErr w:type="spellEnd"/>
      <w:r>
        <w:rPr>
          <w:color w:val="000000"/>
          <w:sz w:val="24"/>
          <w:szCs w:val="24"/>
        </w:rPr>
        <w:t xml:space="preserve">, R., </w:t>
      </w:r>
      <w:proofErr w:type="spellStart"/>
      <w:r>
        <w:rPr>
          <w:color w:val="000000"/>
          <w:sz w:val="24"/>
          <w:szCs w:val="24"/>
        </w:rPr>
        <w:t>Kuijf</w:t>
      </w:r>
      <w:proofErr w:type="spellEnd"/>
      <w:r>
        <w:rPr>
          <w:color w:val="000000"/>
          <w:sz w:val="24"/>
          <w:szCs w:val="24"/>
        </w:rPr>
        <w:t xml:space="preserve">, H.J., Schreiber, F., </w:t>
      </w:r>
      <w:proofErr w:type="spellStart"/>
      <w:r>
        <w:rPr>
          <w:color w:val="000000"/>
          <w:sz w:val="24"/>
          <w:szCs w:val="24"/>
        </w:rPr>
        <w:t>Dobisch</w:t>
      </w:r>
      <w:proofErr w:type="spellEnd"/>
      <w:r>
        <w:rPr>
          <w:color w:val="000000"/>
          <w:sz w:val="24"/>
          <w:szCs w:val="24"/>
        </w:rPr>
        <w:t xml:space="preserve">, L., </w:t>
      </w:r>
      <w:proofErr w:type="spellStart"/>
      <w:r>
        <w:rPr>
          <w:color w:val="000000"/>
          <w:sz w:val="24"/>
          <w:szCs w:val="24"/>
        </w:rPr>
        <w:t>Oltmer</w:t>
      </w:r>
      <w:proofErr w:type="spellEnd"/>
      <w:r>
        <w:rPr>
          <w:color w:val="000000"/>
          <w:sz w:val="24"/>
          <w:szCs w:val="24"/>
        </w:rPr>
        <w:t xml:space="preserve">, J., </w:t>
      </w:r>
      <w:proofErr w:type="spellStart"/>
      <w:r>
        <w:rPr>
          <w:color w:val="000000"/>
          <w:sz w:val="24"/>
          <w:szCs w:val="24"/>
        </w:rPr>
        <w:t>Assmann</w:t>
      </w:r>
      <w:proofErr w:type="spellEnd"/>
      <w:r>
        <w:rPr>
          <w:color w:val="000000"/>
          <w:sz w:val="24"/>
          <w:szCs w:val="24"/>
        </w:rPr>
        <w:t xml:space="preserve">, A., Speck, O., </w:t>
      </w:r>
      <w:proofErr w:type="spellStart"/>
      <w:r>
        <w:rPr>
          <w:color w:val="000000"/>
          <w:sz w:val="24"/>
          <w:szCs w:val="24"/>
        </w:rPr>
        <w:t>Heinze</w:t>
      </w:r>
      <w:proofErr w:type="spellEnd"/>
      <w:r>
        <w:rPr>
          <w:color w:val="000000"/>
          <w:sz w:val="24"/>
          <w:szCs w:val="24"/>
        </w:rPr>
        <w:t>, H.J. and Acosta-</w:t>
      </w:r>
      <w:proofErr w:type="spellStart"/>
      <w:r>
        <w:rPr>
          <w:color w:val="000000"/>
          <w:sz w:val="24"/>
          <w:szCs w:val="24"/>
        </w:rPr>
        <w:t>Cabronero</w:t>
      </w:r>
      <w:proofErr w:type="spellEnd"/>
      <w:r>
        <w:rPr>
          <w:color w:val="000000"/>
          <w:sz w:val="24"/>
          <w:szCs w:val="24"/>
        </w:rPr>
        <w:t xml:space="preserve">, J., 2021. Detection of cerebral </w:t>
      </w:r>
      <w:proofErr w:type="spellStart"/>
      <w:r>
        <w:rPr>
          <w:color w:val="000000"/>
          <w:sz w:val="24"/>
          <w:szCs w:val="24"/>
        </w:rPr>
        <w:t>microbleeds</w:t>
      </w:r>
      <w:proofErr w:type="spellEnd"/>
      <w:r>
        <w:rPr>
          <w:color w:val="000000"/>
          <w:sz w:val="24"/>
          <w:szCs w:val="24"/>
        </w:rPr>
        <w:t xml:space="preserve"> with venous connection at 7-Tesla MRI. </w:t>
      </w:r>
      <w:r>
        <w:rPr>
          <w:i/>
          <w:color w:val="000000"/>
          <w:sz w:val="24"/>
          <w:szCs w:val="24"/>
        </w:rPr>
        <w:t>Neurology</w:t>
      </w:r>
      <w:r>
        <w:rPr>
          <w:color w:val="000000"/>
          <w:sz w:val="24"/>
          <w:szCs w:val="24"/>
        </w:rPr>
        <w:t xml:space="preserve">, </w:t>
      </w:r>
      <w:r>
        <w:rPr>
          <w:i/>
          <w:color w:val="000000"/>
          <w:sz w:val="24"/>
          <w:szCs w:val="24"/>
        </w:rPr>
        <w:t>96</w:t>
      </w:r>
      <w:r>
        <w:rPr>
          <w:color w:val="000000"/>
          <w:sz w:val="24"/>
          <w:szCs w:val="24"/>
        </w:rPr>
        <w:t>(16), pp.e2048-e2057.</w:t>
      </w:r>
    </w:p>
    <w:p w:rsidR="006E7D04" w:rsidRDefault="00CD0C6F">
      <w:pPr>
        <w:pBdr>
          <w:top w:val="nil"/>
          <w:left w:val="nil"/>
          <w:bottom w:val="nil"/>
          <w:right w:val="nil"/>
          <w:between w:val="nil"/>
        </w:pBdr>
        <w:spacing w:after="200" w:line="360" w:lineRule="auto"/>
        <w:ind w:left="1584" w:right="333" w:hanging="720"/>
        <w:jc w:val="both"/>
        <w:rPr>
          <w:color w:val="000000"/>
          <w:sz w:val="24"/>
          <w:szCs w:val="24"/>
        </w:rPr>
      </w:pPr>
      <w:r>
        <w:rPr>
          <w:color w:val="000000"/>
          <w:sz w:val="24"/>
          <w:szCs w:val="24"/>
        </w:rPr>
        <w:t xml:space="preserve">Safari </w:t>
      </w:r>
      <w:proofErr w:type="spellStart"/>
      <w:r>
        <w:rPr>
          <w:color w:val="000000"/>
          <w:sz w:val="24"/>
          <w:szCs w:val="24"/>
        </w:rPr>
        <w:t>Sarchah</w:t>
      </w:r>
      <w:proofErr w:type="spellEnd"/>
      <w:r>
        <w:rPr>
          <w:color w:val="000000"/>
          <w:sz w:val="24"/>
          <w:szCs w:val="24"/>
        </w:rPr>
        <w:t xml:space="preserve">, F., </w:t>
      </w:r>
      <w:proofErr w:type="spellStart"/>
      <w:r>
        <w:rPr>
          <w:color w:val="000000"/>
          <w:sz w:val="24"/>
          <w:szCs w:val="24"/>
        </w:rPr>
        <w:t>Yazdifar</w:t>
      </w:r>
      <w:proofErr w:type="spellEnd"/>
      <w:r>
        <w:rPr>
          <w:color w:val="000000"/>
          <w:sz w:val="24"/>
          <w:szCs w:val="24"/>
        </w:rPr>
        <w:t xml:space="preserve">, H. and </w:t>
      </w:r>
      <w:proofErr w:type="spellStart"/>
      <w:r>
        <w:rPr>
          <w:color w:val="000000"/>
          <w:sz w:val="24"/>
          <w:szCs w:val="24"/>
        </w:rPr>
        <w:t>Pifeh</w:t>
      </w:r>
      <w:proofErr w:type="spellEnd"/>
      <w:r>
        <w:rPr>
          <w:color w:val="000000"/>
          <w:sz w:val="24"/>
          <w:szCs w:val="24"/>
        </w:rPr>
        <w:t xml:space="preserve">, A., 2020. An investigating of the impacts of external and internal organizational factors of the privatization process on the management accounting practices and its impact on the financial performance of companies (Evidence from Iran). </w:t>
      </w:r>
      <w:r>
        <w:rPr>
          <w:i/>
          <w:color w:val="000000"/>
          <w:sz w:val="24"/>
          <w:szCs w:val="24"/>
        </w:rPr>
        <w:t>Iranian Journal of Finance</w:t>
      </w:r>
      <w:r>
        <w:rPr>
          <w:color w:val="000000"/>
          <w:sz w:val="24"/>
          <w:szCs w:val="24"/>
        </w:rPr>
        <w:t xml:space="preserve">, </w:t>
      </w:r>
      <w:r>
        <w:rPr>
          <w:i/>
          <w:color w:val="000000"/>
          <w:sz w:val="24"/>
          <w:szCs w:val="24"/>
        </w:rPr>
        <w:t>4</w:t>
      </w:r>
      <w:r>
        <w:rPr>
          <w:color w:val="000000"/>
          <w:sz w:val="24"/>
          <w:szCs w:val="24"/>
        </w:rPr>
        <w:t xml:space="preserve">(3), pp.18-48. </w:t>
      </w:r>
      <w:proofErr w:type="spellStart"/>
      <w:r>
        <w:rPr>
          <w:color w:val="000000"/>
          <w:sz w:val="24"/>
          <w:szCs w:val="24"/>
        </w:rPr>
        <w:t>Maheshwari</w:t>
      </w:r>
      <w:proofErr w:type="spellEnd"/>
      <w:r>
        <w:rPr>
          <w:color w:val="000000"/>
          <w:sz w:val="24"/>
          <w:szCs w:val="24"/>
        </w:rPr>
        <w:t xml:space="preserve">, S. N., </w:t>
      </w:r>
      <w:proofErr w:type="spellStart"/>
      <w:r>
        <w:rPr>
          <w:color w:val="000000"/>
          <w:sz w:val="24"/>
          <w:szCs w:val="24"/>
        </w:rPr>
        <w:t>Suneel</w:t>
      </w:r>
      <w:proofErr w:type="spellEnd"/>
      <w:r>
        <w:rPr>
          <w:color w:val="000000"/>
          <w:sz w:val="24"/>
          <w:szCs w:val="24"/>
        </w:rPr>
        <w:t xml:space="preserve"> K. </w:t>
      </w:r>
      <w:proofErr w:type="spellStart"/>
      <w:r>
        <w:rPr>
          <w:color w:val="000000"/>
          <w:sz w:val="24"/>
          <w:szCs w:val="24"/>
        </w:rPr>
        <w:t>Maheshwari</w:t>
      </w:r>
      <w:proofErr w:type="spellEnd"/>
      <w:r>
        <w:rPr>
          <w:color w:val="000000"/>
          <w:sz w:val="24"/>
          <w:szCs w:val="24"/>
        </w:rPr>
        <w:t xml:space="preserve">, and </w:t>
      </w:r>
      <w:proofErr w:type="spellStart"/>
      <w:r>
        <w:rPr>
          <w:color w:val="000000"/>
          <w:sz w:val="24"/>
          <w:szCs w:val="24"/>
        </w:rPr>
        <w:t>Mr</w:t>
      </w:r>
      <w:proofErr w:type="spellEnd"/>
      <w:r>
        <w:rPr>
          <w:color w:val="000000"/>
          <w:sz w:val="24"/>
          <w:szCs w:val="24"/>
        </w:rPr>
        <w:t xml:space="preserve"> </w:t>
      </w:r>
      <w:proofErr w:type="spellStart"/>
      <w:r>
        <w:rPr>
          <w:color w:val="000000"/>
          <w:sz w:val="24"/>
          <w:szCs w:val="24"/>
        </w:rPr>
        <w:t>Sharad</w:t>
      </w:r>
      <w:proofErr w:type="spellEnd"/>
      <w:r>
        <w:rPr>
          <w:color w:val="000000"/>
          <w:sz w:val="24"/>
          <w:szCs w:val="24"/>
        </w:rPr>
        <w:t xml:space="preserve"> K.</w:t>
      </w:r>
    </w:p>
    <w:p w:rsidR="006E7D04" w:rsidRDefault="00CD0C6F">
      <w:pPr>
        <w:pBdr>
          <w:top w:val="nil"/>
          <w:left w:val="nil"/>
          <w:bottom w:val="nil"/>
          <w:right w:val="nil"/>
          <w:between w:val="nil"/>
        </w:pBdr>
        <w:spacing w:after="200" w:line="360" w:lineRule="auto"/>
        <w:ind w:left="1584" w:right="343" w:hanging="720"/>
        <w:jc w:val="both"/>
        <w:rPr>
          <w:color w:val="000000"/>
          <w:sz w:val="24"/>
          <w:szCs w:val="24"/>
        </w:rPr>
      </w:pPr>
      <w:proofErr w:type="spellStart"/>
      <w:r>
        <w:rPr>
          <w:color w:val="000000"/>
          <w:sz w:val="24"/>
          <w:szCs w:val="24"/>
        </w:rPr>
        <w:t>Siagian</w:t>
      </w:r>
      <w:proofErr w:type="spellEnd"/>
      <w:r>
        <w:rPr>
          <w:color w:val="000000"/>
          <w:sz w:val="24"/>
          <w:szCs w:val="24"/>
        </w:rPr>
        <w:t xml:space="preserve">, A.O., </w:t>
      </w:r>
      <w:proofErr w:type="spellStart"/>
      <w:r>
        <w:rPr>
          <w:color w:val="000000"/>
          <w:sz w:val="24"/>
          <w:szCs w:val="24"/>
        </w:rPr>
        <w:t>Wijoyo</w:t>
      </w:r>
      <w:proofErr w:type="spellEnd"/>
      <w:r>
        <w:rPr>
          <w:color w:val="000000"/>
          <w:sz w:val="24"/>
          <w:szCs w:val="24"/>
        </w:rPr>
        <w:t xml:space="preserve">, H. and </w:t>
      </w:r>
      <w:proofErr w:type="spellStart"/>
      <w:r>
        <w:rPr>
          <w:color w:val="000000"/>
          <w:sz w:val="24"/>
          <w:szCs w:val="24"/>
        </w:rPr>
        <w:t>Cahyono</w:t>
      </w:r>
      <w:proofErr w:type="spellEnd"/>
      <w:r>
        <w:rPr>
          <w:color w:val="000000"/>
          <w:sz w:val="24"/>
          <w:szCs w:val="24"/>
        </w:rPr>
        <w:t xml:space="preserve">, Y., 2021, March. The Effect of Debt to Asset Ratio, Return on Equity, and Current Ratio on Stock Prices of Pharmaceutical Companies Listed on the Indonesia Stock Exchange 2016-2019 Period. In </w:t>
      </w:r>
      <w:r>
        <w:rPr>
          <w:i/>
          <w:color w:val="000000"/>
          <w:sz w:val="24"/>
          <w:szCs w:val="24"/>
        </w:rPr>
        <w:t>Journal of World Conference (JWC)</w:t>
      </w:r>
      <w:r>
        <w:rPr>
          <w:color w:val="000000"/>
          <w:sz w:val="24"/>
          <w:szCs w:val="24"/>
        </w:rPr>
        <w:t>.</w:t>
      </w:r>
    </w:p>
    <w:p w:rsidR="006E7D04" w:rsidRDefault="00CD0C6F">
      <w:pPr>
        <w:spacing w:after="200" w:line="360" w:lineRule="auto"/>
        <w:ind w:left="1584" w:right="347" w:hanging="720"/>
        <w:jc w:val="both"/>
        <w:rPr>
          <w:sz w:val="24"/>
          <w:szCs w:val="24"/>
        </w:rPr>
      </w:pPr>
      <w:r>
        <w:rPr>
          <w:sz w:val="24"/>
          <w:szCs w:val="24"/>
        </w:rPr>
        <w:t xml:space="preserve">Song, J., 2022, March. Quantitative Analysis of Tesla Inc. in the Context of the Covid-19. In </w:t>
      </w:r>
      <w:r>
        <w:rPr>
          <w:i/>
          <w:sz w:val="24"/>
          <w:szCs w:val="24"/>
        </w:rPr>
        <w:t xml:space="preserve">2022 7th International Conference on Financial Innovation and Economic Development (ICFIED 2022) </w:t>
      </w:r>
      <w:r>
        <w:rPr>
          <w:sz w:val="24"/>
          <w:szCs w:val="24"/>
        </w:rPr>
        <w:t>(pp. 662-666). Atlantis Press.</w:t>
      </w:r>
    </w:p>
    <w:p w:rsidR="006E7D04" w:rsidRDefault="00CD0C6F">
      <w:pPr>
        <w:spacing w:after="200" w:line="360" w:lineRule="auto"/>
        <w:ind w:left="1584" w:right="346" w:hanging="720"/>
        <w:jc w:val="both"/>
        <w:rPr>
          <w:i/>
          <w:sz w:val="24"/>
          <w:szCs w:val="24"/>
        </w:rPr>
      </w:pPr>
      <w:r>
        <w:rPr>
          <w:sz w:val="24"/>
          <w:szCs w:val="24"/>
        </w:rPr>
        <w:t xml:space="preserve">Strauss, N. and Smith, C.H., 2019. Buying on rumors: how financial news flows affect the share price of Tesla. </w:t>
      </w:r>
      <w:r>
        <w:rPr>
          <w:i/>
          <w:sz w:val="24"/>
          <w:szCs w:val="24"/>
        </w:rPr>
        <w:t>Corporate Communications: An International Journal</w:t>
      </w:r>
    </w:p>
    <w:p w:rsidR="006E7D04" w:rsidRDefault="00CD0C6F">
      <w:pPr>
        <w:pBdr>
          <w:top w:val="nil"/>
          <w:left w:val="nil"/>
          <w:bottom w:val="nil"/>
          <w:right w:val="nil"/>
          <w:between w:val="nil"/>
        </w:pBdr>
        <w:spacing w:after="200" w:line="360" w:lineRule="auto"/>
        <w:ind w:left="1584" w:right="334" w:hanging="720"/>
        <w:jc w:val="both"/>
        <w:rPr>
          <w:color w:val="000000"/>
          <w:sz w:val="24"/>
          <w:szCs w:val="24"/>
        </w:rPr>
      </w:pPr>
      <w:proofErr w:type="spellStart"/>
      <w:r>
        <w:rPr>
          <w:color w:val="000000"/>
          <w:sz w:val="24"/>
          <w:szCs w:val="24"/>
        </w:rPr>
        <w:t>Swahn</w:t>
      </w:r>
      <w:proofErr w:type="spellEnd"/>
      <w:r>
        <w:rPr>
          <w:color w:val="000000"/>
          <w:sz w:val="24"/>
          <w:szCs w:val="24"/>
        </w:rPr>
        <w:t>, W., 2021. Price formation on the Tesla stock market: A study on market impact and trader types.</w:t>
      </w:r>
    </w:p>
    <w:p w:rsidR="006E7D04" w:rsidRDefault="00CD0C6F">
      <w:pPr>
        <w:spacing w:after="200" w:line="360" w:lineRule="auto"/>
        <w:ind w:left="1584" w:right="352" w:hanging="720"/>
        <w:jc w:val="both"/>
        <w:rPr>
          <w:sz w:val="24"/>
          <w:szCs w:val="24"/>
        </w:rPr>
      </w:pPr>
      <w:proofErr w:type="spellStart"/>
      <w:r>
        <w:rPr>
          <w:sz w:val="24"/>
          <w:szCs w:val="24"/>
        </w:rPr>
        <w:t>Teece</w:t>
      </w:r>
      <w:proofErr w:type="spellEnd"/>
      <w:r>
        <w:rPr>
          <w:sz w:val="24"/>
          <w:szCs w:val="24"/>
        </w:rPr>
        <w:t xml:space="preserve">, D.J., 2018. Tesla and the reshaping of the auto industry. </w:t>
      </w:r>
      <w:r>
        <w:rPr>
          <w:i/>
          <w:sz w:val="24"/>
          <w:szCs w:val="24"/>
        </w:rPr>
        <w:t>Management and Organization Review</w:t>
      </w:r>
      <w:r>
        <w:rPr>
          <w:sz w:val="24"/>
          <w:szCs w:val="24"/>
        </w:rPr>
        <w:t xml:space="preserve">, </w:t>
      </w:r>
      <w:r>
        <w:rPr>
          <w:i/>
          <w:sz w:val="24"/>
          <w:szCs w:val="24"/>
        </w:rPr>
        <w:t>14</w:t>
      </w:r>
      <w:r>
        <w:rPr>
          <w:sz w:val="24"/>
          <w:szCs w:val="24"/>
        </w:rPr>
        <w:t>(3), pp.501-512.</w:t>
      </w:r>
    </w:p>
    <w:p w:rsidR="006E7D04" w:rsidRDefault="00CD0C6F">
      <w:pPr>
        <w:pBdr>
          <w:top w:val="nil"/>
          <w:left w:val="nil"/>
          <w:bottom w:val="nil"/>
          <w:right w:val="nil"/>
          <w:between w:val="nil"/>
        </w:pBdr>
        <w:spacing w:after="200" w:line="360" w:lineRule="auto"/>
        <w:ind w:left="1584" w:right="338" w:hanging="720"/>
        <w:jc w:val="both"/>
        <w:rPr>
          <w:i/>
          <w:color w:val="000000"/>
          <w:sz w:val="24"/>
          <w:szCs w:val="24"/>
        </w:rPr>
      </w:pPr>
      <w:r>
        <w:rPr>
          <w:color w:val="000000"/>
          <w:sz w:val="24"/>
          <w:szCs w:val="24"/>
        </w:rPr>
        <w:t xml:space="preserve">Tendon, S., </w:t>
      </w:r>
      <w:proofErr w:type="spellStart"/>
      <w:r>
        <w:rPr>
          <w:color w:val="000000"/>
          <w:sz w:val="24"/>
          <w:szCs w:val="24"/>
        </w:rPr>
        <w:t>Rastogi</w:t>
      </w:r>
      <w:proofErr w:type="spellEnd"/>
      <w:r>
        <w:rPr>
          <w:color w:val="000000"/>
          <w:sz w:val="24"/>
          <w:szCs w:val="24"/>
        </w:rPr>
        <w:t xml:space="preserve">, M. and </w:t>
      </w:r>
      <w:proofErr w:type="spellStart"/>
      <w:r>
        <w:rPr>
          <w:color w:val="000000"/>
          <w:sz w:val="24"/>
          <w:szCs w:val="24"/>
        </w:rPr>
        <w:t>Verma</w:t>
      </w:r>
      <w:proofErr w:type="spellEnd"/>
      <w:r>
        <w:rPr>
          <w:color w:val="000000"/>
          <w:sz w:val="24"/>
          <w:szCs w:val="24"/>
        </w:rPr>
        <w:t xml:space="preserve">, T., 2020. CHANGING PARADIGM OF E- COMMERCE: FUTURE OF E-CARS IN INDIA (A STUDY OF TESLA). </w:t>
      </w:r>
      <w:r>
        <w:rPr>
          <w:i/>
          <w:color w:val="000000"/>
          <w:sz w:val="24"/>
          <w:szCs w:val="24"/>
        </w:rPr>
        <w:t>International</w:t>
      </w:r>
    </w:p>
    <w:p w:rsidR="006E7D04" w:rsidRDefault="00CD0C6F">
      <w:pPr>
        <w:pBdr>
          <w:top w:val="nil"/>
          <w:left w:val="nil"/>
          <w:bottom w:val="nil"/>
          <w:right w:val="nil"/>
          <w:between w:val="nil"/>
        </w:pBdr>
        <w:spacing w:after="200" w:line="360" w:lineRule="auto"/>
        <w:ind w:left="1584" w:right="330" w:hanging="720"/>
        <w:jc w:val="both"/>
        <w:rPr>
          <w:color w:val="000000"/>
          <w:sz w:val="24"/>
          <w:szCs w:val="24"/>
        </w:rPr>
      </w:pPr>
      <w:proofErr w:type="spellStart"/>
      <w:r>
        <w:rPr>
          <w:color w:val="000000"/>
          <w:sz w:val="24"/>
          <w:szCs w:val="24"/>
        </w:rPr>
        <w:t>Vladimirovna</w:t>
      </w:r>
      <w:proofErr w:type="spellEnd"/>
      <w:r>
        <w:rPr>
          <w:color w:val="000000"/>
          <w:sz w:val="24"/>
          <w:szCs w:val="24"/>
        </w:rPr>
        <w:t xml:space="preserve">, S.T., Marina, G., Maria, H.D. and Martina, G., 2018. Analysis of financial market trends in the company Ericsson Nikola Tesla plc.. In terms of breaking out of the economic crisis with reference to the code of corporate governance. </w:t>
      </w:r>
      <w:proofErr w:type="spellStart"/>
      <w:r>
        <w:rPr>
          <w:i/>
          <w:color w:val="000000"/>
          <w:sz w:val="24"/>
          <w:szCs w:val="24"/>
        </w:rPr>
        <w:t>Вестник</w:t>
      </w:r>
      <w:proofErr w:type="spellEnd"/>
      <w:r>
        <w:rPr>
          <w:i/>
          <w:color w:val="000000"/>
          <w:sz w:val="24"/>
          <w:szCs w:val="24"/>
        </w:rPr>
        <w:t xml:space="preserve"> НГИЭИ</w:t>
      </w:r>
      <w:r>
        <w:rPr>
          <w:color w:val="000000"/>
          <w:sz w:val="24"/>
          <w:szCs w:val="24"/>
        </w:rPr>
        <w:t>, (2 (81)), pp.78-89.</w:t>
      </w:r>
    </w:p>
    <w:p w:rsidR="006E7D04" w:rsidRDefault="00CD0C6F">
      <w:pPr>
        <w:spacing w:after="200" w:line="360" w:lineRule="auto"/>
        <w:ind w:left="1584" w:right="343" w:hanging="720"/>
        <w:jc w:val="both"/>
        <w:rPr>
          <w:sz w:val="24"/>
          <w:szCs w:val="24"/>
        </w:rPr>
      </w:pPr>
      <w:r>
        <w:rPr>
          <w:sz w:val="24"/>
          <w:szCs w:val="24"/>
        </w:rPr>
        <w:t xml:space="preserve">Yang, X., 2022, July. Research on Tesla’s Market—Based on Porter’s Five Forces and Ratio Analysis Model. In </w:t>
      </w:r>
      <w:r>
        <w:rPr>
          <w:i/>
          <w:sz w:val="24"/>
          <w:szCs w:val="24"/>
        </w:rPr>
        <w:t xml:space="preserve">2022 2nd International Conference on Enterprise Management and Economic Development (ICEMED 2022) </w:t>
      </w:r>
      <w:r>
        <w:rPr>
          <w:sz w:val="24"/>
          <w:szCs w:val="24"/>
        </w:rPr>
        <w:t>(pp. 773-777). Atlantis Press.</w:t>
      </w:r>
    </w:p>
    <w:p w:rsidR="006E7D04" w:rsidRDefault="006E7D04">
      <w:pPr>
        <w:pBdr>
          <w:top w:val="nil"/>
          <w:left w:val="nil"/>
          <w:bottom w:val="nil"/>
          <w:right w:val="nil"/>
          <w:between w:val="nil"/>
        </w:pBdr>
        <w:spacing w:before="235" w:line="360" w:lineRule="auto"/>
        <w:rPr>
          <w:b/>
          <w:color w:val="000000"/>
          <w:sz w:val="24"/>
          <w:szCs w:val="24"/>
        </w:rPr>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pPr>
    </w:p>
    <w:p w:rsidR="006E7D04" w:rsidRDefault="006E7D04">
      <w:pPr>
        <w:spacing w:line="360" w:lineRule="auto"/>
        <w:sectPr w:rsidR="006E7D04">
          <w:pgSz w:w="11900" w:h="16840"/>
          <w:pgMar w:top="1600" w:right="1100" w:bottom="1180" w:left="580" w:header="0" w:footer="999" w:gutter="0"/>
          <w:cols w:space="720"/>
        </w:sectPr>
      </w:pPr>
    </w:p>
    <w:p w:rsidR="006E7D04" w:rsidRDefault="006E7D04">
      <w:pPr>
        <w:spacing w:line="360" w:lineRule="auto"/>
        <w:jc w:val="both"/>
        <w:sectPr w:rsidR="006E7D04">
          <w:pgSz w:w="11900" w:h="16840"/>
          <w:pgMar w:top="1380" w:right="1100" w:bottom="1180" w:left="580" w:header="0" w:footer="999" w:gutter="0"/>
          <w:cols w:space="720"/>
        </w:sectPr>
      </w:pPr>
    </w:p>
    <w:p w:rsidR="006E7D04" w:rsidRDefault="006E7D04">
      <w:pPr>
        <w:spacing w:after="200" w:line="360" w:lineRule="auto"/>
        <w:jc w:val="both"/>
        <w:sectPr w:rsidR="006E7D04">
          <w:pgSz w:w="11900" w:h="16840"/>
          <w:pgMar w:top="1380" w:right="1100" w:bottom="1180" w:left="580" w:header="0" w:footer="999" w:gutter="0"/>
          <w:cols w:space="720"/>
        </w:sectPr>
      </w:pPr>
      <w:bookmarkStart w:id="69" w:name="1jlao46" w:colFirst="0" w:colLast="0"/>
      <w:bookmarkEnd w:id="69"/>
    </w:p>
    <w:p w:rsidR="006E7D04" w:rsidRDefault="006E7D04">
      <w:pPr>
        <w:pBdr>
          <w:top w:val="nil"/>
          <w:left w:val="nil"/>
          <w:bottom w:val="nil"/>
          <w:right w:val="nil"/>
          <w:between w:val="nil"/>
        </w:pBdr>
        <w:spacing w:after="200" w:line="360" w:lineRule="auto"/>
        <w:jc w:val="both"/>
        <w:rPr>
          <w:color w:val="000000"/>
          <w:sz w:val="24"/>
          <w:szCs w:val="24"/>
        </w:rPr>
      </w:pPr>
    </w:p>
    <w:sectPr w:rsidR="006E7D04">
      <w:pgSz w:w="11900" w:h="16840"/>
      <w:pgMar w:top="1380" w:right="1100" w:bottom="1180" w:left="580" w:header="0" w:footer="9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0C6F" w:rsidRDefault="00CD0C6F">
      <w:r>
        <w:separator/>
      </w:r>
    </w:p>
  </w:endnote>
  <w:endnote w:type="continuationSeparator" w:id="0">
    <w:p w:rsidR="00CD0C6F" w:rsidRDefault="00CD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7D04" w:rsidRDefault="006E7D04">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0C6F" w:rsidRDefault="00CD0C6F">
      <w:r>
        <w:separator/>
      </w:r>
    </w:p>
  </w:footnote>
  <w:footnote w:type="continuationSeparator" w:id="0">
    <w:p w:rsidR="00CD0C6F" w:rsidRDefault="00CD0C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47156"/>
    <w:multiLevelType w:val="multilevel"/>
    <w:tmpl w:val="FFFFFFFF"/>
    <w:lvl w:ilvl="0">
      <w:start w:val="1"/>
      <w:numFmt w:val="decimal"/>
      <w:lvlText w:val="%1."/>
      <w:lvlJc w:val="left"/>
      <w:pPr>
        <w:ind w:left="1142" w:hanging="280"/>
      </w:pPr>
      <w:rPr>
        <w:rFonts w:ascii="Times New Roman" w:eastAsia="Times New Roman" w:hAnsi="Times New Roman" w:cs="Times New Roman"/>
        <w:b/>
        <w:color w:val="000009"/>
        <w:sz w:val="28"/>
        <w:szCs w:val="28"/>
      </w:rPr>
    </w:lvl>
    <w:lvl w:ilvl="1">
      <w:start w:val="1"/>
      <w:numFmt w:val="decimal"/>
      <w:lvlText w:val="%1.%2"/>
      <w:lvlJc w:val="left"/>
      <w:pPr>
        <w:ind w:left="1282" w:hanging="420"/>
      </w:pPr>
      <w:rPr>
        <w:b/>
      </w:rPr>
    </w:lvl>
    <w:lvl w:ilvl="2">
      <w:start w:val="1"/>
      <w:numFmt w:val="decimal"/>
      <w:lvlText w:val="%1.%2.%3"/>
      <w:lvlJc w:val="left"/>
      <w:pPr>
        <w:ind w:left="1402" w:hanging="540"/>
      </w:pPr>
      <w:rPr>
        <w:b/>
      </w:rPr>
    </w:lvl>
    <w:lvl w:ilvl="3">
      <w:numFmt w:val="bullet"/>
      <w:lvlText w:val="•"/>
      <w:lvlJc w:val="left"/>
      <w:pPr>
        <w:ind w:left="1500" w:hanging="540"/>
      </w:pPr>
    </w:lvl>
    <w:lvl w:ilvl="4">
      <w:numFmt w:val="bullet"/>
      <w:lvlText w:val="•"/>
      <w:lvlJc w:val="left"/>
      <w:pPr>
        <w:ind w:left="2745" w:hanging="540"/>
      </w:pPr>
    </w:lvl>
    <w:lvl w:ilvl="5">
      <w:numFmt w:val="bullet"/>
      <w:lvlText w:val="•"/>
      <w:lvlJc w:val="left"/>
      <w:pPr>
        <w:ind w:left="3991" w:hanging="540"/>
      </w:pPr>
    </w:lvl>
    <w:lvl w:ilvl="6">
      <w:numFmt w:val="bullet"/>
      <w:lvlText w:val="•"/>
      <w:lvlJc w:val="left"/>
      <w:pPr>
        <w:ind w:left="5237" w:hanging="540"/>
      </w:pPr>
    </w:lvl>
    <w:lvl w:ilvl="7">
      <w:numFmt w:val="bullet"/>
      <w:lvlText w:val="•"/>
      <w:lvlJc w:val="left"/>
      <w:pPr>
        <w:ind w:left="6482" w:hanging="540"/>
      </w:pPr>
    </w:lvl>
    <w:lvl w:ilvl="8">
      <w:numFmt w:val="bullet"/>
      <w:lvlText w:val="•"/>
      <w:lvlJc w:val="left"/>
      <w:pPr>
        <w:ind w:left="7728" w:hanging="540"/>
      </w:pPr>
    </w:lvl>
  </w:abstractNum>
  <w:num w:numId="1" w16cid:durableId="1274440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D04"/>
    <w:rsid w:val="006E7D04"/>
    <w:rsid w:val="00CD0C6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ecimalSymbol w:val="."/>
  <w:listSeparator w:val=","/>
  <w15:docId w15:val="{1455A64F-45A3-ED40-A15D-0935941B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GB" w:bidi="hi-I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61"/>
      <w:ind w:left="861"/>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78"/>
      <w:ind w:left="861"/>
    </w:pPr>
    <w:rPr>
      <w:b/>
      <w:sz w:val="52"/>
      <w:szCs w:val="5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5044</Words>
  <Characters>28756</Characters>
  <Application>Microsoft Office Word</Application>
  <DocSecurity>0</DocSecurity>
  <Lines>239</Lines>
  <Paragraphs>67</Paragraphs>
  <ScaleCrop>false</ScaleCrop>
  <Company/>
  <LinksUpToDate>false</LinksUpToDate>
  <CharactersWithSpaces>33733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Mistry bakula Mistry bakula</cp:lastModifiedBy>
  <cp:revision>2</cp:revision>
  <dcterms:created xsi:type="dcterms:W3CDTF">2024-04-22T13:46:00Z</dcterms:created>
  <dcterms:modified xsi:type="dcterms:W3CDTF">2024-04-22T13:46:00Z</dcterms:modified>
</cp:coreProperties>
</file>