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15490E" w14:textId="735BC600" w:rsidR="000D3638" w:rsidRDefault="000D3638" w:rsidP="000D3638">
      <w:pPr>
        <w:shd w:val="clear" w:color="auto" w:fill="FFFFFF"/>
        <w:spacing w:line="360" w:lineRule="auto"/>
        <w:jc w:val="both"/>
        <w:outlineLvl w:val="0"/>
        <w:rPr>
          <w:b/>
          <w:bCs/>
          <w:color w:val="0F1115"/>
          <w:kern w:val="36"/>
        </w:rPr>
      </w:pPr>
      <w:bookmarkStart w:id="0" w:name="_Toc237548774"/>
      <w:r w:rsidRPr="000D3638">
        <w:rPr>
          <w:b/>
          <w:bCs/>
          <w:color w:val="0F1115"/>
          <w:kern w:val="36"/>
        </w:rPr>
        <w:t>The Social Model of Disability: A Critical Examination of its Application in UK Health and Social Care Policy and Practice</w:t>
      </w:r>
      <w:bookmarkEnd w:id="0"/>
      <w:r w:rsidR="004414B4">
        <w:rPr>
          <w:b/>
          <w:bCs/>
          <w:color w:val="0F1115"/>
          <w:kern w:val="36"/>
        </w:rPr>
        <w:t xml:space="preserve"> </w:t>
      </w:r>
    </w:p>
    <w:p w14:paraId="67C59832" w14:textId="77777777" w:rsidR="004414B4" w:rsidRDefault="004414B4" w:rsidP="000D3638">
      <w:pPr>
        <w:shd w:val="clear" w:color="auto" w:fill="FFFFFF"/>
        <w:spacing w:line="360" w:lineRule="auto"/>
        <w:jc w:val="both"/>
        <w:outlineLvl w:val="0"/>
        <w:rPr>
          <w:b/>
          <w:bCs/>
          <w:color w:val="0F1115"/>
          <w:kern w:val="36"/>
        </w:rPr>
      </w:pPr>
    </w:p>
    <w:p w14:paraId="3B4A579D" w14:textId="77777777" w:rsidR="004414B4" w:rsidRPr="000D3638" w:rsidRDefault="004414B4" w:rsidP="000D3638">
      <w:pPr>
        <w:shd w:val="clear" w:color="auto" w:fill="FFFFFF"/>
        <w:spacing w:line="360" w:lineRule="auto"/>
        <w:jc w:val="both"/>
        <w:outlineLvl w:val="0"/>
        <w:rPr>
          <w:b/>
          <w:bCs/>
          <w:color w:val="0F1115"/>
          <w:kern w:val="36"/>
        </w:rPr>
      </w:pPr>
    </w:p>
    <w:p w14:paraId="1A965948" w14:textId="77777777" w:rsidR="004414B4" w:rsidRDefault="004414B4" w:rsidP="004414B4">
      <w:pPr>
        <w:spacing w:line="278" w:lineRule="auto"/>
        <w:jc w:val="both"/>
      </w:pPr>
      <w:r>
        <w:t xml:space="preserve">Student Name: </w:t>
      </w:r>
      <w:proofErr w:type="spellStart"/>
      <w:r w:rsidRPr="004414B4">
        <w:rPr>
          <w:b/>
          <w:bCs/>
        </w:rPr>
        <w:t>Kossiwa</w:t>
      </w:r>
      <w:proofErr w:type="spellEnd"/>
      <w:r w:rsidRPr="004414B4">
        <w:rPr>
          <w:b/>
          <w:bCs/>
        </w:rPr>
        <w:t xml:space="preserve"> Seyram Dele</w:t>
      </w:r>
    </w:p>
    <w:p w14:paraId="14EBE78A" w14:textId="77777777" w:rsidR="004414B4" w:rsidRPr="004414B4" w:rsidRDefault="004414B4" w:rsidP="004414B4">
      <w:pPr>
        <w:spacing w:line="278" w:lineRule="auto"/>
        <w:jc w:val="both"/>
        <w:rPr>
          <w:b/>
          <w:bCs/>
        </w:rPr>
      </w:pPr>
      <w:r>
        <w:t xml:space="preserve">Student ID: </w:t>
      </w:r>
      <w:r w:rsidRPr="004414B4">
        <w:rPr>
          <w:b/>
          <w:bCs/>
        </w:rPr>
        <w:t>2336282</w:t>
      </w:r>
    </w:p>
    <w:p w14:paraId="391E5E71" w14:textId="3F38D115" w:rsidR="004414B4" w:rsidRDefault="004414B4" w:rsidP="004414B4">
      <w:pPr>
        <w:spacing w:line="278" w:lineRule="auto"/>
        <w:jc w:val="both"/>
      </w:pPr>
      <w:r>
        <w:t>Module Code</w:t>
      </w:r>
      <w:r>
        <w:t xml:space="preserve">: </w:t>
      </w:r>
      <w:r w:rsidRPr="004414B4">
        <w:rPr>
          <w:b/>
          <w:bCs/>
        </w:rPr>
        <w:t>Principles of Health and Social Care Practice</w:t>
      </w:r>
    </w:p>
    <w:p w14:paraId="5D19EF90" w14:textId="1D3D4772" w:rsidR="004414B4" w:rsidRDefault="004414B4" w:rsidP="004414B4">
      <w:pPr>
        <w:pStyle w:val="Default"/>
      </w:pPr>
      <w:r>
        <w:t>Lecturer</w:t>
      </w:r>
      <w:r>
        <w:t xml:space="preserve">: </w:t>
      </w:r>
      <w:r w:rsidRPr="004414B4">
        <w:rPr>
          <w:b/>
          <w:bCs/>
        </w:rPr>
        <w:t xml:space="preserve">Dr </w:t>
      </w:r>
      <w:proofErr w:type="spellStart"/>
      <w:r w:rsidRPr="004414B4">
        <w:rPr>
          <w:b/>
          <w:bCs/>
        </w:rPr>
        <w:t>Itse</w:t>
      </w:r>
      <w:proofErr w:type="spellEnd"/>
      <w:r w:rsidRPr="004414B4">
        <w:rPr>
          <w:b/>
          <w:bCs/>
        </w:rPr>
        <w:t xml:space="preserve"> Olaoye</w:t>
      </w:r>
      <w:r w:rsidR="00F01A95">
        <w:t xml:space="preserve">, </w:t>
      </w:r>
      <w:r w:rsidR="00F01A95" w:rsidRPr="00F01A95">
        <w:t>Lou Wells</w:t>
      </w:r>
    </w:p>
    <w:p w14:paraId="500CBBB9" w14:textId="3F8DAE04" w:rsidR="004414B4" w:rsidRPr="004414B4" w:rsidRDefault="004414B4" w:rsidP="004414B4">
      <w:pPr>
        <w:spacing w:after="160" w:line="278" w:lineRule="auto"/>
        <w:jc w:val="both"/>
      </w:pPr>
      <w:r>
        <w:t>Module:</w:t>
      </w:r>
      <w:r>
        <w:t xml:space="preserve"> </w:t>
      </w:r>
      <w:r w:rsidRPr="004414B4">
        <w:rPr>
          <w:b/>
          <w:bCs/>
        </w:rPr>
        <w:t xml:space="preserve">BMHP5016 </w:t>
      </w:r>
      <w:r w:rsidR="000D3638">
        <w:br w:type="page"/>
      </w:r>
    </w:p>
    <w:sdt>
      <w:sdtPr>
        <w:id w:val="-1962791388"/>
        <w:docPartObj>
          <w:docPartGallery w:val="Table of Contents"/>
          <w:docPartUnique/>
        </w:docPartObj>
      </w:sdtPr>
      <w:sdtEndPr>
        <w:rPr>
          <w:rFonts w:ascii="Times New Roman" w:eastAsia="Times New Roman" w:hAnsi="Times New Roman" w:cs="Times New Roman"/>
          <w:bCs/>
          <w:noProof/>
          <w:color w:val="auto"/>
          <w:sz w:val="24"/>
          <w:szCs w:val="24"/>
          <w:lang w:val="en-GB"/>
        </w:rPr>
      </w:sdtEndPr>
      <w:sdtContent>
        <w:p w14:paraId="1C7F2739" w14:textId="2B1AFDA6" w:rsidR="004414B4" w:rsidRPr="004414B4" w:rsidRDefault="004414B4" w:rsidP="004414B4">
          <w:pPr>
            <w:pStyle w:val="TOCHeading"/>
            <w:spacing w:before="0" w:line="360" w:lineRule="auto"/>
            <w:jc w:val="both"/>
            <w:rPr>
              <w:rFonts w:ascii="Times New Roman" w:hAnsi="Times New Roman" w:cs="Times New Roman"/>
              <w:color w:val="auto"/>
              <w:sz w:val="24"/>
              <w:szCs w:val="24"/>
            </w:rPr>
          </w:pPr>
          <w:r w:rsidRPr="004414B4">
            <w:rPr>
              <w:rFonts w:ascii="Times New Roman" w:hAnsi="Times New Roman" w:cs="Times New Roman"/>
              <w:color w:val="auto"/>
              <w:sz w:val="24"/>
              <w:szCs w:val="24"/>
            </w:rPr>
            <w:t>Table of Contents</w:t>
          </w:r>
        </w:p>
        <w:p w14:paraId="36FFE96A" w14:textId="57032708" w:rsidR="004414B4" w:rsidRPr="004414B4" w:rsidRDefault="004414B4" w:rsidP="004414B4">
          <w:pPr>
            <w:pStyle w:val="TOC1"/>
            <w:tabs>
              <w:tab w:val="right" w:leader="dot" w:pos="9016"/>
            </w:tabs>
            <w:spacing w:before="0" w:line="360" w:lineRule="auto"/>
            <w:jc w:val="both"/>
            <w:rPr>
              <w:rFonts w:ascii="Times New Roman" w:hAnsi="Times New Roman"/>
              <w:noProof/>
              <w:sz w:val="24"/>
              <w:szCs w:val="24"/>
            </w:rPr>
          </w:pPr>
          <w:r w:rsidRPr="004414B4">
            <w:rPr>
              <w:rFonts w:ascii="Times New Roman" w:hAnsi="Times New Roman"/>
              <w:b w:val="0"/>
              <w:bCs w:val="0"/>
              <w:sz w:val="24"/>
              <w:szCs w:val="24"/>
            </w:rPr>
            <w:fldChar w:fldCharType="begin"/>
          </w:r>
          <w:r w:rsidRPr="004414B4">
            <w:rPr>
              <w:rFonts w:ascii="Times New Roman" w:hAnsi="Times New Roman"/>
              <w:sz w:val="24"/>
              <w:szCs w:val="24"/>
            </w:rPr>
            <w:instrText xml:space="preserve"> TOC \o "1-3" \h \z \u </w:instrText>
          </w:r>
          <w:r w:rsidRPr="004414B4">
            <w:rPr>
              <w:rFonts w:ascii="Times New Roman" w:hAnsi="Times New Roman"/>
              <w:b w:val="0"/>
              <w:bCs w:val="0"/>
              <w:sz w:val="24"/>
              <w:szCs w:val="24"/>
            </w:rPr>
            <w:fldChar w:fldCharType="separate"/>
          </w:r>
          <w:hyperlink w:anchor="_Toc237548774" w:history="1">
            <w:r w:rsidRPr="004414B4">
              <w:rPr>
                <w:rStyle w:val="Hyperlink"/>
                <w:rFonts w:ascii="Times New Roman" w:hAnsi="Times New Roman"/>
                <w:noProof/>
                <w:color w:val="auto"/>
                <w:kern w:val="36"/>
                <w:sz w:val="24"/>
                <w:szCs w:val="24"/>
              </w:rPr>
              <w:t>The Social Model of Disability: A Critical Examination of its Application in UK Health and Social Care Policy and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_Toc237548774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1</w:t>
            </w:r>
            <w:r w:rsidRPr="004414B4">
              <w:rPr>
                <w:rFonts w:ascii="Times New Roman" w:hAnsi="Times New Roman"/>
                <w:noProof/>
                <w:webHidden/>
                <w:sz w:val="24"/>
                <w:szCs w:val="24"/>
              </w:rPr>
              <w:fldChar w:fldCharType="end"/>
            </w:r>
          </w:hyperlink>
        </w:p>
        <w:p w14:paraId="12AA52F7" w14:textId="43A0E870"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75" w:history="1">
            <w:r w:rsidRPr="004414B4">
              <w:rPr>
                <w:rStyle w:val="Hyperlink"/>
                <w:rFonts w:ascii="Times New Roman" w:hAnsi="Times New Roman"/>
                <w:noProof/>
                <w:color w:val="auto"/>
                <w:sz w:val="24"/>
                <w:szCs w:val="24"/>
              </w:rPr>
              <w:t>1.0 Introduction</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_Toc237548775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2B3D7DD6" w14:textId="57725002"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76" w:history="1">
            <w:r w:rsidRPr="004414B4">
              <w:rPr>
                <w:rStyle w:val="Hyperlink"/>
                <w:rFonts w:ascii="Times New Roman" w:hAnsi="Times New Roman"/>
                <w:noProof/>
                <w:color w:val="auto"/>
                <w:sz w:val="24"/>
                <w:szCs w:val="24"/>
              </w:rPr>
              <w:t>2.0 The Emergence and Development of the Social Model of Disability</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_Toc237548776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711145BE" w14:textId="20BA2636"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77" w:history="1">
            <w:r w:rsidRPr="004414B4">
              <w:rPr>
                <w:rStyle w:val="Hyperlink"/>
                <w:rFonts w:ascii="Times New Roman" w:hAnsi="Times New Roman"/>
                <w:noProof/>
                <w:color w:val="auto"/>
                <w:sz w:val="24"/>
                <w:szCs w:val="24"/>
              </w:rPr>
              <w:t>2.1 Origins and Core Principles</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_Toc237548777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3EAD8368" w14:textId="05209AED"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78" w:history="1">
            <w:r w:rsidRPr="004414B4">
              <w:rPr>
                <w:rStyle w:val="Hyperlink"/>
                <w:rFonts w:ascii="Times New Roman" w:hAnsi="Times New Roman"/>
                <w:noProof/>
                <w:color w:val="auto"/>
                <w:sz w:val="24"/>
                <w:szCs w:val="24"/>
              </w:rPr>
              <w:t>2.2 The Critique of the Medical Model</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_Toc237548778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21971083" w14:textId="205B5240"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79" w:history="1">
            <w:r w:rsidRPr="004414B4">
              <w:rPr>
                <w:rStyle w:val="Hyperlink"/>
                <w:rFonts w:ascii="Times New Roman" w:hAnsi="Times New Roman"/>
                <w:noProof/>
                <w:color w:val="auto"/>
                <w:sz w:val="24"/>
                <w:szCs w:val="24"/>
              </w:rPr>
              <w:t>3.0 Contemporary Debates and Critiques of the Social Model</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_Toc237548779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3B61425D" w14:textId="46C503D7"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0" w:history="1">
            <w:r w:rsidRPr="004414B4">
              <w:rPr>
                <w:rStyle w:val="Hyperlink"/>
                <w:rFonts w:ascii="Times New Roman" w:hAnsi="Times New Roman"/>
                <w:noProof/>
                <w:color w:val="auto"/>
                <w:sz w:val="24"/>
                <w:szCs w:val="24"/>
              </w:rPr>
              <w:t>3.1 The Problem of Impairment</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_Toc237548780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3</w:t>
            </w:r>
            <w:r w:rsidRPr="004414B4">
              <w:rPr>
                <w:rFonts w:ascii="Times New Roman" w:hAnsi="Times New Roman"/>
                <w:noProof/>
                <w:webHidden/>
                <w:sz w:val="24"/>
                <w:szCs w:val="24"/>
              </w:rPr>
              <w:fldChar w:fldCharType="end"/>
            </w:r>
          </w:hyperlink>
        </w:p>
        <w:p w14:paraId="1D3BBC49" w14:textId="6BB7A0B0"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1" w:history="1">
            <w:r w:rsidRPr="004414B4">
              <w:rPr>
                <w:rStyle w:val="Hyperlink"/>
                <w:rFonts w:ascii="Times New Roman" w:hAnsi="Times New Roman"/>
                <w:noProof/>
                <w:color w:val="auto"/>
                <w:sz w:val="24"/>
                <w:szCs w:val="24"/>
              </w:rPr>
              <w:t>3.2 Implementation Gaps in Health and Social Care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_Toc237548781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4</w:t>
            </w:r>
            <w:r w:rsidRPr="004414B4">
              <w:rPr>
                <w:rFonts w:ascii="Times New Roman" w:hAnsi="Times New Roman"/>
                <w:noProof/>
                <w:webHidden/>
                <w:sz w:val="24"/>
                <w:szCs w:val="24"/>
              </w:rPr>
              <w:fldChar w:fldCharType="end"/>
            </w:r>
          </w:hyperlink>
        </w:p>
        <w:p w14:paraId="17B2EF79" w14:textId="526E9389"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2" w:history="1">
            <w:r w:rsidRPr="004414B4">
              <w:rPr>
                <w:rStyle w:val="Hyperlink"/>
                <w:rFonts w:ascii="Times New Roman" w:hAnsi="Times New Roman"/>
                <w:noProof/>
                <w:color w:val="auto"/>
                <w:sz w:val="24"/>
                <w:szCs w:val="24"/>
              </w:rPr>
              <w:t>3.3 The COVID-19 Pandemic and Disability Access</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_Toc237548782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4</w:t>
            </w:r>
            <w:r w:rsidRPr="004414B4">
              <w:rPr>
                <w:rFonts w:ascii="Times New Roman" w:hAnsi="Times New Roman"/>
                <w:noProof/>
                <w:webHidden/>
                <w:sz w:val="24"/>
                <w:szCs w:val="24"/>
              </w:rPr>
              <w:fldChar w:fldCharType="end"/>
            </w:r>
          </w:hyperlink>
        </w:p>
        <w:p w14:paraId="4699BC37" w14:textId="731F990C"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3" w:history="1">
            <w:r w:rsidRPr="004414B4">
              <w:rPr>
                <w:rStyle w:val="Hyperlink"/>
                <w:rFonts w:ascii="Times New Roman" w:hAnsi="Times New Roman"/>
                <w:noProof/>
                <w:color w:val="auto"/>
                <w:sz w:val="24"/>
                <w:szCs w:val="24"/>
              </w:rPr>
              <w:t>4.0 Application to Health and Social Care Policy and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_Toc237548783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4</w:t>
            </w:r>
            <w:r w:rsidRPr="004414B4">
              <w:rPr>
                <w:rFonts w:ascii="Times New Roman" w:hAnsi="Times New Roman"/>
                <w:noProof/>
                <w:webHidden/>
                <w:sz w:val="24"/>
                <w:szCs w:val="24"/>
              </w:rPr>
              <w:fldChar w:fldCharType="end"/>
            </w:r>
          </w:hyperlink>
        </w:p>
        <w:p w14:paraId="12D659DB" w14:textId="001028C1"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4" w:history="1">
            <w:r w:rsidRPr="004414B4">
              <w:rPr>
                <w:rStyle w:val="Hyperlink"/>
                <w:rFonts w:ascii="Times New Roman" w:hAnsi="Times New Roman"/>
                <w:noProof/>
                <w:color w:val="auto"/>
                <w:sz w:val="24"/>
                <w:szCs w:val="24"/>
              </w:rPr>
              <w:t>4.1 Policy Frameworks</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_Toc237548784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4</w:t>
            </w:r>
            <w:r w:rsidRPr="004414B4">
              <w:rPr>
                <w:rFonts w:ascii="Times New Roman" w:hAnsi="Times New Roman"/>
                <w:noProof/>
                <w:webHidden/>
                <w:sz w:val="24"/>
                <w:szCs w:val="24"/>
              </w:rPr>
              <w:fldChar w:fldCharType="end"/>
            </w:r>
          </w:hyperlink>
        </w:p>
        <w:p w14:paraId="4441F229" w14:textId="787B4461"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5" w:history="1">
            <w:r w:rsidRPr="004414B4">
              <w:rPr>
                <w:rStyle w:val="Hyperlink"/>
                <w:rFonts w:ascii="Times New Roman" w:hAnsi="Times New Roman"/>
                <w:noProof/>
                <w:color w:val="auto"/>
                <w:sz w:val="24"/>
                <w:szCs w:val="24"/>
              </w:rPr>
              <w:t>4.2 Local Authority Implementation</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_Toc237548785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5</w:t>
            </w:r>
            <w:r w:rsidRPr="004414B4">
              <w:rPr>
                <w:rFonts w:ascii="Times New Roman" w:hAnsi="Times New Roman"/>
                <w:noProof/>
                <w:webHidden/>
                <w:sz w:val="24"/>
                <w:szCs w:val="24"/>
              </w:rPr>
              <w:fldChar w:fldCharType="end"/>
            </w:r>
          </w:hyperlink>
        </w:p>
        <w:p w14:paraId="30F3F34D" w14:textId="60A83F4A"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6" w:history="1">
            <w:r w:rsidRPr="004414B4">
              <w:rPr>
                <w:rStyle w:val="Hyperlink"/>
                <w:rFonts w:ascii="Times New Roman" w:hAnsi="Times New Roman"/>
                <w:noProof/>
                <w:color w:val="auto"/>
                <w:sz w:val="24"/>
                <w:szCs w:val="24"/>
              </w:rPr>
              <w:t>4.3 Human Rights and Ethical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_Toc237548786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5</w:t>
            </w:r>
            <w:r w:rsidRPr="004414B4">
              <w:rPr>
                <w:rFonts w:ascii="Times New Roman" w:hAnsi="Times New Roman"/>
                <w:noProof/>
                <w:webHidden/>
                <w:sz w:val="24"/>
                <w:szCs w:val="24"/>
              </w:rPr>
              <w:fldChar w:fldCharType="end"/>
            </w:r>
          </w:hyperlink>
        </w:p>
        <w:p w14:paraId="19C993BD" w14:textId="1C6A8E22"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7" w:history="1">
            <w:r w:rsidRPr="004414B4">
              <w:rPr>
                <w:rStyle w:val="Hyperlink"/>
                <w:rFonts w:ascii="Times New Roman" w:hAnsi="Times New Roman"/>
                <w:noProof/>
                <w:color w:val="auto"/>
                <w:sz w:val="24"/>
                <w:szCs w:val="24"/>
              </w:rPr>
              <w:t>4.4 Challenges in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_Toc237548787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5</w:t>
            </w:r>
            <w:r w:rsidRPr="004414B4">
              <w:rPr>
                <w:rFonts w:ascii="Times New Roman" w:hAnsi="Times New Roman"/>
                <w:noProof/>
                <w:webHidden/>
                <w:sz w:val="24"/>
                <w:szCs w:val="24"/>
              </w:rPr>
              <w:fldChar w:fldCharType="end"/>
            </w:r>
          </w:hyperlink>
        </w:p>
        <w:p w14:paraId="65356711" w14:textId="0089FC19"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8" w:history="1">
            <w:r w:rsidRPr="004414B4">
              <w:rPr>
                <w:rStyle w:val="Hyperlink"/>
                <w:rFonts w:ascii="Times New Roman" w:hAnsi="Times New Roman"/>
                <w:noProof/>
                <w:color w:val="auto"/>
                <w:sz w:val="24"/>
                <w:szCs w:val="24"/>
              </w:rPr>
              <w:t>5.0 Recommendations for Health and Social Care Policy and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_Toc237548788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6</w:t>
            </w:r>
            <w:r w:rsidRPr="004414B4">
              <w:rPr>
                <w:rFonts w:ascii="Times New Roman" w:hAnsi="Times New Roman"/>
                <w:noProof/>
                <w:webHidden/>
                <w:sz w:val="24"/>
                <w:szCs w:val="24"/>
              </w:rPr>
              <w:fldChar w:fldCharType="end"/>
            </w:r>
          </w:hyperlink>
        </w:p>
        <w:p w14:paraId="4CBFD3DD" w14:textId="303F6790"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89" w:history="1">
            <w:r w:rsidRPr="004414B4">
              <w:rPr>
                <w:rStyle w:val="Hyperlink"/>
                <w:rFonts w:ascii="Times New Roman" w:hAnsi="Times New Roman"/>
                <w:noProof/>
                <w:color w:val="auto"/>
                <w:sz w:val="24"/>
                <w:szCs w:val="24"/>
              </w:rPr>
              <w:t>5.1 Embed Co-Production in Service Design</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_Toc237548789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6</w:t>
            </w:r>
            <w:r w:rsidRPr="004414B4">
              <w:rPr>
                <w:rFonts w:ascii="Times New Roman" w:hAnsi="Times New Roman"/>
                <w:noProof/>
                <w:webHidden/>
                <w:sz w:val="24"/>
                <w:szCs w:val="24"/>
              </w:rPr>
              <w:fldChar w:fldCharType="end"/>
            </w:r>
          </w:hyperlink>
        </w:p>
        <w:p w14:paraId="762F9335" w14:textId="1C260591" w:rsidR="004414B4" w:rsidRPr="004414B4" w:rsidRDefault="004414B4" w:rsidP="004414B4">
          <w:pPr>
            <w:pStyle w:val="TOC3"/>
            <w:tabs>
              <w:tab w:val="right" w:leader="dot" w:pos="9016"/>
            </w:tabs>
            <w:spacing w:line="360" w:lineRule="auto"/>
            <w:jc w:val="both"/>
            <w:rPr>
              <w:rFonts w:ascii="Times New Roman" w:hAnsi="Times New Roman"/>
              <w:noProof/>
              <w:sz w:val="24"/>
              <w:szCs w:val="24"/>
            </w:rPr>
          </w:pPr>
          <w:hyperlink w:anchor="_Toc237548790" w:history="1">
            <w:r w:rsidRPr="004414B4">
              <w:rPr>
                <w:rStyle w:val="Hyperlink"/>
                <w:rFonts w:ascii="Times New Roman" w:hAnsi="Times New Roman"/>
                <w:b/>
                <w:bCs/>
                <w:noProof/>
                <w:color w:val="auto"/>
                <w:sz w:val="24"/>
                <w:szCs w:val="24"/>
              </w:rPr>
              <w:t>5.2 Adopt Human Rights-Based Approaches in Practice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_Toc237548790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6</w:t>
            </w:r>
            <w:r w:rsidRPr="004414B4">
              <w:rPr>
                <w:rFonts w:ascii="Times New Roman" w:hAnsi="Times New Roman"/>
                <w:noProof/>
                <w:webHidden/>
                <w:sz w:val="24"/>
                <w:szCs w:val="24"/>
              </w:rPr>
              <w:fldChar w:fldCharType="end"/>
            </w:r>
          </w:hyperlink>
        </w:p>
        <w:p w14:paraId="1A2F54DD" w14:textId="7CC0A6D1" w:rsidR="004414B4" w:rsidRPr="004414B4" w:rsidRDefault="004414B4" w:rsidP="004414B4">
          <w:pPr>
            <w:pStyle w:val="TOC3"/>
            <w:tabs>
              <w:tab w:val="right" w:leader="dot" w:pos="9016"/>
            </w:tabs>
            <w:spacing w:line="360" w:lineRule="auto"/>
            <w:jc w:val="both"/>
            <w:rPr>
              <w:rFonts w:ascii="Times New Roman" w:hAnsi="Times New Roman"/>
              <w:noProof/>
              <w:sz w:val="24"/>
              <w:szCs w:val="24"/>
            </w:rPr>
          </w:pPr>
          <w:hyperlink w:anchor="_Toc237548791" w:history="1">
            <w:r w:rsidRPr="004414B4">
              <w:rPr>
                <w:rStyle w:val="Hyperlink"/>
                <w:rFonts w:ascii="Times New Roman" w:hAnsi="Times New Roman"/>
                <w:b/>
                <w:bCs/>
                <w:noProof/>
                <w:color w:val="auto"/>
                <w:sz w:val="24"/>
                <w:szCs w:val="24"/>
              </w:rPr>
              <w:t>5.3 Reform Disability Assessments</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_Toc237548791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6</w:t>
            </w:r>
            <w:r w:rsidRPr="004414B4">
              <w:rPr>
                <w:rFonts w:ascii="Times New Roman" w:hAnsi="Times New Roman"/>
                <w:noProof/>
                <w:webHidden/>
                <w:sz w:val="24"/>
                <w:szCs w:val="24"/>
              </w:rPr>
              <w:fldChar w:fldCharType="end"/>
            </w:r>
          </w:hyperlink>
        </w:p>
        <w:p w14:paraId="24D75876" w14:textId="12BE0B0E"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92" w:history="1">
            <w:r w:rsidRPr="004414B4">
              <w:rPr>
                <w:rStyle w:val="Hyperlink"/>
                <w:rFonts w:ascii="Times New Roman" w:hAnsi="Times New Roman"/>
                <w:noProof/>
                <w:color w:val="auto"/>
                <w:sz w:val="24"/>
                <w:szCs w:val="24"/>
              </w:rPr>
              <w:t>5.4 Address Environmental Barriers</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_Toc237548792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7</w:t>
            </w:r>
            <w:r w:rsidRPr="004414B4">
              <w:rPr>
                <w:rFonts w:ascii="Times New Roman" w:hAnsi="Times New Roman"/>
                <w:noProof/>
                <w:webHidden/>
                <w:sz w:val="24"/>
                <w:szCs w:val="24"/>
              </w:rPr>
              <w:fldChar w:fldCharType="end"/>
            </w:r>
          </w:hyperlink>
        </w:p>
        <w:p w14:paraId="746966DA" w14:textId="5B20507E"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93" w:history="1">
            <w:r w:rsidRPr="004414B4">
              <w:rPr>
                <w:rStyle w:val="Hyperlink"/>
                <w:rFonts w:ascii="Times New Roman" w:hAnsi="Times New Roman"/>
                <w:noProof/>
                <w:color w:val="auto"/>
                <w:sz w:val="24"/>
                <w:szCs w:val="24"/>
              </w:rPr>
              <w:t>6.0 Conclusion</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_Toc237548793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7</w:t>
            </w:r>
            <w:r w:rsidRPr="004414B4">
              <w:rPr>
                <w:rFonts w:ascii="Times New Roman" w:hAnsi="Times New Roman"/>
                <w:noProof/>
                <w:webHidden/>
                <w:sz w:val="24"/>
                <w:szCs w:val="24"/>
              </w:rPr>
              <w:fldChar w:fldCharType="end"/>
            </w:r>
          </w:hyperlink>
        </w:p>
        <w:p w14:paraId="0A9BBE0C" w14:textId="4603D35E" w:rsidR="004414B4" w:rsidRPr="004414B4" w:rsidRDefault="004414B4" w:rsidP="004414B4">
          <w:pPr>
            <w:pStyle w:val="TOC2"/>
            <w:tabs>
              <w:tab w:val="right" w:leader="dot" w:pos="9016"/>
            </w:tabs>
            <w:spacing w:line="360" w:lineRule="auto"/>
            <w:jc w:val="both"/>
            <w:rPr>
              <w:rFonts w:ascii="Times New Roman" w:hAnsi="Times New Roman"/>
              <w:noProof/>
              <w:sz w:val="24"/>
              <w:szCs w:val="24"/>
            </w:rPr>
          </w:pPr>
          <w:hyperlink w:anchor="_Toc237548794" w:history="1">
            <w:r w:rsidRPr="004414B4">
              <w:rPr>
                <w:rStyle w:val="Hyperlink"/>
                <w:rFonts w:ascii="Times New Roman" w:hAnsi="Times New Roman"/>
                <w:noProof/>
                <w:color w:val="auto"/>
                <w:sz w:val="24"/>
                <w:szCs w:val="24"/>
              </w:rPr>
              <w:t>7.0 Reference</w:t>
            </w:r>
            <w:r w:rsidRPr="004414B4">
              <w:rPr>
                <w:rFonts w:ascii="Times New Roman" w:hAnsi="Times New Roman"/>
                <w:noProof/>
                <w:webHidden/>
                <w:sz w:val="24"/>
                <w:szCs w:val="24"/>
              </w:rPr>
              <w:tab/>
            </w:r>
            <w:r w:rsidRPr="004414B4">
              <w:rPr>
                <w:rFonts w:ascii="Times New Roman" w:hAnsi="Times New Roman"/>
                <w:noProof/>
                <w:webHidden/>
                <w:sz w:val="24"/>
                <w:szCs w:val="24"/>
              </w:rPr>
              <w:fldChar w:fldCharType="begin"/>
            </w:r>
            <w:r w:rsidRPr="004414B4">
              <w:rPr>
                <w:rFonts w:ascii="Times New Roman" w:hAnsi="Times New Roman"/>
                <w:noProof/>
                <w:webHidden/>
                <w:sz w:val="24"/>
                <w:szCs w:val="24"/>
              </w:rPr>
              <w:instrText xml:space="preserve"> PAGEREF _Toc237548794 \h </w:instrText>
            </w:r>
            <w:r w:rsidRPr="004414B4">
              <w:rPr>
                <w:rFonts w:ascii="Times New Roman" w:hAnsi="Times New Roman"/>
                <w:noProof/>
                <w:webHidden/>
                <w:sz w:val="24"/>
                <w:szCs w:val="24"/>
              </w:rPr>
            </w:r>
            <w:r w:rsidRPr="004414B4">
              <w:rPr>
                <w:rFonts w:ascii="Times New Roman" w:hAnsi="Times New Roman"/>
                <w:noProof/>
                <w:webHidden/>
                <w:sz w:val="24"/>
                <w:szCs w:val="24"/>
              </w:rPr>
              <w:fldChar w:fldCharType="separate"/>
            </w:r>
            <w:r w:rsidRPr="004414B4">
              <w:rPr>
                <w:rFonts w:ascii="Times New Roman" w:hAnsi="Times New Roman"/>
                <w:noProof/>
                <w:webHidden/>
                <w:sz w:val="24"/>
                <w:szCs w:val="24"/>
              </w:rPr>
              <w:t>9</w:t>
            </w:r>
            <w:r w:rsidRPr="004414B4">
              <w:rPr>
                <w:rFonts w:ascii="Times New Roman" w:hAnsi="Times New Roman"/>
                <w:noProof/>
                <w:webHidden/>
                <w:sz w:val="24"/>
                <w:szCs w:val="24"/>
              </w:rPr>
              <w:fldChar w:fldCharType="end"/>
            </w:r>
          </w:hyperlink>
        </w:p>
        <w:p w14:paraId="55106C41" w14:textId="1BD08F6D" w:rsidR="004414B4" w:rsidRPr="004414B4" w:rsidRDefault="004414B4" w:rsidP="004414B4">
          <w:pPr>
            <w:spacing w:line="360" w:lineRule="auto"/>
            <w:jc w:val="both"/>
          </w:pPr>
          <w:r w:rsidRPr="004414B4">
            <w:rPr>
              <w:b/>
              <w:bCs/>
              <w:noProof/>
            </w:rPr>
            <w:fldChar w:fldCharType="end"/>
          </w:r>
        </w:p>
      </w:sdtContent>
    </w:sdt>
    <w:p w14:paraId="67E839B6" w14:textId="77777777" w:rsidR="004414B4" w:rsidRDefault="004414B4" w:rsidP="004414B4">
      <w:pPr>
        <w:spacing w:after="160" w:line="278" w:lineRule="auto"/>
        <w:jc w:val="both"/>
        <w:rPr>
          <w:rFonts w:eastAsiaTheme="majorEastAsia" w:cstheme="majorBidi"/>
          <w:b/>
          <w:szCs w:val="32"/>
          <w:lang w:eastAsia="en-US"/>
        </w:rPr>
      </w:pPr>
      <w:r>
        <w:br w:type="page"/>
      </w:r>
    </w:p>
    <w:p w14:paraId="23DD9025" w14:textId="523C21C4" w:rsidR="000D3638" w:rsidRPr="000D3638" w:rsidRDefault="000D3638" w:rsidP="000D3638">
      <w:pPr>
        <w:pStyle w:val="Heading2"/>
      </w:pPr>
      <w:bookmarkStart w:id="1" w:name="_Toc237548775"/>
      <w:r w:rsidRPr="000D3638">
        <w:lastRenderedPageBreak/>
        <w:t>1.0 Introduction</w:t>
      </w:r>
      <w:bookmarkEnd w:id="1"/>
    </w:p>
    <w:p w14:paraId="57C55FEE" w14:textId="45C844E5" w:rsidR="000D3638" w:rsidRPr="000D3638" w:rsidRDefault="000D3638" w:rsidP="000D3638">
      <w:pPr>
        <w:shd w:val="clear" w:color="auto" w:fill="FFFFFF"/>
        <w:spacing w:line="360" w:lineRule="auto"/>
        <w:jc w:val="both"/>
        <w:rPr>
          <w:color w:val="0F1115"/>
        </w:rPr>
      </w:pPr>
      <w:r w:rsidRPr="000D3638">
        <w:rPr>
          <w:color w:val="0F1115"/>
        </w:rPr>
        <w:t>The topic of this essay will be that of person-centred care, one of the key concepts that is at the heart of modern health and social care. It represents the transition from paternalism to new models which respect an individual's right to freedom, choice and control over their life and body. Social model of disability, formulated by people with disability, has a crucial place in the move towards such new approach. This essay gives a critical overview of the social model of disability, outlining its origin, development and subsequent criticism, responses to the criticism and its relevance to modern health and social care practice and policies in the UK. It specifically focuses on adult social care as the field of practicum.</w:t>
      </w:r>
    </w:p>
    <w:p w14:paraId="49FE1D07" w14:textId="77777777" w:rsidR="000D3638" w:rsidRPr="000D3638" w:rsidRDefault="000D3638" w:rsidP="000D3638">
      <w:pPr>
        <w:pStyle w:val="Heading2"/>
      </w:pPr>
      <w:bookmarkStart w:id="2" w:name="_Toc237548776"/>
      <w:r w:rsidRPr="000D3638">
        <w:t>2.0 The Emergence and Development of the Social Model of Disability</w:t>
      </w:r>
      <w:bookmarkEnd w:id="2"/>
    </w:p>
    <w:p w14:paraId="34AC8124" w14:textId="77777777" w:rsidR="000D3638" w:rsidRPr="000D3638" w:rsidRDefault="000D3638" w:rsidP="000D3638">
      <w:pPr>
        <w:pStyle w:val="Heading2"/>
      </w:pPr>
      <w:bookmarkStart w:id="3" w:name="_Toc237548777"/>
      <w:r w:rsidRPr="000D3638">
        <w:t>2.1 Origins and Core Principles</w:t>
      </w:r>
      <w:bookmarkEnd w:id="3"/>
    </w:p>
    <w:p w14:paraId="096E2A75" w14:textId="77777777" w:rsidR="00DD34B1" w:rsidRPr="00DD34B1" w:rsidRDefault="00DD34B1" w:rsidP="00DD34B1">
      <w:pPr>
        <w:shd w:val="clear" w:color="auto" w:fill="FFFFFF"/>
        <w:spacing w:line="360" w:lineRule="auto"/>
        <w:jc w:val="both"/>
        <w:rPr>
          <w:color w:val="0F1115"/>
        </w:rPr>
      </w:pPr>
      <w:r w:rsidRPr="00DD34B1">
        <w:rPr>
          <w:color w:val="0F1115"/>
        </w:rPr>
        <w:t>The social model of disability came about after the UK disabled people’s movement in the 1970s which came up against the medical model through activists. Beesley (2020) evaluates the origin of the Disabled People’s Movement in the United Kingdom as he highlights how the movement changed the idea of disablement from medical issues to structural and attitudinal issues. According to UPIAS, there is an important distinction in terms of definitions. Impairment involves any physical or mental condition while disability involves inability to participate as others do because of environmental barriers (UPIAS, 1976; Beesley, 2020).</w:t>
      </w:r>
    </w:p>
    <w:p w14:paraId="1AC162E9" w14:textId="2B168DCD" w:rsidR="000D3638" w:rsidRPr="000D3638" w:rsidRDefault="00DD34B1" w:rsidP="00DD34B1">
      <w:pPr>
        <w:shd w:val="clear" w:color="auto" w:fill="FFFFFF"/>
        <w:spacing w:line="360" w:lineRule="auto"/>
        <w:jc w:val="both"/>
        <w:rPr>
          <w:color w:val="0F1115"/>
        </w:rPr>
      </w:pPr>
      <w:r w:rsidRPr="00DD34B1">
        <w:rPr>
          <w:color w:val="0F1115"/>
        </w:rPr>
        <w:t xml:space="preserve">This new way of looking at the issue takes the blame away from the individual as there is an element of barriers to full participation in life. </w:t>
      </w:r>
    </w:p>
    <w:p w14:paraId="07FC3893" w14:textId="77777777" w:rsidR="000D3638" w:rsidRPr="000D3638" w:rsidRDefault="000D3638" w:rsidP="00DD34B1">
      <w:pPr>
        <w:pStyle w:val="Heading2"/>
      </w:pPr>
      <w:bookmarkStart w:id="4" w:name="_Toc237548778"/>
      <w:r w:rsidRPr="000D3638">
        <w:t>2.2 The Critique of the Medical Model</w:t>
      </w:r>
      <w:bookmarkEnd w:id="4"/>
    </w:p>
    <w:p w14:paraId="53496D7F" w14:textId="7F02784C" w:rsidR="000D3638" w:rsidRPr="00DD34B1" w:rsidRDefault="00DD34B1" w:rsidP="00DD34B1">
      <w:pPr>
        <w:shd w:val="clear" w:color="auto" w:fill="FFFFFF"/>
        <w:spacing w:line="360" w:lineRule="auto"/>
        <w:jc w:val="both"/>
        <w:rPr>
          <w:color w:val="0F1115"/>
        </w:rPr>
      </w:pPr>
      <w:r w:rsidRPr="00DD34B1">
        <w:rPr>
          <w:color w:val="0F1115"/>
        </w:rPr>
        <w:t>It has come up directly in opposition to the medical model of disability, that viewed individuals with impairments as being deficient, experiencing personal tragedy, abnormal, needing to be cured, and deserving of pity (Oliver and Barnes, 2012). The proponents claimed that due to such an outlook on disabilities the people were excluded from work, put in institutions and fell into poverty (Finkelstein, 1980). The emergence of the social model is a revolutionary development in terms of the understanding of disablement in British society (Beesley, 2020, p. 402). This model has also been called liberatory for disabled individuals because they now understand their oppression just as women have done in regards to patriarchal oppression (Oliver and Barnes, 2012).</w:t>
      </w:r>
    </w:p>
    <w:p w14:paraId="42FA8517" w14:textId="77777777" w:rsidR="000D3638" w:rsidRPr="000D3638" w:rsidRDefault="000D3638" w:rsidP="00DD34B1">
      <w:pPr>
        <w:pStyle w:val="Heading2"/>
      </w:pPr>
      <w:bookmarkStart w:id="5" w:name="_Toc237548779"/>
      <w:r w:rsidRPr="000D3638">
        <w:t>3.0 Contemporary Debates and Critiques of the Social Model</w:t>
      </w:r>
      <w:bookmarkEnd w:id="5"/>
    </w:p>
    <w:p w14:paraId="1FD0A909" w14:textId="77777777" w:rsidR="000D3638" w:rsidRPr="000D3638" w:rsidRDefault="000D3638" w:rsidP="00DD34B1">
      <w:pPr>
        <w:pStyle w:val="Heading2"/>
      </w:pPr>
      <w:bookmarkStart w:id="6" w:name="_Toc237548780"/>
      <w:r w:rsidRPr="000D3638">
        <w:t>3.1 The Problem of Impairment</w:t>
      </w:r>
      <w:bookmarkEnd w:id="6"/>
    </w:p>
    <w:p w14:paraId="61CCA6EE" w14:textId="77777777" w:rsidR="00DD34B1" w:rsidRPr="00DD34B1" w:rsidRDefault="00DD34B1" w:rsidP="00DD34B1">
      <w:pPr>
        <w:shd w:val="clear" w:color="auto" w:fill="FFFFFF"/>
        <w:spacing w:line="360" w:lineRule="auto"/>
        <w:jc w:val="both"/>
        <w:rPr>
          <w:color w:val="0F1115"/>
        </w:rPr>
      </w:pPr>
      <w:r w:rsidRPr="00DD34B1">
        <w:rPr>
          <w:color w:val="0F1115"/>
        </w:rPr>
        <w:t xml:space="preserve">Another criticism </w:t>
      </w:r>
      <w:proofErr w:type="spellStart"/>
      <w:r w:rsidRPr="00DD34B1">
        <w:rPr>
          <w:color w:val="0F1115"/>
        </w:rPr>
        <w:t>leveled</w:t>
      </w:r>
      <w:proofErr w:type="spellEnd"/>
      <w:r w:rsidRPr="00DD34B1">
        <w:rPr>
          <w:color w:val="0F1115"/>
        </w:rPr>
        <w:t xml:space="preserve"> against the social model is that it can ignore the personal experience of impairment, pain, and illness. Shakespeare (2006) is one of the prominent critics who believe that the notion of impairment and disability as two separate ideas is too black-and-white and fails to take into consideration the interplay between a bodily experience and the socially </w:t>
      </w:r>
      <w:r w:rsidRPr="00DD34B1">
        <w:rPr>
          <w:color w:val="0F1115"/>
        </w:rPr>
        <w:lastRenderedPageBreak/>
        <w:t>imposed restrictions. Similarly, Beck (2020), basing herself on art therapy, states that while the social model of disability is very valuable, it needs to incorporate an “embodied practice,” taking into account the lived experience of the physically impaired body. Disability can be negotiated in the space of medical and social approaches.</w:t>
      </w:r>
    </w:p>
    <w:p w14:paraId="26713DDC" w14:textId="6E9FEB30" w:rsidR="000D3638" w:rsidRPr="000D3638" w:rsidRDefault="00DD34B1" w:rsidP="00DD34B1">
      <w:pPr>
        <w:shd w:val="clear" w:color="auto" w:fill="FFFFFF"/>
        <w:spacing w:line="360" w:lineRule="auto"/>
        <w:jc w:val="both"/>
        <w:rPr>
          <w:color w:val="0F1115"/>
        </w:rPr>
      </w:pPr>
      <w:r w:rsidRPr="00DD34B1">
        <w:rPr>
          <w:color w:val="0F1115"/>
        </w:rPr>
        <w:t>Riddle (2020) challenges the idea of strengthening the social model of disability. He believes that what matters most is a conceptualization of equality and justice for the sake of informing our policies on disability.</w:t>
      </w:r>
    </w:p>
    <w:p w14:paraId="615EDD9D" w14:textId="77777777" w:rsidR="000D3638" w:rsidRPr="000D3638" w:rsidRDefault="000D3638" w:rsidP="00DD34B1">
      <w:pPr>
        <w:pStyle w:val="Heading2"/>
      </w:pPr>
      <w:bookmarkStart w:id="7" w:name="_Toc237548781"/>
      <w:r w:rsidRPr="000D3638">
        <w:t>3.2 Implementation Gaps in Health and Social Care</w:t>
      </w:r>
      <w:bookmarkEnd w:id="7"/>
    </w:p>
    <w:p w14:paraId="598351CD" w14:textId="77777777" w:rsidR="00DD34B1" w:rsidRPr="00DD34B1" w:rsidRDefault="00DD34B1" w:rsidP="00DD34B1">
      <w:pPr>
        <w:shd w:val="clear" w:color="auto" w:fill="FFFFFF"/>
        <w:spacing w:line="360" w:lineRule="auto"/>
        <w:jc w:val="both"/>
        <w:rPr>
          <w:color w:val="0F1115"/>
        </w:rPr>
      </w:pPr>
      <w:r w:rsidRPr="00DD34B1">
        <w:rPr>
          <w:color w:val="0F1115"/>
        </w:rPr>
        <w:t xml:space="preserve">As Richards (2020) observes, there is an obvious contradiction between the discourse and reality when talking about the implementation of the social model into health and social care. In connection with the systemic scandal involving abuse of people with learning disabilities and autism in institutions of </w:t>
      </w:r>
      <w:proofErr w:type="spellStart"/>
      <w:r w:rsidRPr="00DD34B1">
        <w:rPr>
          <w:color w:val="0F1115"/>
        </w:rPr>
        <w:t>Whorlton</w:t>
      </w:r>
      <w:proofErr w:type="spellEnd"/>
      <w:r w:rsidRPr="00DD34B1">
        <w:rPr>
          <w:color w:val="0F1115"/>
        </w:rPr>
        <w:t xml:space="preserve"> Hall and Winterbourne View, he believes that "person-centred care is long dead for people with learning disabilities and autism" Richards 2020).</w:t>
      </w:r>
    </w:p>
    <w:p w14:paraId="3E077F83" w14:textId="6387224F" w:rsidR="000D3638" w:rsidRPr="000D3638" w:rsidRDefault="00DD34B1" w:rsidP="00DD34B1">
      <w:pPr>
        <w:shd w:val="clear" w:color="auto" w:fill="FFFFFF"/>
        <w:spacing w:line="360" w:lineRule="auto"/>
        <w:jc w:val="both"/>
        <w:rPr>
          <w:color w:val="0F1115"/>
        </w:rPr>
      </w:pPr>
      <w:r w:rsidRPr="00DD34B1">
        <w:rPr>
          <w:color w:val="0F1115"/>
        </w:rPr>
        <w:t xml:space="preserve">In a similar manner, </w:t>
      </w:r>
      <w:proofErr w:type="spellStart"/>
      <w:r w:rsidRPr="00DD34B1">
        <w:rPr>
          <w:color w:val="0F1115"/>
        </w:rPr>
        <w:t>Hollomotz</w:t>
      </w:r>
      <w:proofErr w:type="spellEnd"/>
      <w:r w:rsidRPr="00DD34B1">
        <w:rPr>
          <w:color w:val="0F1115"/>
        </w:rPr>
        <w:t xml:space="preserve"> and Talbot (2021) continue this idea and explore the problem of improving service support of adults with learning disabilities and/or autism that offend people within health and social care services and criminal justice system. In particular, they note that although the professionals adopt the principle of social model, their practices remain based on the medical model.</w:t>
      </w:r>
      <w:r>
        <w:rPr>
          <w:color w:val="0F1115"/>
        </w:rPr>
        <w:t xml:space="preserve"> </w:t>
      </w:r>
    </w:p>
    <w:p w14:paraId="40B39A88" w14:textId="77777777" w:rsidR="000D3638" w:rsidRPr="000D3638" w:rsidRDefault="000D3638" w:rsidP="00DD34B1">
      <w:pPr>
        <w:pStyle w:val="Heading2"/>
      </w:pPr>
      <w:bookmarkStart w:id="8" w:name="_Toc237548782"/>
      <w:r w:rsidRPr="000D3638">
        <w:t>3.3 The COVID-19 Pandemic and Disability Access</w:t>
      </w:r>
      <w:bookmarkEnd w:id="8"/>
    </w:p>
    <w:p w14:paraId="33CB2951" w14:textId="4C36F315" w:rsidR="000D3638" w:rsidRPr="00C369E6" w:rsidRDefault="00C369E6" w:rsidP="00DF4378">
      <w:pPr>
        <w:shd w:val="clear" w:color="auto" w:fill="FFFFFF"/>
        <w:spacing w:line="360" w:lineRule="auto"/>
        <w:jc w:val="both"/>
        <w:rPr>
          <w:color w:val="0F1115"/>
        </w:rPr>
      </w:pPr>
      <w:r w:rsidRPr="00C369E6">
        <w:rPr>
          <w:color w:val="0F1115"/>
        </w:rPr>
        <w:t>The challenges posed by COVID-19 highlighted issues regarding disability access and inconsistencies with the goals of the social model with regard to policy. According to Campbell, Fredman, and Reeves (2020), the pandemic should have used equality rather than creating more barriers and new discrimination against disabled persons since a human-rights based approach would have been used during the response to the pandemic. Issues of the problems within the legal and political structure regarding the adult social care in relation to vulnerability was demonstrated by McHale and Noszlopy (2025). Welfare reform within a devolved UK was described by Simpson et al. (2026) as having issues of using the medical-model in relation to social security and disability access. Drozd, Chadwick, and Jester (2021) looked into orthopaedics/trauma care where adults with intellectual disabilities and carers were found to experience exclusions due to poor communication and unfulfilled needs through interpretive phenomenology.</w:t>
      </w:r>
    </w:p>
    <w:p w14:paraId="13FCD1C9" w14:textId="77777777" w:rsidR="000D3638" w:rsidRPr="000D3638" w:rsidRDefault="000D3638" w:rsidP="00C369E6">
      <w:pPr>
        <w:pStyle w:val="Heading2"/>
      </w:pPr>
      <w:bookmarkStart w:id="9" w:name="_Toc237548783"/>
      <w:r w:rsidRPr="000D3638">
        <w:t>4.0 Application to Health and Social Care Policy and Practice</w:t>
      </w:r>
      <w:bookmarkEnd w:id="9"/>
    </w:p>
    <w:p w14:paraId="6508B8D3" w14:textId="77777777" w:rsidR="000D3638" w:rsidRPr="000D3638" w:rsidRDefault="000D3638" w:rsidP="00C369E6">
      <w:pPr>
        <w:pStyle w:val="Heading2"/>
      </w:pPr>
      <w:bookmarkStart w:id="10" w:name="_Toc237548784"/>
      <w:r w:rsidRPr="000D3638">
        <w:t>4.1 Policy Frameworks</w:t>
      </w:r>
      <w:bookmarkEnd w:id="10"/>
    </w:p>
    <w:p w14:paraId="4B8DE682" w14:textId="77777777" w:rsidR="000224D9" w:rsidRPr="000224D9" w:rsidRDefault="000224D9" w:rsidP="00BA2A39">
      <w:pPr>
        <w:shd w:val="clear" w:color="auto" w:fill="FFFFFF"/>
        <w:spacing w:line="360" w:lineRule="auto"/>
        <w:jc w:val="both"/>
        <w:rPr>
          <w:color w:val="0F1115"/>
        </w:rPr>
      </w:pPr>
      <w:r w:rsidRPr="000224D9">
        <w:rPr>
          <w:color w:val="0F1115"/>
        </w:rPr>
        <w:t xml:space="preserve">The social model has influenced UK health and social care legislation since the Care Act 2014, Equality Act 2010, and Mental Capacity Act embody its principles to some extent. McHale </w:t>
      </w:r>
      <w:r w:rsidRPr="000224D9">
        <w:rPr>
          <w:color w:val="0F1115"/>
        </w:rPr>
        <w:lastRenderedPageBreak/>
        <w:t>and Noszlopy (2025) describe adult social care legislation and policy, which have seen development into incorporating social model elements along with continued gaps between the aspirations and practice.</w:t>
      </w:r>
    </w:p>
    <w:p w14:paraId="49194F09" w14:textId="5B32132D" w:rsidR="000D3638" w:rsidRPr="000D3638" w:rsidRDefault="000224D9" w:rsidP="00BA2A39">
      <w:pPr>
        <w:shd w:val="clear" w:color="auto" w:fill="FFFFFF"/>
        <w:spacing w:line="360" w:lineRule="auto"/>
        <w:jc w:val="both"/>
        <w:rPr>
          <w:color w:val="0F1115"/>
        </w:rPr>
      </w:pPr>
      <w:r w:rsidRPr="000224D9">
        <w:rPr>
          <w:color w:val="0F1115"/>
        </w:rPr>
        <w:t xml:space="preserve">The Department of Health and Social Care (2025) identifies goals for 2026-2027 focused on people-oriented approach: independence, choice, and control; integration of health and social care. There are three main priorities in the form of providing good-quality care with qualified staff, promoting independence and freedom of choice; joining efforts in a neighbourhood scale (DHSC, 2025). </w:t>
      </w:r>
    </w:p>
    <w:p w14:paraId="6AF9DE8A" w14:textId="77777777" w:rsidR="000D3638" w:rsidRPr="000D3638" w:rsidRDefault="000D3638" w:rsidP="00BA2A39">
      <w:pPr>
        <w:pStyle w:val="Heading2"/>
      </w:pPr>
      <w:bookmarkStart w:id="11" w:name="_Toc237548785"/>
      <w:r w:rsidRPr="000D3638">
        <w:t>4.2 Local Authority Implementation</w:t>
      </w:r>
      <w:bookmarkEnd w:id="11"/>
    </w:p>
    <w:p w14:paraId="0C091DFB" w14:textId="78F35121" w:rsidR="000D3638" w:rsidRPr="000D3638" w:rsidRDefault="00BA2A39" w:rsidP="00BA2A39">
      <w:pPr>
        <w:shd w:val="clear" w:color="auto" w:fill="FFFFFF"/>
        <w:spacing w:line="360" w:lineRule="auto"/>
        <w:jc w:val="both"/>
        <w:rPr>
          <w:color w:val="0F1115"/>
        </w:rPr>
      </w:pPr>
      <w:r w:rsidRPr="00BA2A39">
        <w:rPr>
          <w:color w:val="0F1115"/>
        </w:rPr>
        <w:t>Integration of Housing and Social Care Demonstrates Social Model Principles. McLaren (2025) looks at the current and projected provision of retirement housing in Scotland in the 21st century, observing how policies are more supportive of people’s choice, control and independent living although there is a gap between this theory and practice. Dornan et al. (2026) undertake a scoping review of the nursing models which aim to ensure safety and effectiveness of primary health care, and emphasize that the models have to incorporate social model principles in order to enable person-centred care.</w:t>
      </w:r>
      <w:r>
        <w:rPr>
          <w:color w:val="0F1115"/>
        </w:rPr>
        <w:t xml:space="preserve"> </w:t>
      </w:r>
    </w:p>
    <w:p w14:paraId="54CFD58A" w14:textId="77777777" w:rsidR="000D3638" w:rsidRPr="000D3638" w:rsidRDefault="000D3638" w:rsidP="00BA2A39">
      <w:pPr>
        <w:pStyle w:val="Heading2"/>
      </w:pPr>
      <w:bookmarkStart w:id="12" w:name="_Toc237548786"/>
      <w:r w:rsidRPr="000D3638">
        <w:t>4.3 Human Rights and Ethical Practice</w:t>
      </w:r>
      <w:bookmarkEnd w:id="12"/>
    </w:p>
    <w:p w14:paraId="443FE12E" w14:textId="16FA614C" w:rsidR="000D3638" w:rsidRPr="000D3638" w:rsidRDefault="00BA2A39" w:rsidP="00DF4378">
      <w:pPr>
        <w:shd w:val="clear" w:color="auto" w:fill="FFFFFF"/>
        <w:spacing w:line="360" w:lineRule="auto"/>
        <w:jc w:val="both"/>
        <w:rPr>
          <w:color w:val="0F1115"/>
        </w:rPr>
      </w:pPr>
      <w:r w:rsidRPr="00BA2A39">
        <w:rPr>
          <w:color w:val="0F1115"/>
        </w:rPr>
        <w:t>Human rights-based social work has been reviewed in an exploratory manner in Carvalho and Albuquerque (2025). The review highlights the potential of enhancing practice and ethics within the context of helping people who are marginalized through human rights models, which help in stressing respect, dignity, self-determination, and participation. It is claimed that social workers must move beyond complying with rights' legislations to embrace the rights-based practice in its true sense.</w:t>
      </w:r>
    </w:p>
    <w:p w14:paraId="61AE7794" w14:textId="77777777" w:rsidR="000D3638" w:rsidRPr="000D3638" w:rsidRDefault="000D3638" w:rsidP="00BA2A39">
      <w:pPr>
        <w:pStyle w:val="Heading2"/>
      </w:pPr>
      <w:bookmarkStart w:id="13" w:name="_Toc237548787"/>
      <w:r w:rsidRPr="000D3638">
        <w:t>4.4 Challenges in Practice</w:t>
      </w:r>
      <w:bookmarkEnd w:id="13"/>
    </w:p>
    <w:p w14:paraId="5186329B" w14:textId="0D170EDE" w:rsidR="000D3638" w:rsidRPr="00BA2A39" w:rsidRDefault="00BA2A39" w:rsidP="00BA2A39">
      <w:pPr>
        <w:shd w:val="clear" w:color="auto" w:fill="FFFFFF"/>
        <w:spacing w:line="360" w:lineRule="auto"/>
        <w:jc w:val="both"/>
        <w:rPr>
          <w:color w:val="0F1115"/>
        </w:rPr>
      </w:pPr>
      <w:r w:rsidRPr="00BA2A39">
        <w:rPr>
          <w:color w:val="0F1115"/>
        </w:rPr>
        <w:t>Even with a policy commitment, there are practical difficulties with implementing the social model in reality. As observed by Richards (2020), there is still a wide disconnect between theory and practice. Though several decades of policies are present, the culture of institutions is always more controlling than empowering and liberating. Drozd, Chadwick, and Jester (2021) observe that the experiences of patients of intellectual disability in hospital settings often fall short as they are excluded, have poor communication, and feel misunderstood or disrespected. In his research on participatory arts and pluralism of voices, Nilles (2023) evaluates how artistic methods can help to amplify the voices of disabled people.</w:t>
      </w:r>
    </w:p>
    <w:p w14:paraId="24505155" w14:textId="77777777" w:rsidR="000D3638" w:rsidRPr="000D3638" w:rsidRDefault="000D3638" w:rsidP="00BA2A39">
      <w:pPr>
        <w:pStyle w:val="Heading2"/>
      </w:pPr>
      <w:bookmarkStart w:id="14" w:name="_Toc237548788"/>
      <w:r w:rsidRPr="000D3638">
        <w:lastRenderedPageBreak/>
        <w:t>5.0 Recommendations for Health and Social Care Policy and Practice</w:t>
      </w:r>
      <w:bookmarkEnd w:id="14"/>
    </w:p>
    <w:p w14:paraId="384CE85F" w14:textId="77777777" w:rsidR="000D3638" w:rsidRPr="000D3638" w:rsidRDefault="000D3638" w:rsidP="00BA2A39">
      <w:pPr>
        <w:pStyle w:val="Heading2"/>
      </w:pPr>
      <w:bookmarkStart w:id="15" w:name="_Toc237548789"/>
      <w:r w:rsidRPr="000D3638">
        <w:t>5.1 Embed Co-Production in Service Design</w:t>
      </w:r>
      <w:bookmarkEnd w:id="15"/>
    </w:p>
    <w:p w14:paraId="3DC6844D" w14:textId="12BF281F" w:rsidR="00BA2A39" w:rsidRPr="00BA2A39" w:rsidRDefault="00BA2A39" w:rsidP="00BA2A39">
      <w:pPr>
        <w:shd w:val="clear" w:color="auto" w:fill="FFFFFF"/>
        <w:spacing w:line="360" w:lineRule="auto"/>
        <w:jc w:val="both"/>
        <w:rPr>
          <w:color w:val="0F1115"/>
        </w:rPr>
      </w:pPr>
      <w:r w:rsidRPr="00BA2A39">
        <w:rPr>
          <w:color w:val="0F1115"/>
        </w:rPr>
        <w:t xml:space="preserve">Co-production should be made compulsory in health and social care commissioning. In Croot et al., (2026), they provide the Double Diamond approach to illustrate the process of co-production of resources by and with adults with learning disabilities, providing examples of the process that is essential to conduct </w:t>
      </w:r>
      <w:r w:rsidRPr="00BA2A39">
        <w:rPr>
          <w:color w:val="0F1115"/>
        </w:rPr>
        <w:t>inclusive research</w:t>
      </w:r>
      <w:r w:rsidRPr="00BA2A39">
        <w:rPr>
          <w:color w:val="0F1115"/>
        </w:rPr>
        <w:t xml:space="preserve"> in social care. Genuine co-production requires time, resource and power-sharing commitment with service users.</w:t>
      </w:r>
    </w:p>
    <w:p w14:paraId="03CE53EB" w14:textId="77777777" w:rsidR="00BA2A39" w:rsidRPr="00BA2A39" w:rsidRDefault="00BA2A39" w:rsidP="00BA2A39">
      <w:pPr>
        <w:shd w:val="clear" w:color="auto" w:fill="FFFFFF"/>
        <w:spacing w:line="360" w:lineRule="auto"/>
        <w:jc w:val="both"/>
        <w:rPr>
          <w:color w:val="0F1115"/>
        </w:rPr>
      </w:pPr>
      <w:r w:rsidRPr="00BA2A39">
        <w:rPr>
          <w:b/>
          <w:bCs/>
          <w:color w:val="0F1115"/>
        </w:rPr>
        <w:t>Advantages:</w:t>
      </w:r>
      <w:r w:rsidRPr="00BA2A39">
        <w:rPr>
          <w:color w:val="0F1115"/>
        </w:rPr>
        <w:t xml:space="preserve"> With the inclusion of co-production, the process would be more aligned with the need of service users, which means that it would encourage self-reliance and choice in service users while being less paternalistic. Participatory process can amplify the voice of disabled people and make service users part of designing the service provision. Nilles, (2023)</w:t>
      </w:r>
    </w:p>
    <w:p w14:paraId="176FB430" w14:textId="1D761EF6" w:rsidR="000D3638" w:rsidRPr="000D3638" w:rsidRDefault="00BA2A39" w:rsidP="00BA2A39">
      <w:pPr>
        <w:shd w:val="clear" w:color="auto" w:fill="FFFFFF"/>
        <w:spacing w:line="360" w:lineRule="auto"/>
        <w:jc w:val="both"/>
        <w:rPr>
          <w:color w:val="0F1115"/>
        </w:rPr>
      </w:pPr>
      <w:r w:rsidRPr="00BA2A39">
        <w:rPr>
          <w:b/>
          <w:bCs/>
          <w:color w:val="0F1115"/>
        </w:rPr>
        <w:t>Disadvantages:</w:t>
      </w:r>
      <w:r w:rsidRPr="00BA2A39">
        <w:rPr>
          <w:color w:val="0F1115"/>
        </w:rPr>
        <w:t xml:space="preserve"> Co-production will require time and resources, and it carries the threat of tokenisation without a real power-sharing process. Beesley, (2020)</w:t>
      </w:r>
      <w:r w:rsidR="000D3638" w:rsidRPr="000D3638">
        <w:rPr>
          <w:color w:val="0F1115"/>
        </w:rPr>
        <w:t>.</w:t>
      </w:r>
    </w:p>
    <w:p w14:paraId="33604E3C" w14:textId="77777777" w:rsidR="000D3638" w:rsidRPr="000D3638" w:rsidRDefault="000D3638" w:rsidP="00BA2A39">
      <w:pPr>
        <w:shd w:val="clear" w:color="auto" w:fill="FFFFFF"/>
        <w:spacing w:line="360" w:lineRule="auto"/>
        <w:jc w:val="both"/>
        <w:outlineLvl w:val="2"/>
        <w:rPr>
          <w:b/>
          <w:bCs/>
          <w:color w:val="0F1115"/>
        </w:rPr>
      </w:pPr>
      <w:bookmarkStart w:id="16" w:name="_Toc237548790"/>
      <w:r w:rsidRPr="000D3638">
        <w:rPr>
          <w:b/>
          <w:bCs/>
          <w:color w:val="0F1115"/>
        </w:rPr>
        <w:t>5.2 Adopt Human Rights-Based Approaches in Practice</w:t>
      </w:r>
      <w:bookmarkEnd w:id="16"/>
    </w:p>
    <w:p w14:paraId="2080C14F" w14:textId="77777777" w:rsidR="00BA2A39" w:rsidRPr="00BA2A39" w:rsidRDefault="00BA2A39" w:rsidP="00BA2A39">
      <w:pPr>
        <w:shd w:val="clear" w:color="auto" w:fill="FFFFFF"/>
        <w:spacing w:line="360" w:lineRule="auto"/>
        <w:jc w:val="both"/>
        <w:rPr>
          <w:color w:val="0F1115"/>
        </w:rPr>
      </w:pPr>
      <w:r w:rsidRPr="00BA2A39">
        <w:rPr>
          <w:color w:val="0F1115"/>
        </w:rPr>
        <w:t>All health and social care workers must receive training on the intersection of human rights, legal competence, and social model of disability. Existing evidence suggests that a rights-based approach positively impacts practice through increased participation, dignity, and anti-discrimination (Carvalho and Albuquerque, 2025). A rights-based approach is necessary for decision-making during a crisis (Campbell, Fredman, and Reeves, 2020).</w:t>
      </w:r>
    </w:p>
    <w:p w14:paraId="0684B437" w14:textId="77777777" w:rsidR="00BA2A39" w:rsidRPr="00BA2A39" w:rsidRDefault="00BA2A39" w:rsidP="00BA2A39">
      <w:pPr>
        <w:shd w:val="clear" w:color="auto" w:fill="FFFFFF"/>
        <w:spacing w:line="360" w:lineRule="auto"/>
        <w:jc w:val="both"/>
        <w:rPr>
          <w:color w:val="0F1115"/>
        </w:rPr>
      </w:pPr>
      <w:r w:rsidRPr="00BA2A39">
        <w:rPr>
          <w:b/>
          <w:bCs/>
          <w:color w:val="0F1115"/>
        </w:rPr>
        <w:t>Benefits:</w:t>
      </w:r>
      <w:r w:rsidRPr="00BA2A39">
        <w:rPr>
          <w:color w:val="0F1115"/>
        </w:rPr>
        <w:t xml:space="preserve"> Greater awareness of human rights may facilitate more effective application of the social model of disability. Greater legal competence empowers care workers to address discrimination against service users (McHale and Noszlopy, 2025).</w:t>
      </w:r>
    </w:p>
    <w:p w14:paraId="0B0DB692" w14:textId="7C22CA8D" w:rsidR="000D3638" w:rsidRPr="000D3638" w:rsidRDefault="00BA2A39" w:rsidP="00BA2A39">
      <w:pPr>
        <w:shd w:val="clear" w:color="auto" w:fill="FFFFFF"/>
        <w:spacing w:line="360" w:lineRule="auto"/>
        <w:jc w:val="both"/>
        <w:rPr>
          <w:color w:val="0F1115"/>
        </w:rPr>
      </w:pPr>
      <w:r w:rsidRPr="00BA2A39">
        <w:rPr>
          <w:b/>
          <w:bCs/>
          <w:color w:val="0F1115"/>
        </w:rPr>
        <w:t>Limitations:</w:t>
      </w:r>
      <w:r w:rsidRPr="00BA2A39">
        <w:rPr>
          <w:color w:val="0F1115"/>
        </w:rPr>
        <w:t xml:space="preserve"> Training alone does not resolve existing structural issues such as funding and staffing shortage. Staffing issues make implementation of new care models difficult (Dornan et al., 2026).</w:t>
      </w:r>
    </w:p>
    <w:p w14:paraId="2821B6F0" w14:textId="77777777" w:rsidR="000D3638" w:rsidRPr="000D3638" w:rsidRDefault="000D3638" w:rsidP="00BA2A39">
      <w:pPr>
        <w:shd w:val="clear" w:color="auto" w:fill="FFFFFF"/>
        <w:spacing w:line="360" w:lineRule="auto"/>
        <w:jc w:val="both"/>
        <w:outlineLvl w:val="2"/>
        <w:rPr>
          <w:b/>
          <w:bCs/>
          <w:color w:val="0F1115"/>
        </w:rPr>
      </w:pPr>
      <w:bookmarkStart w:id="17" w:name="_Toc237548791"/>
      <w:r w:rsidRPr="000D3638">
        <w:rPr>
          <w:b/>
          <w:bCs/>
          <w:color w:val="0F1115"/>
        </w:rPr>
        <w:t>5.3 Reform Disability Assessments</w:t>
      </w:r>
      <w:bookmarkEnd w:id="17"/>
    </w:p>
    <w:p w14:paraId="59BD668F" w14:textId="77777777" w:rsidR="00DF4378" w:rsidRPr="00DF4378" w:rsidRDefault="00DF4378" w:rsidP="00DF4378">
      <w:pPr>
        <w:shd w:val="clear" w:color="auto" w:fill="FFFFFF"/>
        <w:spacing w:line="360" w:lineRule="auto"/>
        <w:jc w:val="both"/>
        <w:rPr>
          <w:color w:val="0F1115"/>
        </w:rPr>
      </w:pPr>
      <w:r w:rsidRPr="00DF4378">
        <w:rPr>
          <w:color w:val="0F1115"/>
        </w:rPr>
        <w:t>Reform of disability assessments for benefits provision and services is recommended after the Scottish government (2023) moved away from the deficits medical model for its approach. Simpson et al. (2026) found that assessments currently being conducted continue to apply medical models without applying the social model aspect of eliminating barriers to participation.</w:t>
      </w:r>
    </w:p>
    <w:p w14:paraId="52144FB8" w14:textId="4DE4BC76" w:rsidR="00DF4378" w:rsidRPr="00DF4378" w:rsidRDefault="00DF4378" w:rsidP="00DF4378">
      <w:pPr>
        <w:shd w:val="clear" w:color="auto" w:fill="FFFFFF"/>
        <w:spacing w:line="360" w:lineRule="auto"/>
        <w:jc w:val="both"/>
        <w:rPr>
          <w:color w:val="0F1115"/>
        </w:rPr>
      </w:pPr>
      <w:r w:rsidRPr="00DF4378">
        <w:rPr>
          <w:b/>
          <w:bCs/>
          <w:color w:val="0F1115"/>
        </w:rPr>
        <w:t>For Benefits provision:</w:t>
      </w:r>
      <w:r w:rsidRPr="00DF4378">
        <w:rPr>
          <w:color w:val="0F1115"/>
        </w:rPr>
        <w:t xml:space="preserve"> Would decrease the suffering experienced when assessments have been said to be shallow, dismissive, and not in line with doctors' opinion (Disability Rights </w:t>
      </w:r>
      <w:r w:rsidRPr="00DF4378">
        <w:rPr>
          <w:color w:val="0F1115"/>
        </w:rPr>
        <w:lastRenderedPageBreak/>
        <w:t xml:space="preserve">UK, 2020). McHale and Noszlopy (2025) assert </w:t>
      </w:r>
      <w:r w:rsidRPr="00DF4378">
        <w:rPr>
          <w:color w:val="0F1115"/>
        </w:rPr>
        <w:t>their</w:t>
      </w:r>
      <w:r w:rsidRPr="00DF4378">
        <w:rPr>
          <w:color w:val="0F1115"/>
        </w:rPr>
        <w:t xml:space="preserve"> </w:t>
      </w:r>
      <w:r w:rsidRPr="00DF4378">
        <w:rPr>
          <w:color w:val="0F1115"/>
        </w:rPr>
        <w:t>need</w:t>
      </w:r>
      <w:r w:rsidRPr="00DF4378">
        <w:rPr>
          <w:color w:val="0F1115"/>
        </w:rPr>
        <w:t xml:space="preserve"> to be reform for policies to fit the social model.</w:t>
      </w:r>
    </w:p>
    <w:p w14:paraId="07AF5425" w14:textId="5A908955" w:rsidR="000D3638" w:rsidRPr="000D3638" w:rsidRDefault="00DF4378" w:rsidP="00DF4378">
      <w:pPr>
        <w:shd w:val="clear" w:color="auto" w:fill="FFFFFF"/>
        <w:spacing w:line="360" w:lineRule="auto"/>
        <w:jc w:val="both"/>
        <w:rPr>
          <w:color w:val="0F1115"/>
        </w:rPr>
      </w:pPr>
      <w:r w:rsidRPr="00DF4378">
        <w:rPr>
          <w:b/>
          <w:bCs/>
          <w:color w:val="0F1115"/>
        </w:rPr>
        <w:t>Drawbacks:</w:t>
      </w:r>
      <w:r w:rsidRPr="00DF4378">
        <w:rPr>
          <w:color w:val="0F1115"/>
        </w:rPr>
        <w:t xml:space="preserve"> Would need many changes legally and administratively. Simpson et al. (2026) state the problem of making reforms in a devolved UK.</w:t>
      </w:r>
    </w:p>
    <w:p w14:paraId="6C3BCB3B" w14:textId="77777777" w:rsidR="000D3638" w:rsidRPr="000D3638" w:rsidRDefault="000D3638" w:rsidP="00DF4378">
      <w:pPr>
        <w:pStyle w:val="Heading2"/>
      </w:pPr>
      <w:bookmarkStart w:id="18" w:name="_Toc237548792"/>
      <w:r w:rsidRPr="000D3638">
        <w:t>5.4 Address Environmental Barriers</w:t>
      </w:r>
      <w:bookmarkEnd w:id="18"/>
    </w:p>
    <w:p w14:paraId="6901C07F" w14:textId="77777777" w:rsidR="00DF4378" w:rsidRPr="00DF4378" w:rsidRDefault="00DF4378" w:rsidP="00DF4378">
      <w:pPr>
        <w:shd w:val="clear" w:color="auto" w:fill="FFFFFF"/>
        <w:spacing w:line="360" w:lineRule="auto"/>
        <w:jc w:val="both"/>
        <w:rPr>
          <w:color w:val="0F1115"/>
        </w:rPr>
      </w:pPr>
      <w:r w:rsidRPr="00DF4378">
        <w:rPr>
          <w:color w:val="0F1115"/>
        </w:rPr>
        <w:t>The government at the local level should conduct audits on their services by doing comprehensive assessments in regard to accessibility.</w:t>
      </w:r>
    </w:p>
    <w:p w14:paraId="3D6A4891" w14:textId="60397983" w:rsidR="000D3638" w:rsidRPr="000D3638" w:rsidRDefault="00DF4378" w:rsidP="00DF4378">
      <w:pPr>
        <w:shd w:val="clear" w:color="auto" w:fill="FFFFFF"/>
        <w:spacing w:line="360" w:lineRule="auto"/>
        <w:jc w:val="both"/>
        <w:rPr>
          <w:color w:val="0F1115"/>
        </w:rPr>
      </w:pPr>
      <w:r w:rsidRPr="00DF4378">
        <w:rPr>
          <w:color w:val="0F1115"/>
        </w:rPr>
        <w:t>Positive impacts of the concept include its positive impact on the environment as it enhances physical access for all members of society while supporting the social model of eliminating barriers in the environment. According to Darcy, Ollerton &amp; Faulkner (2020), eliminating participation barriers creates opportunities for disabled children.</w:t>
      </w:r>
      <w:r>
        <w:rPr>
          <w:color w:val="0F1115"/>
        </w:rPr>
        <w:t xml:space="preserve"> </w:t>
      </w:r>
      <w:r w:rsidRPr="00DF4378">
        <w:rPr>
          <w:color w:val="0F1115"/>
        </w:rPr>
        <w:t>Some limitations of this concept include the high cost associated with retrofitting. However, according to McLaren (2025), thoughtful design can be cost-effective especially when done alongside new construction projects.</w:t>
      </w:r>
    </w:p>
    <w:p w14:paraId="4130D76A" w14:textId="77777777" w:rsidR="000D3638" w:rsidRPr="000D3638" w:rsidRDefault="000D3638" w:rsidP="00DF4378">
      <w:pPr>
        <w:pStyle w:val="Heading2"/>
      </w:pPr>
      <w:bookmarkStart w:id="19" w:name="_Toc237548793"/>
      <w:r w:rsidRPr="000D3638">
        <w:t>6.0 Conclusion</w:t>
      </w:r>
      <w:bookmarkEnd w:id="19"/>
    </w:p>
    <w:p w14:paraId="1A709A8D" w14:textId="68916CE8" w:rsidR="00DF4378" w:rsidRPr="00DF4378" w:rsidRDefault="00DF4378" w:rsidP="00DF4378">
      <w:pPr>
        <w:shd w:val="clear" w:color="auto" w:fill="FFFFFF"/>
        <w:spacing w:line="360" w:lineRule="auto"/>
        <w:jc w:val="both"/>
        <w:rPr>
          <w:color w:val="0F1115"/>
        </w:rPr>
      </w:pPr>
      <w:r w:rsidRPr="00DF4378">
        <w:rPr>
          <w:color w:val="0F1115"/>
        </w:rPr>
        <w:t>Whereas the social model emphasizes removal of barrier and participation of people through social change, the impairment model attributes social disability on the impairment of an individual (Barnes, Mercer &amp; Shakespeare, 2010; Beesley, 2020). Development of the social model occurred due to activism of the disabled people and is part of their liberation movement. As a result, this model led to important policy achievements such as deinstitutionalization and recognizing the rights of disabled individuals (Barnes, Mercer &amp; Shakespeare, 2010; Beesley, 2020).</w:t>
      </w:r>
      <w:r>
        <w:rPr>
          <w:color w:val="0F1115"/>
        </w:rPr>
        <w:t xml:space="preserve"> </w:t>
      </w:r>
      <w:r w:rsidRPr="00DF4378">
        <w:rPr>
          <w:color w:val="0F1115"/>
        </w:rPr>
        <w:t xml:space="preserve">Current scholarship questions its extent. In the discussion of how far the model should go, Riddle (2020) rejects any development of a "stronger" version of this model in </w:t>
      </w:r>
      <w:proofErr w:type="spellStart"/>
      <w:r w:rsidRPr="00DF4378">
        <w:rPr>
          <w:color w:val="0F1115"/>
        </w:rPr>
        <w:t>favor</w:t>
      </w:r>
      <w:proofErr w:type="spellEnd"/>
      <w:r w:rsidRPr="00DF4378">
        <w:rPr>
          <w:color w:val="0F1115"/>
        </w:rPr>
        <w:t xml:space="preserve"> of equality and justice. Beck (2020) provides a more complex approach to the model recognizing its importance alongside with recognizing the experience of impairment and embodiment of the latter. Finally, in his critical approach to the social model, Shakespeare (2006) calls into question some of the distinctions between impairment and disability still prevalent in some arguments about the topic.</w:t>
      </w:r>
    </w:p>
    <w:p w14:paraId="7AC22573" w14:textId="0E833918" w:rsidR="000D3638" w:rsidRPr="000D3638" w:rsidRDefault="00DF4378" w:rsidP="00DF4378">
      <w:pPr>
        <w:shd w:val="clear" w:color="auto" w:fill="FFFFFF"/>
        <w:spacing w:line="360" w:lineRule="auto"/>
        <w:jc w:val="both"/>
        <w:rPr>
          <w:color w:val="0F1115"/>
        </w:rPr>
      </w:pPr>
      <w:r w:rsidRPr="00DF4378">
        <w:rPr>
          <w:color w:val="0F1115"/>
        </w:rPr>
        <w:t>The situation with COVID-19 further revealed some gaps within the existing policies, increasing the inequality. For example, in response to a crisis situation, Campbell, Fredman &amp; Reeves (2020) and McHale &amp; Noszlopy (2025) demonstrated creation of new types of discriminating situations. Additionally, Simpson et al. (2026) pointed out that social security systems continue to use models of the medical approach to disability even though they are committed to the social one.</w:t>
      </w:r>
      <w:r w:rsidR="00D965DB">
        <w:rPr>
          <w:color w:val="0F1115"/>
        </w:rPr>
        <w:t xml:space="preserve"> </w:t>
      </w:r>
      <w:r w:rsidRPr="00DF4378">
        <w:rPr>
          <w:color w:val="0F1115"/>
        </w:rPr>
        <w:t xml:space="preserve">There are successful examples. The research by Croot, Dunning </w:t>
      </w:r>
      <w:r w:rsidRPr="00DF4378">
        <w:rPr>
          <w:color w:val="0F1115"/>
        </w:rPr>
        <w:lastRenderedPageBreak/>
        <w:t>&amp; Tarling (2026) illustrates positive changes brought by co-production. Through Nilles (2023), participatory methods demonstrate the ability to empower people with disabilities. Finally, Carvalho &amp; Albuquerque (2025) provide a model based on human-rights which complements the social one.</w:t>
      </w:r>
      <w:r>
        <w:rPr>
          <w:color w:val="0F1115"/>
        </w:rPr>
        <w:t xml:space="preserve"> </w:t>
      </w:r>
      <w:r w:rsidRPr="00DF4378">
        <w:rPr>
          <w:color w:val="0F1115"/>
        </w:rPr>
        <w:t>Recommendations included in the essay (implementing co-production, adopting human-rights based approach, changing assessment practices, overcoming</w:t>
      </w:r>
      <w:r w:rsidR="000D3638" w:rsidRPr="000D3638">
        <w:rPr>
          <w:color w:val="0F1115"/>
        </w:rPr>
        <w:t>.</w:t>
      </w:r>
    </w:p>
    <w:p w14:paraId="6DF04E5A" w14:textId="77777777" w:rsidR="00743915" w:rsidRDefault="00743915">
      <w:pPr>
        <w:spacing w:after="160" w:line="278" w:lineRule="auto"/>
        <w:rPr>
          <w:b/>
          <w:color w:val="0F1115"/>
        </w:rPr>
      </w:pPr>
      <w:r>
        <w:rPr>
          <w:b/>
          <w:color w:val="0F1115"/>
        </w:rPr>
        <w:br w:type="page"/>
      </w:r>
    </w:p>
    <w:p w14:paraId="0C6D5484" w14:textId="016D6558" w:rsidR="00582F9A" w:rsidRPr="000D3638" w:rsidRDefault="00582F9A" w:rsidP="00C56A8B">
      <w:pPr>
        <w:pStyle w:val="Heading2"/>
        <w:rPr>
          <w:rFonts w:eastAsia="Times New Roman"/>
        </w:rPr>
      </w:pPr>
      <w:bookmarkStart w:id="20" w:name="_Toc237548794"/>
      <w:r w:rsidRPr="000D3638">
        <w:rPr>
          <w:rFonts w:eastAsia="Times New Roman"/>
        </w:rPr>
        <w:lastRenderedPageBreak/>
        <w:t>7.0 Reference</w:t>
      </w:r>
      <w:bookmarkEnd w:id="20"/>
      <w:r w:rsidRPr="000D3638">
        <w:rPr>
          <w:rFonts w:eastAsia="Times New Roman"/>
        </w:rPr>
        <w:t xml:space="preserve"> </w:t>
      </w:r>
    </w:p>
    <w:p w14:paraId="2F49083F" w14:textId="77777777" w:rsidR="00C56A8B" w:rsidRDefault="00C56A8B" w:rsidP="00C56A8B">
      <w:pPr>
        <w:spacing w:line="360" w:lineRule="auto"/>
        <w:jc w:val="both"/>
      </w:pPr>
      <w:r>
        <w:t xml:space="preserve">Barnes, C., Mercer, G. and Shakespeare, T., 2010. Exploring disability, Cambridge. Polity, </w:t>
      </w:r>
    </w:p>
    <w:p w14:paraId="37DB9CC6" w14:textId="370AAAD9" w:rsidR="00C56A8B" w:rsidRDefault="00C56A8B" w:rsidP="00C56A8B">
      <w:pPr>
        <w:spacing w:line="360" w:lineRule="auto"/>
        <w:ind w:firstLine="720"/>
        <w:jc w:val="both"/>
      </w:pPr>
      <w:r>
        <w:t>pp.1-11.</w:t>
      </w:r>
    </w:p>
    <w:p w14:paraId="0A6C6594" w14:textId="77777777" w:rsidR="00C56A8B" w:rsidRDefault="00C56A8B" w:rsidP="00C56A8B">
      <w:pPr>
        <w:spacing w:line="360" w:lineRule="auto"/>
        <w:jc w:val="both"/>
      </w:pPr>
      <w:r>
        <w:t xml:space="preserve">Beck, B., 2020. Embodied practice: Reflections of a physically disabled art therapist in social </w:t>
      </w:r>
    </w:p>
    <w:p w14:paraId="7F1A16A4" w14:textId="0A481578" w:rsidR="00C56A8B" w:rsidRDefault="00C56A8B" w:rsidP="00C56A8B">
      <w:pPr>
        <w:spacing w:line="360" w:lineRule="auto"/>
        <w:ind w:firstLine="720"/>
        <w:jc w:val="both"/>
      </w:pPr>
      <w:r>
        <w:t>and medical disability spaces. Art Therapy, 37(2), pp.62-69.</w:t>
      </w:r>
    </w:p>
    <w:p w14:paraId="345B6BA1" w14:textId="77777777" w:rsidR="00C56A8B" w:rsidRDefault="00C56A8B" w:rsidP="00C56A8B">
      <w:pPr>
        <w:spacing w:line="360" w:lineRule="auto"/>
        <w:jc w:val="both"/>
      </w:pPr>
      <w:r>
        <w:t xml:space="preserve">Beesley, L., 2020. The social and the subjective: defining disablement at the birth of the </w:t>
      </w:r>
    </w:p>
    <w:p w14:paraId="26E3930E" w14:textId="7B818F17" w:rsidR="00C56A8B" w:rsidRDefault="00C56A8B" w:rsidP="00C56A8B">
      <w:pPr>
        <w:spacing w:line="360" w:lineRule="auto"/>
        <w:ind w:left="720"/>
        <w:jc w:val="both"/>
      </w:pPr>
      <w:r>
        <w:t>Disabled People’s Movement in Britain. Interface: a journal for and about social movements, 12(1), pp.400-419.</w:t>
      </w:r>
    </w:p>
    <w:p w14:paraId="479375F6" w14:textId="77777777" w:rsidR="00C56A8B" w:rsidRDefault="00C56A8B" w:rsidP="00C56A8B">
      <w:pPr>
        <w:spacing w:line="360" w:lineRule="auto"/>
        <w:jc w:val="both"/>
      </w:pPr>
      <w:r>
        <w:t>Brown, N., Nicholson, J., Campbell, F.K., Patel, M., Knight, R. and Moore, S., 2021. COVID-</w:t>
      </w:r>
    </w:p>
    <w:p w14:paraId="038D5522" w14:textId="75F5E108" w:rsidR="00C56A8B" w:rsidRDefault="00C56A8B" w:rsidP="00C56A8B">
      <w:pPr>
        <w:spacing w:line="360" w:lineRule="auto"/>
        <w:ind w:left="720"/>
        <w:jc w:val="both"/>
      </w:pPr>
      <w:r>
        <w:t xml:space="preserve">19 </w:t>
      </w:r>
      <w:r w:rsidR="00D965DB">
        <w:t>post-lockdowns</w:t>
      </w:r>
      <w:r>
        <w:t>. Perspectives, implications and strategies for disabled staff. Alter. European Journal of Disability Research, (15-3), pp.262-269.</w:t>
      </w:r>
    </w:p>
    <w:p w14:paraId="3AEEB6B8" w14:textId="77777777" w:rsidR="00C56A8B" w:rsidRDefault="00C56A8B" w:rsidP="00C56A8B">
      <w:pPr>
        <w:spacing w:line="360" w:lineRule="auto"/>
        <w:jc w:val="both"/>
      </w:pPr>
      <w:r>
        <w:t xml:space="preserve">Campbell, M., Fredman, S. and Reeves, A., 2020. Palliation or protection: How should the </w:t>
      </w:r>
    </w:p>
    <w:p w14:paraId="6007B30B" w14:textId="66648FD4" w:rsidR="00C56A8B" w:rsidRDefault="00C56A8B" w:rsidP="00C56A8B">
      <w:pPr>
        <w:spacing w:line="360" w:lineRule="auto"/>
        <w:ind w:left="720"/>
        <w:jc w:val="both"/>
      </w:pPr>
      <w:r>
        <w:t>right to equality inform the government’s response to Covid-</w:t>
      </w:r>
      <w:proofErr w:type="gramStart"/>
      <w:r>
        <w:t>19?.</w:t>
      </w:r>
      <w:proofErr w:type="gramEnd"/>
      <w:r>
        <w:t xml:space="preserve"> International journal of discrimination and the law, 20(4), pp.183-202. </w:t>
      </w:r>
    </w:p>
    <w:p w14:paraId="6BCAE5D1" w14:textId="77777777" w:rsidR="00C56A8B" w:rsidRDefault="00C56A8B" w:rsidP="00C56A8B">
      <w:pPr>
        <w:spacing w:line="360" w:lineRule="auto"/>
        <w:jc w:val="both"/>
      </w:pPr>
      <w:r>
        <w:t xml:space="preserve">Carvalho, M.I. and Albuquerque, C., 2025. Human rights-based social work perspective, </w:t>
      </w:r>
    </w:p>
    <w:p w14:paraId="226CA7F5" w14:textId="37F5CD1F" w:rsidR="00C56A8B" w:rsidRDefault="00C56A8B" w:rsidP="00C56A8B">
      <w:pPr>
        <w:spacing w:line="360" w:lineRule="auto"/>
        <w:ind w:left="720"/>
        <w:jc w:val="both"/>
      </w:pPr>
      <w:r>
        <w:t>ethics, and practice: An exploratory literature review. Journal of Human Rights and Social Work, 10(3), pp.647-661.</w:t>
      </w:r>
    </w:p>
    <w:p w14:paraId="53A59DF7" w14:textId="77777777" w:rsidR="00C56A8B" w:rsidRDefault="00C56A8B" w:rsidP="00C56A8B">
      <w:pPr>
        <w:spacing w:line="360" w:lineRule="auto"/>
        <w:jc w:val="both"/>
      </w:pPr>
      <w:r>
        <w:t xml:space="preserve">Croot, E., Dunning, A. and Tarling, C., 2026. Using the Double Diamond model to co-produce </w:t>
      </w:r>
    </w:p>
    <w:p w14:paraId="3D741841" w14:textId="79CE0BE3" w:rsidR="00C56A8B" w:rsidRDefault="00C56A8B" w:rsidP="00C56A8B">
      <w:pPr>
        <w:spacing w:line="360" w:lineRule="auto"/>
        <w:ind w:left="720"/>
        <w:jc w:val="both"/>
      </w:pPr>
      <w:r>
        <w:t>resources with adults with learning disabilities: lessons for inclusive social care research.</w:t>
      </w:r>
    </w:p>
    <w:p w14:paraId="69F53D18" w14:textId="77777777" w:rsidR="00C56A8B" w:rsidRDefault="00C56A8B" w:rsidP="00C56A8B">
      <w:pPr>
        <w:spacing w:line="360" w:lineRule="auto"/>
        <w:jc w:val="both"/>
      </w:pPr>
      <w:r>
        <w:t xml:space="preserve">Darcy, S., Ollerton, J. and Faulkner, S., 2020. “Why can’t I play?”: Transdisciplinary learnings </w:t>
      </w:r>
    </w:p>
    <w:p w14:paraId="29D33C92" w14:textId="70AAF7E7" w:rsidR="00C56A8B" w:rsidRDefault="00C56A8B" w:rsidP="00C56A8B">
      <w:pPr>
        <w:spacing w:line="360" w:lineRule="auto"/>
        <w:ind w:left="720"/>
        <w:jc w:val="both"/>
      </w:pPr>
      <w:r>
        <w:t>for children with disability’s sport participation. Social inclusion, 8(3), pp.209-223</w:t>
      </w:r>
    </w:p>
    <w:p w14:paraId="288895FA" w14:textId="77777777" w:rsidR="00C56A8B" w:rsidRDefault="00C56A8B" w:rsidP="00C56A8B">
      <w:pPr>
        <w:spacing w:line="360" w:lineRule="auto"/>
        <w:jc w:val="both"/>
      </w:pPr>
      <w:r>
        <w:t xml:space="preserve">Department of Health and Social Care (2025) 'Adult social care priorities for local authorities: </w:t>
      </w:r>
    </w:p>
    <w:p w14:paraId="27C78768" w14:textId="0035BC61" w:rsidR="00C56A8B" w:rsidRDefault="00C56A8B" w:rsidP="00C56A8B">
      <w:pPr>
        <w:spacing w:line="360" w:lineRule="auto"/>
        <w:ind w:left="720"/>
        <w:jc w:val="both"/>
      </w:pPr>
      <w:r>
        <w:t>2026 to 2027', GOV.UK, 17 December. Available at: https://www.gov.uk/government/publications/adult-social-care-priorities-for-local-authorities/adult-social-care-priorities-for-local-authorities-2026-to-2027 (Accessed: 13 August 2026).</w:t>
      </w:r>
    </w:p>
    <w:p w14:paraId="38B25224" w14:textId="77777777" w:rsidR="00D965DB" w:rsidRDefault="00C56A8B" w:rsidP="00C56A8B">
      <w:pPr>
        <w:spacing w:line="360" w:lineRule="auto"/>
        <w:jc w:val="both"/>
      </w:pPr>
      <w:r>
        <w:t xml:space="preserve">Dornan, L., Beck, E.R., Butt, S., Muldrew, D., Hanna-Trainor, L., Thompson, H., Walton, E. </w:t>
      </w:r>
    </w:p>
    <w:p w14:paraId="2CA25682" w14:textId="54902398" w:rsidR="00C56A8B" w:rsidRDefault="00C56A8B" w:rsidP="00D965DB">
      <w:pPr>
        <w:spacing w:line="360" w:lineRule="auto"/>
        <w:ind w:left="720"/>
        <w:jc w:val="both"/>
      </w:pPr>
      <w:r>
        <w:t>and McCloughin, A., 2026. A Scoping Review on Estimating the Nursing Models for Safe and Effective Primary Healthcare.</w:t>
      </w:r>
    </w:p>
    <w:p w14:paraId="2630EDC1" w14:textId="77777777" w:rsidR="00D965DB" w:rsidRDefault="00C56A8B" w:rsidP="00C56A8B">
      <w:pPr>
        <w:spacing w:line="360" w:lineRule="auto"/>
        <w:jc w:val="both"/>
      </w:pPr>
      <w:r>
        <w:t xml:space="preserve">Drozd, M., Chadwick, D. and Jester, R., 2021. The voices of people with an intellectual </w:t>
      </w:r>
    </w:p>
    <w:p w14:paraId="6ADD75C4" w14:textId="72724E40" w:rsidR="00C56A8B" w:rsidRDefault="00C56A8B" w:rsidP="00D965DB">
      <w:pPr>
        <w:spacing w:line="360" w:lineRule="auto"/>
        <w:ind w:left="720"/>
        <w:jc w:val="both"/>
      </w:pPr>
      <w:r>
        <w:t>disability and a carer about orthopaedic and trauma hospital care in the UK: An interpretative phenomenological study. International Journal of Orthopaedic and Trauma Nursing, 42, p.100831.</w:t>
      </w:r>
    </w:p>
    <w:p w14:paraId="697C4DF6" w14:textId="77777777" w:rsidR="00D965DB" w:rsidRDefault="00C56A8B" w:rsidP="00C56A8B">
      <w:pPr>
        <w:spacing w:line="360" w:lineRule="auto"/>
        <w:jc w:val="both"/>
      </w:pPr>
      <w:r>
        <w:lastRenderedPageBreak/>
        <w:t xml:space="preserve">Finkelstein, V., 1980. Attitudes and disabled people: Issues for discussion (No. 5). International </w:t>
      </w:r>
    </w:p>
    <w:p w14:paraId="4CFBD76A" w14:textId="58DB208B" w:rsidR="00C56A8B" w:rsidRDefault="00C56A8B" w:rsidP="00D965DB">
      <w:pPr>
        <w:spacing w:line="360" w:lineRule="auto"/>
        <w:ind w:left="720"/>
        <w:jc w:val="both"/>
      </w:pPr>
      <w:r>
        <w:t>Exchange of Information in Rehabilitation.</w:t>
      </w:r>
    </w:p>
    <w:p w14:paraId="15E1C34D" w14:textId="77777777" w:rsidR="00D965DB" w:rsidRDefault="00C56A8B" w:rsidP="00C56A8B">
      <w:pPr>
        <w:spacing w:line="360" w:lineRule="auto"/>
        <w:jc w:val="both"/>
      </w:pPr>
      <w:proofErr w:type="spellStart"/>
      <w:r>
        <w:t>Hollomotz</w:t>
      </w:r>
      <w:proofErr w:type="spellEnd"/>
      <w:r>
        <w:t xml:space="preserve">, A. and Talbot, J., 2021. Designing solutions for improved support within health, </w:t>
      </w:r>
    </w:p>
    <w:p w14:paraId="7483D70B" w14:textId="1A219870" w:rsidR="00C56A8B" w:rsidRDefault="00C56A8B" w:rsidP="00D965DB">
      <w:pPr>
        <w:spacing w:line="360" w:lineRule="auto"/>
        <w:ind w:left="720"/>
        <w:jc w:val="both"/>
      </w:pPr>
      <w:r>
        <w:t>social care and criminal justice for adults with learning disabilities and/or autism who have offended. The Howard Journal of Crime and Justice, 60(2), pp.185-208.</w:t>
      </w:r>
    </w:p>
    <w:p w14:paraId="66F391C3" w14:textId="77777777" w:rsidR="00D965DB" w:rsidRDefault="00C56A8B" w:rsidP="00C56A8B">
      <w:pPr>
        <w:spacing w:line="360" w:lineRule="auto"/>
        <w:jc w:val="both"/>
      </w:pPr>
      <w:r>
        <w:t xml:space="preserve">McHale, J.V. and Noszlopy, L., 2025. Adult Social Care Law and Policy: Lessons from the </w:t>
      </w:r>
    </w:p>
    <w:p w14:paraId="00DDC386" w14:textId="110E26CF" w:rsidR="00C56A8B" w:rsidRDefault="00C56A8B" w:rsidP="00D965DB">
      <w:pPr>
        <w:spacing w:line="360" w:lineRule="auto"/>
        <w:ind w:firstLine="720"/>
        <w:jc w:val="both"/>
      </w:pPr>
      <w:r>
        <w:t>Pandemic. Policy Press.</w:t>
      </w:r>
    </w:p>
    <w:p w14:paraId="123F3B87" w14:textId="77777777" w:rsidR="00D965DB" w:rsidRDefault="00C56A8B" w:rsidP="00C56A8B">
      <w:pPr>
        <w:spacing w:line="360" w:lineRule="auto"/>
        <w:jc w:val="both"/>
      </w:pPr>
      <w:r>
        <w:t xml:space="preserve">McLaren, A.M., 2025. Forms of Retirement Housing in 21st Century Scotland-The </w:t>
      </w:r>
    </w:p>
    <w:p w14:paraId="56A2AF30" w14:textId="292BD962" w:rsidR="00C56A8B" w:rsidRDefault="00C56A8B" w:rsidP="00D965DB">
      <w:pPr>
        <w:spacing w:line="360" w:lineRule="auto"/>
        <w:ind w:left="720"/>
        <w:jc w:val="both"/>
      </w:pPr>
      <w:r>
        <w:t>Development of Robust Models of Current and Future Provision and the Agency of Staff to Reach for the Future.</w:t>
      </w:r>
    </w:p>
    <w:p w14:paraId="61715F8C" w14:textId="77777777" w:rsidR="00D965DB" w:rsidRDefault="00C56A8B" w:rsidP="00C56A8B">
      <w:pPr>
        <w:spacing w:line="360" w:lineRule="auto"/>
        <w:jc w:val="both"/>
      </w:pPr>
      <w:r>
        <w:t xml:space="preserve">Nilles, K., 2023. Evaluating beyond the metrics: understanding the value of participatory arts </w:t>
      </w:r>
    </w:p>
    <w:p w14:paraId="3A27B787" w14:textId="1EDB62FE" w:rsidR="00C56A8B" w:rsidRDefault="00C56A8B" w:rsidP="00D965DB">
      <w:pPr>
        <w:spacing w:line="360" w:lineRule="auto"/>
        <w:ind w:left="720"/>
        <w:jc w:val="both"/>
      </w:pPr>
      <w:r>
        <w:t>through plurality of voice (Doctoral dissertation, London South Bank University).</w:t>
      </w:r>
    </w:p>
    <w:p w14:paraId="20B89B59" w14:textId="77777777" w:rsidR="00C56A8B" w:rsidRDefault="00C56A8B" w:rsidP="00C56A8B">
      <w:pPr>
        <w:spacing w:line="360" w:lineRule="auto"/>
        <w:jc w:val="both"/>
      </w:pPr>
      <w:r>
        <w:t>Oliver, M. and Barnes, C., 2012. The new politics of disablement. Bloomsbury Publishing.</w:t>
      </w:r>
    </w:p>
    <w:p w14:paraId="7036A1F4" w14:textId="77777777" w:rsidR="00D965DB" w:rsidRDefault="00C56A8B" w:rsidP="00D965DB">
      <w:pPr>
        <w:spacing w:line="360" w:lineRule="auto"/>
        <w:jc w:val="both"/>
      </w:pPr>
      <w:r>
        <w:t xml:space="preserve">Richards, M., 2020. </w:t>
      </w:r>
      <w:proofErr w:type="spellStart"/>
      <w:r>
        <w:t>Whorlton</w:t>
      </w:r>
      <w:proofErr w:type="spellEnd"/>
      <w:r>
        <w:t xml:space="preserve"> Hall, Winterbourne… person-centred care is long dead for </w:t>
      </w:r>
    </w:p>
    <w:p w14:paraId="652C6EFC" w14:textId="23CFA697" w:rsidR="00C56A8B" w:rsidRDefault="00C56A8B" w:rsidP="00D965DB">
      <w:pPr>
        <w:spacing w:line="360" w:lineRule="auto"/>
        <w:ind w:left="720"/>
        <w:jc w:val="both"/>
      </w:pPr>
      <w:r>
        <w:t>people with learning disabilities and autism. Disability &amp; Society, 35(3), pp.500-505.</w:t>
      </w:r>
    </w:p>
    <w:p w14:paraId="7CBB78AF" w14:textId="77777777" w:rsidR="00D965DB" w:rsidRDefault="00C56A8B" w:rsidP="00C56A8B">
      <w:pPr>
        <w:spacing w:line="360" w:lineRule="auto"/>
        <w:jc w:val="both"/>
      </w:pPr>
      <w:r>
        <w:t>Riddle, C.A., 2020. Why we do not need a ‘</w:t>
      </w:r>
      <w:proofErr w:type="spellStart"/>
      <w:r>
        <w:t>stronger’social</w:t>
      </w:r>
      <w:proofErr w:type="spellEnd"/>
      <w:r>
        <w:t xml:space="preserve"> model of disability. Disability &amp; </w:t>
      </w:r>
    </w:p>
    <w:p w14:paraId="74AAA896" w14:textId="1DE88823" w:rsidR="00C56A8B" w:rsidRDefault="00C56A8B" w:rsidP="00D965DB">
      <w:pPr>
        <w:spacing w:line="360" w:lineRule="auto"/>
        <w:ind w:firstLine="720"/>
        <w:jc w:val="both"/>
      </w:pPr>
      <w:r>
        <w:t>Society, 35(9), pp.1509-1513.</w:t>
      </w:r>
    </w:p>
    <w:p w14:paraId="52128A09" w14:textId="77777777" w:rsidR="00C56A8B" w:rsidRDefault="00C56A8B" w:rsidP="00C56A8B">
      <w:pPr>
        <w:spacing w:line="360" w:lineRule="auto"/>
        <w:jc w:val="both"/>
      </w:pPr>
      <w:r>
        <w:t>Shakespeare, T., 2006. Disability rights and wrongs. Routledge.</w:t>
      </w:r>
    </w:p>
    <w:p w14:paraId="2805E3EC" w14:textId="77777777" w:rsidR="00D965DB" w:rsidRDefault="00C56A8B" w:rsidP="00C56A8B">
      <w:pPr>
        <w:spacing w:line="360" w:lineRule="auto"/>
        <w:jc w:val="both"/>
      </w:pPr>
      <w:r>
        <w:t xml:space="preserve">Simpson, M., Brewer, M., Clegg, A., Hick, R., Lee, T., Pearce, S. and Patrick, R., 2026. The </w:t>
      </w:r>
    </w:p>
    <w:p w14:paraId="2C466BBD" w14:textId="3F11C6D6" w:rsidR="00C56A8B" w:rsidRDefault="00C56A8B" w:rsidP="00D965DB">
      <w:pPr>
        <w:spacing w:line="360" w:lineRule="auto"/>
        <w:ind w:firstLine="720"/>
        <w:jc w:val="both"/>
      </w:pPr>
      <w:r>
        <w:t>state of the nations: social security in a devolved UK.</w:t>
      </w:r>
    </w:p>
    <w:p w14:paraId="249FFDCA" w14:textId="77777777" w:rsidR="00C56A8B" w:rsidRDefault="00C56A8B">
      <w:pPr>
        <w:spacing w:line="360" w:lineRule="auto"/>
        <w:jc w:val="both"/>
      </w:pPr>
    </w:p>
    <w:sectPr w:rsidR="00C56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937713954">
    <w:abstractNumId w:val="1"/>
  </w:num>
  <w:num w:numId="2" w16cid:durableId="866720286">
    <w:abstractNumId w:val="0"/>
  </w:num>
  <w:num w:numId="3" w16cid:durableId="40372302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F9A"/>
    <w:rsid w:val="000224D9"/>
    <w:rsid w:val="000352EC"/>
    <w:rsid w:val="000551B2"/>
    <w:rsid w:val="000A0253"/>
    <w:rsid w:val="000B19CD"/>
    <w:rsid w:val="000D3638"/>
    <w:rsid w:val="001D3EE3"/>
    <w:rsid w:val="001F2FB1"/>
    <w:rsid w:val="00262C8B"/>
    <w:rsid w:val="002F7B3D"/>
    <w:rsid w:val="0030436B"/>
    <w:rsid w:val="003177D3"/>
    <w:rsid w:val="003378DB"/>
    <w:rsid w:val="00400855"/>
    <w:rsid w:val="004414B4"/>
    <w:rsid w:val="004418D7"/>
    <w:rsid w:val="00466ABE"/>
    <w:rsid w:val="00485C78"/>
    <w:rsid w:val="004E3AC7"/>
    <w:rsid w:val="004F1E66"/>
    <w:rsid w:val="0050653C"/>
    <w:rsid w:val="00516B20"/>
    <w:rsid w:val="00543543"/>
    <w:rsid w:val="00554572"/>
    <w:rsid w:val="005703D7"/>
    <w:rsid w:val="0057146C"/>
    <w:rsid w:val="00577B8D"/>
    <w:rsid w:val="00582F9A"/>
    <w:rsid w:val="00665B90"/>
    <w:rsid w:val="00681B16"/>
    <w:rsid w:val="00697D2F"/>
    <w:rsid w:val="006A3604"/>
    <w:rsid w:val="007370B6"/>
    <w:rsid w:val="00743915"/>
    <w:rsid w:val="007A0CE6"/>
    <w:rsid w:val="00807D66"/>
    <w:rsid w:val="0081561E"/>
    <w:rsid w:val="00835FB8"/>
    <w:rsid w:val="008B0FC8"/>
    <w:rsid w:val="008D2731"/>
    <w:rsid w:val="00933A37"/>
    <w:rsid w:val="009A7C12"/>
    <w:rsid w:val="009E7DEA"/>
    <w:rsid w:val="00A4313D"/>
    <w:rsid w:val="00A64EEC"/>
    <w:rsid w:val="00B42190"/>
    <w:rsid w:val="00B97CAF"/>
    <w:rsid w:val="00BA2A39"/>
    <w:rsid w:val="00BE7828"/>
    <w:rsid w:val="00C24E47"/>
    <w:rsid w:val="00C369E6"/>
    <w:rsid w:val="00C46641"/>
    <w:rsid w:val="00C55F19"/>
    <w:rsid w:val="00C56A8B"/>
    <w:rsid w:val="00CA497C"/>
    <w:rsid w:val="00CC0C0F"/>
    <w:rsid w:val="00D00CCF"/>
    <w:rsid w:val="00D965DB"/>
    <w:rsid w:val="00DB4328"/>
    <w:rsid w:val="00DD310B"/>
    <w:rsid w:val="00DD34B1"/>
    <w:rsid w:val="00DF07EB"/>
    <w:rsid w:val="00DF2CCC"/>
    <w:rsid w:val="00DF4378"/>
    <w:rsid w:val="00E3254A"/>
    <w:rsid w:val="00E44A99"/>
    <w:rsid w:val="00E5516F"/>
    <w:rsid w:val="00E671BD"/>
    <w:rsid w:val="00E831C1"/>
    <w:rsid w:val="00E96661"/>
    <w:rsid w:val="00EA1E07"/>
    <w:rsid w:val="00EC44CB"/>
    <w:rsid w:val="00F00C2E"/>
    <w:rsid w:val="00F01A95"/>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B46B"/>
  <w15:chartTrackingRefBased/>
  <w15:docId w15:val="{4353669D-FA5C-324B-A625-0BF3C485B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63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9A7C12"/>
    <w:pPr>
      <w:keepNext/>
      <w:keepLines/>
      <w:jc w:val="center"/>
      <w:outlineLvl w:val="0"/>
    </w:pPr>
    <w:rPr>
      <w:rFonts w:eastAsiaTheme="majorEastAsia" w:cstheme="majorBidi"/>
      <w:b/>
      <w:bCs/>
      <w:szCs w:val="40"/>
    </w:rPr>
  </w:style>
  <w:style w:type="paragraph" w:styleId="Heading2">
    <w:name w:val="heading 2"/>
    <w:basedOn w:val="Normal"/>
    <w:next w:val="Normal"/>
    <w:link w:val="Heading2Char"/>
    <w:autoRedefine/>
    <w:uiPriority w:val="9"/>
    <w:unhideWhenUsed/>
    <w:qFormat/>
    <w:rsid w:val="000D3638"/>
    <w:pPr>
      <w:keepNext/>
      <w:keepLines/>
      <w:jc w:val="both"/>
      <w:outlineLvl w:val="1"/>
    </w:pPr>
    <w:rPr>
      <w:rFonts w:eastAsiaTheme="majorEastAsia" w:cstheme="majorBidi"/>
      <w:b/>
      <w:bCs/>
      <w:szCs w:val="32"/>
    </w:rPr>
  </w:style>
  <w:style w:type="paragraph" w:styleId="Heading3">
    <w:name w:val="heading 3"/>
    <w:basedOn w:val="Normal"/>
    <w:next w:val="Normal"/>
    <w:link w:val="Heading3Char"/>
    <w:autoRedefine/>
    <w:uiPriority w:val="9"/>
    <w:unhideWhenUsed/>
    <w:qFormat/>
    <w:rsid w:val="008B0FC8"/>
    <w:pPr>
      <w:keepNext/>
      <w:outlineLvl w:val="2"/>
    </w:pPr>
    <w:rPr>
      <w:rFonts w:cstheme="minorBidi"/>
      <w:b/>
      <w:szCs w:val="26"/>
      <w:lang w:eastAsia="zh-CN"/>
      <w14:ligatures w14:val="standardContextual"/>
    </w:rPr>
  </w:style>
  <w:style w:type="paragraph" w:styleId="Heading4">
    <w:name w:val="heading 4"/>
    <w:basedOn w:val="Normal"/>
    <w:next w:val="Normal"/>
    <w:link w:val="Heading4Char"/>
    <w:uiPriority w:val="9"/>
    <w:semiHidden/>
    <w:unhideWhenUsed/>
    <w:qFormat/>
    <w:rsid w:val="00582F9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2F9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2F9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2F9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2F9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2F9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9A7C12"/>
    <w:rPr>
      <w:rFonts w:ascii="Times New Roman" w:eastAsiaTheme="majorEastAsia" w:hAnsi="Times New Roman" w:cstheme="majorBidi"/>
      <w:b/>
      <w:kern w:val="0"/>
      <w:szCs w:val="40"/>
      <w14:ligatures w14:val="none"/>
    </w:rPr>
  </w:style>
  <w:style w:type="character" w:customStyle="1" w:styleId="Heading2Char">
    <w:name w:val="Heading 2 Char"/>
    <w:basedOn w:val="DefaultParagraphFont"/>
    <w:link w:val="Heading2"/>
    <w:uiPriority w:val="9"/>
    <w:rsid w:val="000D3638"/>
    <w:rPr>
      <w:rFonts w:ascii="Times New Roman" w:eastAsiaTheme="majorEastAsia" w:hAnsi="Times New Roman" w:cstheme="majorBidi"/>
      <w:b/>
      <w:kern w:val="0"/>
      <w:szCs w:val="32"/>
      <w14:ligatures w14:val="none"/>
    </w:rPr>
  </w:style>
  <w:style w:type="character" w:customStyle="1" w:styleId="Heading3Char">
    <w:name w:val="Heading 3 Char"/>
    <w:link w:val="Heading3"/>
    <w:uiPriority w:val="9"/>
    <w:rsid w:val="008B0FC8"/>
    <w:rPr>
      <w:rFonts w:ascii="Times New Roman" w:hAnsi="Times New Roman"/>
      <w:b/>
      <w:bCs/>
      <w:szCs w:val="26"/>
      <w:lang w:eastAsia="zh-CN"/>
    </w:rPr>
  </w:style>
  <w:style w:type="paragraph" w:styleId="NormalWeb">
    <w:name w:val="Normal (Web)"/>
    <w:basedOn w:val="Normal"/>
    <w:uiPriority w:val="99"/>
    <w:semiHidden/>
    <w:unhideWhenUsed/>
    <w:rsid w:val="00BE7828"/>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paragraph" w:styleId="NoSpacing">
    <w:name w:val="No Spacing"/>
    <w:link w:val="NoSpacingChar"/>
    <w:autoRedefine/>
    <w:uiPriority w:val="1"/>
    <w:qFormat/>
    <w:rsid w:val="006A3604"/>
    <w:pPr>
      <w:spacing w:after="0" w:line="240" w:lineRule="auto"/>
      <w:jc w:val="both"/>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6A3604"/>
    <w:rPr>
      <w:rFonts w:ascii="Times New Roman" w:eastAsiaTheme="minorEastAsia" w:hAnsi="Times New Roman"/>
      <w:b/>
      <w:kern w:val="0"/>
      <w:szCs w:val="22"/>
      <w:lang w:val="en-US" w:eastAsia="zh-CN"/>
      <w14:ligatures w14:val="none"/>
    </w:rPr>
  </w:style>
  <w:style w:type="character" w:customStyle="1" w:styleId="Heading4Char">
    <w:name w:val="Heading 4 Char"/>
    <w:basedOn w:val="DefaultParagraphFont"/>
    <w:link w:val="Heading4"/>
    <w:uiPriority w:val="9"/>
    <w:semiHidden/>
    <w:rsid w:val="00582F9A"/>
    <w:rPr>
      <w:rFonts w:eastAsiaTheme="majorEastAsia" w:cstheme="majorBidi"/>
      <w:bCs/>
      <w:i/>
      <w:iCs/>
      <w:color w:val="0F4761" w:themeColor="accent1" w:themeShade="BF"/>
      <w:sz w:val="22"/>
      <w:szCs w:val="28"/>
      <w14:ligatures w14:val="none"/>
    </w:rPr>
  </w:style>
  <w:style w:type="character" w:customStyle="1" w:styleId="Heading5Char">
    <w:name w:val="Heading 5 Char"/>
    <w:basedOn w:val="DefaultParagraphFont"/>
    <w:link w:val="Heading5"/>
    <w:uiPriority w:val="9"/>
    <w:semiHidden/>
    <w:rsid w:val="00582F9A"/>
    <w:rPr>
      <w:rFonts w:eastAsiaTheme="majorEastAsia" w:cstheme="majorBidi"/>
      <w:bCs/>
      <w:color w:val="0F4761" w:themeColor="accent1" w:themeShade="BF"/>
      <w:sz w:val="22"/>
      <w:szCs w:val="28"/>
      <w14:ligatures w14:val="none"/>
    </w:rPr>
  </w:style>
  <w:style w:type="character" w:customStyle="1" w:styleId="Heading6Char">
    <w:name w:val="Heading 6 Char"/>
    <w:basedOn w:val="DefaultParagraphFont"/>
    <w:link w:val="Heading6"/>
    <w:uiPriority w:val="9"/>
    <w:semiHidden/>
    <w:rsid w:val="00582F9A"/>
    <w:rPr>
      <w:rFonts w:eastAsiaTheme="majorEastAsia" w:cstheme="majorBidi"/>
      <w:bCs/>
      <w:i/>
      <w:iCs/>
      <w:color w:val="595959" w:themeColor="text1" w:themeTint="A6"/>
      <w:sz w:val="22"/>
      <w:szCs w:val="28"/>
      <w14:ligatures w14:val="none"/>
    </w:rPr>
  </w:style>
  <w:style w:type="character" w:customStyle="1" w:styleId="Heading7Char">
    <w:name w:val="Heading 7 Char"/>
    <w:basedOn w:val="DefaultParagraphFont"/>
    <w:link w:val="Heading7"/>
    <w:uiPriority w:val="9"/>
    <w:semiHidden/>
    <w:rsid w:val="00582F9A"/>
    <w:rPr>
      <w:rFonts w:eastAsiaTheme="majorEastAsia" w:cstheme="majorBidi"/>
      <w:bCs/>
      <w:color w:val="595959" w:themeColor="text1" w:themeTint="A6"/>
      <w:sz w:val="22"/>
      <w:szCs w:val="28"/>
      <w14:ligatures w14:val="none"/>
    </w:rPr>
  </w:style>
  <w:style w:type="character" w:customStyle="1" w:styleId="Heading8Char">
    <w:name w:val="Heading 8 Char"/>
    <w:basedOn w:val="DefaultParagraphFont"/>
    <w:link w:val="Heading8"/>
    <w:uiPriority w:val="9"/>
    <w:semiHidden/>
    <w:rsid w:val="00582F9A"/>
    <w:rPr>
      <w:rFonts w:eastAsiaTheme="majorEastAsia" w:cstheme="majorBidi"/>
      <w:bCs/>
      <w:i/>
      <w:iCs/>
      <w:color w:val="272727" w:themeColor="text1" w:themeTint="D8"/>
      <w:sz w:val="22"/>
      <w:szCs w:val="28"/>
      <w14:ligatures w14:val="none"/>
    </w:rPr>
  </w:style>
  <w:style w:type="character" w:customStyle="1" w:styleId="Heading9Char">
    <w:name w:val="Heading 9 Char"/>
    <w:basedOn w:val="DefaultParagraphFont"/>
    <w:link w:val="Heading9"/>
    <w:uiPriority w:val="9"/>
    <w:semiHidden/>
    <w:rsid w:val="00582F9A"/>
    <w:rPr>
      <w:rFonts w:eastAsiaTheme="majorEastAsia" w:cstheme="majorBidi"/>
      <w:bCs/>
      <w:color w:val="272727" w:themeColor="text1" w:themeTint="D8"/>
      <w:sz w:val="22"/>
      <w:szCs w:val="28"/>
      <w14:ligatures w14:val="none"/>
    </w:rPr>
  </w:style>
  <w:style w:type="paragraph" w:styleId="Subtitle">
    <w:name w:val="Subtitle"/>
    <w:basedOn w:val="Normal"/>
    <w:next w:val="Normal"/>
    <w:link w:val="SubtitleChar"/>
    <w:uiPriority w:val="11"/>
    <w:qFormat/>
    <w:rsid w:val="00582F9A"/>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582F9A"/>
    <w:rPr>
      <w:rFonts w:eastAsiaTheme="majorEastAsia" w:cstheme="majorBidi"/>
      <w:bCs/>
      <w:color w:val="595959" w:themeColor="text1" w:themeTint="A6"/>
      <w:spacing w:val="15"/>
      <w:sz w:val="28"/>
      <w:szCs w:val="28"/>
      <w14:ligatures w14:val="none"/>
    </w:rPr>
  </w:style>
  <w:style w:type="paragraph" w:styleId="Quote">
    <w:name w:val="Quote"/>
    <w:basedOn w:val="Normal"/>
    <w:next w:val="Normal"/>
    <w:link w:val="QuoteChar"/>
    <w:uiPriority w:val="29"/>
    <w:qFormat/>
    <w:rsid w:val="00582F9A"/>
    <w:pPr>
      <w:spacing w:before="160"/>
      <w:jc w:val="center"/>
    </w:pPr>
    <w:rPr>
      <w:i/>
      <w:iCs/>
      <w:color w:val="404040" w:themeColor="text1" w:themeTint="BF"/>
    </w:rPr>
  </w:style>
  <w:style w:type="character" w:customStyle="1" w:styleId="QuoteChar">
    <w:name w:val="Quote Char"/>
    <w:basedOn w:val="DefaultParagraphFont"/>
    <w:link w:val="Quote"/>
    <w:uiPriority w:val="29"/>
    <w:rsid w:val="00582F9A"/>
    <w:rPr>
      <w:rFonts w:ascii="Arial" w:hAnsi="Arial" w:cs="Arial"/>
      <w:bCs/>
      <w:i/>
      <w:iCs/>
      <w:color w:val="404040" w:themeColor="text1" w:themeTint="BF"/>
      <w:sz w:val="22"/>
      <w:szCs w:val="28"/>
      <w14:ligatures w14:val="none"/>
    </w:rPr>
  </w:style>
  <w:style w:type="paragraph" w:styleId="ListParagraph">
    <w:name w:val="List Paragraph"/>
    <w:basedOn w:val="Normal"/>
    <w:uiPriority w:val="34"/>
    <w:qFormat/>
    <w:rsid w:val="00582F9A"/>
    <w:pPr>
      <w:ind w:left="720"/>
      <w:contextualSpacing/>
    </w:pPr>
  </w:style>
  <w:style w:type="character" w:styleId="IntenseEmphasis">
    <w:name w:val="Intense Emphasis"/>
    <w:basedOn w:val="DefaultParagraphFont"/>
    <w:uiPriority w:val="21"/>
    <w:qFormat/>
    <w:rsid w:val="00582F9A"/>
    <w:rPr>
      <w:i/>
      <w:iCs/>
      <w:color w:val="0F4761" w:themeColor="accent1" w:themeShade="BF"/>
    </w:rPr>
  </w:style>
  <w:style w:type="paragraph" w:styleId="IntenseQuote">
    <w:name w:val="Intense Quote"/>
    <w:basedOn w:val="Normal"/>
    <w:next w:val="Normal"/>
    <w:link w:val="IntenseQuoteChar"/>
    <w:uiPriority w:val="30"/>
    <w:qFormat/>
    <w:rsid w:val="00582F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F9A"/>
    <w:rPr>
      <w:rFonts w:ascii="Arial" w:hAnsi="Arial" w:cs="Arial"/>
      <w:bCs/>
      <w:i/>
      <w:iCs/>
      <w:color w:val="0F4761" w:themeColor="accent1" w:themeShade="BF"/>
      <w:sz w:val="22"/>
      <w:szCs w:val="28"/>
      <w14:ligatures w14:val="none"/>
    </w:rPr>
  </w:style>
  <w:style w:type="character" w:styleId="IntenseReference">
    <w:name w:val="Intense Reference"/>
    <w:basedOn w:val="DefaultParagraphFont"/>
    <w:uiPriority w:val="32"/>
    <w:qFormat/>
    <w:rsid w:val="00582F9A"/>
    <w:rPr>
      <w:b/>
      <w:bCs/>
      <w:smallCaps/>
      <w:color w:val="0F4761" w:themeColor="accent1" w:themeShade="BF"/>
      <w:spacing w:val="5"/>
    </w:rPr>
  </w:style>
  <w:style w:type="paragraph" w:customStyle="1" w:styleId="ds-markdown-paragraph">
    <w:name w:val="ds-markdown-paragraph"/>
    <w:basedOn w:val="Normal"/>
    <w:rsid w:val="00582F9A"/>
    <w:pPr>
      <w:spacing w:before="100" w:beforeAutospacing="1" w:after="100" w:afterAutospacing="1"/>
    </w:pPr>
    <w:rPr>
      <w:bCs/>
    </w:rPr>
  </w:style>
  <w:style w:type="character" w:styleId="Strong">
    <w:name w:val="Strong"/>
    <w:basedOn w:val="DefaultParagraphFont"/>
    <w:uiPriority w:val="22"/>
    <w:qFormat/>
    <w:rsid w:val="00582F9A"/>
    <w:rPr>
      <w:b/>
      <w:bCs/>
    </w:rPr>
  </w:style>
  <w:style w:type="character" w:styleId="Emphasis">
    <w:name w:val="Emphasis"/>
    <w:basedOn w:val="DefaultParagraphFont"/>
    <w:uiPriority w:val="20"/>
    <w:qFormat/>
    <w:rsid w:val="00582F9A"/>
    <w:rPr>
      <w:i/>
      <w:iCs/>
    </w:rPr>
  </w:style>
  <w:style w:type="character" w:styleId="Hyperlink">
    <w:name w:val="Hyperlink"/>
    <w:basedOn w:val="DefaultParagraphFont"/>
    <w:uiPriority w:val="99"/>
    <w:unhideWhenUsed/>
    <w:rsid w:val="00582F9A"/>
    <w:rPr>
      <w:color w:val="0000FF"/>
      <w:u w:val="single"/>
    </w:rPr>
  </w:style>
  <w:style w:type="paragraph" w:styleId="TOCHeading">
    <w:name w:val="TOC Heading"/>
    <w:basedOn w:val="Heading1"/>
    <w:next w:val="Normal"/>
    <w:uiPriority w:val="39"/>
    <w:unhideWhenUsed/>
    <w:qFormat/>
    <w:rsid w:val="004414B4"/>
    <w:pPr>
      <w:spacing w:before="480" w:line="276" w:lineRule="auto"/>
      <w:jc w:val="left"/>
      <w:outlineLvl w:val="9"/>
    </w:pPr>
    <w:rPr>
      <w:rFonts w:asciiTheme="majorHAnsi" w:hAnsiTheme="majorHAnsi"/>
      <w:bCs w:val="0"/>
      <w:color w:val="0F4761" w:themeColor="accent1" w:themeShade="BF"/>
      <w:sz w:val="28"/>
      <w:szCs w:val="28"/>
      <w:lang w:val="en-US"/>
    </w:rPr>
  </w:style>
  <w:style w:type="paragraph" w:styleId="TOC1">
    <w:name w:val="toc 1"/>
    <w:basedOn w:val="Normal"/>
    <w:next w:val="Normal"/>
    <w:autoRedefine/>
    <w:uiPriority w:val="39"/>
    <w:unhideWhenUsed/>
    <w:rsid w:val="004414B4"/>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4414B4"/>
    <w:rPr>
      <w:rFonts w:asciiTheme="minorHAnsi" w:hAnsiTheme="minorHAnsi"/>
      <w:b/>
      <w:bCs/>
      <w:smallCaps/>
      <w:sz w:val="22"/>
      <w:szCs w:val="22"/>
    </w:rPr>
  </w:style>
  <w:style w:type="paragraph" w:styleId="TOC3">
    <w:name w:val="toc 3"/>
    <w:basedOn w:val="Normal"/>
    <w:next w:val="Normal"/>
    <w:autoRedefine/>
    <w:uiPriority w:val="39"/>
    <w:unhideWhenUsed/>
    <w:rsid w:val="004414B4"/>
    <w:rPr>
      <w:rFonts w:asciiTheme="minorHAnsi" w:hAnsiTheme="minorHAnsi"/>
      <w:smallCaps/>
      <w:sz w:val="22"/>
      <w:szCs w:val="22"/>
    </w:rPr>
  </w:style>
  <w:style w:type="paragraph" w:styleId="TOC4">
    <w:name w:val="toc 4"/>
    <w:basedOn w:val="Normal"/>
    <w:next w:val="Normal"/>
    <w:autoRedefine/>
    <w:uiPriority w:val="39"/>
    <w:semiHidden/>
    <w:unhideWhenUsed/>
    <w:rsid w:val="004414B4"/>
    <w:rPr>
      <w:rFonts w:asciiTheme="minorHAnsi" w:hAnsiTheme="minorHAnsi"/>
      <w:sz w:val="22"/>
      <w:szCs w:val="22"/>
    </w:rPr>
  </w:style>
  <w:style w:type="paragraph" w:styleId="TOC5">
    <w:name w:val="toc 5"/>
    <w:basedOn w:val="Normal"/>
    <w:next w:val="Normal"/>
    <w:autoRedefine/>
    <w:uiPriority w:val="39"/>
    <w:semiHidden/>
    <w:unhideWhenUsed/>
    <w:rsid w:val="004414B4"/>
    <w:rPr>
      <w:rFonts w:asciiTheme="minorHAnsi" w:hAnsiTheme="minorHAnsi"/>
      <w:sz w:val="22"/>
      <w:szCs w:val="22"/>
    </w:rPr>
  </w:style>
  <w:style w:type="paragraph" w:styleId="TOC6">
    <w:name w:val="toc 6"/>
    <w:basedOn w:val="Normal"/>
    <w:next w:val="Normal"/>
    <w:autoRedefine/>
    <w:uiPriority w:val="39"/>
    <w:semiHidden/>
    <w:unhideWhenUsed/>
    <w:rsid w:val="004414B4"/>
    <w:rPr>
      <w:rFonts w:asciiTheme="minorHAnsi" w:hAnsiTheme="minorHAnsi"/>
      <w:sz w:val="22"/>
      <w:szCs w:val="22"/>
    </w:rPr>
  </w:style>
  <w:style w:type="paragraph" w:styleId="TOC7">
    <w:name w:val="toc 7"/>
    <w:basedOn w:val="Normal"/>
    <w:next w:val="Normal"/>
    <w:autoRedefine/>
    <w:uiPriority w:val="39"/>
    <w:semiHidden/>
    <w:unhideWhenUsed/>
    <w:rsid w:val="004414B4"/>
    <w:rPr>
      <w:rFonts w:asciiTheme="minorHAnsi" w:hAnsiTheme="minorHAnsi"/>
      <w:sz w:val="22"/>
      <w:szCs w:val="22"/>
    </w:rPr>
  </w:style>
  <w:style w:type="paragraph" w:styleId="TOC8">
    <w:name w:val="toc 8"/>
    <w:basedOn w:val="Normal"/>
    <w:next w:val="Normal"/>
    <w:autoRedefine/>
    <w:uiPriority w:val="39"/>
    <w:semiHidden/>
    <w:unhideWhenUsed/>
    <w:rsid w:val="004414B4"/>
    <w:rPr>
      <w:rFonts w:asciiTheme="minorHAnsi" w:hAnsiTheme="minorHAnsi"/>
      <w:sz w:val="22"/>
      <w:szCs w:val="22"/>
    </w:rPr>
  </w:style>
  <w:style w:type="paragraph" w:styleId="TOC9">
    <w:name w:val="toc 9"/>
    <w:basedOn w:val="Normal"/>
    <w:next w:val="Normal"/>
    <w:autoRedefine/>
    <w:uiPriority w:val="39"/>
    <w:semiHidden/>
    <w:unhideWhenUsed/>
    <w:rsid w:val="004414B4"/>
    <w:rPr>
      <w:rFonts w:asciiTheme="minorHAnsi" w:hAnsiTheme="minorHAnsi"/>
      <w:sz w:val="22"/>
      <w:szCs w:val="22"/>
    </w:rPr>
  </w:style>
  <w:style w:type="paragraph" w:customStyle="1" w:styleId="Default">
    <w:name w:val="Default"/>
    <w:rsid w:val="004414B4"/>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91259-CE22-C549-94BD-A14DFCA2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10</Pages>
  <Words>3043</Words>
  <Characters>17349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samuel oduniyi</cp:lastModifiedBy>
  <cp:revision>1</cp:revision>
  <dcterms:created xsi:type="dcterms:W3CDTF">2026-08-13T16:53:00Z</dcterms:created>
  <dcterms:modified xsi:type="dcterms:W3CDTF">2026-08-13T20:39:00Z</dcterms:modified>
</cp:coreProperties>
</file>