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88DEE71" w:rsidR="7908378C" w:rsidRDefault="7908378C" w:rsidP="33572C6E">
            <w:pPr>
              <w:ind w:right="237"/>
              <w:rPr>
                <w:b/>
                <w:bCs/>
                <w:color w:val="auto"/>
                <w:sz w:val="32"/>
                <w:szCs w:val="32"/>
              </w:rPr>
            </w:pPr>
            <w:r w:rsidRPr="33572C6E">
              <w:rPr>
                <w:b/>
                <w:bCs/>
                <w:color w:val="auto"/>
                <w:sz w:val="32"/>
                <w:szCs w:val="32"/>
              </w:rPr>
              <w:t xml:space="preserve">Learner name: </w:t>
            </w:r>
            <w:r w:rsidR="00804F25">
              <w:rPr>
                <w:b/>
                <w:bCs/>
                <w:color w:val="auto"/>
                <w:sz w:val="32"/>
                <w:szCs w:val="32"/>
              </w:rPr>
              <w:t>Ffion Godfrey</w:t>
            </w:r>
          </w:p>
          <w:p w14:paraId="3A3A802D" w14:textId="77777777" w:rsidR="33572C6E" w:rsidRDefault="33572C6E" w:rsidP="33572C6E">
            <w:pPr>
              <w:ind w:right="237"/>
              <w:rPr>
                <w:b/>
                <w:bCs/>
                <w:color w:val="auto"/>
                <w:sz w:val="32"/>
                <w:szCs w:val="32"/>
              </w:rPr>
            </w:pPr>
          </w:p>
          <w:p w14:paraId="5DC3CFD6" w14:textId="450492B8" w:rsidR="7908378C" w:rsidRDefault="7908378C" w:rsidP="33572C6E">
            <w:pPr>
              <w:ind w:right="237"/>
              <w:rPr>
                <w:b/>
                <w:bCs/>
                <w:color w:val="auto"/>
                <w:sz w:val="32"/>
                <w:szCs w:val="32"/>
              </w:rPr>
            </w:pPr>
            <w:r w:rsidRPr="33572C6E">
              <w:rPr>
                <w:b/>
                <w:bCs/>
                <w:color w:val="auto"/>
                <w:sz w:val="32"/>
                <w:szCs w:val="32"/>
              </w:rPr>
              <w:t>Learner’s University Registration Number:</w:t>
            </w:r>
            <w:r w:rsidR="00804F25">
              <w:rPr>
                <w:b/>
                <w:bCs/>
                <w:color w:val="auto"/>
                <w:sz w:val="32"/>
                <w:szCs w:val="32"/>
              </w:rPr>
              <w:t xml:space="preserve"> 2319928</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3100B0">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3100B0">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0A3B5B0D" w14:textId="0A088BC1" w:rsidR="00804F25" w:rsidRPr="00D8546D"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748AC084" w14:textId="77777777" w:rsidR="00D8546D" w:rsidRPr="00E676F7" w:rsidRDefault="00D8546D" w:rsidP="5B843AF0">
      <w:pPr>
        <w:ind w:right="237"/>
        <w:jc w:val="both"/>
        <w:rPr>
          <w:rFonts w:eastAsia="Arial"/>
          <w:color w:val="000000" w:themeColor="text1"/>
          <w:sz w:val="24"/>
          <w:szCs w:val="24"/>
        </w:rPr>
      </w:pPr>
    </w:p>
    <w:p w14:paraId="24FAB199" w14:textId="0CF2D2AD"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Policing involves attending incidences which involve both vulnerability and risk. It is imperative that officers who attend these incidences recognise the risks involved in each individual situation. We must consider what harm that the individuals involved in each incident are at risk to by understanding their vulnerabilities (College of Policing, 2021). The College of Policing have adopted the THRIVE method to define vulnerability (2021). THRIVE stands for threat, harm, risk, investigation, vulnerability, and engagement. This method states that “…a person is vulnerable if</w:t>
      </w:r>
      <w:proofErr w:type="gramStart"/>
      <w:r w:rsidRPr="00DD2582">
        <w:rPr>
          <w:rFonts w:eastAsia="Aptos"/>
          <w:color w:val="auto"/>
          <w:kern w:val="2"/>
          <w:sz w:val="24"/>
          <w:szCs w:val="24"/>
          <w:lang w:eastAsia="en-US"/>
          <w14:ligatures w14:val="standardContextual"/>
        </w:rPr>
        <w:t>, ,</w:t>
      </w:r>
      <w:proofErr w:type="gramEnd"/>
      <w:r w:rsidRPr="00DD2582">
        <w:rPr>
          <w:rFonts w:eastAsia="Aptos"/>
          <w:color w:val="auto"/>
          <w:kern w:val="2"/>
          <w:sz w:val="24"/>
          <w:szCs w:val="24"/>
          <w:lang w:eastAsia="en-US"/>
          <w14:ligatures w14:val="standardContextual"/>
        </w:rPr>
        <w:t xml:space="preserve"> as a result of their situation or circumstances, they are unable to take care of themselves or others from harm or exploitation” (College of Policing, 2021). To apply this method, we must identify a person’s vulnerability </w:t>
      </w:r>
      <w:r w:rsidRPr="00DD2582">
        <w:rPr>
          <w:rFonts w:eastAsia="Aptos"/>
          <w:color w:val="auto"/>
          <w:kern w:val="2"/>
          <w:sz w:val="24"/>
          <w:szCs w:val="24"/>
          <w:lang w:eastAsia="en-US"/>
          <w14:ligatures w14:val="standardContextual"/>
        </w:rPr>
        <w:t>to</w:t>
      </w:r>
      <w:r w:rsidRPr="00DD2582">
        <w:rPr>
          <w:rFonts w:eastAsia="Aptos"/>
          <w:color w:val="auto"/>
          <w:kern w:val="2"/>
          <w:sz w:val="24"/>
          <w:szCs w:val="24"/>
          <w:lang w:eastAsia="en-US"/>
          <w14:ligatures w14:val="standardContextual"/>
        </w:rPr>
        <w:t xml:space="preserve"> understand how this vulnerability relates to the circumstances of each incident. This enables us to assess the level of harm or the risk of harm and therefore act accordingly (College of Policing, 2021). This action will involve supporting the victim and involving partner agencies that can appropriately support the victim. </w:t>
      </w:r>
    </w:p>
    <w:p w14:paraId="407C0DE7"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This essay will discuss a serious and complex investigation in which I played a significant role in when investigating the crime and supporting the victim. It will follow </w:t>
      </w:r>
      <w:r w:rsidRPr="00DD2582">
        <w:rPr>
          <w:rFonts w:eastAsia="Aptos"/>
          <w:color w:val="auto"/>
          <w:kern w:val="2"/>
          <w:sz w:val="24"/>
          <w:szCs w:val="24"/>
          <w:lang w:eastAsia="en-US"/>
          <w14:ligatures w14:val="standardContextual"/>
        </w:rPr>
        <w:lastRenderedPageBreak/>
        <w:t xml:space="preserve">the THRIVE approach, firstly discussing the vulnerability of the victim involved in the incident which may have resulted in them coming to harm. It will focus on the risk involved in this incident which could result in further harm coming to the victim, and what action was taken to negate this. This essay will discuss what actions were taken to investigate the crime involved in this incident and what steps were taken to gather the necessary evidence. It will then discuss the engagement of the victim and what support was offered to them to keep the victim engaged from multiple partner agencies. This essay will include discussion on social contexts and cultural issues, such as substance misuse. I will then critically analyse the approach that I took during this investigation and explore what worked when supporting the victim involved and investigating this crime. </w:t>
      </w:r>
    </w:p>
    <w:p w14:paraId="722E3028"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The incident that will be discussed in this essay was a domestic incident. It involved a victim and her partner. The victim was a female who had reported to the police that she had been assaulted by her partner who had then gone on to cause damage to the front door of her address. The assault involved the victim being pushed and kicked by her partner after being verbally abused. Upon police arrival to this incident, the victim was present and gave an initial disclosure of the circumstances of the incident. The suspect had left the scene prior to police arrival. </w:t>
      </w:r>
    </w:p>
    <w:p w14:paraId="70FA552E"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The first step taken in this incident was to identify the victim’s vulnerabilities. The first vulnerability that was identified by carrying out a background check on the victim was that she was a repeat victim of domestic abuse. A repeat victim can be defined as someone who has experienced “repeated criminal victimization” (Nicholas et al., 2011). This victimisation can be a result of the same crime type, or different. Previous research has proven that some individuals are vulnerable to repeat victimisation and that “…those who have experienced one trauma are at heightened risk of additional subsequent traumatic incidents” (Graham-Kevan et al., 2015). Furthermore, personal crimes, such as violent crimes, are suggested to have “…the highest rates of offences for repeat victimisation” (Graham-Kevan et al., 2015). Victims of personal crimes may experience more negative effects than other crime types and they may experience them for longer. These negative effects can include “psychological distress, risky lifestyles, and substance use” (Geurts et al., 2021). These effects can place victims at higher risk of revictimization. </w:t>
      </w:r>
    </w:p>
    <w:p w14:paraId="4EA2C038"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lastRenderedPageBreak/>
        <w:t xml:space="preserve">Victims of domestic abuse are known to be at high risk of revictimization. Previous research has provided the statistic that more than two-thirds of female domestic abuse victims are revictimized within a year (Kuijpers et al., 2021). A study of the link between domestic abuse and repeat victimisation discovered that this link can be explained by relationship types, which could therefore place victims at higher risk of revictimization (Kuijpers et al., 2021). This study presented the theory that a relationship with an avoidant attachment style can increase the risk of physical and psychological domestic abuse (Kuijpers et al., 2021). If this relationship style is a result of domestic abuse, then it may place the victim at higher risk of repeat victimisation. </w:t>
      </w:r>
    </w:p>
    <w:p w14:paraId="54B4FD95"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The second vulnerability that was identified was the victim’s substance misuse. The victim’s history revealed that she was addicted to alcohol and used other substances also. This substance misuse may be the result of previous victimisation. It has previously been proven that being a victim of crime, especially personal crime, can lead to risky substance use (Mehr et al., 2023). Further to this, research conducted in 2021 by the Office of National Statistics discovered that victims of violent crime are more than twice as likely to use drugs (Office of National Statistics, 2022). The use of alcohol or drugs may be a coping mechanism for victims of crime, but this can clearly place the victim at a higher risk of further victimisation. In addition to this, substance misuse can cause victims to find it more difficult to protect themselves or they may feel embarrassed and therefore restrain from disclosing the abuse they are subjected to due to fear they may not be believed (Living without abuse, 2025). </w:t>
      </w:r>
    </w:p>
    <w:p w14:paraId="3E7123C8"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Once these vulnerabilities had been established, it was then possible to assess the risk of harm to the victim. This victim was at high risk of further harm and victimisation. Therefore, my next step was to safeguard and support the victim. I did this by gathering all available evidence. I conducted enquiries which involved obtaining a victim statement, witness statement, photos of the damage caused, body worn video of the victim’s disclosure, and CCTV enquiries. This evidence enabled me to search for the suspect and arrest him. I could then put all the evidence to the suspect in an interview to question him on it. Arresting the suspect and taking him to custody immediately allowed me to safeguard the victim from the suspect short term as it prevented any sudden escalation. </w:t>
      </w:r>
    </w:p>
    <w:p w14:paraId="157683A7"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lastRenderedPageBreak/>
        <w:t>Domestic abuse can escalate gradually, but it can also escalate very suddenly, for example it can escalate from verbal threats to physical violence quickly. Some researchers have explained this as a suspect’s method to exert more power over a victim (</w:t>
      </w:r>
      <w:proofErr w:type="spellStart"/>
      <w:r w:rsidRPr="00DD2582">
        <w:rPr>
          <w:rFonts w:eastAsia="Aptos"/>
          <w:color w:val="auto"/>
          <w:kern w:val="2"/>
          <w:sz w:val="24"/>
          <w:szCs w:val="24"/>
          <w:lang w:eastAsia="en-US"/>
          <w14:ligatures w14:val="standardContextual"/>
        </w:rPr>
        <w:t>Kippert</w:t>
      </w:r>
      <w:proofErr w:type="spellEnd"/>
      <w:r w:rsidRPr="00DD2582">
        <w:rPr>
          <w:rFonts w:eastAsia="Aptos"/>
          <w:color w:val="auto"/>
          <w:kern w:val="2"/>
          <w:sz w:val="24"/>
          <w:szCs w:val="24"/>
          <w:lang w:eastAsia="en-US"/>
          <w14:ligatures w14:val="standardContextual"/>
        </w:rPr>
        <w:t xml:space="preserve">, 2020). This risk of escalation is the reason that a period of separation is necessary in any domestic incident. In this incident, the suspect had left the scene and so a period of separation was already underway. However, it is important to take into consideration the history in the relationship. The victim and suspect involved in this incident had a history of domestic abuse. Therefore, there was a high risk that, should the suspect return, then escalation would take place. The decision to arrest was necessary to ensure the safety of the victim. </w:t>
      </w:r>
    </w:p>
    <w:p w14:paraId="7EA568E4"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The next stage of the investigation involved collating </w:t>
      </w:r>
      <w:proofErr w:type="gramStart"/>
      <w:r w:rsidRPr="00DD2582">
        <w:rPr>
          <w:rFonts w:eastAsia="Aptos"/>
          <w:color w:val="auto"/>
          <w:kern w:val="2"/>
          <w:sz w:val="24"/>
          <w:szCs w:val="24"/>
          <w:lang w:eastAsia="en-US"/>
          <w14:ligatures w14:val="standardContextual"/>
        </w:rPr>
        <w:t>all of</w:t>
      </w:r>
      <w:proofErr w:type="gramEnd"/>
      <w:r w:rsidRPr="00DD2582">
        <w:rPr>
          <w:rFonts w:eastAsia="Aptos"/>
          <w:color w:val="auto"/>
          <w:kern w:val="2"/>
          <w:sz w:val="24"/>
          <w:szCs w:val="24"/>
          <w:lang w:eastAsia="en-US"/>
          <w14:ligatures w14:val="standardContextual"/>
        </w:rPr>
        <w:t xml:space="preserve"> the evidence that had been gathered and sending it to the CPS for their decision on the case. Whilst this process took place, I applied for bail conditions to be placed on the suspect to prevent any contact between the victim and suspect. During this stage of the investigation, the victim stopped engaging with the police. Many attempts were made to get in touch with the victim, however, she avoided all police contact. The victim has a history of withdrawing her support in instances of domestic abuse, and this followed the pattern. Therefore, an evidence-led prosecution was then considered. The victim was at high risk of further victimisation and so it was necessary to make all attempts to continue with this case. The evidence gathered during the investigation enabled me to continue with an evidence-led case. </w:t>
      </w:r>
    </w:p>
    <w:p w14:paraId="2AB6011E" w14:textId="517864FD"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The National Vulnerability Action Plan sets out the importance of early evidence gathering and evidence led prosecutions (NPCC, 2020). It states the importance of obtaining all evidence available, especially when the victim is vulnerable, so that the case does not have to rely on victim testimony (NPCC, 2020). In this case, all evidence had been obtained </w:t>
      </w:r>
      <w:r w:rsidRPr="00DD2582">
        <w:rPr>
          <w:rFonts w:eastAsia="Aptos"/>
          <w:color w:val="auto"/>
          <w:kern w:val="2"/>
          <w:sz w:val="24"/>
          <w:szCs w:val="24"/>
          <w:lang w:eastAsia="en-US"/>
          <w14:ligatures w14:val="standardContextual"/>
        </w:rPr>
        <w:t>early in the</w:t>
      </w:r>
      <w:r w:rsidRPr="00DD2582">
        <w:rPr>
          <w:rFonts w:eastAsia="Aptos"/>
          <w:color w:val="auto"/>
          <w:kern w:val="2"/>
          <w:sz w:val="24"/>
          <w:szCs w:val="24"/>
          <w:lang w:eastAsia="en-US"/>
          <w14:ligatures w14:val="standardContextual"/>
        </w:rPr>
        <w:t xml:space="preserve"> investigation. The account from the witness and the CCTV both placed the suspect at the scene with the victim and confirmed that an altercation had occurred. This enabled the possibility of an evidence-led prosecution which was then taken to court by decision of the CPS. These enquiries in the investigation therefore created the opportunity of positive outcome in this case to prevent any further harm coming to the victim. </w:t>
      </w:r>
    </w:p>
    <w:p w14:paraId="2355B358"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lastRenderedPageBreak/>
        <w:t xml:space="preserve">As explained throughout this essay, the victim involved in this incident was vulnerable and at high risk of further victimisation. The victim was a repeat victim of domestic abuse and struggled with substance misuse. It was necessary to ensure that the victim received support following this incident. The victim insisted that she did not need any further support than what she was already receiving. Regardless, I submitted a public protection notification which set out the victim’s vulnerabilities and the circumstances of her victimisation so that this information could be shared with partner agencies to initiate a multi-agency response. This would aid in ensuring the safety and well-being of the victim. </w:t>
      </w:r>
    </w:p>
    <w:p w14:paraId="29CDE979"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In this instance, the multi-agency response was crucial in enabling me to ensure the safety and well-being of the victim. As the victim stopped engaging with police, I was then unable to ensure the safety and well-being of the victim myself and to also ensure that the bail conditions put in place were being abided by. As a result, I contacted the social worker and midwife who I knew were supporting the victim. They confirmed to me that the victim had not changed her mobile number or address which confirmed that the victim was avoiding contact. I therefore relied on the social worker to update me on the victim’s safety and the midwife to update me on the victim’s welfare. Further to keeping me updated, this multi-agency response meant that, without police contact, the victim would still receive support which was independent of the police and ongoing passed the criminal investigation. </w:t>
      </w:r>
    </w:p>
    <w:p w14:paraId="5B828AC4"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In reflection, this investigation was successful as all evidence available was gathered in a sufficient timeframe which enabled the case to be heard in court and positive action to be carried out. The victim’s vulnerabilities were recognised which allowed the risk to be assessed correctly and the response to be adequate to that risk. However, it was not successful in that the victim withdrew her support in the case. Contact with the victim was maintained for as long as she made possible, however, this was clearly not enough. The victim received contact from the officer in the case, witness care, and victim focus. Most of this contact was carried out via mobile. In person contact may have been more beneficial in this case to keep the victim on board. It may have also been beneficial to arrange a joint visit to discuss the case with the officer in the case and the victim’s social worker. The social worker was someone who was known to the victim prior to this incident and so the victim may have felt more comfortable to engage </w:t>
      </w:r>
      <w:r w:rsidRPr="00DD2582">
        <w:rPr>
          <w:rFonts w:eastAsia="Aptos"/>
          <w:color w:val="auto"/>
          <w:kern w:val="2"/>
          <w:sz w:val="24"/>
          <w:szCs w:val="24"/>
          <w:lang w:eastAsia="en-US"/>
          <w14:ligatures w14:val="standardContextual"/>
        </w:rPr>
        <w:lastRenderedPageBreak/>
        <w:t xml:space="preserve">and continue her support. A victim’s support is important in a criminal case, not only for evidential purposes, but also for the victim to feel in control. </w:t>
      </w:r>
    </w:p>
    <w:p w14:paraId="3A1269CE" w14:textId="7AA4D565" w:rsidR="00DD2582" w:rsidRPr="00DD2582" w:rsidRDefault="00DD2582" w:rsidP="00DD2582">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Word count: 191</w:t>
      </w:r>
      <w:r>
        <w:rPr>
          <w:rFonts w:eastAsia="Aptos"/>
          <w:color w:val="auto"/>
          <w:kern w:val="2"/>
          <w:sz w:val="24"/>
          <w:szCs w:val="24"/>
          <w:lang w:eastAsia="en-US"/>
          <w14:ligatures w14:val="standardContextual"/>
        </w:rPr>
        <w:t>0</w:t>
      </w:r>
      <w:r w:rsidRPr="00DD2582">
        <w:rPr>
          <w:rFonts w:eastAsia="Aptos"/>
          <w:color w:val="auto"/>
          <w:kern w:val="2"/>
          <w:sz w:val="24"/>
          <w:szCs w:val="24"/>
          <w:lang w:eastAsia="en-US"/>
          <w14:ligatures w14:val="standardContextual"/>
        </w:rPr>
        <w:t xml:space="preserve">. </w:t>
      </w:r>
    </w:p>
    <w:p w14:paraId="06491356" w14:textId="3815DDF0" w:rsidR="00A221AB" w:rsidRDefault="00A221AB" w:rsidP="00211695">
      <w:pPr>
        <w:overflowPunct/>
        <w:autoSpaceDE/>
        <w:autoSpaceDN/>
        <w:adjustRightInd/>
        <w:textAlignment w:val="auto"/>
        <w:rPr>
          <w:b/>
          <w:bCs/>
          <w:sz w:val="24"/>
          <w:szCs w:val="24"/>
        </w:rPr>
      </w:pP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00B72F4B" w14:textId="77777777" w:rsidR="00DD2582" w:rsidRDefault="00DD2582" w:rsidP="00211695">
      <w:pPr>
        <w:overflowPunct/>
        <w:autoSpaceDE/>
        <w:autoSpaceDN/>
        <w:adjustRightInd/>
        <w:textAlignment w:val="auto"/>
        <w:rPr>
          <w:b/>
          <w:bCs/>
          <w:sz w:val="24"/>
          <w:szCs w:val="24"/>
        </w:rPr>
      </w:pPr>
    </w:p>
    <w:p w14:paraId="600FD5B9" w14:textId="77777777" w:rsidR="00DD2582" w:rsidRDefault="00DD2582" w:rsidP="00211695">
      <w:pPr>
        <w:overflowPunct/>
        <w:autoSpaceDE/>
        <w:autoSpaceDN/>
        <w:adjustRightInd/>
        <w:textAlignment w:val="auto"/>
        <w:rPr>
          <w:b/>
          <w:bCs/>
          <w:sz w:val="24"/>
          <w:szCs w:val="24"/>
        </w:rPr>
      </w:pPr>
    </w:p>
    <w:p w14:paraId="07658577" w14:textId="77777777" w:rsidR="00DD2582" w:rsidRDefault="00DD2582" w:rsidP="00211695">
      <w:pPr>
        <w:overflowPunct/>
        <w:autoSpaceDE/>
        <w:autoSpaceDN/>
        <w:adjustRightInd/>
        <w:textAlignment w:val="auto"/>
        <w:rPr>
          <w:b/>
          <w:bCs/>
          <w:sz w:val="24"/>
          <w:szCs w:val="24"/>
        </w:rPr>
      </w:pPr>
    </w:p>
    <w:p w14:paraId="7811208C" w14:textId="77777777" w:rsidR="00DD2582" w:rsidRDefault="00DD2582" w:rsidP="00211695">
      <w:pPr>
        <w:overflowPunct/>
        <w:autoSpaceDE/>
        <w:autoSpaceDN/>
        <w:adjustRightInd/>
        <w:textAlignment w:val="auto"/>
        <w:rPr>
          <w:b/>
          <w:bCs/>
          <w:sz w:val="24"/>
          <w:szCs w:val="24"/>
        </w:rPr>
      </w:pPr>
    </w:p>
    <w:p w14:paraId="49EF9B40" w14:textId="77777777" w:rsidR="00DD2582" w:rsidRDefault="00DD2582" w:rsidP="00211695">
      <w:pPr>
        <w:overflowPunct/>
        <w:autoSpaceDE/>
        <w:autoSpaceDN/>
        <w:adjustRightInd/>
        <w:textAlignment w:val="auto"/>
        <w:rPr>
          <w:b/>
          <w:bCs/>
          <w:sz w:val="24"/>
          <w:szCs w:val="24"/>
        </w:rPr>
      </w:pPr>
    </w:p>
    <w:p w14:paraId="609B0C5C" w14:textId="77777777" w:rsidR="00DD2582" w:rsidRDefault="00DD2582" w:rsidP="00211695">
      <w:pPr>
        <w:overflowPunct/>
        <w:autoSpaceDE/>
        <w:autoSpaceDN/>
        <w:adjustRightInd/>
        <w:textAlignment w:val="auto"/>
        <w:rPr>
          <w:b/>
          <w:bCs/>
          <w:sz w:val="24"/>
          <w:szCs w:val="24"/>
        </w:rPr>
      </w:pPr>
    </w:p>
    <w:p w14:paraId="2F744928" w14:textId="77777777" w:rsidR="00DD2582" w:rsidRDefault="00DD2582" w:rsidP="00211695">
      <w:pPr>
        <w:overflowPunct/>
        <w:autoSpaceDE/>
        <w:autoSpaceDN/>
        <w:adjustRightInd/>
        <w:textAlignment w:val="auto"/>
        <w:rPr>
          <w:b/>
          <w:bCs/>
          <w:sz w:val="24"/>
          <w:szCs w:val="24"/>
        </w:rPr>
      </w:pPr>
    </w:p>
    <w:p w14:paraId="4F41822D" w14:textId="77777777" w:rsidR="00DD2582" w:rsidRDefault="00DD2582" w:rsidP="00211695">
      <w:pPr>
        <w:overflowPunct/>
        <w:autoSpaceDE/>
        <w:autoSpaceDN/>
        <w:adjustRightInd/>
        <w:textAlignment w:val="auto"/>
        <w:rPr>
          <w:b/>
          <w:bCs/>
          <w:sz w:val="24"/>
          <w:szCs w:val="24"/>
        </w:rPr>
      </w:pPr>
    </w:p>
    <w:p w14:paraId="6FDAA538" w14:textId="77777777" w:rsidR="00DD2582" w:rsidRDefault="00DD2582" w:rsidP="00211695">
      <w:pPr>
        <w:overflowPunct/>
        <w:autoSpaceDE/>
        <w:autoSpaceDN/>
        <w:adjustRightInd/>
        <w:textAlignment w:val="auto"/>
        <w:rPr>
          <w:b/>
          <w:bCs/>
          <w:sz w:val="24"/>
          <w:szCs w:val="24"/>
        </w:rPr>
      </w:pPr>
    </w:p>
    <w:p w14:paraId="74FCF30E" w14:textId="77777777" w:rsidR="00DD2582" w:rsidRDefault="00DD2582" w:rsidP="00211695">
      <w:pPr>
        <w:overflowPunct/>
        <w:autoSpaceDE/>
        <w:autoSpaceDN/>
        <w:adjustRightInd/>
        <w:textAlignment w:val="auto"/>
        <w:rPr>
          <w:b/>
          <w:bCs/>
          <w:sz w:val="24"/>
          <w:szCs w:val="24"/>
        </w:rPr>
      </w:pPr>
    </w:p>
    <w:p w14:paraId="10D390AB" w14:textId="77777777" w:rsidR="00DD2582" w:rsidRDefault="00DD2582" w:rsidP="00211695">
      <w:pPr>
        <w:overflowPunct/>
        <w:autoSpaceDE/>
        <w:autoSpaceDN/>
        <w:adjustRightInd/>
        <w:textAlignment w:val="auto"/>
        <w:rPr>
          <w:b/>
          <w:bCs/>
          <w:sz w:val="24"/>
          <w:szCs w:val="24"/>
        </w:rPr>
      </w:pPr>
    </w:p>
    <w:p w14:paraId="02EFF22D" w14:textId="77777777" w:rsidR="00DD2582" w:rsidRDefault="00DD2582" w:rsidP="00211695">
      <w:pPr>
        <w:overflowPunct/>
        <w:autoSpaceDE/>
        <w:autoSpaceDN/>
        <w:adjustRightInd/>
        <w:textAlignment w:val="auto"/>
        <w:rPr>
          <w:b/>
          <w:bCs/>
          <w:sz w:val="24"/>
          <w:szCs w:val="24"/>
        </w:rPr>
      </w:pPr>
    </w:p>
    <w:p w14:paraId="562B5E29" w14:textId="77777777" w:rsidR="00DD2582" w:rsidRDefault="00DD2582" w:rsidP="00211695">
      <w:pPr>
        <w:overflowPunct/>
        <w:autoSpaceDE/>
        <w:autoSpaceDN/>
        <w:adjustRightInd/>
        <w:textAlignment w:val="auto"/>
        <w:rPr>
          <w:b/>
          <w:bCs/>
          <w:sz w:val="24"/>
          <w:szCs w:val="24"/>
        </w:rPr>
      </w:pPr>
    </w:p>
    <w:p w14:paraId="14C828D9" w14:textId="77777777" w:rsidR="00DD2582" w:rsidRDefault="00DD2582" w:rsidP="00211695">
      <w:pPr>
        <w:overflowPunct/>
        <w:autoSpaceDE/>
        <w:autoSpaceDN/>
        <w:adjustRightInd/>
        <w:textAlignment w:val="auto"/>
        <w:rPr>
          <w:b/>
          <w:bCs/>
          <w:sz w:val="24"/>
          <w:szCs w:val="24"/>
        </w:rPr>
      </w:pPr>
    </w:p>
    <w:p w14:paraId="1E8873C1" w14:textId="77777777" w:rsidR="00DD2582" w:rsidRDefault="00DD2582" w:rsidP="00211695">
      <w:pPr>
        <w:overflowPunct/>
        <w:autoSpaceDE/>
        <w:autoSpaceDN/>
        <w:adjustRightInd/>
        <w:textAlignment w:val="auto"/>
        <w:rPr>
          <w:b/>
          <w:bCs/>
          <w:sz w:val="24"/>
          <w:szCs w:val="24"/>
        </w:rPr>
      </w:pPr>
    </w:p>
    <w:p w14:paraId="2C6F234D" w14:textId="77777777" w:rsidR="00DD2582" w:rsidRDefault="00DD2582" w:rsidP="00211695">
      <w:pPr>
        <w:overflowPunct/>
        <w:autoSpaceDE/>
        <w:autoSpaceDN/>
        <w:adjustRightInd/>
        <w:textAlignment w:val="auto"/>
        <w:rPr>
          <w:b/>
          <w:bCs/>
          <w:sz w:val="24"/>
          <w:szCs w:val="24"/>
        </w:rPr>
      </w:pPr>
    </w:p>
    <w:p w14:paraId="1D2A0261" w14:textId="77777777" w:rsidR="00DD2582" w:rsidRDefault="00DD2582" w:rsidP="00211695">
      <w:pPr>
        <w:overflowPunct/>
        <w:autoSpaceDE/>
        <w:autoSpaceDN/>
        <w:adjustRightInd/>
        <w:textAlignment w:val="auto"/>
        <w:rPr>
          <w:b/>
          <w:bCs/>
          <w:sz w:val="24"/>
          <w:szCs w:val="24"/>
        </w:rPr>
      </w:pPr>
    </w:p>
    <w:p w14:paraId="65C3E3A7" w14:textId="77777777" w:rsidR="00DD2582" w:rsidRDefault="00DD2582"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6037DD7" w14:textId="77777777" w:rsidR="00DD2582" w:rsidRDefault="00DD2582" w:rsidP="00211695">
      <w:pPr>
        <w:overflowPunct/>
        <w:autoSpaceDE/>
        <w:autoSpaceDN/>
        <w:adjustRightInd/>
        <w:textAlignment w:val="auto"/>
        <w:rPr>
          <w:b/>
          <w:bCs/>
          <w:sz w:val="24"/>
          <w:szCs w:val="24"/>
        </w:rPr>
      </w:pPr>
    </w:p>
    <w:p w14:paraId="34FAC2B0" w14:textId="77777777" w:rsidR="00DD2582" w:rsidRDefault="00DD2582" w:rsidP="00211695">
      <w:pPr>
        <w:overflowPunct/>
        <w:autoSpaceDE/>
        <w:autoSpaceDN/>
        <w:adjustRightInd/>
        <w:textAlignment w:val="auto"/>
        <w:rPr>
          <w:b/>
          <w:bCs/>
          <w:sz w:val="24"/>
          <w:szCs w:val="24"/>
        </w:rPr>
      </w:pPr>
    </w:p>
    <w:p w14:paraId="437285AA" w14:textId="77777777" w:rsidR="00DD2582" w:rsidRDefault="00DD2582" w:rsidP="00211695">
      <w:pPr>
        <w:overflowPunct/>
        <w:autoSpaceDE/>
        <w:autoSpaceDN/>
        <w:adjustRightInd/>
        <w:textAlignment w:val="auto"/>
        <w:rPr>
          <w:b/>
          <w:bCs/>
          <w:sz w:val="24"/>
          <w:szCs w:val="24"/>
        </w:rPr>
      </w:pPr>
    </w:p>
    <w:p w14:paraId="62190ECC" w14:textId="77777777" w:rsidR="00DD2582" w:rsidRDefault="00DD2582" w:rsidP="00211695">
      <w:pPr>
        <w:overflowPunct/>
        <w:autoSpaceDE/>
        <w:autoSpaceDN/>
        <w:adjustRightInd/>
        <w:textAlignment w:val="auto"/>
        <w:rPr>
          <w:b/>
          <w:bCs/>
          <w:sz w:val="24"/>
          <w:szCs w:val="24"/>
        </w:rPr>
      </w:pPr>
    </w:p>
    <w:p w14:paraId="67DA3F66" w14:textId="77777777" w:rsidR="00DD2582" w:rsidRDefault="00DD2582" w:rsidP="00211695">
      <w:pPr>
        <w:overflowPunct/>
        <w:autoSpaceDE/>
        <w:autoSpaceDN/>
        <w:adjustRightInd/>
        <w:textAlignment w:val="auto"/>
        <w:rPr>
          <w:b/>
          <w:bCs/>
          <w:sz w:val="24"/>
          <w:szCs w:val="24"/>
        </w:rPr>
      </w:pPr>
    </w:p>
    <w:p w14:paraId="4E65E773" w14:textId="77777777" w:rsidR="00DD2582" w:rsidRDefault="00DD2582" w:rsidP="00211695">
      <w:pPr>
        <w:overflowPunct/>
        <w:autoSpaceDE/>
        <w:autoSpaceDN/>
        <w:adjustRightInd/>
        <w:textAlignment w:val="auto"/>
        <w:rPr>
          <w:b/>
          <w:bCs/>
          <w:sz w:val="24"/>
          <w:szCs w:val="24"/>
        </w:rPr>
      </w:pPr>
    </w:p>
    <w:p w14:paraId="0CE0548B" w14:textId="77777777" w:rsidR="00DD2582" w:rsidRDefault="00DD2582" w:rsidP="00211695">
      <w:pPr>
        <w:overflowPunct/>
        <w:autoSpaceDE/>
        <w:autoSpaceDN/>
        <w:adjustRightInd/>
        <w:textAlignment w:val="auto"/>
        <w:rPr>
          <w:b/>
          <w:bCs/>
          <w:sz w:val="24"/>
          <w:szCs w:val="24"/>
        </w:rPr>
      </w:pPr>
    </w:p>
    <w:p w14:paraId="5587AD07" w14:textId="77777777" w:rsidR="00DD2582" w:rsidRDefault="00DD2582" w:rsidP="00211695">
      <w:pPr>
        <w:overflowPunct/>
        <w:autoSpaceDE/>
        <w:autoSpaceDN/>
        <w:adjustRightInd/>
        <w:textAlignment w:val="auto"/>
        <w:rPr>
          <w:b/>
          <w:bCs/>
          <w:sz w:val="24"/>
          <w:szCs w:val="24"/>
        </w:rPr>
      </w:pPr>
    </w:p>
    <w:p w14:paraId="63CE2CCF" w14:textId="77777777" w:rsidR="00DD2582" w:rsidRDefault="00DD2582" w:rsidP="00211695">
      <w:pPr>
        <w:overflowPunct/>
        <w:autoSpaceDE/>
        <w:autoSpaceDN/>
        <w:adjustRightInd/>
        <w:textAlignment w:val="auto"/>
        <w:rPr>
          <w:b/>
          <w:bCs/>
          <w:sz w:val="24"/>
          <w:szCs w:val="24"/>
        </w:rPr>
      </w:pPr>
    </w:p>
    <w:p w14:paraId="64E7DB21" w14:textId="77777777" w:rsidR="00DD2582" w:rsidRDefault="00DD2582" w:rsidP="00211695">
      <w:pPr>
        <w:overflowPunct/>
        <w:autoSpaceDE/>
        <w:autoSpaceDN/>
        <w:adjustRightInd/>
        <w:textAlignment w:val="auto"/>
        <w:rPr>
          <w:b/>
          <w:bCs/>
          <w:sz w:val="24"/>
          <w:szCs w:val="24"/>
        </w:rPr>
      </w:pPr>
    </w:p>
    <w:p w14:paraId="647E9AA5" w14:textId="77777777" w:rsidR="00DD2582" w:rsidRDefault="00DD2582" w:rsidP="00211695">
      <w:pPr>
        <w:overflowPunct/>
        <w:autoSpaceDE/>
        <w:autoSpaceDN/>
        <w:adjustRightInd/>
        <w:textAlignment w:val="auto"/>
        <w:rPr>
          <w:b/>
          <w:bCs/>
          <w:sz w:val="24"/>
          <w:szCs w:val="24"/>
        </w:rPr>
      </w:pPr>
    </w:p>
    <w:p w14:paraId="550629ED" w14:textId="77777777" w:rsidR="00DD2582" w:rsidRDefault="00DD2582" w:rsidP="00211695">
      <w:pPr>
        <w:overflowPunct/>
        <w:autoSpaceDE/>
        <w:autoSpaceDN/>
        <w:adjustRightInd/>
        <w:textAlignment w:val="auto"/>
        <w:rPr>
          <w:b/>
          <w:bCs/>
          <w:sz w:val="24"/>
          <w:szCs w:val="24"/>
        </w:rPr>
      </w:pPr>
    </w:p>
    <w:p w14:paraId="0E66C5F7" w14:textId="77777777" w:rsidR="00DD2582" w:rsidRDefault="00DD2582" w:rsidP="00211695">
      <w:pPr>
        <w:overflowPunct/>
        <w:autoSpaceDE/>
        <w:autoSpaceDN/>
        <w:adjustRightInd/>
        <w:textAlignment w:val="auto"/>
        <w:rPr>
          <w:b/>
          <w:bCs/>
          <w:sz w:val="24"/>
          <w:szCs w:val="24"/>
        </w:rPr>
      </w:pPr>
    </w:p>
    <w:p w14:paraId="09B1856D" w14:textId="77777777" w:rsidR="00DD2582" w:rsidRDefault="00DD2582" w:rsidP="00211695">
      <w:pPr>
        <w:overflowPunct/>
        <w:autoSpaceDE/>
        <w:autoSpaceDN/>
        <w:adjustRightInd/>
        <w:textAlignment w:val="auto"/>
        <w:rPr>
          <w:b/>
          <w:bCs/>
          <w:sz w:val="24"/>
          <w:szCs w:val="24"/>
        </w:rPr>
      </w:pPr>
    </w:p>
    <w:p w14:paraId="2992E770" w14:textId="77777777" w:rsidR="00DD2582" w:rsidRDefault="00DD2582" w:rsidP="00211695">
      <w:pPr>
        <w:overflowPunct/>
        <w:autoSpaceDE/>
        <w:autoSpaceDN/>
        <w:adjustRightInd/>
        <w:textAlignment w:val="auto"/>
        <w:rPr>
          <w:b/>
          <w:bCs/>
          <w:sz w:val="24"/>
          <w:szCs w:val="24"/>
        </w:rPr>
      </w:pPr>
    </w:p>
    <w:p w14:paraId="4CEA44AE" w14:textId="77777777" w:rsidR="00DD2582" w:rsidRDefault="00DD2582" w:rsidP="00211695">
      <w:pPr>
        <w:overflowPunct/>
        <w:autoSpaceDE/>
        <w:autoSpaceDN/>
        <w:adjustRightInd/>
        <w:textAlignment w:val="auto"/>
        <w:rPr>
          <w:b/>
          <w:bCs/>
          <w:sz w:val="24"/>
          <w:szCs w:val="24"/>
        </w:rPr>
      </w:pPr>
    </w:p>
    <w:p w14:paraId="756B4D7C" w14:textId="77777777" w:rsidR="00DD2582" w:rsidRDefault="00DD2582" w:rsidP="00211695">
      <w:pPr>
        <w:overflowPunct/>
        <w:autoSpaceDE/>
        <w:autoSpaceDN/>
        <w:adjustRightInd/>
        <w:textAlignment w:val="auto"/>
        <w:rPr>
          <w:b/>
          <w:bCs/>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DFDACA8"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r w:rsidR="00387CB6">
              <w:rPr>
                <w:rFonts w:eastAsia="Arial"/>
                <w:color w:val="000000" w:themeColor="text1"/>
                <w:sz w:val="24"/>
                <w:szCs w:val="24"/>
              </w:rPr>
              <w:t xml:space="preserve"> </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145341DF" w14:textId="5B6C2468" w:rsidR="00804F25"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288D3F9B" w14:textId="77777777" w:rsidR="009D0EB6" w:rsidRDefault="009D0EB6" w:rsidP="009370AE">
      <w:pPr>
        <w:ind w:right="237"/>
        <w:jc w:val="both"/>
        <w:rPr>
          <w:b/>
          <w:bCs/>
          <w:color w:val="000000" w:themeColor="text1"/>
          <w:sz w:val="28"/>
          <w:szCs w:val="28"/>
        </w:rPr>
      </w:pPr>
    </w:p>
    <w:p w14:paraId="4418DF9E"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This essay will discuss a serious and complex investigation which I conducted, evaluating the processes that were employed and the fast-track actions which I took. It will discuss the support that was provided to the victims and witnesses and the management of my own personal values and attitudes in relation to this. This essay will discuss an investigation of a volume crime which is the theft of a motor vehicle. Vehicle theft is a significant concern within the United Kingdom and this crime continues to increase each year due to the development of technology that can assist in this crime (Vehicle Score, 2023). </w:t>
      </w:r>
    </w:p>
    <w:p w14:paraId="09477BC8"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This investigation began with a report of a stolen vehicle. A victim reported that overnight, her vehicle had been stolen from the street that it was parked on. She still had the key in her possession so was unaware of how the vehicle was taken. This investigation began with as simple, with standard initial enquiries being completed, also known as golden hour enquiries. Golden hour enquiries are undertaken during the initial attendance to the incident. Undertaken them can determine whether a suspect is arrested and whether stolen property is recovered through early </w:t>
      </w:r>
      <w:r w:rsidRPr="00DD2582">
        <w:rPr>
          <w:rFonts w:eastAsia="Aptos"/>
          <w:color w:val="auto"/>
          <w:kern w:val="2"/>
          <w:sz w:val="24"/>
          <w:szCs w:val="24"/>
          <w:lang w:eastAsia="en-US"/>
          <w14:ligatures w14:val="standardContextual"/>
        </w:rPr>
        <w:lastRenderedPageBreak/>
        <w:t xml:space="preserve">identification (College of Policing, 2023). These enquiries must be conducted </w:t>
      </w:r>
      <w:proofErr w:type="gramStart"/>
      <w:r w:rsidRPr="00DD2582">
        <w:rPr>
          <w:rFonts w:eastAsia="Aptos"/>
          <w:color w:val="auto"/>
          <w:kern w:val="2"/>
          <w:sz w:val="24"/>
          <w:szCs w:val="24"/>
          <w:lang w:eastAsia="en-US"/>
          <w14:ligatures w14:val="standardContextual"/>
        </w:rPr>
        <w:t>early on in the</w:t>
      </w:r>
      <w:proofErr w:type="gramEnd"/>
      <w:r w:rsidRPr="00DD2582">
        <w:rPr>
          <w:rFonts w:eastAsia="Aptos"/>
          <w:color w:val="auto"/>
          <w:kern w:val="2"/>
          <w:sz w:val="24"/>
          <w:szCs w:val="24"/>
          <w:lang w:eastAsia="en-US"/>
          <w14:ligatures w14:val="standardContextual"/>
        </w:rPr>
        <w:t xml:space="preserve"> investigation to prevent any evidence being lost (HMICFRS, 2023). </w:t>
      </w:r>
    </w:p>
    <w:p w14:paraId="166450CB"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My initial response to this report was to attend the victim’s address and obtain a statement from her so that I could identify the vehicle that was taken, the exact location it was taken from, who had access to the vehicle, and the timeframe in which it was taken. The victim had a ring doorbell camera which captured the vehicle up until 23:30 hours, cut out for one hour, and then showed that the vehicle was gone. The victim did not know why the footage cut out. My next step was to then conduct CCTV enquiries in the relevant geographical area. Unfortunately, CCTV enquiries were negative. However, conducting house-to-house enquiries that I conducted on the street that the vehicle was taken from provided me with ring doorbell footage. This footage showed the stolen vehicle being driven away from the incident location, providing me with an exact time it was taken. This allowed me to conduct more specific CCTV enquiries in a wider geographical area, but these were unfortunately still unsuccessful in identifying a suspect. </w:t>
      </w:r>
    </w:p>
    <w:p w14:paraId="217C4ADF"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I then conducted enquiries in relation to ANPR. ANPR stands for Automatic Number Plate Recognition and is technology which is used to “help detect, deter and disrupt criminal activity at a local, force, regional and national level.” (Police.UK, 2025). The results of this enquiry provided me with a direction of travel from the incident location but nothing further. This information suggested that the registration plate on the vehicle had been changed at some point prior to the vehicle passing another ANPR camera. As a result, I ensured that the vehicles VIN number was noted as stolen on police systems so that, should the vehicle be discovered by police, they would be aware. </w:t>
      </w:r>
    </w:p>
    <w:p w14:paraId="38511FA9"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Shortly after the initial enquiries had been carried out, police officers were conducting arrest enquiries for a high priority suspect for a completely unrelated incident. Whilst doing so, they came across this suspect in a vehicle. They pursued the vehicle which began to drive dangerously. The suspect then crashed his vehicle into multiple cars which were driving on the road, before making off. Police officers involved in this pursuit were able to identify the suspect driving the vehicle and identify the vehicle that the suspect was driving as the stolen vehicle from the incident I was dealing with via the VIN number. This incident resulted in no injuries being caused, however, there were now multiple victims involved and a suspect who had not yet been arrested. </w:t>
      </w:r>
    </w:p>
    <w:p w14:paraId="1B385749"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lastRenderedPageBreak/>
        <w:t xml:space="preserve">Arrest enquiries continued for the suspect due to him being a high priority suspect and continuing to commit dangerous offences. This incident created a new set of golden hour enquiries that needed to be conducted. Whilst conducting CCTV enquiries in the new incident location, I prioritised contacting the victims to check on their wellbeing and gather new evidence. This appeared to be difficult at the beginning as the victims involved in this incident were not willing to engage with police. They voiced their anger about a dangerous criminal being out in society and felt that their concerns were not validated at the scene of this incident. They criticised and blamed the police for this suspect being able to commit this crime and therefore felt that it was pointless to engage with police. This criticism felt personal to me because, as a police officer, our priority is to prevent crime and safeguard victims. It was important to recognise how this was affecting me to put these feelings aside and try and engage with these victims. </w:t>
      </w:r>
    </w:p>
    <w:p w14:paraId="5B794A88"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I made it my priority to contact these victims regularly to support them and assure them that the police were taking this crime seriously and making all possible efforts to arrest this suspect and prevent any further incidences. Victim contact was essential in this instance as, the barrier between these victims supporting the investigation seemed to be trust. When discussing how to achieve better outcomes for victims, the HMICFRS have said that victims of crime have the “right to receive regular updates” and that we must focus on quality over quantity when it comes to this contact (2025). This led me to focus on the quality of the contact that I was having with these victims, keeping them up to date on every step of our investigation and our intentions moving forward. This victim contact proved to be successful as it encouraged these victims to provide statements and support police action. This engagement allowed me to offer them support throughout the investigation. </w:t>
      </w:r>
    </w:p>
    <w:p w14:paraId="572D3A64"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This new incident not only provided me with the opportunity to gather new evidence from victims and witnesses, but also forensically. The vehicle involved was recovered for forensic testing. Forensic evidence is an important part of the investigation where the opportunity presents as it has been known to be “associated with more guilty verdicts” as well as “higher confidence in guilty verdicts” (Ling et al., 2021). Therefore, forensic evidence creates a greater chance of a positive outcome by providing “conclusive clues” that help to identify suspects (Amber B, 2024). This proved to be the case in this investigation, as forensic testing on the vehicle led to the identification of two further suspects as it placed them within the vehicle.  </w:t>
      </w:r>
    </w:p>
    <w:p w14:paraId="7D25F93F"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lastRenderedPageBreak/>
        <w:t xml:space="preserve">The identification of two further suspects allowed me to gain a clearer evidential picture of the incident. Two of these suspects were known to police as being part of the same organised crime gang who were stealing cars and then selling them on. The intelligence that was already known by police enabled me to investigate this crime as a premeditated offence and suggested what the motive behind the offence was. I was then able to create further intelligence on this organised crime gang throughout my investigation. Intelligence plays a crucial role in policing as it can help us to prevent crime from occurring in the first place (STA Law Firm, 2020). It allows police to prioritise our actions when tackling high risk threats to disrupt serious organised crime (National Crime Agency, 2025). </w:t>
      </w:r>
    </w:p>
    <w:p w14:paraId="34D7EDCF"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The intelligence that was gathered as part of my investigation was the result of data that was obtained via a phone download of a mobile phone which was discovered upon recovery of the stolen vehicle. As part of this phone download, I was able to attribute the phone to a particular suspect and the contents of the data suggested that this person was selling a controlled substance. I was then able to submit this intelligence for any ongoing or future investigations that may occur into this suspect which could provide further evidence to such investigations. </w:t>
      </w:r>
    </w:p>
    <w:p w14:paraId="34BA8A6A" w14:textId="3E34BCB6"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Once the suspects involved in this incident had been identified, the next stage of my investigation was to collate all the evidence that had been gathered and send it to the Crown Prosecution Service for their decision on the case. The Crown Prosecution Service then requested victim personal statements from the victims involved in these two incidences. Victim personal statements had been discussed initially with all these victims. However, in reflection, I believe that my personal attitudes had prevented me from approaching this topic again with these victims. As a police officer, we deal with serious and complex crime each day. Most commonly, we deal with domestic incidences in which vulnerable people are assaulted. We are exposed to repeated trauma which can have a serious effect on us, including our mental health (Kent Police Federation, 2019). This impact led me to believe that these incidences had less of an effect on the victims than a personal crime would. It is important to remember that crime can have a range of effects on victims, not just emotional effects. It can have effect a victim’s “…physical health, employment, finances…” amongst other things (</w:t>
      </w:r>
      <w:proofErr w:type="spellStart"/>
      <w:r w:rsidRPr="00DD2582">
        <w:rPr>
          <w:rFonts w:eastAsia="Aptos"/>
          <w:color w:val="auto"/>
          <w:kern w:val="2"/>
          <w:sz w:val="24"/>
          <w:szCs w:val="24"/>
          <w:lang w:eastAsia="en-US"/>
          <w14:ligatures w14:val="standardContextual"/>
        </w:rPr>
        <w:t>Dinisman</w:t>
      </w:r>
      <w:proofErr w:type="spellEnd"/>
      <w:r w:rsidRPr="00DD2582">
        <w:rPr>
          <w:rFonts w:eastAsia="Aptos"/>
          <w:color w:val="auto"/>
          <w:kern w:val="2"/>
          <w:sz w:val="24"/>
          <w:szCs w:val="24"/>
          <w:lang w:eastAsia="en-US"/>
          <w14:ligatures w14:val="standardContextual"/>
        </w:rPr>
        <w:t xml:space="preserve"> and Moroz, 2017). </w:t>
      </w:r>
    </w:p>
    <w:p w14:paraId="735CCAB6" w14:textId="77777777"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lastRenderedPageBreak/>
        <w:t xml:space="preserve">Victim personal statements are important as they give victims an opportunity to voice how they have been affected by a crime, whether it be “physically, emotionally, psychologically, financially or in any other way.” (Victim care Merseyside, 2020). When I revisited the topic of victim personal statements with the victims involved and took the time to meaningfully explain the process and impact of them, they informed me that they wished to provide them. Some victims raised how this crime had financially impacted them, as they could not afford to repair their car. Some victims informed me how it had impacted their daily life, as they no longer had a vehicle in which they could use for their family. A common theme amongst these victims was their emotions during and after this incident. They explained how scared they were being hit by a car being driven so dangerously, with some victims concerned for their family members who were in their vehicle at the time. They explained to me how this had affected them long term, with feelings of nerve each time they now drive somewhere. It is crucial to remember that crime effects each person in different ways, and what may seem like a less risky incident to us, can have a serious negative impact on a victim’s life. </w:t>
      </w:r>
    </w:p>
    <w:p w14:paraId="4110E0AA" w14:textId="62C0FE52" w:rsidR="00804F25"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This investigation is one that began as a simple investigation, but as time went on it became serious and complex. The evidence in this investigation led to the involvement of a high-risk suspect, along with multiple other suspects, a further incident and repeated initial enquiries, and further victims. Following the evidence in this investigation led to the identification of multiple suspects and concrete evidence linking them to the offence. This investigation had a lack of evidence to prove the initial offence of theft of a motor vehicle, however, following the evidence enabled me to be able to prove the offence of taking a motor vehicle without consent for multiple suspects. It is important to investigate each crime as far as the evidence allows, even when there are difficulties in proving an initial offence, as it creates opportunities for other positive outcomes. Following the evidence also allows for the creation of intelligence, which can benefit future investigations and the prevention of crime. </w:t>
      </w:r>
    </w:p>
    <w:p w14:paraId="3555395C" w14:textId="72E59B9E" w:rsidR="00DD2582" w:rsidRPr="00DD2582" w:rsidRDefault="00DD2582" w:rsidP="00DD2582">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DD2582">
        <w:rPr>
          <w:rFonts w:eastAsia="Aptos"/>
          <w:color w:val="auto"/>
          <w:kern w:val="2"/>
          <w:sz w:val="24"/>
          <w:szCs w:val="24"/>
          <w:lang w:eastAsia="en-US"/>
          <w14:ligatures w14:val="standardContextual"/>
        </w:rPr>
        <w:t xml:space="preserve">Word count: 1884. </w:t>
      </w:r>
    </w:p>
    <w:p w14:paraId="553DF807" w14:textId="77777777" w:rsidR="00804F25" w:rsidRDefault="00804F25" w:rsidP="009370AE">
      <w:pPr>
        <w:ind w:right="237"/>
        <w:jc w:val="both"/>
        <w:rPr>
          <w:b/>
          <w:bCs/>
          <w:color w:val="000000" w:themeColor="text1"/>
          <w:sz w:val="28"/>
          <w:szCs w:val="28"/>
        </w:rPr>
      </w:pPr>
    </w:p>
    <w:p w14:paraId="694B1E60" w14:textId="77777777" w:rsidR="00DD2582" w:rsidRDefault="00DD2582" w:rsidP="009370AE">
      <w:pPr>
        <w:ind w:right="237"/>
        <w:jc w:val="both"/>
        <w:rPr>
          <w:b/>
          <w:bCs/>
          <w:color w:val="000000" w:themeColor="text1"/>
          <w:sz w:val="28"/>
          <w:szCs w:val="28"/>
        </w:rPr>
      </w:pPr>
    </w:p>
    <w:p w14:paraId="5441F8DC" w14:textId="77777777" w:rsidR="00DD2582" w:rsidRDefault="00DD2582" w:rsidP="009370AE">
      <w:pPr>
        <w:ind w:right="237"/>
        <w:jc w:val="both"/>
        <w:rPr>
          <w:b/>
          <w:bCs/>
          <w:color w:val="000000" w:themeColor="text1"/>
          <w:sz w:val="28"/>
          <w:szCs w:val="28"/>
        </w:rPr>
      </w:pPr>
    </w:p>
    <w:p w14:paraId="06096AA2" w14:textId="77777777" w:rsidR="00DD2582" w:rsidRDefault="00DD2582" w:rsidP="009370AE">
      <w:pPr>
        <w:ind w:right="237"/>
        <w:jc w:val="both"/>
        <w:rPr>
          <w:b/>
          <w:bCs/>
          <w:color w:val="000000" w:themeColor="text1"/>
          <w:sz w:val="28"/>
          <w:szCs w:val="28"/>
        </w:rPr>
      </w:pPr>
    </w:p>
    <w:p w14:paraId="558606B5" w14:textId="77777777" w:rsidR="00DD2582" w:rsidRDefault="00DD2582"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ADEFAE5" w14:textId="668964C4" w:rsidR="0FF883D4" w:rsidRDefault="5CE196A1" w:rsidP="5CE196A1">
      <w:r w:rsidRPr="5CE196A1">
        <w:rPr>
          <w:rFonts w:eastAsia="Arial"/>
          <w:b/>
          <w:bCs/>
          <w:color w:val="000000" w:themeColor="text1"/>
          <w:sz w:val="24"/>
          <w:szCs w:val="24"/>
        </w:rPr>
        <w:t xml:space="preserve">Authentication signature: </w:t>
      </w:r>
      <w:proofErr w:type="spellStart"/>
      <w:proofErr w:type="gramStart"/>
      <w:r w:rsidR="00DD2582">
        <w:rPr>
          <w:rFonts w:eastAsia="Arial"/>
          <w:b/>
          <w:bCs/>
          <w:color w:val="000000" w:themeColor="text1"/>
          <w:sz w:val="24"/>
          <w:szCs w:val="24"/>
        </w:rPr>
        <w:t>F.Godfrey</w:t>
      </w:r>
      <w:proofErr w:type="spellEnd"/>
      <w:proofErr w:type="gramEnd"/>
    </w:p>
    <w:p w14:paraId="3E37DF86" w14:textId="687D12EF" w:rsidR="0FF883D4" w:rsidRDefault="5CE196A1" w:rsidP="5CE196A1">
      <w:r w:rsidRPr="5CE196A1">
        <w:rPr>
          <w:rFonts w:eastAsia="Arial"/>
          <w:b/>
          <w:bCs/>
          <w:color w:val="000000" w:themeColor="text1"/>
          <w:sz w:val="24"/>
          <w:szCs w:val="24"/>
        </w:rPr>
        <w:t xml:space="preserve"> </w:t>
      </w:r>
    </w:p>
    <w:p w14:paraId="543EE689" w14:textId="237297E5"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roofErr w:type="spellStart"/>
      <w:proofErr w:type="gramStart"/>
      <w:r w:rsidR="00DD2582">
        <w:rPr>
          <w:rFonts w:eastAsia="Arial"/>
          <w:b/>
          <w:bCs/>
          <w:color w:val="000000" w:themeColor="text1"/>
          <w:sz w:val="24"/>
          <w:szCs w:val="24"/>
        </w:rPr>
        <w:t>F.Godfrey</w:t>
      </w:r>
      <w:proofErr w:type="spellEnd"/>
      <w:proofErr w:type="gramEnd"/>
    </w:p>
    <w:p w14:paraId="09D0056A" w14:textId="12CDB5C7" w:rsidR="0FF883D4" w:rsidRDefault="5CE196A1" w:rsidP="5CE196A1">
      <w:r w:rsidRPr="5CE196A1">
        <w:rPr>
          <w:rFonts w:eastAsia="Arial"/>
          <w:b/>
          <w:bCs/>
          <w:color w:val="000000" w:themeColor="text1"/>
          <w:sz w:val="24"/>
          <w:szCs w:val="24"/>
        </w:rPr>
        <w:t xml:space="preserve"> </w:t>
      </w:r>
    </w:p>
    <w:p w14:paraId="6CBAEEA0" w14:textId="279276B8" w:rsidR="0FF883D4" w:rsidRDefault="5CE196A1" w:rsidP="5CE196A1">
      <w:r w:rsidRPr="5CE196A1">
        <w:rPr>
          <w:rFonts w:eastAsia="Arial"/>
          <w:b/>
          <w:bCs/>
          <w:color w:val="000000" w:themeColor="text1"/>
          <w:sz w:val="24"/>
          <w:szCs w:val="24"/>
        </w:rPr>
        <w:t xml:space="preserve">Signed: </w:t>
      </w:r>
      <w:proofErr w:type="spellStart"/>
      <w:proofErr w:type="gramStart"/>
      <w:r w:rsidR="00DD2582">
        <w:rPr>
          <w:rFonts w:eastAsia="Arial"/>
          <w:b/>
          <w:bCs/>
          <w:color w:val="000000" w:themeColor="text1"/>
          <w:sz w:val="24"/>
          <w:szCs w:val="24"/>
        </w:rPr>
        <w:t>F.Godfrey</w:t>
      </w:r>
      <w:proofErr w:type="spellEnd"/>
      <w:proofErr w:type="gramEnd"/>
    </w:p>
    <w:p w14:paraId="563192E7" w14:textId="7A83C86F" w:rsidR="0FF883D4" w:rsidRDefault="5CE196A1" w:rsidP="5CE196A1">
      <w:r w:rsidRPr="5CE196A1">
        <w:rPr>
          <w:rFonts w:eastAsia="Arial"/>
          <w:b/>
          <w:bCs/>
          <w:color w:val="000000" w:themeColor="text1"/>
          <w:sz w:val="24"/>
          <w:szCs w:val="24"/>
        </w:rPr>
        <w:t xml:space="preserve"> </w:t>
      </w:r>
    </w:p>
    <w:p w14:paraId="482B2B3A" w14:textId="32F8C3FE" w:rsidR="0FF883D4" w:rsidRPr="00DD2582" w:rsidRDefault="5CE196A1" w:rsidP="00DD2582">
      <w:pPr>
        <w:sectPr w:rsidR="0FF883D4" w:rsidRPr="00DD2582"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DD2582">
        <w:rPr>
          <w:rFonts w:eastAsia="Arial"/>
          <w:b/>
          <w:bCs/>
          <w:color w:val="000000" w:themeColor="text1"/>
          <w:sz w:val="24"/>
          <w:szCs w:val="24"/>
        </w:rPr>
        <w:t>: 28/04/2025</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53B9204" w14:textId="77777777" w:rsidR="00DD2582" w:rsidRPr="00DD2582" w:rsidRDefault="00DD2582" w:rsidP="00DD2582">
      <w:pPr>
        <w:keepNext/>
        <w:spacing w:before="240" w:after="60"/>
        <w:ind w:right="237"/>
        <w:rPr>
          <w:sz w:val="24"/>
          <w:szCs w:val="24"/>
        </w:rPr>
      </w:pPr>
      <w:r w:rsidRPr="00DD2582">
        <w:rPr>
          <w:sz w:val="24"/>
          <w:szCs w:val="24"/>
        </w:rPr>
        <w:t xml:space="preserve">Amber B. (2024) ‘The Importance of Forensic Evidence in Criminal Cases’. Legal Reader. [Accessed online] https://www.legalreader.com/importance-of-forensic-evidence-in-criminal-cases/ [Accessed on: 27th of April 2025]. </w:t>
      </w:r>
    </w:p>
    <w:p w14:paraId="495D71AE" w14:textId="77777777" w:rsidR="00DD2582" w:rsidRPr="00DD2582" w:rsidRDefault="00DD2582" w:rsidP="00DD2582">
      <w:pPr>
        <w:keepNext/>
        <w:spacing w:before="240" w:after="60"/>
        <w:ind w:right="237"/>
        <w:rPr>
          <w:sz w:val="24"/>
          <w:szCs w:val="24"/>
        </w:rPr>
      </w:pPr>
      <w:r w:rsidRPr="00DD2582">
        <w:rPr>
          <w:sz w:val="24"/>
          <w:szCs w:val="24"/>
        </w:rPr>
        <w:t xml:space="preserve">College of Policing (2021). ‘Introduction to vulnerability-related risk’. [Accessed online] https://www.college.police.uk/guidance/vulnerability-related-risks/introduction-vulnerability-related-risk [Accessed on: 24th of April 2025]. </w:t>
      </w:r>
    </w:p>
    <w:p w14:paraId="20DEEBF7" w14:textId="77777777" w:rsidR="00DD2582" w:rsidRPr="00DD2582" w:rsidRDefault="00DD2582" w:rsidP="00DD2582">
      <w:pPr>
        <w:keepNext/>
        <w:spacing w:before="240" w:after="60"/>
        <w:ind w:right="237"/>
        <w:rPr>
          <w:sz w:val="24"/>
          <w:szCs w:val="24"/>
        </w:rPr>
      </w:pPr>
      <w:r w:rsidRPr="00DD2582">
        <w:rPr>
          <w:sz w:val="24"/>
          <w:szCs w:val="24"/>
        </w:rPr>
        <w:t xml:space="preserve">College of Policing. (2023). ‘Initial response’. [Accessed online] https://www.college.police.uk/guidance/residential-burglary/initial-response [Accessed on: 26th of April 2025]. </w:t>
      </w:r>
    </w:p>
    <w:p w14:paraId="230F2EB6" w14:textId="77777777" w:rsidR="00DD2582" w:rsidRPr="00DD2582" w:rsidRDefault="00DD2582" w:rsidP="00DD2582">
      <w:pPr>
        <w:keepNext/>
        <w:spacing w:before="240" w:after="60"/>
        <w:ind w:right="237"/>
        <w:rPr>
          <w:sz w:val="24"/>
          <w:szCs w:val="24"/>
        </w:rPr>
      </w:pPr>
      <w:proofErr w:type="spellStart"/>
      <w:r w:rsidRPr="00DD2582">
        <w:rPr>
          <w:sz w:val="24"/>
          <w:szCs w:val="24"/>
        </w:rPr>
        <w:t>Dinisman</w:t>
      </w:r>
      <w:proofErr w:type="spellEnd"/>
      <w:r w:rsidRPr="00DD2582">
        <w:rPr>
          <w:sz w:val="24"/>
          <w:szCs w:val="24"/>
        </w:rPr>
        <w:t xml:space="preserve">, T., and Moroz., A. (2017) ‘Understanding victims of crime: The impact of the crime and support </w:t>
      </w:r>
      <w:proofErr w:type="gramStart"/>
      <w:r w:rsidRPr="00DD2582">
        <w:rPr>
          <w:sz w:val="24"/>
          <w:szCs w:val="24"/>
        </w:rPr>
        <w:t>needs’</w:t>
      </w:r>
      <w:proofErr w:type="gramEnd"/>
      <w:r w:rsidRPr="00DD2582">
        <w:rPr>
          <w:sz w:val="24"/>
          <w:szCs w:val="24"/>
        </w:rPr>
        <w:t xml:space="preserve">. Victim support. [Accessed online] https://www.researchgate.net/publication/316787563_Understanding_victims_of_crime_The_impact_of_the_crime_and_support_needs [Accessed on: 27th of April 2025]. </w:t>
      </w:r>
    </w:p>
    <w:p w14:paraId="187FB6A4" w14:textId="77777777" w:rsidR="00DD2582" w:rsidRPr="00DD2582" w:rsidRDefault="00DD2582" w:rsidP="00DD2582">
      <w:pPr>
        <w:keepNext/>
        <w:spacing w:before="240" w:after="60"/>
        <w:ind w:right="237"/>
        <w:rPr>
          <w:sz w:val="24"/>
          <w:szCs w:val="24"/>
        </w:rPr>
      </w:pPr>
      <w:r w:rsidRPr="00DD2582">
        <w:rPr>
          <w:sz w:val="24"/>
          <w:szCs w:val="24"/>
        </w:rPr>
        <w:t xml:space="preserve">Geurts, R., Raaijmakers, N., Delsing, M. J. M. H., </w:t>
      </w:r>
      <w:proofErr w:type="spellStart"/>
      <w:r w:rsidRPr="00DD2582">
        <w:rPr>
          <w:sz w:val="24"/>
          <w:szCs w:val="24"/>
        </w:rPr>
        <w:t>Spapens</w:t>
      </w:r>
      <w:proofErr w:type="spellEnd"/>
      <w:r w:rsidRPr="00DD2582">
        <w:rPr>
          <w:sz w:val="24"/>
          <w:szCs w:val="24"/>
        </w:rPr>
        <w:t xml:space="preserve">, T., Wientjes, J., Willems, D., &amp; Scholte, R. H. J. (2021). ‘Assessing the Risk of Repeat Victimization Using Structured and Unstructured Police Information’. Crime &amp; Delinquency, 69(9), Page 1736-1757. </w:t>
      </w:r>
    </w:p>
    <w:p w14:paraId="768E5FBB" w14:textId="77777777" w:rsidR="00DD2582" w:rsidRPr="00DD2582" w:rsidRDefault="00DD2582" w:rsidP="00DD2582">
      <w:pPr>
        <w:keepNext/>
        <w:spacing w:before="240" w:after="60"/>
        <w:ind w:right="237"/>
        <w:rPr>
          <w:sz w:val="24"/>
          <w:szCs w:val="24"/>
        </w:rPr>
      </w:pPr>
      <w:r w:rsidRPr="00DD2582">
        <w:rPr>
          <w:sz w:val="24"/>
          <w:szCs w:val="24"/>
        </w:rPr>
        <w:t xml:space="preserve">Graham-Kevan, N., Brooks, N., Willan, VJ., Lowe, M., Robinson, P., Khan, R., Stokes, R., Irving, M., Karwacka, M., and Bryce., J. (2015) ‘Repeat Victimisation, </w:t>
      </w:r>
      <w:proofErr w:type="spellStart"/>
      <w:r w:rsidRPr="00DD2582">
        <w:rPr>
          <w:sz w:val="24"/>
          <w:szCs w:val="24"/>
        </w:rPr>
        <w:t>Retraumatisation</w:t>
      </w:r>
      <w:proofErr w:type="spellEnd"/>
      <w:r w:rsidRPr="00DD2582">
        <w:rPr>
          <w:sz w:val="24"/>
          <w:szCs w:val="24"/>
        </w:rPr>
        <w:t xml:space="preserve"> and Victim Vulnerability’. The Open Criminology Journal, (8). Page 36-48. </w:t>
      </w:r>
    </w:p>
    <w:p w14:paraId="4EFB84F0" w14:textId="77777777" w:rsidR="00DD2582" w:rsidRPr="00DD2582" w:rsidRDefault="00DD2582" w:rsidP="00DD2582">
      <w:pPr>
        <w:keepNext/>
        <w:spacing w:before="240" w:after="60"/>
        <w:ind w:right="237"/>
        <w:rPr>
          <w:sz w:val="24"/>
          <w:szCs w:val="24"/>
        </w:rPr>
      </w:pPr>
      <w:r w:rsidRPr="00DD2582">
        <w:rPr>
          <w:sz w:val="24"/>
          <w:szCs w:val="24"/>
        </w:rPr>
        <w:t xml:space="preserve">HMICFRS (2025). ‘Forces must improve the effectiveness of crime investigations and achieve better outcomes for </w:t>
      </w:r>
      <w:proofErr w:type="gramStart"/>
      <w:r w:rsidRPr="00DD2582">
        <w:rPr>
          <w:sz w:val="24"/>
          <w:szCs w:val="24"/>
        </w:rPr>
        <w:t>victims’</w:t>
      </w:r>
      <w:proofErr w:type="gramEnd"/>
      <w:r w:rsidRPr="00DD2582">
        <w:rPr>
          <w:sz w:val="24"/>
          <w:szCs w:val="24"/>
        </w:rPr>
        <w:t xml:space="preserve">. [Accessed online] https://hmicfrs.justiceinspectorates.gov.uk/news/news-feed/forces-must-improve-the-effectiveness-of-crime-investigations/ [Accessed on: </w:t>
      </w:r>
      <w:proofErr w:type="gramStart"/>
      <w:r w:rsidRPr="00DD2582">
        <w:rPr>
          <w:sz w:val="24"/>
          <w:szCs w:val="24"/>
        </w:rPr>
        <w:t>26nd</w:t>
      </w:r>
      <w:proofErr w:type="gramEnd"/>
      <w:r w:rsidRPr="00DD2582">
        <w:rPr>
          <w:sz w:val="24"/>
          <w:szCs w:val="24"/>
        </w:rPr>
        <w:t xml:space="preserve"> of April 2025]. </w:t>
      </w:r>
    </w:p>
    <w:p w14:paraId="2227DCB5" w14:textId="77777777" w:rsidR="00DD2582" w:rsidRPr="00DD2582" w:rsidRDefault="00DD2582" w:rsidP="00DD2582">
      <w:pPr>
        <w:keepNext/>
        <w:spacing w:before="240" w:after="60"/>
        <w:ind w:right="237"/>
        <w:rPr>
          <w:sz w:val="24"/>
          <w:szCs w:val="24"/>
        </w:rPr>
      </w:pPr>
      <w:r w:rsidRPr="00DD2582">
        <w:rPr>
          <w:sz w:val="24"/>
          <w:szCs w:val="24"/>
        </w:rPr>
        <w:t xml:space="preserve">HMICFRS. (2023). ‘Golden hour principle’. [Accessed online] https://hmicfrs.justiceinspectorates.gov.uk/glossary/golden-hour-principle/ [Accessed on: 25th of April 2025]. </w:t>
      </w:r>
    </w:p>
    <w:p w14:paraId="6E4AC658" w14:textId="77777777" w:rsidR="00DD2582" w:rsidRPr="00DD2582" w:rsidRDefault="00DD2582" w:rsidP="00DD2582">
      <w:pPr>
        <w:keepNext/>
        <w:spacing w:before="240" w:after="60"/>
        <w:ind w:right="237"/>
        <w:rPr>
          <w:sz w:val="24"/>
          <w:szCs w:val="24"/>
        </w:rPr>
      </w:pPr>
      <w:r w:rsidRPr="00DD2582">
        <w:rPr>
          <w:sz w:val="24"/>
          <w:szCs w:val="24"/>
        </w:rPr>
        <w:t xml:space="preserve">Kent Police Federation. (2019) ‘Repeated exposure to trauma is seriously effecting officer mental health’. [Accessed online] </w:t>
      </w:r>
      <w:r w:rsidRPr="00DD2582">
        <w:rPr>
          <w:sz w:val="24"/>
          <w:szCs w:val="24"/>
        </w:rPr>
        <w:lastRenderedPageBreak/>
        <w:t xml:space="preserve">https://www.polfed.org/Kent/news/2019/repeated-exposure-to-trauma-is-seriously-effecting-officer-mental-health/ [Accessed on: 25th April 2025]. </w:t>
      </w:r>
    </w:p>
    <w:p w14:paraId="45A81FD2" w14:textId="77777777" w:rsidR="00DD2582" w:rsidRPr="00DD2582" w:rsidRDefault="00DD2582" w:rsidP="00DD2582">
      <w:pPr>
        <w:keepNext/>
        <w:spacing w:before="240" w:after="60"/>
        <w:ind w:right="237"/>
        <w:rPr>
          <w:sz w:val="24"/>
          <w:szCs w:val="24"/>
        </w:rPr>
      </w:pPr>
      <w:proofErr w:type="spellStart"/>
      <w:r w:rsidRPr="00DD2582">
        <w:rPr>
          <w:sz w:val="24"/>
          <w:szCs w:val="24"/>
        </w:rPr>
        <w:t>Kippert</w:t>
      </w:r>
      <w:proofErr w:type="spellEnd"/>
      <w:r w:rsidRPr="00DD2582">
        <w:rPr>
          <w:sz w:val="24"/>
          <w:szCs w:val="24"/>
        </w:rPr>
        <w:t xml:space="preserve">, A. (2020). ‘Abuse Almost Always Escalates’. Domestic shelters.org. [Accessed online]. https://www.domesticshelters.org/articles/identifying-abuse/abuse-almost-always-escalates [Accessed on: 25th April 2025]. </w:t>
      </w:r>
    </w:p>
    <w:p w14:paraId="5DD98CE2" w14:textId="77777777" w:rsidR="00DD2582" w:rsidRPr="00DD2582" w:rsidRDefault="00DD2582" w:rsidP="00DD2582">
      <w:pPr>
        <w:keepNext/>
        <w:spacing w:before="240" w:after="60"/>
        <w:ind w:right="237"/>
        <w:rPr>
          <w:sz w:val="24"/>
          <w:szCs w:val="24"/>
        </w:rPr>
      </w:pPr>
      <w:r w:rsidRPr="00DD2582">
        <w:rPr>
          <w:sz w:val="24"/>
          <w:szCs w:val="24"/>
        </w:rPr>
        <w:t xml:space="preserve">Kuijpers, K.F., Van Der Knaap, L.M., and Winkel, F.W. (2011). ‘Risk of Revictimization of Intimate Partner Violence: The Role of Attachment, Anger and Violent </w:t>
      </w:r>
      <w:proofErr w:type="spellStart"/>
      <w:r w:rsidRPr="00DD2582">
        <w:rPr>
          <w:sz w:val="24"/>
          <w:szCs w:val="24"/>
        </w:rPr>
        <w:t>Behavior</w:t>
      </w:r>
      <w:proofErr w:type="spellEnd"/>
      <w:r w:rsidRPr="00DD2582">
        <w:rPr>
          <w:sz w:val="24"/>
          <w:szCs w:val="24"/>
        </w:rPr>
        <w:t xml:space="preserve"> of the Victim’. J Fam Viol 27 Page 33–44 DOI 10.1007/s10896-011-9399-8. </w:t>
      </w:r>
    </w:p>
    <w:p w14:paraId="7DFEB2E2" w14:textId="77777777" w:rsidR="00DD2582" w:rsidRPr="00DD2582" w:rsidRDefault="00DD2582" w:rsidP="00DD2582">
      <w:pPr>
        <w:keepNext/>
        <w:spacing w:before="240" w:after="60"/>
        <w:ind w:right="237"/>
        <w:rPr>
          <w:sz w:val="24"/>
          <w:szCs w:val="24"/>
        </w:rPr>
      </w:pPr>
      <w:r w:rsidRPr="00DD2582">
        <w:rPr>
          <w:sz w:val="24"/>
          <w:szCs w:val="24"/>
        </w:rPr>
        <w:t xml:space="preserve">Ling, S., Kaplan, J., and Berryessa, C.M. (2021) ‘The importance of forensic evidence for decisions on criminal guilt’. Science &amp; Justice. Vol.61, Issue 2, Pages 142-149. [Accessed online] https://www.sciencedirect.com/science/article/pii/S1355030620303117 [Accessed on: 21st of April 2025]. </w:t>
      </w:r>
    </w:p>
    <w:p w14:paraId="2F2180D0" w14:textId="77777777" w:rsidR="00DD2582" w:rsidRPr="00DD2582" w:rsidRDefault="00DD2582" w:rsidP="00DD2582">
      <w:pPr>
        <w:keepNext/>
        <w:spacing w:before="240" w:after="60"/>
        <w:ind w:right="237"/>
        <w:rPr>
          <w:sz w:val="24"/>
          <w:szCs w:val="24"/>
        </w:rPr>
      </w:pPr>
      <w:r w:rsidRPr="00DD2582">
        <w:rPr>
          <w:sz w:val="24"/>
          <w:szCs w:val="24"/>
        </w:rPr>
        <w:t xml:space="preserve">Living Without Abuse. (2025). ‘People with drug and alcohol misuse </w:t>
      </w:r>
      <w:proofErr w:type="gramStart"/>
      <w:r w:rsidRPr="00DD2582">
        <w:rPr>
          <w:sz w:val="24"/>
          <w:szCs w:val="24"/>
        </w:rPr>
        <w:t>problems’</w:t>
      </w:r>
      <w:proofErr w:type="gramEnd"/>
      <w:r w:rsidRPr="00DD2582">
        <w:rPr>
          <w:sz w:val="24"/>
          <w:szCs w:val="24"/>
        </w:rPr>
        <w:t xml:space="preserve">. [Accessed online]. https://lwa.org.uk/understanding-abuse/who-is-affected-by-abuse/people-with-drug-and-alcohol-problems/#:~:text=Victims%20of%20domestic%20abuse%20and%20sexual%20violence%20often,keep%20themselves%20safe%20or%20to%20escape%20the%20abuse [Accessed on: 23rd April 2025]. </w:t>
      </w:r>
    </w:p>
    <w:p w14:paraId="33577704" w14:textId="77777777" w:rsidR="00DD2582" w:rsidRPr="00DD2582" w:rsidRDefault="00DD2582" w:rsidP="00DD2582">
      <w:pPr>
        <w:keepNext/>
        <w:spacing w:before="240" w:after="60"/>
        <w:ind w:right="237"/>
        <w:rPr>
          <w:sz w:val="24"/>
          <w:szCs w:val="24"/>
        </w:rPr>
      </w:pPr>
      <w:r w:rsidRPr="00DD2582">
        <w:rPr>
          <w:sz w:val="24"/>
          <w:szCs w:val="24"/>
        </w:rPr>
        <w:t xml:space="preserve">Mehr J.B., Bennett E.R., Price J.L., De Souza N.L., Buckman J.F., Wilde E.A., Tate D.F., Marshall A.D., Dams-O'Connor K., </w:t>
      </w:r>
      <w:proofErr w:type="spellStart"/>
      <w:r w:rsidRPr="00DD2582">
        <w:rPr>
          <w:sz w:val="24"/>
          <w:szCs w:val="24"/>
        </w:rPr>
        <w:t>Esopenko</w:t>
      </w:r>
      <w:proofErr w:type="spellEnd"/>
      <w:r w:rsidRPr="00DD2582">
        <w:rPr>
          <w:sz w:val="24"/>
          <w:szCs w:val="24"/>
        </w:rPr>
        <w:t xml:space="preserve"> C. (2023) ‘Intimate partner violence, substance use, and health comorbidities among women: A narrative review’. Front Psychol. 13:1028375. </w:t>
      </w:r>
      <w:proofErr w:type="spellStart"/>
      <w:r w:rsidRPr="00DD2582">
        <w:rPr>
          <w:sz w:val="24"/>
          <w:szCs w:val="24"/>
        </w:rPr>
        <w:t>doi</w:t>
      </w:r>
      <w:proofErr w:type="spellEnd"/>
      <w:r w:rsidRPr="00DD2582">
        <w:rPr>
          <w:sz w:val="24"/>
          <w:szCs w:val="24"/>
        </w:rPr>
        <w:t xml:space="preserve">: 10.3389/fpsyg.2022.1028375. </w:t>
      </w:r>
    </w:p>
    <w:p w14:paraId="3D7DAAEC" w14:textId="77777777" w:rsidR="00DD2582" w:rsidRPr="00DD2582" w:rsidRDefault="00DD2582" w:rsidP="00DD2582">
      <w:pPr>
        <w:keepNext/>
        <w:spacing w:before="240" w:after="60"/>
        <w:ind w:right="237"/>
        <w:rPr>
          <w:sz w:val="24"/>
          <w:szCs w:val="24"/>
        </w:rPr>
      </w:pPr>
      <w:r w:rsidRPr="00DD2582">
        <w:rPr>
          <w:sz w:val="24"/>
          <w:szCs w:val="24"/>
        </w:rPr>
        <w:t xml:space="preserve">National Crime Agency. (2025) ‘Intelligence: enhancing the picture of serious organised crime affecting the UK’. [Accessed online] https://www.nationalcrimeagency.gov.uk/what-we-do/how-we-work/intelligence-enhancing-the-picture-of-serious-organised-crime-affecting-the-uk [Accessed </w:t>
      </w:r>
      <w:proofErr w:type="gramStart"/>
      <w:r w:rsidRPr="00DD2582">
        <w:rPr>
          <w:sz w:val="24"/>
          <w:szCs w:val="24"/>
        </w:rPr>
        <w:t>on:</w:t>
      </w:r>
      <w:proofErr w:type="gramEnd"/>
      <w:r w:rsidRPr="00DD2582">
        <w:rPr>
          <w:sz w:val="24"/>
          <w:szCs w:val="24"/>
        </w:rPr>
        <w:t xml:space="preserve"> 20th of April 2025]. </w:t>
      </w:r>
    </w:p>
    <w:p w14:paraId="1912EABE" w14:textId="77777777" w:rsidR="00DD2582" w:rsidRDefault="00DD2582" w:rsidP="00DD2582">
      <w:pPr>
        <w:keepNext/>
        <w:spacing w:before="240" w:after="60"/>
        <w:ind w:right="237"/>
        <w:rPr>
          <w:sz w:val="24"/>
          <w:szCs w:val="24"/>
        </w:rPr>
      </w:pPr>
      <w:r w:rsidRPr="00DD2582">
        <w:rPr>
          <w:sz w:val="24"/>
          <w:szCs w:val="24"/>
        </w:rPr>
        <w:t>National Police Chief’s Council. (2020). ‘National Vulnerability Action Plan NVAP Revised 2020-2022’. [Accessed Online]. https://www.npcc.police.uk/SysSiteAssets/media/downloads/publications/publications-log/2019/national-vulnerability-action-plan-2020-2022.pdf [Accessed on: 27th April 2025].</w:t>
      </w:r>
    </w:p>
    <w:p w14:paraId="05C427AF" w14:textId="77777777" w:rsidR="00DD2582" w:rsidRPr="00DD2582" w:rsidRDefault="00DD2582" w:rsidP="00DD2582">
      <w:pPr>
        <w:keepNext/>
        <w:spacing w:before="240" w:after="60"/>
        <w:ind w:right="237"/>
        <w:rPr>
          <w:sz w:val="24"/>
          <w:szCs w:val="24"/>
        </w:rPr>
      </w:pPr>
      <w:r w:rsidRPr="00DD2582">
        <w:rPr>
          <w:sz w:val="24"/>
          <w:szCs w:val="24"/>
        </w:rPr>
        <w:t xml:space="preserve">Nicholas, L., Farrell, G (2011). ‘Repeat Victimization’. Obo in Criminology. </w:t>
      </w:r>
      <w:proofErr w:type="spellStart"/>
      <w:r w:rsidRPr="00DD2582">
        <w:rPr>
          <w:sz w:val="24"/>
          <w:szCs w:val="24"/>
        </w:rPr>
        <w:t>doi</w:t>
      </w:r>
      <w:proofErr w:type="spellEnd"/>
      <w:r w:rsidRPr="00DD2582">
        <w:rPr>
          <w:sz w:val="24"/>
          <w:szCs w:val="24"/>
        </w:rPr>
        <w:t xml:space="preserve">: 10.1093/obo/9780195396607-0119. [Accessed online] https://www.oxfordbibliographies.com/display/document/obo-9780195396607/obo-9780195396607-0119.xml [Accessed on: 26th of April 2025]. </w:t>
      </w:r>
    </w:p>
    <w:p w14:paraId="513321F1" w14:textId="6ED1E5C6" w:rsidR="00DD2582" w:rsidRPr="00DD2582" w:rsidRDefault="00DD2582" w:rsidP="00DD2582">
      <w:pPr>
        <w:keepNext/>
        <w:spacing w:before="240" w:after="60"/>
        <w:ind w:right="237"/>
        <w:rPr>
          <w:sz w:val="24"/>
          <w:szCs w:val="24"/>
        </w:rPr>
      </w:pPr>
      <w:r w:rsidRPr="00DD2582">
        <w:rPr>
          <w:sz w:val="24"/>
          <w:szCs w:val="24"/>
        </w:rPr>
        <w:t xml:space="preserve">Office for National Statistics. (2022). ‘Victimisation and its relationship to drug misuse, common mental disorder and well-being in England and Wales: year </w:t>
      </w:r>
      <w:r w:rsidRPr="00DD2582">
        <w:rPr>
          <w:sz w:val="24"/>
          <w:szCs w:val="24"/>
        </w:rPr>
        <w:lastRenderedPageBreak/>
        <w:t>ending March</w:t>
      </w:r>
      <w:r>
        <w:rPr>
          <w:sz w:val="24"/>
          <w:szCs w:val="24"/>
        </w:rPr>
        <w:t xml:space="preserve"> </w:t>
      </w:r>
      <w:proofErr w:type="gramStart"/>
      <w:r w:rsidRPr="00DD2582">
        <w:rPr>
          <w:sz w:val="24"/>
          <w:szCs w:val="24"/>
        </w:rPr>
        <w:t>2021;.</w:t>
      </w:r>
      <w:proofErr w:type="gramEnd"/>
      <w:r w:rsidRPr="00DD2582">
        <w:rPr>
          <w:sz w:val="24"/>
          <w:szCs w:val="24"/>
        </w:rPr>
        <w:t xml:space="preserve"> [Accessed online]. https://www.ons.gov.uk/peoplepopulationandcommunity/crimeandjustice/articles/victimisationanditsrelationshiptodrugmisusecommonmentalhealthdisorderandwellbeinginenglandandwales/yearendingmarch2021 [Accessed on: 26th of April 2025]. </w:t>
      </w:r>
    </w:p>
    <w:p w14:paraId="31A9EB53" w14:textId="77777777" w:rsidR="00DD2582" w:rsidRPr="00DD2582" w:rsidRDefault="00DD2582" w:rsidP="00DD2582">
      <w:pPr>
        <w:keepNext/>
        <w:spacing w:before="240" w:after="60"/>
        <w:ind w:right="237"/>
        <w:rPr>
          <w:sz w:val="24"/>
          <w:szCs w:val="24"/>
        </w:rPr>
      </w:pPr>
      <w:r w:rsidRPr="00DD2582">
        <w:rPr>
          <w:sz w:val="24"/>
          <w:szCs w:val="24"/>
        </w:rPr>
        <w:t xml:space="preserve">Police.UK. (2025). ‘Automatic Number Plate Recognition’. [Accessed online] https://www.police.uk/advice/advice-and-information/rs/road-safety/automatic-number-plate-recognition-anpr/ [Accessed on: 23rd of April 2025]. </w:t>
      </w:r>
    </w:p>
    <w:p w14:paraId="5EB5A1A6" w14:textId="77777777" w:rsidR="00DD2582" w:rsidRPr="00DD2582" w:rsidRDefault="00DD2582" w:rsidP="00DD2582">
      <w:pPr>
        <w:keepNext/>
        <w:spacing w:before="240" w:after="60"/>
        <w:ind w:right="237"/>
        <w:rPr>
          <w:sz w:val="24"/>
          <w:szCs w:val="24"/>
        </w:rPr>
      </w:pPr>
      <w:r w:rsidRPr="00DD2582">
        <w:rPr>
          <w:sz w:val="24"/>
          <w:szCs w:val="24"/>
        </w:rPr>
        <w:t xml:space="preserve">STA Law Firm. (2020) ‘Advantages of Intelligence Policing’. </w:t>
      </w:r>
      <w:proofErr w:type="spellStart"/>
      <w:r w:rsidRPr="00DD2582">
        <w:rPr>
          <w:sz w:val="24"/>
          <w:szCs w:val="24"/>
        </w:rPr>
        <w:t>Mondaq</w:t>
      </w:r>
      <w:proofErr w:type="spellEnd"/>
      <w:r w:rsidRPr="00DD2582">
        <w:rPr>
          <w:sz w:val="24"/>
          <w:szCs w:val="24"/>
        </w:rPr>
        <w:t xml:space="preserve">. [Accessed online] https://www.mondaq.com/crime/883090/advantages-of-intelligence-policing [Accessed on: 24th of April 2025]. </w:t>
      </w:r>
    </w:p>
    <w:p w14:paraId="7907369E" w14:textId="77777777" w:rsidR="00DD2582" w:rsidRPr="00DD2582" w:rsidRDefault="00DD2582" w:rsidP="00DD2582">
      <w:pPr>
        <w:keepNext/>
        <w:spacing w:before="240" w:after="60"/>
        <w:ind w:right="237"/>
        <w:rPr>
          <w:sz w:val="24"/>
          <w:szCs w:val="24"/>
        </w:rPr>
      </w:pPr>
      <w:r w:rsidRPr="00DD2582">
        <w:rPr>
          <w:sz w:val="24"/>
          <w:szCs w:val="24"/>
        </w:rPr>
        <w:t xml:space="preserve">Vehicle Score. (2023) ‘Car theft has become a rising concern in the United Kingdom, with an alarming increase in incidents reported throughout 2023.’ [Accessed online] https://vehiclescore.co.uk/blog/uk-car-theft-on-the-rise [Accessed on: 27th of April 2025]. </w:t>
      </w:r>
    </w:p>
    <w:p w14:paraId="24C73905" w14:textId="77777777" w:rsidR="00DD2582" w:rsidRDefault="00DD2582" w:rsidP="00DD2582">
      <w:pPr>
        <w:keepNext/>
        <w:spacing w:before="240" w:after="60"/>
        <w:ind w:right="237"/>
        <w:rPr>
          <w:sz w:val="24"/>
          <w:szCs w:val="24"/>
        </w:rPr>
      </w:pPr>
      <w:r w:rsidRPr="00DD2582">
        <w:rPr>
          <w:sz w:val="24"/>
          <w:szCs w:val="24"/>
        </w:rPr>
        <w:t>Victim care Merseyside. (2020) ‘Victim Personal Statement’. [Accessed online] https://www.victimcaremerseyside.org/useful-information/the-criminal-justice-process/victim-personal-statement/ [Accessed on: 23rd of April 2025].</w:t>
      </w:r>
    </w:p>
    <w:p w14:paraId="05F8E927" w14:textId="77777777" w:rsidR="00DD2582" w:rsidRDefault="00DD2582" w:rsidP="00EA28F1">
      <w:pPr>
        <w:keepNext/>
        <w:spacing w:before="240" w:after="60"/>
        <w:ind w:right="237"/>
        <w:jc w:val="both"/>
      </w:pPr>
    </w:p>
    <w:sectPr w:rsidR="00DD258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DA56B" w14:textId="77777777" w:rsidR="002D25E7" w:rsidRDefault="002D25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70E4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00B0"/>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87CB6"/>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55A2"/>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7526D"/>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41E6"/>
    <w:rsid w:val="00546187"/>
    <w:rsid w:val="005463F1"/>
    <w:rsid w:val="00557D77"/>
    <w:rsid w:val="00562EAA"/>
    <w:rsid w:val="00563B58"/>
    <w:rsid w:val="005640C4"/>
    <w:rsid w:val="00564C53"/>
    <w:rsid w:val="0056684C"/>
    <w:rsid w:val="00574A0C"/>
    <w:rsid w:val="00576E4C"/>
    <w:rsid w:val="0057780F"/>
    <w:rsid w:val="005805D6"/>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32F5"/>
    <w:rsid w:val="006712A7"/>
    <w:rsid w:val="006733CC"/>
    <w:rsid w:val="00674FC2"/>
    <w:rsid w:val="00677E42"/>
    <w:rsid w:val="00682334"/>
    <w:rsid w:val="00684B16"/>
    <w:rsid w:val="00694C00"/>
    <w:rsid w:val="00696F65"/>
    <w:rsid w:val="006A7A6D"/>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04F25"/>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70AE"/>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0EB6"/>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25AC"/>
    <w:rsid w:val="00A85039"/>
    <w:rsid w:val="00A851F7"/>
    <w:rsid w:val="00A906AA"/>
    <w:rsid w:val="00A94C5E"/>
    <w:rsid w:val="00AA241A"/>
    <w:rsid w:val="00AA252C"/>
    <w:rsid w:val="00AA666E"/>
    <w:rsid w:val="00AB5518"/>
    <w:rsid w:val="00AC01D4"/>
    <w:rsid w:val="00AC4A04"/>
    <w:rsid w:val="00AD283D"/>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033F"/>
    <w:rsid w:val="00D71201"/>
    <w:rsid w:val="00D720C7"/>
    <w:rsid w:val="00D77A04"/>
    <w:rsid w:val="00D81D06"/>
    <w:rsid w:val="00D8546D"/>
    <w:rsid w:val="00D8652C"/>
    <w:rsid w:val="00D876E6"/>
    <w:rsid w:val="00DA1025"/>
    <w:rsid w:val="00DA22EC"/>
    <w:rsid w:val="00DA5860"/>
    <w:rsid w:val="00DB2767"/>
    <w:rsid w:val="00DC08B3"/>
    <w:rsid w:val="00DC41F4"/>
    <w:rsid w:val="00DC4729"/>
    <w:rsid w:val="00DD2582"/>
    <w:rsid w:val="00DE556F"/>
    <w:rsid w:val="00E03B6D"/>
    <w:rsid w:val="00E0649E"/>
    <w:rsid w:val="00E17160"/>
    <w:rsid w:val="00E211BF"/>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17DE60EB-4F90-4FD1-9C57-B3A20D5F8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5310</TotalTime>
  <Pages>20</Pages>
  <Words>5452</Words>
  <Characters>31896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Ffion Godfrey</cp:lastModifiedBy>
  <cp:revision>2</cp:revision>
  <cp:lastPrinted>2014-08-26T08:55:00Z</cp:lastPrinted>
  <dcterms:created xsi:type="dcterms:W3CDTF">2025-04-05T15:06:00Z</dcterms:created>
  <dcterms:modified xsi:type="dcterms:W3CDTF">2025-04-28T22:11:00Z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