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94661" w:rsidRDefault="00094661" w:rsidP="000B1779">
      <w:pPr>
        <w:spacing w:line="360" w:lineRule="auto"/>
        <w:rPr>
          <w:rFonts w:ascii="Arial" w:hAnsi="Arial" w:cs="Arial"/>
        </w:rPr>
      </w:pPr>
      <w:bookmarkStart w:id="0" w:name="_GoBack"/>
      <w:bookmarkEnd w:id="0"/>
    </w:p>
    <w:p w:rsidR="00094661" w:rsidRPr="00094661" w:rsidRDefault="00094661" w:rsidP="00094661">
      <w:pPr>
        <w:spacing w:line="360" w:lineRule="auto"/>
        <w:jc w:val="center"/>
        <w:rPr>
          <w:rFonts w:ascii="Arial" w:hAnsi="Arial" w:cs="Arial"/>
          <w:b/>
          <w:u w:val="single"/>
        </w:rPr>
      </w:pPr>
      <w:r w:rsidRPr="00094661">
        <w:rPr>
          <w:rFonts w:ascii="Arial" w:hAnsi="Arial" w:cs="Arial"/>
          <w:b/>
          <w:u w:val="single"/>
        </w:rPr>
        <w:t>Reviewing the relationship between the hormonal effects of menopause and performance anxiety</w:t>
      </w:r>
    </w:p>
    <w:p w:rsidR="00094661" w:rsidRDefault="00094661" w:rsidP="000B1779">
      <w:pPr>
        <w:spacing w:line="360" w:lineRule="auto"/>
        <w:rPr>
          <w:rFonts w:ascii="Arial" w:hAnsi="Arial" w:cs="Arial"/>
          <w:b/>
          <w:u w:val="single"/>
        </w:rPr>
      </w:pPr>
      <w:r>
        <w:rPr>
          <w:rFonts w:ascii="Arial" w:hAnsi="Arial" w:cs="Arial"/>
          <w:b/>
          <w:u w:val="single"/>
        </w:rPr>
        <w:t>Contents</w:t>
      </w:r>
    </w:p>
    <w:p w:rsidR="00094661" w:rsidRDefault="00094661" w:rsidP="000B1779">
      <w:pPr>
        <w:spacing w:line="360" w:lineRule="auto"/>
        <w:rPr>
          <w:rFonts w:ascii="Arial" w:hAnsi="Arial" w:cs="Arial"/>
        </w:rPr>
      </w:pPr>
      <w:r>
        <w:rPr>
          <w:rFonts w:ascii="Arial" w:hAnsi="Arial" w:cs="Arial"/>
          <w:u w:val="single"/>
        </w:rPr>
        <w:t xml:space="preserve">Part One – Portfolio:  </w:t>
      </w:r>
      <w:r w:rsidRPr="00094661">
        <w:rPr>
          <w:rFonts w:ascii="Arial" w:hAnsi="Arial" w:cs="Arial"/>
        </w:rPr>
        <w:t xml:space="preserve">                                                                                         </w:t>
      </w:r>
      <w:r>
        <w:rPr>
          <w:rFonts w:ascii="Arial" w:hAnsi="Arial" w:cs="Arial"/>
          <w:u w:val="single"/>
        </w:rPr>
        <w:t>Pages</w:t>
      </w:r>
    </w:p>
    <w:p w:rsidR="00094661" w:rsidRDefault="00094661" w:rsidP="00094661">
      <w:pPr>
        <w:pStyle w:val="ListParagraph"/>
        <w:numPr>
          <w:ilvl w:val="0"/>
          <w:numId w:val="7"/>
        </w:numPr>
        <w:spacing w:line="360" w:lineRule="auto"/>
        <w:rPr>
          <w:rFonts w:ascii="Arial" w:hAnsi="Arial" w:cs="Arial"/>
        </w:rPr>
      </w:pPr>
      <w:r>
        <w:rPr>
          <w:rFonts w:ascii="Arial" w:hAnsi="Arial" w:cs="Arial"/>
        </w:rPr>
        <w:t>Introduction and rationale                                                                               2</w:t>
      </w:r>
    </w:p>
    <w:p w:rsidR="00094661" w:rsidRDefault="00094661" w:rsidP="00094661">
      <w:pPr>
        <w:pStyle w:val="ListParagraph"/>
        <w:numPr>
          <w:ilvl w:val="0"/>
          <w:numId w:val="7"/>
        </w:numPr>
        <w:spacing w:line="360" w:lineRule="auto"/>
        <w:rPr>
          <w:rFonts w:ascii="Arial" w:hAnsi="Arial" w:cs="Arial"/>
        </w:rPr>
      </w:pPr>
      <w:r>
        <w:rPr>
          <w:rFonts w:ascii="Arial" w:hAnsi="Arial" w:cs="Arial"/>
        </w:rPr>
        <w:t>Planned programme of study                                                                         4</w:t>
      </w:r>
    </w:p>
    <w:p w:rsidR="00094661" w:rsidRDefault="00094661" w:rsidP="00094661">
      <w:pPr>
        <w:pStyle w:val="ListParagraph"/>
        <w:spacing w:line="360" w:lineRule="auto"/>
        <w:ind w:left="420"/>
        <w:rPr>
          <w:rFonts w:ascii="Arial" w:hAnsi="Arial" w:cs="Arial"/>
        </w:rPr>
      </w:pPr>
      <w:r>
        <w:rPr>
          <w:rFonts w:ascii="Arial" w:hAnsi="Arial" w:cs="Arial"/>
        </w:rPr>
        <w:t xml:space="preserve">                    -Learning Objectives                                                                  4</w:t>
      </w:r>
    </w:p>
    <w:p w:rsidR="00094661" w:rsidRDefault="00094661" w:rsidP="00094661">
      <w:pPr>
        <w:pStyle w:val="ListParagraph"/>
        <w:spacing w:line="360" w:lineRule="auto"/>
        <w:ind w:left="420"/>
        <w:rPr>
          <w:rFonts w:ascii="Arial" w:hAnsi="Arial" w:cs="Arial"/>
        </w:rPr>
      </w:pPr>
      <w:r>
        <w:rPr>
          <w:rFonts w:ascii="Arial" w:hAnsi="Arial" w:cs="Arial"/>
        </w:rPr>
        <w:t xml:space="preserve">                    -Personal Objectives                                                                  4</w:t>
      </w:r>
    </w:p>
    <w:p w:rsidR="00094661" w:rsidRDefault="00094661" w:rsidP="00094661">
      <w:pPr>
        <w:spacing w:line="360" w:lineRule="auto"/>
        <w:rPr>
          <w:rFonts w:ascii="Arial" w:hAnsi="Arial" w:cs="Arial"/>
        </w:rPr>
      </w:pPr>
      <w:r>
        <w:rPr>
          <w:rFonts w:ascii="Arial" w:hAnsi="Arial" w:cs="Arial"/>
        </w:rPr>
        <w:t>- GANT chart                                                                                                         5</w:t>
      </w:r>
    </w:p>
    <w:p w:rsidR="00094661" w:rsidRDefault="00094661" w:rsidP="00094661">
      <w:pPr>
        <w:spacing w:line="360" w:lineRule="auto"/>
        <w:rPr>
          <w:rFonts w:ascii="Arial" w:hAnsi="Arial" w:cs="Arial"/>
        </w:rPr>
      </w:pPr>
      <w:r>
        <w:rPr>
          <w:rFonts w:ascii="Arial" w:hAnsi="Arial" w:cs="Arial"/>
        </w:rPr>
        <w:t>- Literature Review Process                                                                                  6</w:t>
      </w:r>
    </w:p>
    <w:p w:rsidR="00094661" w:rsidRDefault="00094661" w:rsidP="00094661">
      <w:pPr>
        <w:spacing w:line="360" w:lineRule="auto"/>
        <w:rPr>
          <w:rFonts w:ascii="Arial" w:hAnsi="Arial" w:cs="Arial"/>
        </w:rPr>
      </w:pPr>
      <w:r>
        <w:rPr>
          <w:rFonts w:ascii="Arial" w:hAnsi="Arial" w:cs="Arial"/>
        </w:rPr>
        <w:t>- Critical Reflection                                                                                                8</w:t>
      </w:r>
    </w:p>
    <w:p w:rsidR="00094661" w:rsidRDefault="00094661" w:rsidP="00094661">
      <w:pPr>
        <w:spacing w:line="360" w:lineRule="auto"/>
        <w:rPr>
          <w:rFonts w:ascii="Arial" w:hAnsi="Arial" w:cs="Arial"/>
        </w:rPr>
      </w:pPr>
    </w:p>
    <w:p w:rsidR="00094661" w:rsidRDefault="00094661" w:rsidP="00094661">
      <w:pPr>
        <w:spacing w:line="360" w:lineRule="auto"/>
        <w:rPr>
          <w:rFonts w:ascii="Arial" w:hAnsi="Arial" w:cs="Arial"/>
          <w:u w:val="single"/>
        </w:rPr>
      </w:pPr>
      <w:r>
        <w:rPr>
          <w:rFonts w:ascii="Arial" w:hAnsi="Arial" w:cs="Arial"/>
          <w:u w:val="single"/>
        </w:rPr>
        <w:t>Part Two – The Assignment:</w:t>
      </w:r>
    </w:p>
    <w:p w:rsidR="00094661" w:rsidRPr="00094661" w:rsidRDefault="00094661" w:rsidP="00094661">
      <w:pPr>
        <w:pStyle w:val="ListParagraph"/>
        <w:numPr>
          <w:ilvl w:val="0"/>
          <w:numId w:val="7"/>
        </w:numPr>
        <w:spacing w:line="360" w:lineRule="auto"/>
        <w:rPr>
          <w:rFonts w:ascii="Arial" w:hAnsi="Arial" w:cs="Arial"/>
          <w:b/>
        </w:rPr>
      </w:pPr>
      <w:r>
        <w:rPr>
          <w:rFonts w:ascii="Arial" w:hAnsi="Arial" w:cs="Arial"/>
        </w:rPr>
        <w:t>Introduction                                                                                                    14</w:t>
      </w:r>
    </w:p>
    <w:p w:rsidR="00094661" w:rsidRPr="00094661" w:rsidRDefault="00094661" w:rsidP="00094661">
      <w:pPr>
        <w:pStyle w:val="ListParagraph"/>
        <w:numPr>
          <w:ilvl w:val="0"/>
          <w:numId w:val="7"/>
        </w:numPr>
        <w:spacing w:line="360" w:lineRule="auto"/>
        <w:rPr>
          <w:rFonts w:ascii="Arial" w:hAnsi="Arial" w:cs="Arial"/>
          <w:b/>
        </w:rPr>
      </w:pPr>
      <w:r>
        <w:rPr>
          <w:rFonts w:ascii="Arial" w:hAnsi="Arial" w:cs="Arial"/>
        </w:rPr>
        <w:t>Overview of Menopause and its physical impact on the voice                      15</w:t>
      </w:r>
    </w:p>
    <w:p w:rsidR="00094661" w:rsidRDefault="00094661" w:rsidP="00094661">
      <w:pPr>
        <w:pStyle w:val="ListParagraph"/>
        <w:numPr>
          <w:ilvl w:val="0"/>
          <w:numId w:val="7"/>
        </w:numPr>
        <w:spacing w:line="360" w:lineRule="auto"/>
        <w:rPr>
          <w:rFonts w:ascii="Arial" w:hAnsi="Arial" w:cs="Arial"/>
        </w:rPr>
      </w:pPr>
      <w:r w:rsidRPr="00094661">
        <w:rPr>
          <w:rFonts w:ascii="Arial" w:hAnsi="Arial" w:cs="Arial"/>
        </w:rPr>
        <w:t>Mental and emotional effects of the Menopause</w:t>
      </w:r>
      <w:r>
        <w:rPr>
          <w:rFonts w:ascii="Arial" w:hAnsi="Arial" w:cs="Arial"/>
        </w:rPr>
        <w:t xml:space="preserve">                                           16</w:t>
      </w:r>
    </w:p>
    <w:p w:rsidR="00094661" w:rsidRDefault="00094661" w:rsidP="00094661">
      <w:pPr>
        <w:pStyle w:val="ListParagraph"/>
        <w:numPr>
          <w:ilvl w:val="0"/>
          <w:numId w:val="7"/>
        </w:numPr>
        <w:spacing w:line="360" w:lineRule="auto"/>
        <w:rPr>
          <w:rFonts w:ascii="Arial" w:hAnsi="Arial" w:cs="Arial"/>
        </w:rPr>
      </w:pPr>
      <w:r w:rsidRPr="00094661">
        <w:rPr>
          <w:rFonts w:ascii="Arial" w:hAnsi="Arial" w:cs="Arial"/>
        </w:rPr>
        <w:t>The Role of Hormones in Performance Anxiety</w:t>
      </w:r>
      <w:r>
        <w:rPr>
          <w:rFonts w:ascii="Arial" w:hAnsi="Arial" w:cs="Arial"/>
        </w:rPr>
        <w:t xml:space="preserve">                                            17</w:t>
      </w:r>
    </w:p>
    <w:p w:rsidR="00094661" w:rsidRDefault="00094661" w:rsidP="00094661">
      <w:pPr>
        <w:pStyle w:val="ListParagraph"/>
        <w:numPr>
          <w:ilvl w:val="0"/>
          <w:numId w:val="7"/>
        </w:numPr>
        <w:spacing w:line="360" w:lineRule="auto"/>
        <w:rPr>
          <w:rFonts w:ascii="Arial" w:hAnsi="Arial" w:cs="Arial"/>
        </w:rPr>
      </w:pPr>
      <w:r>
        <w:rPr>
          <w:rFonts w:ascii="Arial" w:hAnsi="Arial" w:cs="Arial"/>
        </w:rPr>
        <w:t>Performance Anxiety Symptoms                                                                   17</w:t>
      </w:r>
    </w:p>
    <w:p w:rsidR="00094661" w:rsidRDefault="00094661" w:rsidP="00094661">
      <w:pPr>
        <w:pStyle w:val="ListParagraph"/>
        <w:numPr>
          <w:ilvl w:val="0"/>
          <w:numId w:val="7"/>
        </w:numPr>
        <w:spacing w:line="360" w:lineRule="auto"/>
        <w:rPr>
          <w:rFonts w:ascii="Arial" w:hAnsi="Arial" w:cs="Arial"/>
        </w:rPr>
      </w:pPr>
      <w:r w:rsidRPr="00094661">
        <w:rPr>
          <w:rFonts w:ascii="Arial" w:hAnsi="Arial" w:cs="Arial"/>
        </w:rPr>
        <w:t>Analysis</w:t>
      </w:r>
      <w:r>
        <w:rPr>
          <w:rFonts w:ascii="Arial" w:hAnsi="Arial" w:cs="Arial"/>
        </w:rPr>
        <w:t xml:space="preserve">                                                                                                         19</w:t>
      </w:r>
    </w:p>
    <w:p w:rsidR="00094661" w:rsidRDefault="00094661" w:rsidP="00094661">
      <w:pPr>
        <w:pStyle w:val="ListParagraph"/>
        <w:numPr>
          <w:ilvl w:val="0"/>
          <w:numId w:val="7"/>
        </w:numPr>
        <w:spacing w:line="360" w:lineRule="auto"/>
        <w:rPr>
          <w:rFonts w:ascii="Arial" w:hAnsi="Arial" w:cs="Arial"/>
        </w:rPr>
      </w:pPr>
      <w:r>
        <w:rPr>
          <w:rFonts w:ascii="Arial" w:hAnsi="Arial" w:cs="Arial"/>
        </w:rPr>
        <w:t>Conclusion</w:t>
      </w:r>
      <w:r w:rsidR="00FF5841">
        <w:rPr>
          <w:rFonts w:ascii="Arial" w:hAnsi="Arial" w:cs="Arial"/>
        </w:rPr>
        <w:t xml:space="preserve">                                                                                                     22</w:t>
      </w:r>
    </w:p>
    <w:p w:rsidR="00094661" w:rsidRDefault="00094661" w:rsidP="00094661">
      <w:pPr>
        <w:pStyle w:val="ListParagraph"/>
        <w:numPr>
          <w:ilvl w:val="0"/>
          <w:numId w:val="7"/>
        </w:numPr>
        <w:spacing w:line="360" w:lineRule="auto"/>
        <w:rPr>
          <w:rFonts w:ascii="Arial" w:hAnsi="Arial" w:cs="Arial"/>
        </w:rPr>
      </w:pPr>
      <w:r>
        <w:rPr>
          <w:rFonts w:ascii="Arial" w:hAnsi="Arial" w:cs="Arial"/>
        </w:rPr>
        <w:t>Bibliography</w:t>
      </w:r>
      <w:r w:rsidR="00FF5841">
        <w:rPr>
          <w:rFonts w:ascii="Arial" w:hAnsi="Arial" w:cs="Arial"/>
        </w:rPr>
        <w:t xml:space="preserve">                                                                                                   24</w:t>
      </w:r>
    </w:p>
    <w:p w:rsidR="00094661" w:rsidRPr="00094661" w:rsidRDefault="00094661" w:rsidP="00094661">
      <w:pPr>
        <w:pStyle w:val="ListParagraph"/>
        <w:numPr>
          <w:ilvl w:val="0"/>
          <w:numId w:val="7"/>
        </w:numPr>
        <w:spacing w:line="360" w:lineRule="auto"/>
        <w:rPr>
          <w:rFonts w:ascii="Arial" w:hAnsi="Arial" w:cs="Arial"/>
        </w:rPr>
      </w:pPr>
      <w:r>
        <w:rPr>
          <w:rFonts w:ascii="Arial" w:hAnsi="Arial" w:cs="Arial"/>
        </w:rPr>
        <w:t>Appendix</w:t>
      </w:r>
      <w:r w:rsidR="00FF5841">
        <w:rPr>
          <w:rFonts w:ascii="Arial" w:hAnsi="Arial" w:cs="Arial"/>
        </w:rPr>
        <w:t xml:space="preserve">                                                                                                        29</w:t>
      </w:r>
    </w:p>
    <w:p w:rsidR="00094661" w:rsidRDefault="00094661" w:rsidP="000B1779">
      <w:pPr>
        <w:spacing w:line="360" w:lineRule="auto"/>
        <w:rPr>
          <w:rFonts w:ascii="Arial" w:hAnsi="Arial" w:cs="Arial"/>
        </w:rPr>
      </w:pPr>
    </w:p>
    <w:p w:rsidR="00094661" w:rsidRDefault="00094661" w:rsidP="000B1779">
      <w:pPr>
        <w:spacing w:line="360" w:lineRule="auto"/>
        <w:rPr>
          <w:rFonts w:ascii="Arial" w:hAnsi="Arial" w:cs="Arial"/>
        </w:rPr>
      </w:pPr>
    </w:p>
    <w:p w:rsidR="00094661" w:rsidRDefault="00094661" w:rsidP="000B1779">
      <w:pPr>
        <w:spacing w:line="360" w:lineRule="auto"/>
        <w:rPr>
          <w:rFonts w:ascii="Arial" w:hAnsi="Arial" w:cs="Arial"/>
        </w:rPr>
      </w:pPr>
    </w:p>
    <w:p w:rsidR="00094661" w:rsidRDefault="00094661" w:rsidP="000B1779">
      <w:pPr>
        <w:spacing w:line="360" w:lineRule="auto"/>
        <w:rPr>
          <w:rFonts w:ascii="Arial" w:hAnsi="Arial" w:cs="Arial"/>
        </w:rPr>
      </w:pPr>
    </w:p>
    <w:p w:rsidR="00094661" w:rsidRDefault="00094661" w:rsidP="000B1779">
      <w:pPr>
        <w:spacing w:line="360" w:lineRule="auto"/>
        <w:rPr>
          <w:rFonts w:ascii="Arial" w:hAnsi="Arial" w:cs="Arial"/>
        </w:rPr>
      </w:pPr>
    </w:p>
    <w:p w:rsidR="00094661" w:rsidRDefault="00094661" w:rsidP="000B1779">
      <w:pPr>
        <w:spacing w:line="360" w:lineRule="auto"/>
        <w:rPr>
          <w:rFonts w:ascii="Arial" w:hAnsi="Arial" w:cs="Arial"/>
        </w:rPr>
      </w:pPr>
    </w:p>
    <w:p w:rsidR="000B1779" w:rsidRPr="002B67BF" w:rsidRDefault="000B1779" w:rsidP="000B1779">
      <w:pPr>
        <w:spacing w:line="360" w:lineRule="auto"/>
        <w:rPr>
          <w:rFonts w:ascii="Arial" w:hAnsi="Arial" w:cs="Arial"/>
        </w:rPr>
      </w:pPr>
      <w:r w:rsidRPr="002B67BF">
        <w:rPr>
          <w:rFonts w:ascii="Arial" w:hAnsi="Arial" w:cs="Arial"/>
        </w:rPr>
        <w:lastRenderedPageBreak/>
        <w:t>Reviewing the relationship between the hormonal effects of menopause and performance anxiety</w:t>
      </w:r>
    </w:p>
    <w:p w:rsidR="000B1779" w:rsidRPr="002B67BF" w:rsidRDefault="000B1779" w:rsidP="000B1779">
      <w:pPr>
        <w:spacing w:line="360" w:lineRule="auto"/>
        <w:rPr>
          <w:rFonts w:ascii="Arial" w:hAnsi="Arial" w:cs="Arial"/>
          <w:b/>
          <w:u w:val="single"/>
        </w:rPr>
      </w:pPr>
      <w:r w:rsidRPr="002B67BF">
        <w:rPr>
          <w:rFonts w:ascii="Arial" w:hAnsi="Arial" w:cs="Arial"/>
          <w:b/>
          <w:u w:val="single"/>
        </w:rPr>
        <w:t>Part 1 – Portfolio</w:t>
      </w:r>
    </w:p>
    <w:p w:rsidR="000B1779" w:rsidRPr="002B67BF" w:rsidRDefault="000B1779" w:rsidP="000B1779">
      <w:pPr>
        <w:spacing w:line="360" w:lineRule="auto"/>
        <w:rPr>
          <w:rFonts w:ascii="Arial" w:hAnsi="Arial" w:cs="Arial"/>
          <w:b/>
        </w:rPr>
      </w:pPr>
      <w:r w:rsidRPr="002B67BF">
        <w:rPr>
          <w:rFonts w:ascii="Arial" w:hAnsi="Arial" w:cs="Arial"/>
          <w:b/>
        </w:rPr>
        <w:t>Introduction and rationale from the context of my work-based practise</w:t>
      </w:r>
    </w:p>
    <w:p w:rsidR="000B1779" w:rsidRPr="002B67BF" w:rsidRDefault="000B1779" w:rsidP="000B1779">
      <w:pPr>
        <w:spacing w:line="360" w:lineRule="auto"/>
        <w:rPr>
          <w:rFonts w:ascii="Arial" w:hAnsi="Arial" w:cs="Arial"/>
        </w:rPr>
      </w:pPr>
      <w:r w:rsidRPr="002B67BF">
        <w:rPr>
          <w:rFonts w:ascii="Arial" w:hAnsi="Arial" w:cs="Arial"/>
        </w:rPr>
        <w:t>During this study I will be conducting detailed research into the potential link between the hormonal effects of performance anxiety and the menopause in female singers. I will be reviewing the role of hormones during the menopause, and their effects on the female singer, and deciphering whether any similarities are shared with the hormonal effects through performance anxiety. To be able to understand any possible links between these two physiological and psychological events for female singers, I will need to research the role of hormones and their physical effects on the body. I predict that a large volume of material on hormones will be available by researching performance anxiety and its causes, as well as the psychological effects during the menopause. By looking at existing studies that show a link to stress and link to activating stress-hormones such as Young et al (2008), this could suggest a similar link between anxiety and hormones, which potentially could be applicable to menopause. In previous research studies I have looked in-depth at the physical effects of puberty on the voice for females, and how this can cause anxiety and concern around adolescent singing voices. Dr Bridget Sweet (2015) and her work with adolescent singers had spiked my interest and compelled me to research these topics for myself to benefit my adolescent students. Having previously outlined the research on adolescent voices, I want to push my research and understanding further to benefit my workplace and my adult female students by assisting them during difficult vocal experiences.</w:t>
      </w:r>
    </w:p>
    <w:p w:rsidR="000B1779" w:rsidRPr="002B67BF" w:rsidRDefault="000B1779" w:rsidP="000B1779">
      <w:pPr>
        <w:spacing w:line="360" w:lineRule="auto"/>
        <w:rPr>
          <w:rFonts w:ascii="Arial" w:hAnsi="Arial" w:cs="Arial"/>
        </w:rPr>
      </w:pPr>
      <w:r w:rsidRPr="002B67BF">
        <w:rPr>
          <w:rFonts w:ascii="Arial" w:hAnsi="Arial" w:cs="Arial"/>
        </w:rPr>
        <w:t>I am a small-town freelance vocal, and my student base is majority female singers, specialising in musical theatre and CCM.</w:t>
      </w:r>
      <w:r w:rsidRPr="002B67BF">
        <w:rPr>
          <w:rStyle w:val="CommentReference"/>
          <w:rFonts w:ascii="Arial" w:hAnsi="Arial" w:cs="Arial"/>
          <w:sz w:val="22"/>
          <w:szCs w:val="22"/>
        </w:rPr>
        <w:t xml:space="preserve"> </w:t>
      </w:r>
      <w:r w:rsidRPr="002B67BF">
        <w:rPr>
          <w:rFonts w:ascii="Arial" w:hAnsi="Arial" w:cs="Arial"/>
        </w:rPr>
        <w:t>My aims as a teacher are to help singers feel comfortable with their voices and to tackle any issues or concerns in a safe environment. Due to the lack of knowledge and experience these students have, some of them experience fluctuations in their vocal abilities and then become fearful and apprehensive when experiencing symptoms related to this. Females spend their entire lives dealing with hormones as they move from adolescence to adulthood, and the symptoms that relate to these hormones such as loss of power and pitch difficulties, contribute to the development of voice (Abitol et al, 1998). There is expansive research on how oestrogen, progesterone and testosterone affects the voice and what symptoms can arise from this, such as a lowering of speaking pitch, hoarseness and breaks in the voice</w:t>
      </w:r>
      <w:r w:rsidRPr="002B67BF">
        <w:rPr>
          <w:rFonts w:ascii="Arial" w:eastAsia="Times New Roman" w:hAnsi="Arial" w:cs="Arial"/>
          <w:lang w:eastAsia="en-GB"/>
        </w:rPr>
        <w:t xml:space="preserve"> (Gackle, 2014)</w:t>
      </w:r>
      <w:r w:rsidRPr="002B67BF">
        <w:rPr>
          <w:rFonts w:ascii="Arial" w:hAnsi="Arial" w:cs="Arial"/>
        </w:rPr>
        <w:t xml:space="preserve">. The terms ‘premenstrual vocal symptoms’ and ‘menopausal vocal symptoms’ have been developed from many researchers (Abitol et al 1999, Raj A et al 2008, Celik et al 2013), and the map of the female </w:t>
      </w:r>
      <w:r w:rsidRPr="002B67BF">
        <w:rPr>
          <w:rFonts w:ascii="Arial" w:hAnsi="Arial" w:cs="Arial"/>
        </w:rPr>
        <w:lastRenderedPageBreak/>
        <w:t>voice changing throughout the individual’s lives are not so unfamiliar now. Much of the research predating the early studies on female voices (Abitol et al 1999) such as Cooksey (1977) focuses on male voices, and particularly the hormonal change for male singers during puberty, with little to no focus on female voices of any age at all. I believe to improve my practise that an understanding of how the hormones affect female singers in all stages of life, is invaluable as a singing teacher, to help alleviate worry when encountering symptoms they don’t know why are occurring.</w:t>
      </w:r>
    </w:p>
    <w:p w:rsidR="000B1779" w:rsidRPr="002B67BF" w:rsidRDefault="000B1779" w:rsidP="000B1779">
      <w:pPr>
        <w:spacing w:line="360" w:lineRule="auto"/>
        <w:rPr>
          <w:rFonts w:ascii="Arial" w:hAnsi="Arial" w:cs="Arial"/>
        </w:rPr>
      </w:pPr>
      <w:r w:rsidRPr="002B67BF">
        <w:rPr>
          <w:rFonts w:ascii="Arial" w:hAnsi="Arial" w:cs="Arial"/>
        </w:rPr>
        <w:t>A preliminary look at hormones and singing can show that menopausal women suffer similar vocal symptoms to pre-menstrual singers characterized by lowered vocal intensity, vocal fatigue, decreased range, loss of high tones, loss of voice quality, vocal dysfunction and discomfort, throat dryness, frequent throat clearing and hawking, lower voice frequency level, increased roughness, and hoarseness (Raj et al 2010). Studies suggest this is due to the decline in hormones during the menopause (Abitol, J 1989). The psychological and emotional effects of this decline of vocalisation for females changing might cause them to feel apprehension in the use of their voices. Barefield (2012) outlined the fear that singers can experience when their voices do not align with what is considered ‘normal’. This fear of unusual vocal timbre or resonance can create anxiety to sing out in groups or on their own, and a series of bad singing experiences could magnify the fearful response. This is supported by Clark (2002) who found that when in fear, vocalists struggled in hearing tests to maintain accurate pitching and displayed unfavourable singing techniques.</w:t>
      </w:r>
    </w:p>
    <w:p w:rsidR="000B1779" w:rsidRPr="002B67BF" w:rsidRDefault="000B1779" w:rsidP="000B1779">
      <w:pPr>
        <w:spacing w:line="360" w:lineRule="auto"/>
        <w:rPr>
          <w:rFonts w:ascii="Arial" w:hAnsi="Arial" w:cs="Arial"/>
        </w:rPr>
      </w:pPr>
      <w:r w:rsidRPr="002B67BF">
        <w:rPr>
          <w:rFonts w:ascii="Arial" w:hAnsi="Arial" w:cs="Arial"/>
        </w:rPr>
        <w:t>There are relatively few publications that actively look for a link between menopause, hormones and performance anxiety, however the starting place for my literature review will be in menopause and then performance anxiety. I shall work my way through these two smaller literature reviews to find connections between them in relation to hormones and symptoms.</w:t>
      </w:r>
    </w:p>
    <w:p w:rsidR="000B1779" w:rsidRPr="002B67BF" w:rsidRDefault="000B1779" w:rsidP="000B1779">
      <w:pPr>
        <w:spacing w:line="360" w:lineRule="auto"/>
        <w:rPr>
          <w:rFonts w:ascii="Arial" w:hAnsi="Arial" w:cs="Arial"/>
        </w:rPr>
      </w:pPr>
      <w:r w:rsidRPr="002B67BF">
        <w:rPr>
          <w:rFonts w:ascii="Arial" w:hAnsi="Arial" w:cs="Arial"/>
        </w:rPr>
        <w:t>Potentially the downfalls of this study will be the vast amount of information there is on two entirely separate subjects, and the need to be rigorous in my literature review to hone in on the relevant research to assist me. Data collection and coding will be imperative and time consuming to be able to make a clear link between these two topics on the voice.</w:t>
      </w:r>
    </w:p>
    <w:p w:rsidR="00094661" w:rsidRDefault="000B1779" w:rsidP="000B1779">
      <w:pPr>
        <w:spacing w:line="360" w:lineRule="auto"/>
        <w:rPr>
          <w:rFonts w:ascii="Arial" w:hAnsi="Arial" w:cs="Arial"/>
        </w:rPr>
      </w:pPr>
      <w:r w:rsidRPr="002B67BF">
        <w:rPr>
          <w:rFonts w:ascii="Arial" w:hAnsi="Arial" w:cs="Arial"/>
        </w:rPr>
        <w:t xml:space="preserve">This literature review should help me to discover whether there is a link between the unusual vocal symptoms that effect the voice during menopause and the anxiety of singing when the voice is displaying unusual characteristics. I hope that through this research study, I will be able to create a clear line between these two areas of voice study, and construct a plan to be able to manage both the symptoms of menopause and the performance anxiety that could potentially accompany it. Through this I will be able to better my practise and assist my </w:t>
      </w:r>
      <w:r w:rsidRPr="002B67BF">
        <w:rPr>
          <w:rFonts w:ascii="Arial" w:hAnsi="Arial" w:cs="Arial"/>
        </w:rPr>
        <w:lastRenderedPageBreak/>
        <w:t>students that fall into this category, so that they can sing confidently. In my previous studies I have focused on the hormonal effects on the adolescent female voice, and the lower female voice in the aim to answer questions I had during this time to better my knowledge as a vocal coach. This study will help me no only to serve my practise and benefit my students, but also increase my own knowledge and answer my own questions surrounding menopause and its effects on s</w:t>
      </w:r>
      <w:r w:rsidR="00094661">
        <w:rPr>
          <w:rFonts w:ascii="Arial" w:hAnsi="Arial" w:cs="Arial"/>
        </w:rPr>
        <w:t>inging.</w:t>
      </w:r>
    </w:p>
    <w:p w:rsidR="00094661" w:rsidRPr="002B67BF" w:rsidRDefault="00094661" w:rsidP="000B1779">
      <w:pPr>
        <w:spacing w:line="360" w:lineRule="auto"/>
        <w:rPr>
          <w:rFonts w:ascii="Arial" w:hAnsi="Arial" w:cs="Arial"/>
        </w:rPr>
      </w:pPr>
    </w:p>
    <w:p w:rsidR="000B1779" w:rsidRPr="002B67BF" w:rsidRDefault="000B1779" w:rsidP="000B1779">
      <w:pPr>
        <w:spacing w:line="360" w:lineRule="auto"/>
        <w:rPr>
          <w:rFonts w:ascii="Arial" w:hAnsi="Arial" w:cs="Arial"/>
          <w:b/>
        </w:rPr>
      </w:pPr>
      <w:r w:rsidRPr="002B67BF">
        <w:rPr>
          <w:rFonts w:ascii="Arial" w:hAnsi="Arial" w:cs="Arial"/>
          <w:b/>
        </w:rPr>
        <w:t>Planned Programme of study</w:t>
      </w:r>
    </w:p>
    <w:p w:rsidR="000B1779" w:rsidRPr="002B67BF" w:rsidRDefault="000B1779" w:rsidP="000B1779">
      <w:pPr>
        <w:spacing w:line="360" w:lineRule="auto"/>
        <w:rPr>
          <w:rFonts w:ascii="Arial" w:hAnsi="Arial" w:cs="Arial"/>
          <w:b/>
        </w:rPr>
      </w:pPr>
      <w:r w:rsidRPr="002B67BF">
        <w:rPr>
          <w:rFonts w:ascii="Arial" w:hAnsi="Arial" w:cs="Arial"/>
          <w:b/>
        </w:rPr>
        <w:t>Learning Objectives:</w:t>
      </w:r>
    </w:p>
    <w:p w:rsidR="000B1779" w:rsidRPr="002B67BF" w:rsidRDefault="000B1779" w:rsidP="000B1779">
      <w:pPr>
        <w:pStyle w:val="ListParagraph"/>
        <w:numPr>
          <w:ilvl w:val="0"/>
          <w:numId w:val="1"/>
        </w:numPr>
        <w:spacing w:line="360" w:lineRule="auto"/>
        <w:rPr>
          <w:rFonts w:ascii="Arial" w:hAnsi="Arial" w:cs="Arial"/>
        </w:rPr>
      </w:pPr>
      <w:r w:rsidRPr="002B67BF">
        <w:rPr>
          <w:rFonts w:ascii="Arial" w:hAnsi="Arial" w:cs="Arial"/>
        </w:rPr>
        <w:t>To review the current literature on menopause and hormones, and anxiety and hormones, by searching through existing literature and pinpointing key articles relating to these subjects.</w:t>
      </w:r>
    </w:p>
    <w:p w:rsidR="000B1779" w:rsidRPr="002B67BF" w:rsidRDefault="000B1779" w:rsidP="000B1779">
      <w:pPr>
        <w:pStyle w:val="ListParagraph"/>
        <w:numPr>
          <w:ilvl w:val="0"/>
          <w:numId w:val="1"/>
        </w:numPr>
        <w:spacing w:line="360" w:lineRule="auto"/>
        <w:rPr>
          <w:rFonts w:ascii="Arial" w:hAnsi="Arial" w:cs="Arial"/>
        </w:rPr>
      </w:pPr>
      <w:r w:rsidRPr="002B67BF">
        <w:rPr>
          <w:rFonts w:ascii="Arial" w:hAnsi="Arial" w:cs="Arial"/>
        </w:rPr>
        <w:t>To understand the potential link of hormones being a common factor for menopause and anxiety when performing, through extensive analysis of existing research and literature and creating mind maps to cross-reference the research and find a potential link.</w:t>
      </w:r>
    </w:p>
    <w:p w:rsidR="000B1779" w:rsidRPr="002B67BF" w:rsidRDefault="000B1779" w:rsidP="000B1779">
      <w:pPr>
        <w:pStyle w:val="ListParagraph"/>
        <w:numPr>
          <w:ilvl w:val="0"/>
          <w:numId w:val="1"/>
        </w:numPr>
        <w:spacing w:line="360" w:lineRule="auto"/>
        <w:rPr>
          <w:rFonts w:ascii="Arial" w:hAnsi="Arial" w:cs="Arial"/>
        </w:rPr>
      </w:pPr>
      <w:r w:rsidRPr="002B67BF">
        <w:rPr>
          <w:rFonts w:ascii="Arial" w:hAnsi="Arial" w:cs="Arial"/>
        </w:rPr>
        <w:t>To create a plan to tackle these anxieties in menopausal women in performance, by outlining symptoms of the menopause and anxieties, and creating a programme of information for those who are suffering with anxieties in the menopause.</w:t>
      </w:r>
    </w:p>
    <w:p w:rsidR="000B1779" w:rsidRPr="002B67BF" w:rsidRDefault="000B1779" w:rsidP="000B1779">
      <w:pPr>
        <w:spacing w:line="360" w:lineRule="auto"/>
        <w:rPr>
          <w:rFonts w:ascii="Arial" w:hAnsi="Arial" w:cs="Arial"/>
          <w:b/>
        </w:rPr>
      </w:pPr>
      <w:r w:rsidRPr="002B67BF">
        <w:rPr>
          <w:rFonts w:ascii="Arial" w:hAnsi="Arial" w:cs="Arial"/>
          <w:b/>
        </w:rPr>
        <w:t>Personal Objectives:</w:t>
      </w:r>
    </w:p>
    <w:p w:rsidR="000B1779" w:rsidRPr="002B67BF" w:rsidRDefault="000B1779" w:rsidP="000B1779">
      <w:pPr>
        <w:pStyle w:val="ListParagraph"/>
        <w:numPr>
          <w:ilvl w:val="0"/>
          <w:numId w:val="1"/>
        </w:numPr>
        <w:spacing w:line="360" w:lineRule="auto"/>
        <w:rPr>
          <w:rFonts w:ascii="Arial" w:hAnsi="Arial" w:cs="Arial"/>
        </w:rPr>
      </w:pPr>
      <w:r w:rsidRPr="002B67BF">
        <w:rPr>
          <w:rFonts w:ascii="Arial" w:hAnsi="Arial" w:cs="Arial"/>
        </w:rPr>
        <w:t>To widen my knowledge on pre-menopausal and menopausal singing and improve my existing knowledge.</w:t>
      </w:r>
    </w:p>
    <w:p w:rsidR="000B1779" w:rsidRPr="002B67BF" w:rsidRDefault="000B1779" w:rsidP="000B1779">
      <w:pPr>
        <w:pStyle w:val="ListParagraph"/>
        <w:numPr>
          <w:ilvl w:val="0"/>
          <w:numId w:val="1"/>
        </w:numPr>
        <w:spacing w:line="360" w:lineRule="auto"/>
        <w:rPr>
          <w:rFonts w:ascii="Arial" w:hAnsi="Arial" w:cs="Arial"/>
        </w:rPr>
      </w:pPr>
      <w:r w:rsidRPr="002B67BF">
        <w:rPr>
          <w:rFonts w:ascii="Arial" w:hAnsi="Arial" w:cs="Arial"/>
        </w:rPr>
        <w:t>To understand the factors involved in performance anxiety when teaching those females who suffer from this, so that I can personalise lesson plans to work with students on tackling symptoms.</w:t>
      </w:r>
    </w:p>
    <w:p w:rsidR="000B1779" w:rsidRPr="002B67BF" w:rsidRDefault="000B1779" w:rsidP="000B1779">
      <w:pPr>
        <w:pStyle w:val="ListParagraph"/>
        <w:numPr>
          <w:ilvl w:val="0"/>
          <w:numId w:val="1"/>
        </w:numPr>
        <w:spacing w:line="360" w:lineRule="auto"/>
        <w:rPr>
          <w:rFonts w:ascii="Arial" w:hAnsi="Arial" w:cs="Arial"/>
        </w:rPr>
      </w:pPr>
      <w:r w:rsidRPr="002B67BF">
        <w:rPr>
          <w:rFonts w:ascii="Arial" w:hAnsi="Arial" w:cs="Arial"/>
        </w:rPr>
        <w:t>To better my practise and lessons as over half of my students are pre, during and post-menopausal women, making myself a more inclusive coach, with potential to further my practise specifically with menopausal singers.</w:t>
      </w:r>
    </w:p>
    <w:p w:rsidR="000B1779" w:rsidRPr="002B67BF" w:rsidRDefault="000B1779" w:rsidP="000B1779">
      <w:pPr>
        <w:spacing w:line="360" w:lineRule="auto"/>
        <w:rPr>
          <w:rFonts w:ascii="Arial" w:hAnsi="Arial" w:cs="Arial"/>
        </w:rPr>
      </w:pPr>
    </w:p>
    <w:p w:rsidR="00904799" w:rsidRDefault="00904799" w:rsidP="000B1779">
      <w:pPr>
        <w:spacing w:line="360" w:lineRule="auto"/>
        <w:rPr>
          <w:rFonts w:ascii="Arial" w:hAnsi="Arial" w:cs="Arial"/>
        </w:rPr>
      </w:pPr>
    </w:p>
    <w:p w:rsidR="00904799" w:rsidRDefault="00904799" w:rsidP="000B1779">
      <w:pPr>
        <w:spacing w:line="360" w:lineRule="auto"/>
        <w:rPr>
          <w:rFonts w:ascii="Arial" w:hAnsi="Arial" w:cs="Arial"/>
          <w:b/>
        </w:rPr>
      </w:pPr>
    </w:p>
    <w:p w:rsidR="00904799" w:rsidRDefault="00904799" w:rsidP="000B1779">
      <w:pPr>
        <w:spacing w:line="360" w:lineRule="auto"/>
        <w:rPr>
          <w:rFonts w:ascii="Arial" w:hAnsi="Arial" w:cs="Arial"/>
          <w:b/>
        </w:rPr>
      </w:pPr>
    </w:p>
    <w:tbl>
      <w:tblPr>
        <w:tblStyle w:val="TableGrid"/>
        <w:tblpPr w:leftFromText="180" w:rightFromText="180" w:vertAnchor="page" w:horzAnchor="margin" w:tblpY="2771"/>
        <w:tblW w:w="9776" w:type="dxa"/>
        <w:tblInd w:w="0" w:type="dxa"/>
        <w:tblLayout w:type="fixed"/>
        <w:tblLook w:val="04A0" w:firstRow="1" w:lastRow="0" w:firstColumn="1" w:lastColumn="0" w:noHBand="0" w:noVBand="1"/>
      </w:tblPr>
      <w:tblGrid>
        <w:gridCol w:w="1649"/>
        <w:gridCol w:w="331"/>
        <w:gridCol w:w="283"/>
        <w:gridCol w:w="284"/>
        <w:gridCol w:w="283"/>
        <w:gridCol w:w="284"/>
        <w:gridCol w:w="283"/>
        <w:gridCol w:w="284"/>
        <w:gridCol w:w="283"/>
        <w:gridCol w:w="284"/>
        <w:gridCol w:w="283"/>
        <w:gridCol w:w="284"/>
        <w:gridCol w:w="283"/>
        <w:gridCol w:w="284"/>
        <w:gridCol w:w="283"/>
        <w:gridCol w:w="284"/>
        <w:gridCol w:w="283"/>
        <w:gridCol w:w="284"/>
        <w:gridCol w:w="283"/>
        <w:gridCol w:w="284"/>
        <w:gridCol w:w="283"/>
        <w:gridCol w:w="2410"/>
      </w:tblGrid>
      <w:tr w:rsidR="00904799" w:rsidRPr="002B67BF" w:rsidTr="00904799">
        <w:trPr>
          <w:trHeight w:val="1112"/>
        </w:trPr>
        <w:tc>
          <w:tcPr>
            <w:tcW w:w="1649"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614" w:type="dxa"/>
            <w:gridSpan w:val="2"/>
            <w:tcBorders>
              <w:top w:val="single" w:sz="4" w:space="0" w:color="auto"/>
              <w:left w:val="single" w:sz="4" w:space="0" w:color="auto"/>
              <w:bottom w:val="single" w:sz="4" w:space="0" w:color="auto"/>
              <w:right w:val="single" w:sz="4" w:space="0" w:color="auto"/>
            </w:tcBorders>
            <w:hideMark/>
          </w:tcPr>
          <w:p w:rsidR="00904799" w:rsidRPr="002B67BF" w:rsidRDefault="00904799" w:rsidP="00904799">
            <w:pPr>
              <w:spacing w:line="360" w:lineRule="auto"/>
              <w:rPr>
                <w:rFonts w:ascii="Arial" w:hAnsi="Arial" w:cs="Arial"/>
                <w:b/>
              </w:rPr>
            </w:pPr>
            <w:r w:rsidRPr="002B67BF">
              <w:rPr>
                <w:rFonts w:ascii="Arial" w:hAnsi="Arial" w:cs="Arial"/>
                <w:b/>
              </w:rPr>
              <w:t>JULY 2023</w:t>
            </w:r>
          </w:p>
        </w:tc>
        <w:tc>
          <w:tcPr>
            <w:tcW w:w="1134" w:type="dxa"/>
            <w:gridSpan w:val="4"/>
            <w:tcBorders>
              <w:top w:val="single" w:sz="4" w:space="0" w:color="auto"/>
              <w:left w:val="single" w:sz="4" w:space="0" w:color="auto"/>
              <w:bottom w:val="single" w:sz="4" w:space="0" w:color="auto"/>
              <w:right w:val="single" w:sz="4" w:space="0" w:color="auto"/>
            </w:tcBorders>
            <w:hideMark/>
          </w:tcPr>
          <w:p w:rsidR="00904799" w:rsidRPr="002B67BF" w:rsidRDefault="00904799" w:rsidP="00904799">
            <w:pPr>
              <w:spacing w:line="360" w:lineRule="auto"/>
              <w:rPr>
                <w:rFonts w:ascii="Arial" w:hAnsi="Arial" w:cs="Arial"/>
                <w:b/>
              </w:rPr>
            </w:pPr>
            <w:r w:rsidRPr="002B67BF">
              <w:rPr>
                <w:rFonts w:ascii="Arial" w:hAnsi="Arial" w:cs="Arial"/>
                <w:b/>
              </w:rPr>
              <w:t>AUGUST 2023</w:t>
            </w:r>
          </w:p>
        </w:tc>
        <w:tc>
          <w:tcPr>
            <w:tcW w:w="1418" w:type="dxa"/>
            <w:gridSpan w:val="5"/>
            <w:tcBorders>
              <w:top w:val="single" w:sz="4" w:space="0" w:color="auto"/>
              <w:left w:val="single" w:sz="4" w:space="0" w:color="auto"/>
              <w:bottom w:val="single" w:sz="4" w:space="0" w:color="auto"/>
              <w:right w:val="single" w:sz="4" w:space="0" w:color="auto"/>
            </w:tcBorders>
            <w:hideMark/>
          </w:tcPr>
          <w:p w:rsidR="00904799" w:rsidRPr="002B67BF" w:rsidRDefault="00904799" w:rsidP="00904799">
            <w:pPr>
              <w:spacing w:line="360" w:lineRule="auto"/>
              <w:rPr>
                <w:rFonts w:ascii="Arial" w:hAnsi="Arial" w:cs="Arial"/>
                <w:b/>
              </w:rPr>
            </w:pPr>
            <w:r w:rsidRPr="002B67BF">
              <w:rPr>
                <w:rFonts w:ascii="Arial" w:hAnsi="Arial" w:cs="Arial"/>
                <w:b/>
              </w:rPr>
              <w:t>SEPTEMBER 2023</w:t>
            </w:r>
          </w:p>
        </w:tc>
        <w:tc>
          <w:tcPr>
            <w:tcW w:w="1134" w:type="dxa"/>
            <w:gridSpan w:val="4"/>
            <w:tcBorders>
              <w:top w:val="single" w:sz="4" w:space="0" w:color="auto"/>
              <w:left w:val="single" w:sz="4" w:space="0" w:color="auto"/>
              <w:bottom w:val="single" w:sz="4" w:space="0" w:color="auto"/>
              <w:right w:val="single" w:sz="4" w:space="0" w:color="auto"/>
            </w:tcBorders>
            <w:hideMark/>
          </w:tcPr>
          <w:p w:rsidR="00904799" w:rsidRPr="002B67BF" w:rsidRDefault="00904799" w:rsidP="00904799">
            <w:pPr>
              <w:spacing w:line="360" w:lineRule="auto"/>
              <w:rPr>
                <w:rFonts w:ascii="Arial" w:hAnsi="Arial" w:cs="Arial"/>
                <w:b/>
              </w:rPr>
            </w:pPr>
            <w:r w:rsidRPr="002B67BF">
              <w:rPr>
                <w:rFonts w:ascii="Arial" w:hAnsi="Arial" w:cs="Arial"/>
                <w:b/>
              </w:rPr>
              <w:t>OCTOBER 2023</w:t>
            </w:r>
          </w:p>
        </w:tc>
        <w:tc>
          <w:tcPr>
            <w:tcW w:w="1134" w:type="dxa"/>
            <w:gridSpan w:val="4"/>
            <w:tcBorders>
              <w:top w:val="single" w:sz="4" w:space="0" w:color="auto"/>
              <w:left w:val="single" w:sz="4" w:space="0" w:color="auto"/>
              <w:bottom w:val="single" w:sz="4" w:space="0" w:color="auto"/>
              <w:right w:val="single" w:sz="4" w:space="0" w:color="auto"/>
            </w:tcBorders>
            <w:hideMark/>
          </w:tcPr>
          <w:p w:rsidR="00904799" w:rsidRPr="002B67BF" w:rsidRDefault="00904799" w:rsidP="00904799">
            <w:pPr>
              <w:spacing w:line="360" w:lineRule="auto"/>
              <w:rPr>
                <w:rFonts w:ascii="Arial" w:hAnsi="Arial" w:cs="Arial"/>
                <w:b/>
              </w:rPr>
            </w:pPr>
            <w:r w:rsidRPr="002B67BF">
              <w:rPr>
                <w:rFonts w:ascii="Arial" w:hAnsi="Arial" w:cs="Arial"/>
                <w:b/>
              </w:rPr>
              <w:t>NOVEMBER 2023</w:t>
            </w:r>
          </w:p>
        </w:tc>
        <w:tc>
          <w:tcPr>
            <w:tcW w:w="2693" w:type="dxa"/>
            <w:gridSpan w:val="2"/>
            <w:tcBorders>
              <w:top w:val="single" w:sz="4" w:space="0" w:color="auto"/>
              <w:left w:val="single" w:sz="4" w:space="0" w:color="auto"/>
              <w:bottom w:val="single" w:sz="4" w:space="0" w:color="auto"/>
              <w:right w:val="single" w:sz="4" w:space="0" w:color="auto"/>
            </w:tcBorders>
            <w:hideMark/>
          </w:tcPr>
          <w:p w:rsidR="00904799" w:rsidRPr="002B67BF" w:rsidRDefault="00904799" w:rsidP="00904799">
            <w:pPr>
              <w:spacing w:line="360" w:lineRule="auto"/>
              <w:rPr>
                <w:rFonts w:ascii="Arial" w:hAnsi="Arial" w:cs="Arial"/>
                <w:b/>
              </w:rPr>
            </w:pPr>
            <w:r w:rsidRPr="002B67BF">
              <w:rPr>
                <w:rFonts w:ascii="Arial" w:hAnsi="Arial" w:cs="Arial"/>
                <w:b/>
              </w:rPr>
              <w:t>DECEMBER 2023</w:t>
            </w:r>
          </w:p>
        </w:tc>
      </w:tr>
      <w:tr w:rsidR="00904799" w:rsidRPr="002B67BF" w:rsidTr="00904799">
        <w:trPr>
          <w:trHeight w:val="1112"/>
        </w:trPr>
        <w:tc>
          <w:tcPr>
            <w:tcW w:w="1649" w:type="dxa"/>
            <w:tcBorders>
              <w:top w:val="single" w:sz="4" w:space="0" w:color="auto"/>
              <w:left w:val="single" w:sz="4" w:space="0" w:color="auto"/>
              <w:bottom w:val="single" w:sz="4" w:space="0" w:color="auto"/>
              <w:right w:val="single" w:sz="4" w:space="0" w:color="auto"/>
            </w:tcBorders>
            <w:hideMark/>
          </w:tcPr>
          <w:p w:rsidR="00904799" w:rsidRPr="002B67BF" w:rsidRDefault="00904799" w:rsidP="00904799">
            <w:pPr>
              <w:spacing w:line="360" w:lineRule="auto"/>
              <w:rPr>
                <w:rFonts w:ascii="Arial" w:hAnsi="Arial" w:cs="Arial"/>
              </w:rPr>
            </w:pPr>
            <w:r w:rsidRPr="002B67BF">
              <w:rPr>
                <w:rFonts w:ascii="Arial" w:hAnsi="Arial" w:cs="Arial"/>
              </w:rPr>
              <w:t>Contemplate title and agree on module title with tutor</w:t>
            </w:r>
          </w:p>
        </w:tc>
        <w:tc>
          <w:tcPr>
            <w:tcW w:w="331"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410"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r>
      <w:tr w:rsidR="00904799" w:rsidRPr="002B67BF" w:rsidTr="00904799">
        <w:trPr>
          <w:trHeight w:val="1083"/>
        </w:trPr>
        <w:tc>
          <w:tcPr>
            <w:tcW w:w="1649" w:type="dxa"/>
            <w:tcBorders>
              <w:top w:val="single" w:sz="4" w:space="0" w:color="auto"/>
              <w:left w:val="single" w:sz="4" w:space="0" w:color="auto"/>
              <w:bottom w:val="single" w:sz="4" w:space="0" w:color="auto"/>
              <w:right w:val="single" w:sz="4" w:space="0" w:color="auto"/>
            </w:tcBorders>
            <w:hideMark/>
          </w:tcPr>
          <w:p w:rsidR="00904799" w:rsidRPr="002B67BF" w:rsidRDefault="00904799" w:rsidP="00904799">
            <w:pPr>
              <w:spacing w:line="360" w:lineRule="auto"/>
              <w:rPr>
                <w:rFonts w:ascii="Arial" w:hAnsi="Arial" w:cs="Arial"/>
              </w:rPr>
            </w:pPr>
            <w:r w:rsidRPr="002B67BF">
              <w:rPr>
                <w:rFonts w:ascii="Arial" w:hAnsi="Arial" w:cs="Arial"/>
              </w:rPr>
              <w:t xml:space="preserve">Aims and </w:t>
            </w:r>
          </w:p>
          <w:p w:rsidR="00904799" w:rsidRPr="002B67BF" w:rsidRDefault="00904799" w:rsidP="00904799">
            <w:pPr>
              <w:spacing w:line="360" w:lineRule="auto"/>
              <w:rPr>
                <w:rFonts w:ascii="Arial" w:hAnsi="Arial" w:cs="Arial"/>
              </w:rPr>
            </w:pPr>
            <w:r w:rsidRPr="002B67BF">
              <w:rPr>
                <w:rFonts w:ascii="Arial" w:hAnsi="Arial" w:cs="Arial"/>
              </w:rPr>
              <w:t xml:space="preserve">objects to </w:t>
            </w:r>
          </w:p>
          <w:p w:rsidR="00904799" w:rsidRPr="002B67BF" w:rsidRDefault="00904799" w:rsidP="00904799">
            <w:pPr>
              <w:spacing w:line="360" w:lineRule="auto"/>
              <w:rPr>
                <w:rFonts w:ascii="Arial" w:hAnsi="Arial" w:cs="Arial"/>
              </w:rPr>
            </w:pPr>
            <w:r w:rsidRPr="002B67BF">
              <w:rPr>
                <w:rFonts w:ascii="Arial" w:hAnsi="Arial" w:cs="Arial"/>
              </w:rPr>
              <w:t xml:space="preserve">be agreed </w:t>
            </w:r>
          </w:p>
          <w:p w:rsidR="00904799" w:rsidRPr="002B67BF" w:rsidRDefault="00904799" w:rsidP="00904799">
            <w:pPr>
              <w:spacing w:line="360" w:lineRule="auto"/>
              <w:rPr>
                <w:rFonts w:ascii="Arial" w:hAnsi="Arial" w:cs="Arial"/>
              </w:rPr>
            </w:pPr>
            <w:r w:rsidRPr="002B67BF">
              <w:rPr>
                <w:rFonts w:ascii="Arial" w:hAnsi="Arial" w:cs="Arial"/>
              </w:rPr>
              <w:t xml:space="preserve">and written </w:t>
            </w:r>
          </w:p>
          <w:p w:rsidR="00904799" w:rsidRPr="002B67BF" w:rsidRDefault="00904799" w:rsidP="00904799">
            <w:pPr>
              <w:spacing w:line="360" w:lineRule="auto"/>
              <w:rPr>
                <w:rFonts w:ascii="Arial" w:hAnsi="Arial" w:cs="Arial"/>
                <w:b/>
                <w:u w:val="single"/>
              </w:rPr>
            </w:pPr>
            <w:r w:rsidRPr="002B67BF">
              <w:rPr>
                <w:rFonts w:ascii="Arial" w:hAnsi="Arial" w:cs="Arial"/>
              </w:rPr>
              <w:t>up</w:t>
            </w:r>
          </w:p>
        </w:tc>
        <w:tc>
          <w:tcPr>
            <w:tcW w:w="331"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410"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r>
      <w:tr w:rsidR="00904799" w:rsidRPr="002B67BF" w:rsidTr="00904799">
        <w:trPr>
          <w:trHeight w:val="792"/>
        </w:trPr>
        <w:tc>
          <w:tcPr>
            <w:tcW w:w="1649" w:type="dxa"/>
            <w:tcBorders>
              <w:top w:val="single" w:sz="4" w:space="0" w:color="auto"/>
              <w:left w:val="single" w:sz="4" w:space="0" w:color="auto"/>
              <w:bottom w:val="single" w:sz="4" w:space="0" w:color="auto"/>
              <w:right w:val="single" w:sz="4" w:space="0" w:color="auto"/>
            </w:tcBorders>
            <w:hideMark/>
          </w:tcPr>
          <w:p w:rsidR="00904799" w:rsidRPr="002B67BF" w:rsidRDefault="00904799" w:rsidP="00904799">
            <w:pPr>
              <w:spacing w:line="360" w:lineRule="auto"/>
              <w:rPr>
                <w:rFonts w:ascii="Arial" w:hAnsi="Arial" w:cs="Arial"/>
              </w:rPr>
            </w:pPr>
            <w:r w:rsidRPr="002B67BF">
              <w:rPr>
                <w:rFonts w:ascii="Arial" w:hAnsi="Arial" w:cs="Arial"/>
              </w:rPr>
              <w:t>Lit &amp; book Review – forming Portfolio with methodological approach</w:t>
            </w:r>
          </w:p>
        </w:tc>
        <w:tc>
          <w:tcPr>
            <w:tcW w:w="331"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410"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r>
      <w:tr w:rsidR="00904799" w:rsidRPr="002B67BF" w:rsidTr="00904799">
        <w:trPr>
          <w:trHeight w:val="832"/>
        </w:trPr>
        <w:tc>
          <w:tcPr>
            <w:tcW w:w="1649" w:type="dxa"/>
            <w:tcBorders>
              <w:top w:val="single" w:sz="4" w:space="0" w:color="auto"/>
              <w:left w:val="single" w:sz="4" w:space="0" w:color="auto"/>
              <w:bottom w:val="single" w:sz="4" w:space="0" w:color="auto"/>
              <w:right w:val="single" w:sz="4" w:space="0" w:color="auto"/>
            </w:tcBorders>
            <w:hideMark/>
          </w:tcPr>
          <w:p w:rsidR="00904799" w:rsidRPr="002B67BF" w:rsidRDefault="00904799" w:rsidP="00904799">
            <w:pPr>
              <w:spacing w:line="360" w:lineRule="auto"/>
              <w:rPr>
                <w:rFonts w:ascii="Arial" w:hAnsi="Arial" w:cs="Arial"/>
              </w:rPr>
            </w:pPr>
            <w:r w:rsidRPr="002B67BF">
              <w:rPr>
                <w:rFonts w:ascii="Arial" w:hAnsi="Arial" w:cs="Arial"/>
              </w:rPr>
              <w:t>Write up initial draft of portfolio &amp; assignment reflecting the research</w:t>
            </w:r>
          </w:p>
        </w:tc>
        <w:tc>
          <w:tcPr>
            <w:tcW w:w="331"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410"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r>
      <w:tr w:rsidR="00904799" w:rsidRPr="002B67BF" w:rsidTr="00904799">
        <w:trPr>
          <w:trHeight w:val="1112"/>
        </w:trPr>
        <w:tc>
          <w:tcPr>
            <w:tcW w:w="1649" w:type="dxa"/>
            <w:tcBorders>
              <w:top w:val="single" w:sz="4" w:space="0" w:color="auto"/>
              <w:left w:val="single" w:sz="4" w:space="0" w:color="auto"/>
              <w:bottom w:val="single" w:sz="4" w:space="0" w:color="auto"/>
              <w:right w:val="single" w:sz="4" w:space="0" w:color="auto"/>
            </w:tcBorders>
            <w:hideMark/>
          </w:tcPr>
          <w:p w:rsidR="00904799" w:rsidRPr="002B67BF" w:rsidRDefault="00904799" w:rsidP="00904799">
            <w:pPr>
              <w:spacing w:line="360" w:lineRule="auto"/>
              <w:rPr>
                <w:rFonts w:ascii="Arial" w:hAnsi="Arial" w:cs="Arial"/>
                <w:b/>
                <w:u w:val="single"/>
              </w:rPr>
            </w:pPr>
            <w:r w:rsidRPr="002B67BF">
              <w:rPr>
                <w:rFonts w:ascii="Arial" w:hAnsi="Arial" w:cs="Arial"/>
              </w:rPr>
              <w:t>Critical review of learning process</w:t>
            </w:r>
          </w:p>
        </w:tc>
        <w:tc>
          <w:tcPr>
            <w:tcW w:w="331"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410"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r>
      <w:tr w:rsidR="00904799" w:rsidRPr="002B67BF" w:rsidTr="00904799">
        <w:trPr>
          <w:trHeight w:val="1112"/>
        </w:trPr>
        <w:tc>
          <w:tcPr>
            <w:tcW w:w="1649" w:type="dxa"/>
            <w:tcBorders>
              <w:top w:val="single" w:sz="4" w:space="0" w:color="auto"/>
              <w:left w:val="single" w:sz="4" w:space="0" w:color="auto"/>
              <w:bottom w:val="single" w:sz="4" w:space="0" w:color="auto"/>
              <w:right w:val="single" w:sz="4" w:space="0" w:color="auto"/>
            </w:tcBorders>
            <w:hideMark/>
          </w:tcPr>
          <w:p w:rsidR="00904799" w:rsidRPr="002B67BF" w:rsidRDefault="00904799" w:rsidP="00904799">
            <w:pPr>
              <w:spacing w:line="360" w:lineRule="auto"/>
              <w:rPr>
                <w:rFonts w:ascii="Arial" w:hAnsi="Arial" w:cs="Arial"/>
              </w:rPr>
            </w:pPr>
            <w:r w:rsidRPr="002B67BF">
              <w:rPr>
                <w:rFonts w:ascii="Arial" w:hAnsi="Arial" w:cs="Arial"/>
              </w:rPr>
              <w:t xml:space="preserve">Draft Study </w:t>
            </w:r>
          </w:p>
          <w:p w:rsidR="00904799" w:rsidRPr="002B67BF" w:rsidRDefault="00904799" w:rsidP="00904799">
            <w:pPr>
              <w:spacing w:line="360" w:lineRule="auto"/>
              <w:rPr>
                <w:rFonts w:ascii="Arial" w:hAnsi="Arial" w:cs="Arial"/>
              </w:rPr>
            </w:pPr>
            <w:r w:rsidRPr="002B67BF">
              <w:rPr>
                <w:rFonts w:ascii="Arial" w:hAnsi="Arial" w:cs="Arial"/>
              </w:rPr>
              <w:t>submission</w:t>
            </w:r>
          </w:p>
        </w:tc>
        <w:tc>
          <w:tcPr>
            <w:tcW w:w="331"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410"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r>
      <w:tr w:rsidR="00904799" w:rsidRPr="002B67BF" w:rsidTr="00904799">
        <w:trPr>
          <w:trHeight w:val="1112"/>
        </w:trPr>
        <w:tc>
          <w:tcPr>
            <w:tcW w:w="1649" w:type="dxa"/>
            <w:tcBorders>
              <w:top w:val="single" w:sz="4" w:space="0" w:color="auto"/>
              <w:left w:val="single" w:sz="4" w:space="0" w:color="auto"/>
              <w:bottom w:val="single" w:sz="4" w:space="0" w:color="auto"/>
              <w:right w:val="single" w:sz="4" w:space="0" w:color="auto"/>
            </w:tcBorders>
            <w:hideMark/>
          </w:tcPr>
          <w:p w:rsidR="00904799" w:rsidRPr="002B67BF" w:rsidRDefault="00904799" w:rsidP="00904799">
            <w:pPr>
              <w:spacing w:line="360" w:lineRule="auto"/>
              <w:rPr>
                <w:rFonts w:ascii="Arial" w:hAnsi="Arial" w:cs="Arial"/>
              </w:rPr>
            </w:pPr>
            <w:r w:rsidRPr="002B67BF">
              <w:rPr>
                <w:rFonts w:ascii="Arial" w:hAnsi="Arial" w:cs="Arial"/>
              </w:rPr>
              <w:lastRenderedPageBreak/>
              <w:t>Rewrite</w:t>
            </w:r>
          </w:p>
        </w:tc>
        <w:tc>
          <w:tcPr>
            <w:tcW w:w="331"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904799" w:rsidRPr="002B67BF" w:rsidRDefault="00904799" w:rsidP="00904799">
            <w:pPr>
              <w:spacing w:line="360" w:lineRule="auto"/>
              <w:rPr>
                <w:rFonts w:ascii="Arial" w:hAnsi="Arial" w:cs="Arial"/>
                <w:b/>
                <w:u w:val="single"/>
              </w:rPr>
            </w:pPr>
          </w:p>
        </w:tc>
        <w:tc>
          <w:tcPr>
            <w:tcW w:w="2410"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r>
      <w:tr w:rsidR="00904799" w:rsidRPr="002B67BF" w:rsidTr="00904799">
        <w:trPr>
          <w:trHeight w:val="1112"/>
        </w:trPr>
        <w:tc>
          <w:tcPr>
            <w:tcW w:w="1649" w:type="dxa"/>
            <w:tcBorders>
              <w:top w:val="single" w:sz="4" w:space="0" w:color="auto"/>
              <w:left w:val="single" w:sz="4" w:space="0" w:color="auto"/>
              <w:bottom w:val="single" w:sz="4" w:space="0" w:color="auto"/>
              <w:right w:val="single" w:sz="4" w:space="0" w:color="auto"/>
            </w:tcBorders>
            <w:hideMark/>
          </w:tcPr>
          <w:p w:rsidR="00904799" w:rsidRPr="002B67BF" w:rsidRDefault="00904799" w:rsidP="00904799">
            <w:pPr>
              <w:spacing w:line="360" w:lineRule="auto"/>
              <w:rPr>
                <w:rFonts w:ascii="Arial" w:hAnsi="Arial" w:cs="Arial"/>
              </w:rPr>
            </w:pPr>
            <w:r w:rsidRPr="002B67BF">
              <w:rPr>
                <w:rFonts w:ascii="Arial" w:hAnsi="Arial" w:cs="Arial"/>
              </w:rPr>
              <w:t>Final Submission</w:t>
            </w:r>
          </w:p>
        </w:tc>
        <w:tc>
          <w:tcPr>
            <w:tcW w:w="331"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4"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83" w:type="dxa"/>
            <w:tcBorders>
              <w:top w:val="single" w:sz="4" w:space="0" w:color="auto"/>
              <w:left w:val="single" w:sz="4" w:space="0" w:color="auto"/>
              <w:bottom w:val="single" w:sz="4" w:space="0" w:color="auto"/>
              <w:right w:val="single" w:sz="4" w:space="0" w:color="auto"/>
            </w:tcBorders>
          </w:tcPr>
          <w:p w:rsidR="00904799" w:rsidRPr="002B67BF" w:rsidRDefault="00904799" w:rsidP="00904799">
            <w:pPr>
              <w:spacing w:line="360" w:lineRule="auto"/>
              <w:rPr>
                <w:rFonts w:ascii="Arial" w:hAnsi="Arial" w:cs="Arial"/>
                <w:b/>
                <w:u w:val="single"/>
              </w:rPr>
            </w:pPr>
          </w:p>
        </w:tc>
        <w:tc>
          <w:tcPr>
            <w:tcW w:w="2410"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904799" w:rsidRPr="002B67BF" w:rsidRDefault="00904799" w:rsidP="00904799">
            <w:pPr>
              <w:spacing w:line="360" w:lineRule="auto"/>
              <w:rPr>
                <w:rFonts w:ascii="Arial" w:hAnsi="Arial" w:cs="Arial"/>
                <w:b/>
                <w:u w:val="single"/>
              </w:rPr>
            </w:pPr>
          </w:p>
        </w:tc>
      </w:tr>
    </w:tbl>
    <w:p w:rsidR="000B1779" w:rsidRPr="002B67BF" w:rsidRDefault="000B1779" w:rsidP="000B1779">
      <w:pPr>
        <w:spacing w:line="360" w:lineRule="auto"/>
        <w:rPr>
          <w:rFonts w:ascii="Arial" w:hAnsi="Arial" w:cs="Arial"/>
        </w:rPr>
      </w:pPr>
    </w:p>
    <w:p w:rsidR="000B1779" w:rsidRPr="002B67BF" w:rsidRDefault="000B1779" w:rsidP="000B1779">
      <w:pPr>
        <w:spacing w:line="360" w:lineRule="auto"/>
        <w:rPr>
          <w:rFonts w:ascii="Arial" w:hAnsi="Arial" w:cs="Arial"/>
          <w:u w:val="single"/>
        </w:rPr>
      </w:pPr>
    </w:p>
    <w:p w:rsidR="000B1779" w:rsidRPr="002B67BF" w:rsidRDefault="000B1779" w:rsidP="000B1779">
      <w:pPr>
        <w:spacing w:line="360" w:lineRule="auto"/>
        <w:rPr>
          <w:rFonts w:ascii="Arial" w:hAnsi="Arial" w:cs="Arial"/>
          <w:b/>
        </w:rPr>
      </w:pPr>
      <w:r w:rsidRPr="002B67BF">
        <w:rPr>
          <w:rFonts w:ascii="Arial" w:hAnsi="Arial" w:cs="Arial"/>
          <w:b/>
        </w:rPr>
        <w:t>Literature Review Process</w:t>
      </w:r>
    </w:p>
    <w:p w:rsidR="000B1779" w:rsidRPr="002B67BF" w:rsidRDefault="000B1779" w:rsidP="000B1779">
      <w:pPr>
        <w:spacing w:line="360" w:lineRule="auto"/>
        <w:rPr>
          <w:rFonts w:ascii="Arial" w:hAnsi="Arial" w:cs="Arial"/>
        </w:rPr>
      </w:pPr>
      <w:r w:rsidRPr="002B67BF">
        <w:rPr>
          <w:rFonts w:ascii="Arial" w:hAnsi="Arial" w:cs="Arial"/>
        </w:rPr>
        <w:t>To initiate my literature review process, I formed six questions to help define and focus my research over two broad topics:</w:t>
      </w:r>
    </w:p>
    <w:p w:rsidR="000B1779" w:rsidRPr="002B67BF" w:rsidRDefault="000B1779" w:rsidP="000B1779">
      <w:pPr>
        <w:pStyle w:val="ListParagraph"/>
        <w:numPr>
          <w:ilvl w:val="0"/>
          <w:numId w:val="4"/>
        </w:numPr>
        <w:spacing w:line="360" w:lineRule="auto"/>
        <w:rPr>
          <w:rFonts w:ascii="Arial" w:hAnsi="Arial" w:cs="Arial"/>
        </w:rPr>
      </w:pPr>
      <w:r w:rsidRPr="002B67BF">
        <w:rPr>
          <w:rFonts w:ascii="Arial" w:hAnsi="Arial" w:cs="Arial"/>
        </w:rPr>
        <w:t>What role do hormones play in the menopause?</w:t>
      </w:r>
    </w:p>
    <w:p w:rsidR="000B1779" w:rsidRPr="002B67BF" w:rsidRDefault="000B1779" w:rsidP="000B1779">
      <w:pPr>
        <w:pStyle w:val="ListParagraph"/>
        <w:numPr>
          <w:ilvl w:val="0"/>
          <w:numId w:val="4"/>
        </w:numPr>
        <w:spacing w:line="360" w:lineRule="auto"/>
        <w:rPr>
          <w:rFonts w:ascii="Arial" w:hAnsi="Arial" w:cs="Arial"/>
        </w:rPr>
      </w:pPr>
      <w:r w:rsidRPr="002B67BF">
        <w:rPr>
          <w:rFonts w:ascii="Arial" w:hAnsi="Arial" w:cs="Arial"/>
        </w:rPr>
        <w:t>What role do hormones play regarding anxiety?</w:t>
      </w:r>
    </w:p>
    <w:p w:rsidR="000B1779" w:rsidRPr="002B67BF" w:rsidRDefault="000B1779" w:rsidP="000B1779">
      <w:pPr>
        <w:pStyle w:val="ListParagraph"/>
        <w:numPr>
          <w:ilvl w:val="0"/>
          <w:numId w:val="4"/>
        </w:numPr>
        <w:spacing w:line="360" w:lineRule="auto"/>
        <w:rPr>
          <w:rFonts w:ascii="Arial" w:hAnsi="Arial" w:cs="Arial"/>
        </w:rPr>
      </w:pPr>
      <w:r w:rsidRPr="002B67BF">
        <w:rPr>
          <w:rFonts w:ascii="Arial" w:hAnsi="Arial" w:cs="Arial"/>
        </w:rPr>
        <w:t>What links are there between anxiety and performance?</w:t>
      </w:r>
    </w:p>
    <w:p w:rsidR="000B1779" w:rsidRPr="002B67BF" w:rsidRDefault="000B1779" w:rsidP="000B1779">
      <w:pPr>
        <w:pStyle w:val="ListParagraph"/>
        <w:numPr>
          <w:ilvl w:val="0"/>
          <w:numId w:val="4"/>
        </w:numPr>
        <w:spacing w:line="360" w:lineRule="auto"/>
        <w:rPr>
          <w:rFonts w:ascii="Arial" w:hAnsi="Arial" w:cs="Arial"/>
        </w:rPr>
      </w:pPr>
      <w:r w:rsidRPr="002B67BF">
        <w:rPr>
          <w:rFonts w:ascii="Arial" w:hAnsi="Arial" w:cs="Arial"/>
        </w:rPr>
        <w:t>Can we create a programme that aims to manage menopausal symptoms and performance anxiety for menopausal female singers?</w:t>
      </w:r>
    </w:p>
    <w:p w:rsidR="000B1779" w:rsidRPr="002B67BF" w:rsidRDefault="000B1779" w:rsidP="000B1779">
      <w:pPr>
        <w:spacing w:line="360" w:lineRule="auto"/>
        <w:rPr>
          <w:rFonts w:ascii="Arial" w:hAnsi="Arial" w:cs="Arial"/>
        </w:rPr>
      </w:pPr>
      <w:r w:rsidRPr="002B67BF">
        <w:rPr>
          <w:rFonts w:ascii="Arial" w:hAnsi="Arial" w:cs="Arial"/>
        </w:rPr>
        <w:t>My literature review planning stage follows Cooper (2010) and their work on research synthesis. Research synthesis consists of eight steps as outlined by Cooper (2010);</w:t>
      </w:r>
    </w:p>
    <w:p w:rsidR="000B1779" w:rsidRPr="002B67BF" w:rsidRDefault="000B1779" w:rsidP="000B1779">
      <w:pPr>
        <w:pStyle w:val="ListParagraph"/>
        <w:numPr>
          <w:ilvl w:val="0"/>
          <w:numId w:val="3"/>
        </w:numPr>
        <w:spacing w:line="360" w:lineRule="auto"/>
        <w:rPr>
          <w:rFonts w:ascii="Arial" w:hAnsi="Arial" w:cs="Arial"/>
        </w:rPr>
      </w:pPr>
      <w:r w:rsidRPr="002B67BF">
        <w:rPr>
          <w:rFonts w:ascii="Arial" w:hAnsi="Arial" w:cs="Arial"/>
        </w:rPr>
        <w:t>Step 1 – Formulating the problem</w:t>
      </w:r>
    </w:p>
    <w:p w:rsidR="000B1779" w:rsidRPr="002B67BF" w:rsidRDefault="000B1779" w:rsidP="000B1779">
      <w:pPr>
        <w:pStyle w:val="ListParagraph"/>
        <w:numPr>
          <w:ilvl w:val="0"/>
          <w:numId w:val="3"/>
        </w:numPr>
        <w:spacing w:line="360" w:lineRule="auto"/>
        <w:rPr>
          <w:rFonts w:ascii="Arial" w:hAnsi="Arial" w:cs="Arial"/>
        </w:rPr>
      </w:pPr>
      <w:r w:rsidRPr="002B67BF">
        <w:rPr>
          <w:rFonts w:ascii="Arial" w:hAnsi="Arial" w:cs="Arial"/>
        </w:rPr>
        <w:t>Step 2 – Searching the literature</w:t>
      </w:r>
    </w:p>
    <w:p w:rsidR="000B1779" w:rsidRPr="002B67BF" w:rsidRDefault="000B1779" w:rsidP="000B1779">
      <w:pPr>
        <w:pStyle w:val="ListParagraph"/>
        <w:numPr>
          <w:ilvl w:val="0"/>
          <w:numId w:val="3"/>
        </w:numPr>
        <w:spacing w:line="360" w:lineRule="auto"/>
        <w:rPr>
          <w:rFonts w:ascii="Arial" w:hAnsi="Arial" w:cs="Arial"/>
        </w:rPr>
      </w:pPr>
      <w:r w:rsidRPr="002B67BF">
        <w:rPr>
          <w:rFonts w:ascii="Arial" w:hAnsi="Arial" w:cs="Arial"/>
        </w:rPr>
        <w:t>Step 3 – Gathering information from studies</w:t>
      </w:r>
    </w:p>
    <w:p w:rsidR="000B1779" w:rsidRPr="002B67BF" w:rsidRDefault="000B1779" w:rsidP="000B1779">
      <w:pPr>
        <w:pStyle w:val="ListParagraph"/>
        <w:numPr>
          <w:ilvl w:val="0"/>
          <w:numId w:val="3"/>
        </w:numPr>
        <w:spacing w:line="360" w:lineRule="auto"/>
        <w:rPr>
          <w:rFonts w:ascii="Arial" w:hAnsi="Arial" w:cs="Arial"/>
        </w:rPr>
      </w:pPr>
      <w:r w:rsidRPr="002B67BF">
        <w:rPr>
          <w:rFonts w:ascii="Arial" w:hAnsi="Arial" w:cs="Arial"/>
        </w:rPr>
        <w:t>Step 4 – Evaluating the quality of studies</w:t>
      </w:r>
    </w:p>
    <w:p w:rsidR="000B1779" w:rsidRPr="002B67BF" w:rsidRDefault="000B1779" w:rsidP="000B1779">
      <w:pPr>
        <w:pStyle w:val="ListParagraph"/>
        <w:numPr>
          <w:ilvl w:val="0"/>
          <w:numId w:val="3"/>
        </w:numPr>
        <w:spacing w:line="360" w:lineRule="auto"/>
        <w:rPr>
          <w:rFonts w:ascii="Arial" w:hAnsi="Arial" w:cs="Arial"/>
        </w:rPr>
      </w:pPr>
      <w:r w:rsidRPr="002B67BF">
        <w:rPr>
          <w:rFonts w:ascii="Arial" w:hAnsi="Arial" w:cs="Arial"/>
        </w:rPr>
        <w:t>Step 5 – Analysing and integrating the outcome from studies</w:t>
      </w:r>
    </w:p>
    <w:p w:rsidR="000B1779" w:rsidRPr="002B67BF" w:rsidRDefault="000B1779" w:rsidP="000B1779">
      <w:pPr>
        <w:pStyle w:val="ListParagraph"/>
        <w:numPr>
          <w:ilvl w:val="0"/>
          <w:numId w:val="3"/>
        </w:numPr>
        <w:spacing w:line="360" w:lineRule="auto"/>
        <w:rPr>
          <w:rFonts w:ascii="Arial" w:hAnsi="Arial" w:cs="Arial"/>
        </w:rPr>
      </w:pPr>
      <w:r w:rsidRPr="002B67BF">
        <w:rPr>
          <w:rFonts w:ascii="Arial" w:hAnsi="Arial" w:cs="Arial"/>
        </w:rPr>
        <w:t>Step 6  - Interpreting the evidence</w:t>
      </w:r>
    </w:p>
    <w:p w:rsidR="000B1779" w:rsidRPr="002B67BF" w:rsidRDefault="000B1779" w:rsidP="000B1779">
      <w:pPr>
        <w:pStyle w:val="ListParagraph"/>
        <w:numPr>
          <w:ilvl w:val="0"/>
          <w:numId w:val="3"/>
        </w:numPr>
        <w:spacing w:line="360" w:lineRule="auto"/>
        <w:rPr>
          <w:rFonts w:ascii="Arial" w:hAnsi="Arial" w:cs="Arial"/>
        </w:rPr>
      </w:pPr>
      <w:r w:rsidRPr="002B67BF">
        <w:rPr>
          <w:rFonts w:ascii="Arial" w:hAnsi="Arial" w:cs="Arial"/>
        </w:rPr>
        <w:t>Step 7 – Presenting results</w:t>
      </w:r>
    </w:p>
    <w:p w:rsidR="000B1779" w:rsidRPr="002B67BF" w:rsidRDefault="000B1779" w:rsidP="000B1779">
      <w:pPr>
        <w:pStyle w:val="ListParagraph"/>
        <w:numPr>
          <w:ilvl w:val="0"/>
          <w:numId w:val="3"/>
        </w:numPr>
        <w:spacing w:line="360" w:lineRule="auto"/>
        <w:rPr>
          <w:rFonts w:ascii="Arial" w:hAnsi="Arial" w:cs="Arial"/>
        </w:rPr>
      </w:pPr>
      <w:r w:rsidRPr="002B67BF">
        <w:rPr>
          <w:rFonts w:ascii="Arial" w:hAnsi="Arial" w:cs="Arial"/>
        </w:rPr>
        <w:t>Step 8 - Conclusion</w:t>
      </w:r>
    </w:p>
    <w:p w:rsidR="000B1779" w:rsidRPr="002B67BF" w:rsidRDefault="000B1779" w:rsidP="000B1779">
      <w:pPr>
        <w:spacing w:line="360" w:lineRule="auto"/>
        <w:rPr>
          <w:rFonts w:ascii="Arial" w:hAnsi="Arial" w:cs="Arial"/>
        </w:rPr>
      </w:pPr>
      <w:r w:rsidRPr="002B67BF">
        <w:rPr>
          <w:rFonts w:ascii="Arial" w:hAnsi="Arial" w:cs="Arial"/>
        </w:rPr>
        <w:t>As I am approaching this literature review with little to no existing knowledge surrounding both my topic areas of menopause and performance anxiety in conjunction with the voice, I felt following a guide for literature analysis would give me a process where I could define my research to be clear and kept the narrative precise.</w:t>
      </w:r>
    </w:p>
    <w:p w:rsidR="000B1779" w:rsidRPr="002B67BF" w:rsidRDefault="000B1779" w:rsidP="000B1779">
      <w:pPr>
        <w:spacing w:line="360" w:lineRule="auto"/>
        <w:rPr>
          <w:rFonts w:ascii="Arial" w:hAnsi="Arial" w:cs="Arial"/>
        </w:rPr>
      </w:pPr>
      <w:r w:rsidRPr="002B67BF">
        <w:rPr>
          <w:rFonts w:ascii="Arial" w:hAnsi="Arial" w:cs="Arial"/>
        </w:rPr>
        <w:t xml:space="preserve">Following Coopers (2010) guide to a literature review, I utilised my six questions as a starting base when looking at existing research to help prevent an overload of information that is not useable. When researching existing literature, Cooper (2010) noted that focusing </w:t>
      </w:r>
      <w:r w:rsidRPr="002B67BF">
        <w:rPr>
          <w:rFonts w:ascii="Arial" w:hAnsi="Arial" w:cs="Arial"/>
        </w:rPr>
        <w:lastRenderedPageBreak/>
        <w:t>on target population and topic area would help keep research concise. By keeping the two targets in mind the research will form its own connections to the question being asked (Cooper 2010). With this research study, my topic and target area splits into two; menopausal singers and singers experiencing performance anxiety. Another research method I explored to help define my review was citation pearl growing (Boell &amp; Cecez-Kecmanovic, 2010). Pearl-growing a research method whereby the researcher uses key words or phrases as a basis for searches within a literature database. By focusing on keywords of articles and papers, I will be able to quickly find relating evidence and studies with the same keywords. This will be a starting base for finding studies to support my research, and by using some of the key words or phrases, such as “menopause”, “performance anxiety” or “hormonal effect” as per my four initial base questions as outlined above, I can aim to keep the articles relevant to my topic area.</w:t>
      </w:r>
    </w:p>
    <w:p w:rsidR="000B1779" w:rsidRPr="002B67BF" w:rsidRDefault="000B1779" w:rsidP="000B1779">
      <w:pPr>
        <w:spacing w:line="360" w:lineRule="auto"/>
        <w:rPr>
          <w:rFonts w:ascii="Arial" w:hAnsi="Arial" w:cs="Arial"/>
        </w:rPr>
      </w:pPr>
      <w:r w:rsidRPr="002B67BF">
        <w:rPr>
          <w:rFonts w:ascii="Arial" w:hAnsi="Arial" w:cs="Arial"/>
        </w:rPr>
        <w:t xml:space="preserve">Step 3 emphasises the importance of coding, and Cooper (2010) does outline a coding guide to be used to extract information in research relevant to your topic and synthesized question. This study aims to look at experiences from menopausal female singers, and those female singers who experience performance anxiety. Coding will be highly useful as this will outline key themes to be able to identify a common thread between these two diverse topics of research. This step is vital to access the accuracy of the information given in relation to the research question. </w:t>
      </w:r>
    </w:p>
    <w:p w:rsidR="000B1779" w:rsidRPr="002B67BF" w:rsidRDefault="000B1779" w:rsidP="000B1779">
      <w:pPr>
        <w:spacing w:line="360" w:lineRule="auto"/>
        <w:rPr>
          <w:rFonts w:ascii="Arial" w:hAnsi="Arial" w:cs="Arial"/>
        </w:rPr>
      </w:pPr>
      <w:r w:rsidRPr="002B67BF">
        <w:rPr>
          <w:rFonts w:ascii="Arial" w:hAnsi="Arial" w:cs="Arial"/>
        </w:rPr>
        <w:t xml:space="preserve">Step 4 is to review the quality of the studies, to check for relevance to the question being asked, and to differentiate those studies that are not relevant to the question. Valentine &amp; Cooper (2008) deducted a Study Design and Implementation Assessment Device to aid in determining the quality and validity of a study design. For all research studies it is imperative to determine how trustworthy a study is to use as supporting evidence or a framework for the research question (Edwards, Elwyn, Hood, &amp; Rollnick, 2000), therefore I will be deducting some tools regarding study validity from Valentine &amp; Cooper (2008) Study DIAD to support my literature review. Due to the development of the internet, there is an extensive and sometimes seemingly endless amount of peer reviews, journals and studies that are available to me. </w:t>
      </w:r>
    </w:p>
    <w:p w:rsidR="000B1779" w:rsidRPr="002B67BF" w:rsidRDefault="000B1779" w:rsidP="000B1779">
      <w:pPr>
        <w:spacing w:line="360" w:lineRule="auto"/>
        <w:rPr>
          <w:rFonts w:ascii="Arial" w:hAnsi="Arial" w:cs="Arial"/>
        </w:rPr>
      </w:pPr>
      <w:r w:rsidRPr="002B67BF">
        <w:rPr>
          <w:rFonts w:ascii="Arial" w:hAnsi="Arial" w:cs="Arial"/>
        </w:rPr>
        <w:t>Following Cooper’s (2010) step 5, I will then look at what procedures I will utilise to condense and combine research results. Condensing the results and defining a methodology for research based on existing literature, can help to</w:t>
      </w:r>
      <w:r w:rsidRPr="002B67BF">
        <w:rPr>
          <w:rStyle w:val="CommentReference"/>
          <w:rFonts w:ascii="Arial" w:hAnsi="Arial" w:cs="Arial"/>
          <w:sz w:val="22"/>
          <w:szCs w:val="22"/>
        </w:rPr>
        <w:t xml:space="preserve"> sh</w:t>
      </w:r>
      <w:r w:rsidRPr="002B67BF">
        <w:rPr>
          <w:rFonts w:ascii="Arial" w:hAnsi="Arial" w:cs="Arial"/>
        </w:rPr>
        <w:t>ow a clear and strong narrative for a research question (Hart, 1998). My interpretations will be constantly evolving as I gather more information through research (Heidegger, 2002). This leads onto how to approach Cooper (2010) step 6, by keeping strict guidelines when gathering data</w:t>
      </w:r>
      <w:r w:rsidRPr="002B67BF">
        <w:rPr>
          <w:rStyle w:val="CommentReference"/>
          <w:rFonts w:ascii="Arial" w:hAnsi="Arial" w:cs="Arial"/>
          <w:sz w:val="22"/>
          <w:szCs w:val="22"/>
        </w:rPr>
        <w:t>.</w:t>
      </w:r>
      <w:r w:rsidRPr="002B67BF">
        <w:rPr>
          <w:rFonts w:ascii="Arial" w:hAnsi="Arial" w:cs="Arial"/>
        </w:rPr>
        <w:t xml:space="preserve"> The </w:t>
      </w:r>
      <w:r w:rsidRPr="002B67BF">
        <w:rPr>
          <w:rFonts w:ascii="Arial" w:hAnsi="Arial" w:cs="Arial"/>
        </w:rPr>
        <w:lastRenderedPageBreak/>
        <w:t>complexity of collating multiple themes in this research study (menopausal symptoms and how they relate to hormones and performance anxiety) will require strict analysis of data and categorisation</w:t>
      </w:r>
      <w:r w:rsidRPr="002B67BF">
        <w:rPr>
          <w:rStyle w:val="CommentReference"/>
          <w:rFonts w:ascii="Arial" w:hAnsi="Arial" w:cs="Arial"/>
          <w:sz w:val="22"/>
          <w:szCs w:val="22"/>
        </w:rPr>
        <w:t xml:space="preserve"> through the use of coding and pearl growing, t</w:t>
      </w:r>
      <w:r w:rsidRPr="002B67BF">
        <w:rPr>
          <w:rFonts w:ascii="Arial" w:hAnsi="Arial" w:cs="Arial"/>
        </w:rPr>
        <w:t>o help me to develop an understanding of the material.</w:t>
      </w:r>
    </w:p>
    <w:p w:rsidR="000B1779" w:rsidRPr="002B67BF" w:rsidRDefault="000B1779" w:rsidP="000B1779">
      <w:pPr>
        <w:spacing w:line="360" w:lineRule="auto"/>
        <w:rPr>
          <w:rFonts w:ascii="Arial" w:hAnsi="Arial" w:cs="Arial"/>
        </w:rPr>
      </w:pPr>
      <w:r w:rsidRPr="002B67BF">
        <w:rPr>
          <w:rFonts w:ascii="Arial" w:hAnsi="Arial" w:cs="Arial"/>
        </w:rPr>
        <w:t>Accumulating all the data and results over my two topics will require scrutiny when presenting data. Cooper (2010) asks the question in step 7, “What information should be included in the report of the synthesis?”  (p. 286). Researchers who have outlined good ways to present qualitative data, such as Anderson (2010), state that the right amount of data will essentially be enough so that the reader can go off and conduct their own research from your data analysis. Anderson also created a checklist for authors of qualitative data publishing that includes a detailed breakdown as to a thorough literature review including presenting results for research. Some of the key points to my literature review I have deducted from this are determining the transferability of research findings to other settings, and outlining whether findings are presented in the context of any similar previous research and social theories. This will also merge into step 8, presenting a conclusion that shows my understanding of the literature itself, and my own deductions of the information and how this relates to my research question.</w:t>
      </w:r>
    </w:p>
    <w:p w:rsidR="000B1779" w:rsidRPr="002B67BF" w:rsidRDefault="000B1779" w:rsidP="000B1779">
      <w:pPr>
        <w:spacing w:line="360" w:lineRule="auto"/>
        <w:rPr>
          <w:rFonts w:ascii="Arial" w:hAnsi="Arial" w:cs="Arial"/>
        </w:rPr>
      </w:pPr>
    </w:p>
    <w:p w:rsidR="000B1779" w:rsidRPr="002B67BF" w:rsidRDefault="000B1779" w:rsidP="000B1779">
      <w:pPr>
        <w:spacing w:line="360" w:lineRule="auto"/>
        <w:rPr>
          <w:rFonts w:ascii="Arial" w:hAnsi="Arial" w:cs="Arial"/>
          <w:b/>
        </w:rPr>
      </w:pPr>
      <w:r w:rsidRPr="002B67BF">
        <w:rPr>
          <w:rFonts w:ascii="Arial" w:hAnsi="Arial" w:cs="Arial"/>
          <w:b/>
        </w:rPr>
        <w:t>Critical Reflection</w:t>
      </w:r>
    </w:p>
    <w:p w:rsidR="000B1779" w:rsidRPr="002B67BF" w:rsidRDefault="000B1779" w:rsidP="000B1779">
      <w:pPr>
        <w:spacing w:line="360" w:lineRule="auto"/>
        <w:rPr>
          <w:rFonts w:ascii="Arial" w:hAnsi="Arial" w:cs="Arial"/>
        </w:rPr>
      </w:pPr>
      <w:r w:rsidRPr="002B67BF">
        <w:rPr>
          <w:rFonts w:ascii="Arial" w:hAnsi="Arial" w:cs="Arial"/>
        </w:rPr>
        <w:t>When approaching this literature review, I wanted a clear and concise way of conducting the research, analysing the information and deducting my own conclusions based on my research topic. I was heavily aware of previous literature reviews not having a focused narrative, and the potential for me to go off topic was high. Reflection is an important part of research and of teaching in many ways, to recall, consider, and evaluate, usually in relation to a broader purpose (Richards, 1990). I also kept a research journal throughout this study, to be able to collaborate and review lots of information and notes on points that were relevant to my study question. The main goal of this was to allow myself to keep a record of the learning experiences and research highlights, as well as explore my own ideas and link together the different themes within my research (Bailey, 1990).</w:t>
      </w:r>
    </w:p>
    <w:p w:rsidR="000B1779" w:rsidRPr="002B67BF" w:rsidRDefault="000B1779" w:rsidP="000B1779">
      <w:pPr>
        <w:spacing w:line="360" w:lineRule="auto"/>
        <w:rPr>
          <w:rFonts w:ascii="Arial" w:hAnsi="Arial" w:cs="Arial"/>
        </w:rPr>
      </w:pPr>
      <w:r w:rsidRPr="002B67BF">
        <w:rPr>
          <w:rFonts w:ascii="Arial" w:hAnsi="Arial" w:cs="Arial"/>
        </w:rPr>
        <w:t>To continue this clear narrative for all aspects of this study, I decided to go with Johns (1995) Model of Reflection (Appendix 1), as this had five clear stages to follow, and is cyclic which allows for exploring the experience by moving between stages.</w:t>
      </w:r>
    </w:p>
    <w:p w:rsidR="000B1779" w:rsidRPr="002B67BF" w:rsidRDefault="000B1779" w:rsidP="000B1779">
      <w:pPr>
        <w:spacing w:line="360" w:lineRule="auto"/>
        <w:rPr>
          <w:rFonts w:ascii="Arial" w:hAnsi="Arial" w:cs="Arial"/>
        </w:rPr>
      </w:pPr>
    </w:p>
    <w:p w:rsidR="000B1779" w:rsidRPr="002B67BF" w:rsidRDefault="000B1779" w:rsidP="000B1779">
      <w:pPr>
        <w:spacing w:line="360" w:lineRule="auto"/>
        <w:rPr>
          <w:rFonts w:ascii="Arial" w:hAnsi="Arial" w:cs="Arial"/>
        </w:rPr>
      </w:pPr>
    </w:p>
    <w:p w:rsidR="000B1779" w:rsidRPr="002B67BF" w:rsidRDefault="000B1779" w:rsidP="000B1779">
      <w:pPr>
        <w:spacing w:line="360" w:lineRule="auto"/>
        <w:rPr>
          <w:rFonts w:ascii="Arial" w:hAnsi="Arial" w:cs="Arial"/>
        </w:rPr>
      </w:pPr>
    </w:p>
    <w:p w:rsidR="000B1779" w:rsidRPr="002B67BF" w:rsidRDefault="000B1779" w:rsidP="000B1779">
      <w:pPr>
        <w:spacing w:line="360" w:lineRule="auto"/>
        <w:rPr>
          <w:rFonts w:ascii="Arial" w:hAnsi="Arial" w:cs="Arial"/>
          <w:u w:val="single"/>
        </w:rPr>
      </w:pPr>
      <w:r w:rsidRPr="002B67BF">
        <w:rPr>
          <w:rFonts w:ascii="Arial" w:hAnsi="Arial" w:cs="Arial"/>
          <w:u w:val="single"/>
        </w:rPr>
        <w:t>Description of the experience</w:t>
      </w:r>
    </w:p>
    <w:p w:rsidR="000B1779" w:rsidRPr="002B67BF" w:rsidRDefault="000B1779" w:rsidP="000B1779">
      <w:pPr>
        <w:spacing w:line="360" w:lineRule="auto"/>
        <w:rPr>
          <w:rFonts w:ascii="Arial" w:hAnsi="Arial" w:cs="Arial"/>
        </w:rPr>
      </w:pPr>
      <w:r w:rsidRPr="002B67BF">
        <w:rPr>
          <w:rFonts w:ascii="Arial" w:hAnsi="Arial" w:cs="Arial"/>
        </w:rPr>
        <w:t>To coincide with Johns (1995) recommended first step ‘Description of the Experience’, this experience was a challenging one with lots of positive learning points. I conducted a research study which was based on life experiences applicable to a majority of my students. Due to a majority of my female students being aged 45 years and over, and following on from previous studies concerning the effects of hormones on younger life stages, it seemed logical and beneficial to my practise to conduct a literature review around the menopause. After some research, I decided to use the basis of Cooper‘s (2010) eight step process for conducting a literature review, to help guide my work and narrative, and help structure my research.  I chose Cooper (2010) because I found that the eight steps offered a thorough structure that could aid me in keeping a strong narrative in my analysis. Initiating step 1 of this process and formulating the idea was a much more time consuming step than I had envisaged. I went through many different versions of the question I used for this research study before I settled on something that would be specific and clear enough to conduct research on. I chose ‘</w:t>
      </w:r>
      <w:r w:rsidRPr="002B67BF">
        <w:rPr>
          <w:rFonts w:ascii="Arial" w:hAnsi="Arial" w:cs="Arial"/>
          <w:i/>
        </w:rPr>
        <w:t xml:space="preserve">Reviewing the relationship between the hormonal effects of menopause on singers and performance anxiety’ </w:t>
      </w:r>
      <w:r w:rsidRPr="002B67BF">
        <w:rPr>
          <w:rFonts w:ascii="Arial" w:hAnsi="Arial" w:cs="Arial"/>
        </w:rPr>
        <w:t>so that the question was more open to interpretation through the literature review process, as I was aware that my knowledge would expand and my interpretation of the information was not pre-set, therefore potentially changeable. I had anticipated a limited list of materials in this crossover field between menopause and performance anxiety. I was also aware that already this research question would have multiple starting points for research, and a variety of literature to read, review and analyse. To assist me with this, I found the pearl growing technique by Boell &amp; Cecez-Kecmanovic (2010) which allowed me to use key words and phrases in academic online search engines to pinpoint relevant journals and articles.</w:t>
      </w:r>
    </w:p>
    <w:p w:rsidR="000B1779" w:rsidRPr="002B67BF" w:rsidRDefault="000B1779" w:rsidP="000B1779">
      <w:pPr>
        <w:spacing w:line="360" w:lineRule="auto"/>
        <w:rPr>
          <w:rFonts w:ascii="Arial" w:hAnsi="Arial" w:cs="Arial"/>
        </w:rPr>
      </w:pPr>
      <w:r w:rsidRPr="002B67BF">
        <w:rPr>
          <w:rFonts w:ascii="Arial" w:hAnsi="Arial" w:cs="Arial"/>
        </w:rPr>
        <w:t xml:space="preserve"> From there I began to look into hormones and menopause, before researching into performance anxiety and hormones, and collating as much relevant information as possible using pearl growing techniques (Boell &amp; Cecez-Kecmanovic, 2010), by allowing keywords to form the basis of my searches. Once I began to notice linking keywords and patterns emergin between both of sets of literature, I paused my reading and began to find links between the information. This included a lot of cross referencing between the research journals I kept, one for each area of literature. This was time consuming and I feared that I had recorded a multitude of vague and irrelevant literature, that I would waste time sifting through and reviewing. </w:t>
      </w:r>
    </w:p>
    <w:p w:rsidR="000B1779" w:rsidRPr="002B67BF" w:rsidRDefault="000B1779" w:rsidP="000B1779">
      <w:pPr>
        <w:spacing w:line="360" w:lineRule="auto"/>
        <w:rPr>
          <w:rFonts w:ascii="Arial" w:hAnsi="Arial" w:cs="Arial"/>
        </w:rPr>
      </w:pPr>
      <w:r w:rsidRPr="002B67BF">
        <w:rPr>
          <w:rFonts w:ascii="Arial" w:hAnsi="Arial" w:cs="Arial"/>
        </w:rPr>
        <w:lastRenderedPageBreak/>
        <w:t xml:space="preserve">Then I began to formulate my own ideas, themes and I analysed the relationship between menopause and performance anxiety through hormones and their effects. Another worry was that I had stopped reading too early, followed shortly by the concern for reading too much and having too much literature to analyse and therefore running out of time to complete this study. </w:t>
      </w:r>
    </w:p>
    <w:p w:rsidR="000B1779" w:rsidRPr="002B67BF" w:rsidRDefault="000B1779" w:rsidP="000B1779">
      <w:pPr>
        <w:spacing w:line="360" w:lineRule="auto"/>
        <w:rPr>
          <w:rFonts w:ascii="Arial" w:hAnsi="Arial" w:cs="Arial"/>
          <w:u w:val="single"/>
        </w:rPr>
      </w:pPr>
      <w:r w:rsidRPr="002B67BF">
        <w:rPr>
          <w:rFonts w:ascii="Arial" w:hAnsi="Arial" w:cs="Arial"/>
        </w:rPr>
        <w:t xml:space="preserve">  </w:t>
      </w:r>
      <w:r w:rsidRPr="002B67BF">
        <w:rPr>
          <w:rFonts w:ascii="Arial" w:hAnsi="Arial" w:cs="Arial"/>
          <w:u w:val="single"/>
        </w:rPr>
        <w:t>Reflection</w:t>
      </w:r>
    </w:p>
    <w:p w:rsidR="000B1779" w:rsidRPr="002B67BF" w:rsidRDefault="000B1779" w:rsidP="000B1779">
      <w:pPr>
        <w:spacing w:line="360" w:lineRule="auto"/>
        <w:rPr>
          <w:rFonts w:ascii="Arial" w:hAnsi="Arial" w:cs="Arial"/>
        </w:rPr>
      </w:pPr>
      <w:r w:rsidRPr="002B67BF">
        <w:rPr>
          <w:rFonts w:ascii="Arial" w:hAnsi="Arial" w:cs="Arial"/>
        </w:rPr>
        <w:t xml:space="preserve">As majority of my private students are female vocalists that are either going through perimenopause, menopause or post-menopause, this seemed a very logical subject of study to help improve my practise. I felt as a vocal coach, having a thorough understanding of the problems my students face would help me to develop more adequate skills to assist them. Lots of my students frequently vocalise how they suffer with loss of power, voice cracking and a lowering of the vocal pitch with little knowledge as to why, and this in turn causes anxiety and fear over singing in lessons, as well as publicly. I wanted to expand my knowledge to help eradicate this anxiety over the unknown. </w:t>
      </w:r>
    </w:p>
    <w:p w:rsidR="000B1779" w:rsidRPr="002B67BF" w:rsidRDefault="000B1779" w:rsidP="000B1779">
      <w:pPr>
        <w:spacing w:line="360" w:lineRule="auto"/>
        <w:rPr>
          <w:rFonts w:ascii="Arial" w:hAnsi="Arial" w:cs="Arial"/>
        </w:rPr>
      </w:pPr>
      <w:r w:rsidRPr="002B67BF">
        <w:rPr>
          <w:rFonts w:ascii="Arial" w:hAnsi="Arial" w:cs="Arial"/>
        </w:rPr>
        <w:t xml:space="preserve">However, the subject of menopause and the subject of performance anxiety is very broad. This was a much larger task than I had envisioned, and as I was aware that I wanted my narrative throughout this study to be clear, I was very conscious of the amount of literature I was wading through to find links between these two subjects. I used pearl growing method outlined by Boell &amp; Cecez-Kecmanovic (2010), where you allow keywords to be the searches on internet search engines and within educational databases, and this was a really useful tool. It helped to cut down the time I spent trying to find relevant papers, and using Google Scholar, I put in keywords and key phrases such as “menopause and anxiety”. This created a more defined net of literature to go through, however this was still highly time consuming to find papers that were relevant to my study area. I also found coding the papers quite time consuming as well, and due to there being little to no studies on my specific search area, I couldn’t really find linking phrases to code together. This was highly frustrating and I found myself in a bit of a low patch when searching through the material.  </w:t>
      </w:r>
    </w:p>
    <w:p w:rsidR="000B1779" w:rsidRPr="002B67BF" w:rsidRDefault="000B1779" w:rsidP="000B1779">
      <w:pPr>
        <w:spacing w:line="360" w:lineRule="auto"/>
        <w:rPr>
          <w:rFonts w:ascii="Arial" w:hAnsi="Arial" w:cs="Arial"/>
        </w:rPr>
      </w:pPr>
      <w:r w:rsidRPr="002B67BF">
        <w:rPr>
          <w:rFonts w:ascii="Arial" w:hAnsi="Arial" w:cs="Arial"/>
        </w:rPr>
        <w:t>I found the time keeping aspect of this research study much more challenging than I initially expected. Although I kept to my GANT chart (table 1), I did find that the process of searching the literature and finding useful extracts took far longer than I initially thought. This then in turn put me behind when collating my results and analysing my work, which I feared would create a weak analysis. However, a sense of urgency was created through this and I actually managed more prolonged periods of study where I took the time to formulate in-depth analysis of the literature and creating a conclusion I was happy with.</w:t>
      </w:r>
    </w:p>
    <w:p w:rsidR="000B1779" w:rsidRPr="002B67BF" w:rsidRDefault="000B1779" w:rsidP="000B1779">
      <w:pPr>
        <w:spacing w:line="360" w:lineRule="auto"/>
        <w:rPr>
          <w:rFonts w:ascii="Arial" w:hAnsi="Arial" w:cs="Arial"/>
        </w:rPr>
      </w:pPr>
    </w:p>
    <w:p w:rsidR="000B1779" w:rsidRPr="002B67BF" w:rsidRDefault="000B1779" w:rsidP="000B1779">
      <w:pPr>
        <w:spacing w:line="360" w:lineRule="auto"/>
        <w:rPr>
          <w:rFonts w:ascii="Arial" w:hAnsi="Arial" w:cs="Arial"/>
        </w:rPr>
      </w:pPr>
    </w:p>
    <w:p w:rsidR="000B1779" w:rsidRPr="002B67BF" w:rsidRDefault="000B1779" w:rsidP="000B1779">
      <w:pPr>
        <w:spacing w:line="360" w:lineRule="auto"/>
        <w:rPr>
          <w:rFonts w:ascii="Arial" w:hAnsi="Arial" w:cs="Arial"/>
          <w:u w:val="single"/>
        </w:rPr>
      </w:pPr>
      <w:r w:rsidRPr="002B67BF">
        <w:rPr>
          <w:rFonts w:ascii="Arial" w:hAnsi="Arial" w:cs="Arial"/>
          <w:u w:val="single"/>
        </w:rPr>
        <w:t>Influencing factors</w:t>
      </w:r>
    </w:p>
    <w:p w:rsidR="000B1779" w:rsidRPr="002B67BF" w:rsidRDefault="000B1779" w:rsidP="000B1779">
      <w:pPr>
        <w:spacing w:line="360" w:lineRule="auto"/>
        <w:rPr>
          <w:rFonts w:ascii="Arial" w:hAnsi="Arial" w:cs="Arial"/>
        </w:rPr>
      </w:pPr>
      <w:r w:rsidRPr="002B67BF">
        <w:rPr>
          <w:rFonts w:ascii="Arial" w:hAnsi="Arial" w:cs="Arial"/>
        </w:rPr>
        <w:t xml:space="preserve">As with all research studies, there were definite influencing factors, both study-based and external personal issues that effected the way this study was conducted. </w:t>
      </w:r>
    </w:p>
    <w:p w:rsidR="000B1779" w:rsidRPr="002B67BF" w:rsidRDefault="000B1779" w:rsidP="000B1779">
      <w:pPr>
        <w:spacing w:line="360" w:lineRule="auto"/>
        <w:rPr>
          <w:rFonts w:ascii="Arial" w:hAnsi="Arial" w:cs="Arial"/>
        </w:rPr>
      </w:pPr>
      <w:r w:rsidRPr="002B67BF">
        <w:rPr>
          <w:rFonts w:ascii="Arial" w:hAnsi="Arial" w:cs="Arial"/>
        </w:rPr>
        <w:t>I initially started this research in July, and felt quite motivated, however a number of personal events happened, including moving house. This took up more of my energy on external issues, and due to a house move, I didn’t have the most ideal study ethic or place to formulate this essay. Not only did this put me behind on my timescale, but it also created more anxiety and distraction for me. Subsequently, conducting part two of this research study was disjointed, and there was large periods of time where I couldn’t and hadn’t revisited the research. As a developing writer, I was concerned this would create gaps in the narrative in this work, and I put extra time aside to be able to define and redefine my narrative.</w:t>
      </w:r>
    </w:p>
    <w:p w:rsidR="000B1779" w:rsidRPr="002B67BF" w:rsidRDefault="000B1779" w:rsidP="000B1779">
      <w:pPr>
        <w:spacing w:line="360" w:lineRule="auto"/>
        <w:rPr>
          <w:rFonts w:ascii="Arial" w:hAnsi="Arial" w:cs="Arial"/>
        </w:rPr>
      </w:pPr>
      <w:r w:rsidRPr="002B67BF">
        <w:rPr>
          <w:rFonts w:ascii="Arial" w:hAnsi="Arial" w:cs="Arial"/>
        </w:rPr>
        <w:t xml:space="preserve">Within my practise, as I began to read the literature and expand my knowledge on menopause and performance anxiety, I felt inclined to have discussions with my students of all ages and genders, on either or both topics as long as they were comfortable and consented. This proved really helpful with my motivation and focus, as I felt discussion surrounding the two topics helped me to find small links and prove some of the literature I was reading. For example, the extended research on hot flashes or flushing, such as Freeman et al (2005) was mirrored in some of my older female students. They agreed that they felt the flushing was linked highly to anxiety in their opinion, so I was motivated to go and research more to assist my students. </w:t>
      </w:r>
    </w:p>
    <w:p w:rsidR="000B1779" w:rsidRPr="002B67BF" w:rsidRDefault="000B1779" w:rsidP="000B1779">
      <w:pPr>
        <w:spacing w:line="360" w:lineRule="auto"/>
        <w:rPr>
          <w:rFonts w:ascii="Arial" w:hAnsi="Arial" w:cs="Arial"/>
        </w:rPr>
      </w:pPr>
      <w:r w:rsidRPr="002B67BF">
        <w:rPr>
          <w:rFonts w:ascii="Arial" w:hAnsi="Arial" w:cs="Arial"/>
        </w:rPr>
        <w:t xml:space="preserve"> These difficult conversations could have been quite uncomfortable for students, and unethical to be having in a lesson setting, whereas these potentially should be had with a registered GP or doctor for the individual.  This also eliminates any potential danger of confidentiality of individual’s health information, and doesn’t put me as a vocal coach in an unethical position.</w:t>
      </w:r>
    </w:p>
    <w:p w:rsidR="000B1779" w:rsidRPr="002B67BF" w:rsidRDefault="000B1779" w:rsidP="000B1779">
      <w:pPr>
        <w:spacing w:line="360" w:lineRule="auto"/>
        <w:rPr>
          <w:rFonts w:ascii="Arial" w:hAnsi="Arial" w:cs="Arial"/>
          <w:u w:val="single"/>
        </w:rPr>
      </w:pPr>
      <w:r w:rsidRPr="002B67BF">
        <w:rPr>
          <w:rFonts w:ascii="Arial" w:hAnsi="Arial" w:cs="Arial"/>
          <w:u w:val="single"/>
        </w:rPr>
        <w:t>Could I have dealt with it better?</w:t>
      </w:r>
    </w:p>
    <w:p w:rsidR="000B1779" w:rsidRPr="002B67BF" w:rsidRDefault="000B1779" w:rsidP="000B1779">
      <w:pPr>
        <w:spacing w:line="360" w:lineRule="auto"/>
        <w:rPr>
          <w:rFonts w:ascii="Arial" w:hAnsi="Arial" w:cs="Arial"/>
        </w:rPr>
      </w:pPr>
      <w:r w:rsidRPr="002B67BF">
        <w:rPr>
          <w:rFonts w:ascii="Arial" w:hAnsi="Arial" w:cs="Arial"/>
        </w:rPr>
        <w:t xml:space="preserve">This assignment challenged me more than previous assignments. Additionally, the personal pressure I put myself under to improve my writing skill, did add multiple levels of anxiety. Therefore I confirm I could have handled this assignment much better than I did. Better time management skills, more defined research topic areas and more scrutiny of my writing would have helped me create this assignment smoothly and coherently. Although I believe my work </w:t>
      </w:r>
      <w:r w:rsidRPr="002B67BF">
        <w:rPr>
          <w:rFonts w:ascii="Arial" w:hAnsi="Arial" w:cs="Arial"/>
        </w:rPr>
        <w:lastRenderedPageBreak/>
        <w:t xml:space="preserve">on such a large topic area is strong, and the analysis is in-depth, I also believe as individuals we can always improve. </w:t>
      </w:r>
    </w:p>
    <w:p w:rsidR="000B1779" w:rsidRPr="002B67BF" w:rsidRDefault="000B1779" w:rsidP="000B1779">
      <w:pPr>
        <w:spacing w:line="360" w:lineRule="auto"/>
        <w:rPr>
          <w:rFonts w:ascii="Arial" w:hAnsi="Arial" w:cs="Arial"/>
        </w:rPr>
      </w:pPr>
      <w:r w:rsidRPr="002B67BF">
        <w:rPr>
          <w:rFonts w:ascii="Arial" w:hAnsi="Arial" w:cs="Arial"/>
        </w:rPr>
        <w:t>In John’s (1995) model of reflection, this stage asks the learner about the other choices they had. I believe I had multiple other choices I could have taken during this assignment. Initially I could have chosen a different research title, or reworded this. This way I could have picked a more defined research title and potentially only focused on one area of the voice and performance, rather than two. However, the research title I settled on was to engulf two areas of the voice and performing that I faced frequently within my workspace. Another choice I could have made differently, was how I extracted specific and relevant information from the literature. I chose pearl growing, and I also used thought-mapping charts to make a note of the information I felt was relevant, and I cross referenced this. Another method I looked at when extracting data was Interpretive Phenomological Analysis or IPA (Reid et al, 2005), but this was looking specifically at the human experience of situations and life experiences. Although this did come into play slightly, as I was reviewing literature and not conducting a physical study, this wasn’t entirely relevant to my research. I felt this a method that would be useful for future research studies that I could conduct around this area, because menopause is a phase of life all females will go through, either natural or surgical, and is a unique experience with personal perspectives from each individual ( Sharon, 2006). Using IPA could be a great way of extracting qualitative data from life experiences relating to menopause, anxiety and vocalists.</w:t>
      </w:r>
    </w:p>
    <w:p w:rsidR="000B1779" w:rsidRPr="002B67BF" w:rsidRDefault="000B1779" w:rsidP="000B1779">
      <w:pPr>
        <w:spacing w:line="360" w:lineRule="auto"/>
        <w:rPr>
          <w:rFonts w:ascii="Arial" w:hAnsi="Arial" w:cs="Arial"/>
        </w:rPr>
      </w:pPr>
    </w:p>
    <w:p w:rsidR="000B1779" w:rsidRPr="002B67BF" w:rsidRDefault="000B1779" w:rsidP="000B1779">
      <w:pPr>
        <w:spacing w:line="360" w:lineRule="auto"/>
        <w:rPr>
          <w:rFonts w:ascii="Arial" w:hAnsi="Arial" w:cs="Arial"/>
          <w:u w:val="single"/>
        </w:rPr>
      </w:pPr>
      <w:r w:rsidRPr="002B67BF">
        <w:rPr>
          <w:rFonts w:ascii="Arial" w:hAnsi="Arial" w:cs="Arial"/>
          <w:u w:val="single"/>
        </w:rPr>
        <w:t>Learning</w:t>
      </w:r>
    </w:p>
    <w:p w:rsidR="000B1779" w:rsidRPr="002B67BF" w:rsidRDefault="000B1779" w:rsidP="000B1779">
      <w:pPr>
        <w:spacing w:line="360" w:lineRule="auto"/>
        <w:rPr>
          <w:rFonts w:ascii="Arial" w:hAnsi="Arial" w:cs="Arial"/>
        </w:rPr>
      </w:pPr>
      <w:r w:rsidRPr="002B67BF">
        <w:rPr>
          <w:rFonts w:ascii="Arial" w:hAnsi="Arial" w:cs="Arial"/>
        </w:rPr>
        <w:t>Finally, the reflection on what will change due to this experience, and how this experience has made me feel on multiple levels, is the final stage of Jo</w:t>
      </w:r>
      <w:r>
        <w:rPr>
          <w:rFonts w:ascii="Arial" w:hAnsi="Arial" w:cs="Arial"/>
        </w:rPr>
        <w:t>hn’s (1995) model of reflection (Appendix A).</w:t>
      </w:r>
    </w:p>
    <w:p w:rsidR="000B1779" w:rsidRPr="002B67BF" w:rsidRDefault="000B1779" w:rsidP="000B1779">
      <w:pPr>
        <w:spacing w:line="360" w:lineRule="auto"/>
        <w:rPr>
          <w:rFonts w:ascii="Arial" w:hAnsi="Arial" w:cs="Arial"/>
        </w:rPr>
      </w:pPr>
      <w:r w:rsidRPr="002B67BF">
        <w:rPr>
          <w:rFonts w:ascii="Arial" w:hAnsi="Arial" w:cs="Arial"/>
        </w:rPr>
        <w:t xml:space="preserve">The information I gathered through this research has changed my way of knowing majority of my students. I feel as though my expanding knowledge on menopause, and on performance anxiety, has better equipped me for my practise, as I know what to look out for and why these experience occur in female vocalists. On a scientific level, there is much more to research on regarding the menopause. As this is a life experience that I, as a cis-female, will inevitably experience this has made a huge personal impact on me for my future as an individual and as a vocalist. I am now more prepared, and inspired to look into the effects of menopause on the voice further. I conclude from my research that this is a subject that needs to be explored widely, and it would be beneficial to have more research that joins the  </w:t>
      </w:r>
    </w:p>
    <w:p w:rsidR="000B1779" w:rsidRPr="002B67BF" w:rsidRDefault="000B1779" w:rsidP="000B1779">
      <w:pPr>
        <w:spacing w:line="360" w:lineRule="auto"/>
        <w:rPr>
          <w:rFonts w:ascii="Arial" w:hAnsi="Arial" w:cs="Arial"/>
        </w:rPr>
      </w:pPr>
      <w:r w:rsidRPr="002B67BF">
        <w:rPr>
          <w:rFonts w:ascii="Arial" w:hAnsi="Arial" w:cs="Arial"/>
        </w:rPr>
        <w:lastRenderedPageBreak/>
        <w:t xml:space="preserve">On a moral level, this experience has made me feel enlightened as a vocal coach, as I feel I can face my students with more answers to the questions they may have about their changing voice. The possibility that hot flushes could link to performance anxiety is knowledge that I can pass onto some of my students knowing this will alleviate any worry or anxiety surrounding their changing voice. To be a vocal coach, or any kind of teacher to any kind of student, and withhold information about experience and afflictions that the individual has expressed discomfort to, could be potentially traumatic for that individual. I aspire for my practise to be a safe space for students, and a place they can come to when they are stressed or experiencing discomfort for answers. </w:t>
      </w:r>
    </w:p>
    <w:p w:rsidR="000B1779" w:rsidRPr="002B67BF" w:rsidRDefault="000B1779" w:rsidP="000B1779">
      <w:pPr>
        <w:spacing w:line="360" w:lineRule="auto"/>
        <w:rPr>
          <w:rFonts w:ascii="Arial" w:hAnsi="Arial" w:cs="Arial"/>
        </w:rPr>
      </w:pPr>
      <w:r w:rsidRPr="002B67BF">
        <w:rPr>
          <w:rFonts w:ascii="Arial" w:hAnsi="Arial" w:cs="Arial"/>
        </w:rPr>
        <w:t xml:space="preserve">On a personal level, this assignment has changed how I view my time-keeping skills, and my organisational skills. I want to improve for future studies, and by re-approaching my work and being clear, concise and focused on the research topic, I can achieve a good narrative and a strong analysis. </w:t>
      </w:r>
    </w:p>
    <w:p w:rsidR="000B1779" w:rsidRPr="002B67BF" w:rsidRDefault="000B1779" w:rsidP="000B1779">
      <w:pPr>
        <w:spacing w:line="360" w:lineRule="auto"/>
        <w:rPr>
          <w:rFonts w:ascii="Arial" w:hAnsi="Arial" w:cs="Arial"/>
        </w:rPr>
      </w:pPr>
    </w:p>
    <w:p w:rsidR="000B1779" w:rsidRDefault="000B1779" w:rsidP="000B1779">
      <w:pPr>
        <w:spacing w:line="360" w:lineRule="auto"/>
        <w:rPr>
          <w:rFonts w:ascii="Arial" w:hAnsi="Arial" w:cs="Arial"/>
        </w:rPr>
      </w:pPr>
    </w:p>
    <w:p w:rsidR="000B1779" w:rsidRDefault="000B1779" w:rsidP="000B1779">
      <w:pPr>
        <w:spacing w:line="360" w:lineRule="auto"/>
        <w:rPr>
          <w:rFonts w:ascii="Arial" w:hAnsi="Arial" w:cs="Arial"/>
        </w:rPr>
      </w:pPr>
    </w:p>
    <w:p w:rsidR="000B1779" w:rsidRDefault="000B1779" w:rsidP="000B1779">
      <w:pPr>
        <w:spacing w:line="360" w:lineRule="auto"/>
        <w:rPr>
          <w:rFonts w:ascii="Arial" w:hAnsi="Arial" w:cs="Arial"/>
        </w:rPr>
      </w:pPr>
    </w:p>
    <w:p w:rsidR="000B1779" w:rsidRDefault="000B1779" w:rsidP="000B1779">
      <w:pPr>
        <w:spacing w:line="360" w:lineRule="auto"/>
        <w:rPr>
          <w:rFonts w:ascii="Arial" w:hAnsi="Arial" w:cs="Arial"/>
        </w:rPr>
      </w:pPr>
    </w:p>
    <w:p w:rsidR="000B1779" w:rsidRDefault="000B1779" w:rsidP="000B1779">
      <w:pPr>
        <w:spacing w:line="360" w:lineRule="auto"/>
        <w:rPr>
          <w:rFonts w:ascii="Arial" w:hAnsi="Arial" w:cs="Arial"/>
        </w:rPr>
      </w:pPr>
    </w:p>
    <w:p w:rsidR="000B1779" w:rsidRDefault="000B1779" w:rsidP="000B1779">
      <w:pPr>
        <w:spacing w:line="360" w:lineRule="auto"/>
        <w:rPr>
          <w:rFonts w:ascii="Arial" w:hAnsi="Arial" w:cs="Arial"/>
        </w:rPr>
      </w:pPr>
    </w:p>
    <w:p w:rsidR="000B1779" w:rsidRDefault="000B1779" w:rsidP="000B1779">
      <w:pPr>
        <w:spacing w:line="360" w:lineRule="auto"/>
        <w:rPr>
          <w:rFonts w:ascii="Arial" w:hAnsi="Arial" w:cs="Arial"/>
        </w:rPr>
      </w:pPr>
    </w:p>
    <w:p w:rsidR="000B1779" w:rsidRDefault="000B1779" w:rsidP="000B1779">
      <w:pPr>
        <w:spacing w:line="360" w:lineRule="auto"/>
        <w:rPr>
          <w:rFonts w:ascii="Arial" w:hAnsi="Arial" w:cs="Arial"/>
        </w:rPr>
      </w:pPr>
    </w:p>
    <w:p w:rsidR="000B1779" w:rsidRDefault="000B1779" w:rsidP="000B1779">
      <w:pPr>
        <w:spacing w:line="360" w:lineRule="auto"/>
        <w:rPr>
          <w:rFonts w:ascii="Arial" w:hAnsi="Arial" w:cs="Arial"/>
        </w:rPr>
      </w:pPr>
    </w:p>
    <w:p w:rsidR="000B1779" w:rsidRDefault="000B1779" w:rsidP="000B1779">
      <w:pPr>
        <w:spacing w:line="360" w:lineRule="auto"/>
        <w:rPr>
          <w:rFonts w:ascii="Arial" w:hAnsi="Arial" w:cs="Arial"/>
        </w:rPr>
      </w:pPr>
    </w:p>
    <w:p w:rsidR="000B1779" w:rsidRDefault="000B1779" w:rsidP="000B1779">
      <w:pPr>
        <w:spacing w:line="360" w:lineRule="auto"/>
        <w:rPr>
          <w:rFonts w:ascii="Arial" w:hAnsi="Arial" w:cs="Arial"/>
        </w:rPr>
      </w:pPr>
    </w:p>
    <w:p w:rsidR="000B1779" w:rsidRDefault="000B1779" w:rsidP="000B1779">
      <w:pPr>
        <w:spacing w:line="360" w:lineRule="auto"/>
        <w:rPr>
          <w:rFonts w:ascii="Arial" w:hAnsi="Arial" w:cs="Arial"/>
        </w:rPr>
      </w:pPr>
    </w:p>
    <w:p w:rsidR="000B1779" w:rsidRDefault="000B1779" w:rsidP="000B1779">
      <w:pPr>
        <w:spacing w:line="360" w:lineRule="auto"/>
        <w:rPr>
          <w:rFonts w:ascii="Arial" w:hAnsi="Arial" w:cs="Arial"/>
          <w:b/>
        </w:rPr>
      </w:pPr>
    </w:p>
    <w:p w:rsidR="00904799" w:rsidRPr="002B67BF" w:rsidRDefault="00904799" w:rsidP="000B1779">
      <w:pPr>
        <w:spacing w:line="360" w:lineRule="auto"/>
        <w:rPr>
          <w:rFonts w:ascii="Arial" w:hAnsi="Arial" w:cs="Arial"/>
          <w:b/>
        </w:rPr>
      </w:pPr>
    </w:p>
    <w:p w:rsidR="000B1779" w:rsidRPr="002B67BF" w:rsidRDefault="000B1779" w:rsidP="000B1779">
      <w:pPr>
        <w:spacing w:line="360" w:lineRule="auto"/>
        <w:rPr>
          <w:rFonts w:ascii="Arial" w:hAnsi="Arial" w:cs="Arial"/>
          <w:b/>
        </w:rPr>
      </w:pPr>
    </w:p>
    <w:p w:rsidR="000B1779" w:rsidRPr="002B67BF" w:rsidRDefault="000B1779" w:rsidP="000B1779">
      <w:pPr>
        <w:spacing w:line="360" w:lineRule="auto"/>
        <w:rPr>
          <w:rFonts w:ascii="Arial" w:hAnsi="Arial" w:cs="Arial"/>
          <w:b/>
          <w:u w:val="single"/>
        </w:rPr>
      </w:pPr>
      <w:r w:rsidRPr="002B67BF">
        <w:rPr>
          <w:rFonts w:ascii="Arial" w:hAnsi="Arial" w:cs="Arial"/>
          <w:b/>
          <w:u w:val="single"/>
        </w:rPr>
        <w:lastRenderedPageBreak/>
        <w:t xml:space="preserve">Part </w:t>
      </w:r>
      <w:r w:rsidR="008F20A7" w:rsidRPr="002B67BF">
        <w:rPr>
          <w:rFonts w:ascii="Arial" w:hAnsi="Arial" w:cs="Arial"/>
          <w:b/>
          <w:u w:val="single"/>
        </w:rPr>
        <w:t>2:</w:t>
      </w:r>
      <w:r w:rsidRPr="002B67BF">
        <w:rPr>
          <w:rFonts w:ascii="Arial" w:hAnsi="Arial" w:cs="Arial"/>
          <w:b/>
          <w:u w:val="single"/>
        </w:rPr>
        <w:t xml:space="preserve"> The Assignment</w:t>
      </w:r>
    </w:p>
    <w:p w:rsidR="000B1779" w:rsidRDefault="000B1779" w:rsidP="000B1779">
      <w:pPr>
        <w:spacing w:line="360" w:lineRule="auto"/>
        <w:rPr>
          <w:rFonts w:ascii="Arial" w:hAnsi="Arial" w:cs="Arial"/>
          <w:i/>
        </w:rPr>
      </w:pPr>
      <w:r w:rsidRPr="002B67BF">
        <w:rPr>
          <w:rFonts w:ascii="Arial" w:hAnsi="Arial" w:cs="Arial"/>
          <w:i/>
        </w:rPr>
        <w:t>Reviewing the relationship between the hormonal effects of menopause on singers and performance anxiety</w:t>
      </w:r>
    </w:p>
    <w:p w:rsidR="00094661" w:rsidRPr="00094661" w:rsidRDefault="00094661" w:rsidP="000B1779">
      <w:pPr>
        <w:spacing w:line="360" w:lineRule="auto"/>
        <w:rPr>
          <w:rFonts w:ascii="Arial" w:hAnsi="Arial" w:cs="Arial"/>
          <w:b/>
          <w:u w:val="single"/>
        </w:rPr>
      </w:pPr>
      <w:r>
        <w:rPr>
          <w:rFonts w:ascii="Arial" w:hAnsi="Arial" w:cs="Arial"/>
          <w:b/>
          <w:u w:val="single"/>
        </w:rPr>
        <w:t>Introduction</w:t>
      </w:r>
    </w:p>
    <w:p w:rsidR="000B1779" w:rsidRPr="002B67BF" w:rsidRDefault="000B1779" w:rsidP="000B1779">
      <w:pPr>
        <w:spacing w:line="360" w:lineRule="auto"/>
        <w:rPr>
          <w:rFonts w:ascii="Arial" w:hAnsi="Arial" w:cs="Arial"/>
        </w:rPr>
      </w:pPr>
      <w:r w:rsidRPr="002B67BF">
        <w:rPr>
          <w:rFonts w:ascii="Arial" w:hAnsi="Arial" w:cs="Arial"/>
        </w:rPr>
        <w:t xml:space="preserve">In this independent study I will be reviewing and analysing the literature surrounding menopause and performance anxiety, with a critical view on whether hormones are the linking factor for cis-female vocalists that are experiencing performance anxiety during the menopause. During the five years I have been a vocal coach to a varying age of vocalists, I have been drawn to the female singer and the obstacles they face in the singing life cycle. My previous studies have focused on adolescent and young adult voices, and now my attention turns to those singers who are experiencing pre-menopausal and menopausal symptoms. My primary student base are cis-female singers aged between 30-60 years of age. The objective of this study is to expand my understanding of the menopause, and its potential relationship with performance anxiety, whilst deciphering whether hormones are the linking factor. I hope in turn this will benefit my student client base, and to potentially develop a teaching programme for these students with this new found knowledge. </w:t>
      </w:r>
    </w:p>
    <w:p w:rsidR="000B1779" w:rsidRPr="002B67BF" w:rsidRDefault="000B1779" w:rsidP="000B1779">
      <w:pPr>
        <w:spacing w:line="360" w:lineRule="auto"/>
        <w:rPr>
          <w:rFonts w:ascii="Arial" w:hAnsi="Arial" w:cs="Arial"/>
        </w:rPr>
      </w:pPr>
      <w:r w:rsidRPr="002B67BF">
        <w:rPr>
          <w:rFonts w:ascii="Arial" w:hAnsi="Arial" w:cs="Arial"/>
        </w:rPr>
        <w:t>To ensure my literature review was clear and coherent, I used Cooper’s (2010) eight step guide for conducting a literature review. For the initial step of formulating the problem and defining my research title, I formed four questions that outlined the narrative for the study. These were;</w:t>
      </w:r>
    </w:p>
    <w:p w:rsidR="000B1779" w:rsidRPr="002B67BF" w:rsidRDefault="000B1779" w:rsidP="000B1779">
      <w:pPr>
        <w:spacing w:line="360" w:lineRule="auto"/>
        <w:ind w:left="360"/>
        <w:rPr>
          <w:rFonts w:ascii="Arial" w:hAnsi="Arial" w:cs="Arial"/>
        </w:rPr>
      </w:pPr>
      <w:r w:rsidRPr="002B67BF">
        <w:rPr>
          <w:rFonts w:ascii="Arial" w:hAnsi="Arial" w:cs="Arial"/>
        </w:rPr>
        <w:t>1. What role do hormones play in the menopause?</w:t>
      </w:r>
    </w:p>
    <w:p w:rsidR="000B1779" w:rsidRPr="002B67BF" w:rsidRDefault="000B1779" w:rsidP="000B1779">
      <w:pPr>
        <w:spacing w:line="360" w:lineRule="auto"/>
        <w:ind w:left="360"/>
        <w:rPr>
          <w:rFonts w:ascii="Arial" w:hAnsi="Arial" w:cs="Arial"/>
        </w:rPr>
      </w:pPr>
      <w:r w:rsidRPr="002B67BF">
        <w:rPr>
          <w:rFonts w:ascii="Arial" w:hAnsi="Arial" w:cs="Arial"/>
        </w:rPr>
        <w:t>2. What role do hormones play regarding anxiety?</w:t>
      </w:r>
    </w:p>
    <w:p w:rsidR="000B1779" w:rsidRPr="002B67BF" w:rsidRDefault="000B1779" w:rsidP="000B1779">
      <w:pPr>
        <w:spacing w:line="360" w:lineRule="auto"/>
        <w:ind w:left="360"/>
        <w:rPr>
          <w:rFonts w:ascii="Arial" w:hAnsi="Arial" w:cs="Arial"/>
        </w:rPr>
      </w:pPr>
      <w:r w:rsidRPr="002B67BF">
        <w:rPr>
          <w:rFonts w:ascii="Arial" w:hAnsi="Arial" w:cs="Arial"/>
        </w:rPr>
        <w:t>3. What links are there between anxiety and performance?</w:t>
      </w:r>
    </w:p>
    <w:p w:rsidR="000B1779" w:rsidRPr="002B67BF" w:rsidRDefault="000B1779" w:rsidP="000B1779">
      <w:pPr>
        <w:pStyle w:val="ListParagraph"/>
        <w:numPr>
          <w:ilvl w:val="0"/>
          <w:numId w:val="5"/>
        </w:numPr>
        <w:spacing w:line="360" w:lineRule="auto"/>
        <w:rPr>
          <w:rFonts w:ascii="Arial" w:hAnsi="Arial" w:cs="Arial"/>
        </w:rPr>
      </w:pPr>
      <w:r w:rsidRPr="002B67BF">
        <w:rPr>
          <w:rFonts w:ascii="Arial" w:hAnsi="Arial" w:cs="Arial"/>
        </w:rPr>
        <w:t>Can we create a programme that aims to manage menopausal symptoms and performance anxiety for older female singers?</w:t>
      </w:r>
    </w:p>
    <w:p w:rsidR="000B1779" w:rsidRPr="002B67BF" w:rsidRDefault="000B1779" w:rsidP="000B1779">
      <w:pPr>
        <w:spacing w:line="360" w:lineRule="auto"/>
        <w:rPr>
          <w:rFonts w:ascii="Arial" w:hAnsi="Arial" w:cs="Arial"/>
        </w:rPr>
      </w:pPr>
      <w:r w:rsidRPr="002B67BF">
        <w:rPr>
          <w:rFonts w:ascii="Arial" w:hAnsi="Arial" w:cs="Arial"/>
        </w:rPr>
        <w:t xml:space="preserve">Using these questions, I came up with a hermeneutic approach to interpret and analyse the data by encompassing the existing literature as a guide for my research question (Patterson &amp; Pentland 2008). Looking at the hermeneutic circle, developed by Frederic Schleiermacher (1805), he suggested that researchers could develop empathy with text, similarly to the way a listener empathises with the emotion of a statement read out by a speaker. Through this research I didn’t only want to outline the hormonal effects that occur in female singers in a clinical sense regarding menopause and anxiety, I also wanted to expand the discussion to identify a link between the two, and understand the social and psychological pressures these </w:t>
      </w:r>
      <w:r w:rsidR="008F20A7" w:rsidRPr="002B67BF">
        <w:rPr>
          <w:rFonts w:ascii="Arial" w:hAnsi="Arial" w:cs="Arial"/>
        </w:rPr>
        <w:lastRenderedPageBreak/>
        <w:t>project onto</w:t>
      </w:r>
      <w:r w:rsidRPr="002B67BF">
        <w:rPr>
          <w:rFonts w:ascii="Arial" w:hAnsi="Arial" w:cs="Arial"/>
        </w:rPr>
        <w:t xml:space="preserve"> the older female singer. As supported by Dilthey (1988) who later emphasized the importance of social and historical context in guiding a researcher’s thoughts and actions in developing this understanding (Crotty, 1998), the objective of this study which was to create a programme to handle the changes associated with menopause and performance anxiety in female singers, one that was empathetic and allowed the user to relate on an emotional level. </w:t>
      </w:r>
    </w:p>
    <w:p w:rsidR="000B1779" w:rsidRPr="002B67BF" w:rsidRDefault="000B1779" w:rsidP="000B1779">
      <w:pPr>
        <w:spacing w:line="360" w:lineRule="auto"/>
        <w:rPr>
          <w:rFonts w:ascii="Arial" w:hAnsi="Arial" w:cs="Arial"/>
        </w:rPr>
      </w:pPr>
      <w:r w:rsidRPr="002B67BF">
        <w:rPr>
          <w:rFonts w:ascii="Arial" w:hAnsi="Arial" w:cs="Arial"/>
        </w:rPr>
        <w:t>For the extent of this study, all the research surrounding menopause, anxiety and performance will be devised from literature about both natural and surgical menopause. This research will also apply to cis-female singers, therefore is not entirely inclusive of all female singers.</w:t>
      </w:r>
    </w:p>
    <w:p w:rsidR="000B1779" w:rsidRPr="002B67BF" w:rsidRDefault="000B1779" w:rsidP="000B1779">
      <w:pPr>
        <w:spacing w:line="360" w:lineRule="auto"/>
        <w:rPr>
          <w:rFonts w:ascii="Arial" w:hAnsi="Arial" w:cs="Arial"/>
        </w:rPr>
      </w:pPr>
      <w:r w:rsidRPr="002B67BF">
        <w:rPr>
          <w:rFonts w:ascii="Arial" w:hAnsi="Arial" w:cs="Arial"/>
        </w:rPr>
        <w:t xml:space="preserve">In this assignment I will be looking at existing research on menopause and its physical and mental impacts on the voice and the singer as well as performance anxiety and its impacts on the voice and the singer. Through these two topics, I </w:t>
      </w:r>
      <w:r w:rsidR="0087451C">
        <w:rPr>
          <w:rFonts w:ascii="Arial" w:hAnsi="Arial" w:cs="Arial"/>
        </w:rPr>
        <w:t xml:space="preserve">intend to outline, analysis and </w:t>
      </w:r>
      <w:r w:rsidRPr="002B67BF">
        <w:rPr>
          <w:rFonts w:ascii="Arial" w:hAnsi="Arial" w:cs="Arial"/>
        </w:rPr>
        <w:t>conclude whether hormones are the potential link between these two areas relating to the voice.</w:t>
      </w:r>
    </w:p>
    <w:p w:rsidR="000B1779" w:rsidRPr="002B67BF" w:rsidRDefault="000B1779" w:rsidP="000B1779">
      <w:pPr>
        <w:spacing w:line="360" w:lineRule="auto"/>
        <w:rPr>
          <w:rFonts w:ascii="Arial" w:hAnsi="Arial" w:cs="Arial"/>
        </w:rPr>
      </w:pPr>
      <w:r w:rsidRPr="002B67BF">
        <w:rPr>
          <w:rFonts w:ascii="Arial" w:hAnsi="Arial" w:cs="Arial"/>
          <w:b/>
          <w:u w:val="single"/>
        </w:rPr>
        <w:t>Overview of Menopause and its physical impact on the voice</w:t>
      </w:r>
    </w:p>
    <w:p w:rsidR="000B1779" w:rsidRPr="002B67BF" w:rsidRDefault="000B1779" w:rsidP="000B1779">
      <w:pPr>
        <w:spacing w:line="360" w:lineRule="auto"/>
        <w:rPr>
          <w:rFonts w:ascii="Arial" w:hAnsi="Arial" w:cs="Arial"/>
        </w:rPr>
      </w:pPr>
      <w:r w:rsidRPr="002B67BF">
        <w:rPr>
          <w:rFonts w:ascii="Arial" w:hAnsi="Arial" w:cs="Arial"/>
        </w:rPr>
        <w:t>The voice is a complex phenomenon characterized by its frequency, intensity, and harmonics</w:t>
      </w:r>
      <w:r w:rsidRPr="002B67BF">
        <w:rPr>
          <w:rFonts w:ascii="Arial" w:hAnsi="Arial" w:cs="Arial"/>
          <w:shd w:val="clear" w:color="auto" w:fill="FFFFFF"/>
        </w:rPr>
        <w:t xml:space="preserve"> (Drożdżowicz, 2021)</w:t>
      </w:r>
      <w:r w:rsidRPr="002B67BF">
        <w:rPr>
          <w:rFonts w:ascii="Arial" w:hAnsi="Arial" w:cs="Arial"/>
        </w:rPr>
        <w:t>. Sex hormone fluctuations (especially oestrogen and progesterone) have an impact on the voice throughout life, starting at puberty, fluctuating systemically during the reproductive years with the menstrual cycle, and then, changing again with decline of hormonal activity at menopause (Raj et al, 2008). Most females around the age of 50, will experience the menopausal transition, which is a critical hormonal experience with many effects on the body and wellbeing (D’Haeseleer et al 2009).</w:t>
      </w:r>
    </w:p>
    <w:p w:rsidR="000B1779" w:rsidRPr="002B67BF" w:rsidRDefault="000B1779" w:rsidP="000B1779">
      <w:pPr>
        <w:spacing w:line="360" w:lineRule="auto"/>
        <w:rPr>
          <w:rFonts w:ascii="Arial" w:hAnsi="Arial" w:cs="Arial"/>
        </w:rPr>
      </w:pPr>
      <w:r w:rsidRPr="002B67BF">
        <w:rPr>
          <w:rFonts w:ascii="Arial" w:hAnsi="Arial" w:cs="Arial"/>
        </w:rPr>
        <w:t xml:space="preserve"> A variety of symptoms can affect the individual, which include but are not exclusive to; cease of menstruation, sleep disturbances, incontinence, sexual dysfunction, severe mood changes, memory issues, weight changes, migraines, somatic issues and reduced life quality (Nelson, 2008). The larynx is also one of the many possible effected areas of female’s undergoing the menopausal transition, and particularly in singers, it is part of the mental distress from losing quality of the voice (Linvelle &amp; Rens, 2001). Although there is not a great deal of research surrounding how menopause directly effects the larynx, there are some studies that suggest a link between the two. The decline of oestrogen in females over 40 years of age, leading to pre-menopause and menopause, is the documented catalyst for these symptoms, both physical and mental (Harlow et al, 2012).  Linvelle &amp; Rens (2001) outlined the lengthening of the larynx in singers in later life, and found that females had a more significant lowering of the larynx than men. They speculated this was due to the lack of </w:t>
      </w:r>
      <w:r w:rsidRPr="002B67BF">
        <w:rPr>
          <w:rFonts w:ascii="Arial" w:hAnsi="Arial" w:cs="Arial"/>
        </w:rPr>
        <w:lastRenderedPageBreak/>
        <w:t xml:space="preserve">oestrogen due to menopause, causing a structural weakening of the vertebrae in the throat, otherwise known as osteoporosis. Osteoporosis is a prolific symptom of the menopause (Garnero et al, 1996). When the decline in oestrogen in menopause occurs, the balance between osteoplastic bone resorption and osteoplastic bone formation is uprooted, and resorption rates are higher than formation rates, and causes a weak bone structure in the throat (Davis et al, 2015). This lengthening and weakening of the cartilage in the larynx, where the larynx lowered by nearly 40% in female participants, resulted in a drop in formant frequency when producing vowels, and a marked difference in vocal tract resonance (Davis et al, 2005). </w:t>
      </w:r>
    </w:p>
    <w:p w:rsidR="000B1779" w:rsidRPr="002B67BF" w:rsidRDefault="000B1779" w:rsidP="000B1779">
      <w:pPr>
        <w:spacing w:line="360" w:lineRule="auto"/>
        <w:rPr>
          <w:rFonts w:ascii="Arial" w:hAnsi="Arial" w:cs="Arial"/>
          <w:b/>
          <w:u w:val="single"/>
        </w:rPr>
      </w:pPr>
      <w:r w:rsidRPr="002B67BF">
        <w:rPr>
          <w:rFonts w:ascii="Arial" w:hAnsi="Arial" w:cs="Arial"/>
          <w:b/>
          <w:u w:val="single"/>
        </w:rPr>
        <w:t>Mental and emotional effects of the Menopause</w:t>
      </w:r>
    </w:p>
    <w:p w:rsidR="000B1779" w:rsidRPr="002B67BF" w:rsidRDefault="000B1779" w:rsidP="000B1779">
      <w:pPr>
        <w:spacing w:line="360" w:lineRule="auto"/>
        <w:rPr>
          <w:rFonts w:ascii="Arial" w:hAnsi="Arial" w:cs="Arial"/>
        </w:rPr>
      </w:pPr>
      <w:r w:rsidRPr="002B67BF">
        <w:rPr>
          <w:rFonts w:ascii="Arial" w:hAnsi="Arial" w:cs="Arial"/>
        </w:rPr>
        <w:t>Alongside the physical and physiological symptoms, menopause is also a very vulnerable time for females, and can increase the likelihood of mental symptoms and depression (Monteleone et al, 2018). The social and personal impact of the menopause is global, with approximately 20% of women globally referring to menopause as a ‘disease’ in relation to its symptoms and impact, even when made clinically aware of the transitional phase of life (Nusrat et al, 2008).This negative mind set around menopause, is one of the driving forces behind this study and the need for education and reassurance for female singers of this age bracket.</w:t>
      </w:r>
    </w:p>
    <w:p w:rsidR="000B1779" w:rsidRPr="002B67BF" w:rsidRDefault="000B1779" w:rsidP="000B1779">
      <w:pPr>
        <w:spacing w:line="360" w:lineRule="auto"/>
        <w:rPr>
          <w:rFonts w:ascii="Arial" w:hAnsi="Arial" w:cs="Arial"/>
        </w:rPr>
      </w:pPr>
      <w:r w:rsidRPr="002B67BF">
        <w:rPr>
          <w:rFonts w:ascii="Arial" w:hAnsi="Arial" w:cs="Arial"/>
        </w:rPr>
        <w:t xml:space="preserve"> Obstet (2001) found that in menopausal patients, depression and anxiety scores are significantly higher than in premenopausal patients. Supporting this, studies found increased scores on the anxiety measure as women became perimenopausal, and decreased scores in the post-menopausal period (Tangen &amp; Mykleton, 2008). Even across a multisite longitudinal epidemiologic study, women with low levels of anxiety were likely to experience an increase in anxiety symptoms across the menopausal transition (Bromberger, 2013). Furthermore, studies showed that menopausal anxiety was a unique occurrence to females and that it couldn’t be related to other types of anxiety (Bremer et al, 2009). There is some research to show that other types of anxiety and panic disorders can increase menopausal anxiety through quite recent studies that show both women with and without pre-diagnosed panic disorders reported increased anxiety during the menopausal transition (Nillni, Rasmusson &amp; Paul 2021). This menopausal anxiety was documented as a result of low concentrations of steroid hormones that are linked to irritability, and anxiety, during the menopause (Rodriguez-Landa et al, 2015). </w:t>
      </w:r>
    </w:p>
    <w:p w:rsidR="000B1779" w:rsidRPr="002B67BF" w:rsidRDefault="000B1779" w:rsidP="000B1779">
      <w:pPr>
        <w:spacing w:line="360" w:lineRule="auto"/>
        <w:rPr>
          <w:rFonts w:ascii="Arial" w:hAnsi="Arial" w:cs="Arial"/>
          <w:shd w:val="clear" w:color="auto" w:fill="FFFFFF"/>
        </w:rPr>
      </w:pPr>
      <w:r w:rsidRPr="002B67BF">
        <w:rPr>
          <w:rFonts w:ascii="Arial" w:hAnsi="Arial" w:cs="Arial"/>
        </w:rPr>
        <w:t xml:space="preserve"> Evidence of anxiety and menopause also links to one of the most prominent physical symptoms of menopause, hot flashes. Freeman et al (2005) found that menopausal </w:t>
      </w:r>
      <w:r w:rsidRPr="002B67BF">
        <w:rPr>
          <w:rFonts w:ascii="Arial" w:hAnsi="Arial" w:cs="Arial"/>
          <w:shd w:val="clear" w:color="auto" w:fill="FFFFFF"/>
        </w:rPr>
        <w:t xml:space="preserve">women with high anxiety were nearly five times more likely to report hot flashes. Anxiety remained </w:t>
      </w:r>
      <w:r w:rsidRPr="002B67BF">
        <w:rPr>
          <w:rFonts w:ascii="Arial" w:hAnsi="Arial" w:cs="Arial"/>
          <w:shd w:val="clear" w:color="auto" w:fill="FFFFFF"/>
        </w:rPr>
        <w:lastRenderedPageBreak/>
        <w:t>strongly associated with hot flashes after adjusting for the menopause stage. Freeman et al (2005) found such a strong link that during the menopausal transition, women with high levels of somatic anxiety had more than three times the risk of hot flashes than those with low levels of somatic anxiety; these symptoms occurred in a time-lagged fashion, such that anxiety predicted hot flashes. Steptoe &amp; Kearsley (1990) outlined that somatic anxiety is when anxiety manifests in the body and can cause increased physical pain or physical symptoms. There is more opportunity here to explore this topic further, and expand the knowledge on mental symptoms relating to anxiety.</w:t>
      </w:r>
    </w:p>
    <w:p w:rsidR="000B1779" w:rsidRPr="002B67BF" w:rsidRDefault="000B1779" w:rsidP="000B1779">
      <w:pPr>
        <w:spacing w:line="360" w:lineRule="auto"/>
        <w:rPr>
          <w:rFonts w:ascii="Arial" w:hAnsi="Arial" w:cs="Arial"/>
        </w:rPr>
      </w:pPr>
    </w:p>
    <w:p w:rsidR="000B1779" w:rsidRPr="002B67BF" w:rsidRDefault="000B1779" w:rsidP="000B1779">
      <w:pPr>
        <w:spacing w:line="360" w:lineRule="auto"/>
        <w:rPr>
          <w:rFonts w:ascii="Arial" w:hAnsi="Arial" w:cs="Arial"/>
          <w:b/>
          <w:u w:val="single"/>
        </w:rPr>
      </w:pPr>
      <w:r w:rsidRPr="002B67BF">
        <w:rPr>
          <w:rFonts w:ascii="Arial" w:hAnsi="Arial" w:cs="Arial"/>
          <w:b/>
          <w:u w:val="single"/>
        </w:rPr>
        <w:t xml:space="preserve">The Role of Hormones in Performance Anxiety </w:t>
      </w:r>
    </w:p>
    <w:p w:rsidR="000B1779" w:rsidRPr="002B67BF" w:rsidRDefault="000B1779" w:rsidP="000B1779">
      <w:pPr>
        <w:spacing w:line="360" w:lineRule="auto"/>
        <w:rPr>
          <w:rFonts w:ascii="Arial" w:hAnsi="Arial" w:cs="Arial"/>
        </w:rPr>
      </w:pPr>
      <w:r w:rsidRPr="002B67BF">
        <w:rPr>
          <w:rFonts w:ascii="Arial" w:hAnsi="Arial" w:cs="Arial"/>
        </w:rPr>
        <w:t>Anxiety is a wide clinical subject, with many branches, but for this research study the literature regarding performance anxiety and socia</w:t>
      </w:r>
      <w:r w:rsidR="0087451C">
        <w:rPr>
          <w:rFonts w:ascii="Arial" w:hAnsi="Arial" w:cs="Arial"/>
        </w:rPr>
        <w:t>l anxiety disorders will be my focus. Some s</w:t>
      </w:r>
      <w:r w:rsidRPr="002B67BF">
        <w:rPr>
          <w:rFonts w:ascii="Arial" w:hAnsi="Arial" w:cs="Arial"/>
        </w:rPr>
        <w:t xml:space="preserve">ingers </w:t>
      </w:r>
      <w:r w:rsidR="0087451C">
        <w:rPr>
          <w:rFonts w:ascii="Arial" w:hAnsi="Arial" w:cs="Arial"/>
        </w:rPr>
        <w:t xml:space="preserve">experience performance anxiety throughout their performing career (Arneson, 2010), </w:t>
      </w:r>
      <w:r w:rsidRPr="002B67BF">
        <w:rPr>
          <w:rFonts w:ascii="Arial" w:hAnsi="Arial" w:cs="Arial"/>
        </w:rPr>
        <w:t>whilst those experiencing menopause often experience social anxiety (Schneider, 2021). To put briefly, performance anxiety is a common experience for actors, public speakers, and all those who appear before an audience; and it is particularly frequent for singers (Arneson, 2010). Social anxiety disorders are characterised by pronounced fear and avoidance of evaluation by others in various socia</w:t>
      </w:r>
      <w:r w:rsidR="0087451C">
        <w:rPr>
          <w:rFonts w:ascii="Arial" w:hAnsi="Arial" w:cs="Arial"/>
        </w:rPr>
        <w:t>l situations (Schneider, 2021), w</w:t>
      </w:r>
      <w:r w:rsidR="002C084D">
        <w:rPr>
          <w:rFonts w:ascii="Arial" w:hAnsi="Arial" w:cs="Arial"/>
        </w:rPr>
        <w:t>hich potentially has the ability to be linked</w:t>
      </w:r>
      <w:r w:rsidR="0087451C">
        <w:rPr>
          <w:rFonts w:ascii="Arial" w:hAnsi="Arial" w:cs="Arial"/>
        </w:rPr>
        <w:t xml:space="preserve"> to the stigma surrounding menopause regarding shame</w:t>
      </w:r>
      <w:r w:rsidR="002C084D">
        <w:rPr>
          <w:rFonts w:ascii="Arial" w:hAnsi="Arial" w:cs="Arial"/>
        </w:rPr>
        <w:t xml:space="preserve"> and anxiety</w:t>
      </w:r>
      <w:r w:rsidR="0087451C">
        <w:rPr>
          <w:rFonts w:ascii="Arial" w:hAnsi="Arial" w:cs="Arial"/>
        </w:rPr>
        <w:t xml:space="preserve"> of menopausal symptoms (Nosek et al, 2010).</w:t>
      </w:r>
    </w:p>
    <w:p w:rsidR="000B1779" w:rsidRDefault="000B1779" w:rsidP="000B1779">
      <w:pPr>
        <w:spacing w:line="360" w:lineRule="auto"/>
        <w:rPr>
          <w:rFonts w:ascii="Arial" w:hAnsi="Arial" w:cs="Arial"/>
        </w:rPr>
      </w:pPr>
      <w:r w:rsidRPr="002B67BF">
        <w:rPr>
          <w:rFonts w:ascii="Arial" w:hAnsi="Arial" w:cs="Arial"/>
        </w:rPr>
        <w:t xml:space="preserve">When looking into anxiety in its many forms, women seem to suffer with anxiety disorders more than men, which is suggested to be due to a lack of testosterone (Altemus, 2006). Women with social phobia or social anxiety were compared women who did not report these disorders, and found they produced lower levels of testosterone, and had increased levels of oestrogen in their saliva (Van Honk et al, 2005). Further investigation shows that symptoms of social anxiety can be more prevalent during the menstrual cycle, linking directly to female hormone fluctuations, including and not exclusive to, irritability, hot flushes and OCD symptoms (Williams and Koren, 1997). Van Veen (2009) and their study showed that women are more prone to general social anxiety disorder during menopause through a self-report, showing higher symptoms associated with social anxiety disorders than women not experiencing menopause. </w:t>
      </w:r>
    </w:p>
    <w:p w:rsidR="00BA5436" w:rsidRPr="00094661" w:rsidRDefault="00BA5436" w:rsidP="000B1779">
      <w:pPr>
        <w:spacing w:line="360" w:lineRule="auto"/>
        <w:rPr>
          <w:rFonts w:ascii="Arial" w:hAnsi="Arial" w:cs="Arial"/>
          <w:b/>
          <w:u w:val="single"/>
        </w:rPr>
      </w:pPr>
      <w:r w:rsidRPr="00094661">
        <w:rPr>
          <w:rFonts w:ascii="Arial" w:hAnsi="Arial" w:cs="Arial"/>
          <w:b/>
          <w:u w:val="single"/>
        </w:rPr>
        <w:t>Performance Anxiety Symptoms</w:t>
      </w:r>
    </w:p>
    <w:p w:rsidR="000B1779" w:rsidRPr="002B67BF" w:rsidRDefault="000B1779" w:rsidP="000B1779">
      <w:pPr>
        <w:spacing w:line="360" w:lineRule="auto"/>
        <w:rPr>
          <w:rFonts w:ascii="Arial" w:hAnsi="Arial" w:cs="Arial"/>
        </w:rPr>
      </w:pPr>
      <w:r w:rsidRPr="002B67BF">
        <w:rPr>
          <w:rFonts w:ascii="Arial" w:hAnsi="Arial" w:cs="Arial"/>
        </w:rPr>
        <w:t xml:space="preserve">Anxiety in performance can have profound effects on the individual, such as intonation, increased tonal freedom, reduced steadiness, and breath management (Barefield, 2012). </w:t>
      </w:r>
      <w:r w:rsidR="00BA5436">
        <w:rPr>
          <w:rFonts w:ascii="Arial" w:hAnsi="Arial" w:cs="Arial"/>
        </w:rPr>
        <w:t xml:space="preserve">As </w:t>
      </w:r>
      <w:r w:rsidR="00BA5436">
        <w:rPr>
          <w:rFonts w:ascii="Arial" w:hAnsi="Arial" w:cs="Arial"/>
        </w:rPr>
        <w:lastRenderedPageBreak/>
        <w:t xml:space="preserve">well as these physical symptoms, there is research that suggests that the mental toll that music performance anxiety can take on singers is due to honing a specific skill such as singing, under immense pressure and stress (Salmon, 1990). Additionally, music performance anxiety doesn’t just affect inexperienced or young performers (Salmon, 1990) but also veteran singers and performers with years of experience on stage (Kenny, 2010). Music performance anxiety can sometimes be referred to as “stage fright” or “stage fear”, as well as being linked to trait anxiety (the tendency to feel anxiety across many situations) (Bertain, 2023).  </w:t>
      </w:r>
      <w:r w:rsidRPr="002B67BF">
        <w:rPr>
          <w:rFonts w:ascii="Arial" w:hAnsi="Arial" w:cs="Arial"/>
        </w:rPr>
        <w:t>Fear and anxiety have the potential to cause limits in a singers’ ability through the onset of physical menopausal symptoms, and create more self-doubt, therefore creating a cycle of sense of failure in the individual (Clark, 2002). Clark (2002) noted that fear causes subjects in hearing tests to be unable to make fine distinctions in pitch. Other symptoms of anxiety in performance can be a tight-ness in the neck or throat, shallow or unsteady breath, swallow or cough sensations, or other physical manifestations (Clark, 2002). These</w:t>
      </w:r>
      <w:r w:rsidR="002C084D">
        <w:rPr>
          <w:rFonts w:ascii="Arial" w:hAnsi="Arial" w:cs="Arial"/>
        </w:rPr>
        <w:t xml:space="preserve"> types of symptoms can potentially cause</w:t>
      </w:r>
      <w:r w:rsidRPr="002B67BF">
        <w:rPr>
          <w:rFonts w:ascii="Arial" w:hAnsi="Arial" w:cs="Arial"/>
        </w:rPr>
        <w:t xml:space="preserve"> negative thoughts such as, “I’ll never be able to do this,” “I always get so nervous,” “I’m not a good s</w:t>
      </w:r>
      <w:r w:rsidR="002C084D">
        <w:rPr>
          <w:rFonts w:ascii="Arial" w:hAnsi="Arial" w:cs="Arial"/>
        </w:rPr>
        <w:t>inger.” (Elliot, 2010, p.8</w:t>
      </w:r>
      <w:r w:rsidRPr="002B67BF">
        <w:rPr>
          <w:rFonts w:ascii="Arial" w:hAnsi="Arial" w:cs="Arial"/>
        </w:rPr>
        <w:t xml:space="preserve">). This outlines a potential chain of events and link between the physical symptoms and the mental symptoms such as negative self-talk. </w:t>
      </w:r>
    </w:p>
    <w:p w:rsidR="000B1779" w:rsidRPr="002B67BF" w:rsidRDefault="000B1779" w:rsidP="000B1779">
      <w:pPr>
        <w:spacing w:line="360" w:lineRule="auto"/>
        <w:rPr>
          <w:rFonts w:ascii="Arial" w:hAnsi="Arial" w:cs="Arial"/>
        </w:rPr>
      </w:pPr>
      <w:r w:rsidRPr="002B67BF">
        <w:rPr>
          <w:rFonts w:ascii="Arial" w:hAnsi="Arial" w:cs="Arial"/>
        </w:rPr>
        <w:t xml:space="preserve">Performance anxiety is associated to the hormone adrenaline, which is released in a ‘fight or flight response’ (Winter &amp; Winter 2011). Hannan (1927) did a preliminary study on menopausal women who experienced the very common trait of ‘flushing’ or ‘hot flushes’, and that direct injections of adrenaline chloride caused immediate flushing that was identical to the occurrences that happened spontaneously at menopause. Applying a synthetic version of oestrogen, caused a sudden decline in the flushing. This study outlined the potential of menopausal-type symptoms that adrenaline can have on individuals, and that the additional synthetic oestrogen alleviated these symptoms. </w:t>
      </w:r>
    </w:p>
    <w:p w:rsidR="000B1779" w:rsidRPr="002B67BF" w:rsidRDefault="000B1779" w:rsidP="000B1779">
      <w:pPr>
        <w:spacing w:line="360" w:lineRule="auto"/>
        <w:rPr>
          <w:rFonts w:ascii="Arial" w:hAnsi="Arial" w:cs="Arial"/>
        </w:rPr>
      </w:pPr>
      <w:r w:rsidRPr="002B67BF">
        <w:rPr>
          <w:rFonts w:ascii="Arial" w:hAnsi="Arial" w:cs="Arial"/>
        </w:rPr>
        <w:t xml:space="preserve">Prolonged exposure to adrenaline for an individual can result in the production of the stress hormones, cortisol (Mayo, 1999). A study by Mayo (1999) outlined that during menopause, the adrenal glands that excrete androgens which control hormones balances, start to decline. Not only does the adrenal gland maintain the consistency of hormones such as testosterone and oestrogen, it also maintains the body’s ability to adapt to stress. During times of extreme stress, regulatory hormones excreted from the adrenal glands dip as the adrenal gland moves the concentration of these hormones away from oestrogens and androgens, and towards cortisol. Again, although a dated study, this could be analysed as more evidence to support the link between menopause and anxiety, and that increased anxiety, heightens the symptoms of menopause. However the downfall to these studies is </w:t>
      </w:r>
      <w:r w:rsidRPr="002B67BF">
        <w:rPr>
          <w:rFonts w:ascii="Arial" w:hAnsi="Arial" w:cs="Arial"/>
        </w:rPr>
        <w:lastRenderedPageBreak/>
        <w:t xml:space="preserve">that they are long overdue an update, and could be investigated further to increase the validity of their conclusions. </w:t>
      </w:r>
    </w:p>
    <w:p w:rsidR="000B1779" w:rsidRPr="002B67BF" w:rsidRDefault="000B1779" w:rsidP="000B1779">
      <w:pPr>
        <w:rPr>
          <w:rFonts w:ascii="Arial" w:eastAsia="Times New Roman" w:hAnsi="Arial" w:cs="Arial"/>
          <w:lang w:eastAsia="en-GB"/>
        </w:rPr>
      </w:pPr>
    </w:p>
    <w:p w:rsidR="000B1779" w:rsidRPr="002B67BF" w:rsidRDefault="000B1779" w:rsidP="000B1779">
      <w:pPr>
        <w:spacing w:line="360" w:lineRule="auto"/>
        <w:rPr>
          <w:rFonts w:ascii="Arial" w:hAnsi="Arial" w:cs="Arial"/>
          <w:b/>
          <w:u w:val="single"/>
        </w:rPr>
      </w:pPr>
      <w:r w:rsidRPr="002B67BF">
        <w:rPr>
          <w:rFonts w:ascii="Arial" w:hAnsi="Arial" w:cs="Arial"/>
          <w:b/>
          <w:u w:val="single"/>
        </w:rPr>
        <w:t xml:space="preserve">Analysis </w:t>
      </w:r>
    </w:p>
    <w:p w:rsidR="000B1779" w:rsidRPr="002B67BF" w:rsidRDefault="000B1779" w:rsidP="000B1779">
      <w:pPr>
        <w:spacing w:line="360" w:lineRule="auto"/>
        <w:rPr>
          <w:rFonts w:ascii="Arial" w:hAnsi="Arial" w:cs="Arial"/>
        </w:rPr>
      </w:pPr>
      <w:r w:rsidRPr="002B67BF">
        <w:rPr>
          <w:rFonts w:ascii="Arial" w:hAnsi="Arial" w:cs="Arial"/>
        </w:rPr>
        <w:t>It is important to outline in this analysis of the research, that when regarding menopause, although this phase is usually from ages 40-60 years in age and the decline of oestrogen is ongoing throughout this phase, menopause is not lineal (Salis et al, 2018). Menopause can change, and all definitions and models should be continuously re-assessed and redefined for clinical and research applications. Although the research I have collated around menopause is useful and relevant, it should be outlined that there is substantial individual variation during this phase for females, and this also includes skipping stages of menopause, and moving back and forth between them (Nelson, 2008). This in mind, when looking at the studies relevant to my research title, I have taken into account that the results of other studies may not directly link to my research question. One of the objectives of this study was to create a text guide for singers in the menopause on how to manage both physical and mental symptoms relating to menopause. However, the current research is not substantial or specific enough to validate this and more research is needed. Additionally, any text guides will need to be more open and applicable to those who suffer with menopausal voice symptoms, and not singers who are just within a particular age bracket or who fit the clinical description of menopause. This allows material to applicable to a much wider population.</w:t>
      </w:r>
    </w:p>
    <w:p w:rsidR="000B1779" w:rsidRPr="002B67BF" w:rsidRDefault="000B1779" w:rsidP="000B1779">
      <w:pPr>
        <w:spacing w:line="360" w:lineRule="auto"/>
        <w:rPr>
          <w:rFonts w:ascii="Arial" w:hAnsi="Arial" w:cs="Arial"/>
        </w:rPr>
      </w:pPr>
      <w:r w:rsidRPr="002B67BF">
        <w:rPr>
          <w:rFonts w:ascii="Arial" w:hAnsi="Arial" w:cs="Arial"/>
        </w:rPr>
        <w:t>During this research study I found some evidence that outlined the potential link between menopause and performance anxiety, through the physical symptoms that occur during the menopause, with these symptoms’ mental effect on the individual. However this was not the aim of my study as I was focusing on hormones, however the information relating to the symptoms surrounding menopause and performance anxiety was beneficial to my understanding, and this in turn helped me to analyse the data regarding hormones. Many of the studies I looked at reported increased anxiety during menopause, which was more prominent than the women who were included in the study but who were not experiencing the menopause (Obstet 2001, Bromberger 2013, Tangen &amp; Mykleton 2008). Van Veen (2009) and their study supports this, reporting that women are more prone to general social anxiety disorder during menopause.</w:t>
      </w:r>
    </w:p>
    <w:p w:rsidR="000B1779" w:rsidRPr="002B67BF" w:rsidRDefault="000B1779" w:rsidP="000B1779">
      <w:pPr>
        <w:spacing w:line="360" w:lineRule="auto"/>
        <w:rPr>
          <w:rFonts w:ascii="Arial" w:hAnsi="Arial" w:cs="Arial"/>
        </w:rPr>
      </w:pPr>
      <w:r w:rsidRPr="002B67BF">
        <w:rPr>
          <w:rFonts w:ascii="Arial" w:hAnsi="Arial" w:cs="Arial"/>
        </w:rPr>
        <w:t>Some studies highlighted that menopause anxiety is a completely unique experience, and a</w:t>
      </w:r>
      <w:r w:rsidR="008F20A7">
        <w:rPr>
          <w:rFonts w:ascii="Arial" w:hAnsi="Arial" w:cs="Arial"/>
        </w:rPr>
        <w:t>n</w:t>
      </w:r>
      <w:r w:rsidRPr="002B67BF">
        <w:rPr>
          <w:rFonts w:ascii="Arial" w:hAnsi="Arial" w:cs="Arial"/>
        </w:rPr>
        <w:t xml:space="preserve"> individual perceived experience, such as Sharon (2006). The anxiety during menopause is also linked to depression, and women reported a feeling of loneliness in the menopause due to their symptoms (Obstet, 2001). Anxiety surrounding menopausal aged women, was </w:t>
      </w:r>
      <w:r w:rsidRPr="002B67BF">
        <w:rPr>
          <w:rFonts w:ascii="Arial" w:hAnsi="Arial" w:cs="Arial"/>
        </w:rPr>
        <w:lastRenderedPageBreak/>
        <w:t xml:space="preserve">significantly higher than men, which some studies link to female sex hormones being the trigger for the increased levels of anxiety (Rodriguez-Landa et al, 2015). This potentially could demonstrate how mentally challenging the menopause is for many women, and that more research should be had to intricately define the menopause to support these women. However, the research is not specific or extensive enough to be able to define this higher anxiety as a product of hormones alone. More research could be done here to eliminate social factors such as social conditioning and societal trends. Females experiencing menopause should have a wealth of knowledge available about what symptoms they may experience and why these are appearing during the menopause. </w:t>
      </w:r>
    </w:p>
    <w:p w:rsidR="000B1779" w:rsidRPr="002B67BF" w:rsidRDefault="000B1779" w:rsidP="000B1779">
      <w:pPr>
        <w:spacing w:line="360" w:lineRule="auto"/>
        <w:rPr>
          <w:rFonts w:ascii="Arial" w:hAnsi="Arial" w:cs="Arial"/>
        </w:rPr>
      </w:pPr>
      <w:r w:rsidRPr="002B67BF">
        <w:rPr>
          <w:rFonts w:ascii="Arial" w:hAnsi="Arial" w:cs="Arial"/>
        </w:rPr>
        <w:t>Research on the effects of menopause is heavily physical-symptom based. The imbalance of hormones during the menopause has been reported to be responsible for physical symptoms, such as osteoporosis, which although is quite common for older females, the link to singers can be found by the lengthening of the larynx (Linvelle &amp; Rens, 2001). Linvelle &amp; Rens (2001) larynx lengthening study is an example of this, as the direct effect that this has on the voice, and the basis that this is caused by the menopause suggests that this could cause high anxiety in singers. Further research could be done with this, by extending this to see whether female singers in the menopause who experienced the lengthening of the larynx, reported higher anxiety symptoms, and potentially attitude changes towards performing in this state.</w:t>
      </w:r>
    </w:p>
    <w:p w:rsidR="000B1779" w:rsidRPr="002B67BF" w:rsidRDefault="000B1779" w:rsidP="000B1779">
      <w:pPr>
        <w:spacing w:line="360" w:lineRule="auto"/>
        <w:rPr>
          <w:rFonts w:ascii="Arial" w:hAnsi="Arial" w:cs="Arial"/>
        </w:rPr>
      </w:pPr>
      <w:r w:rsidRPr="002B67BF">
        <w:rPr>
          <w:rFonts w:ascii="Arial" w:hAnsi="Arial" w:cs="Arial"/>
        </w:rPr>
        <w:t>This lengthening, accompanied by loss of power, tone and pitch control, is one of few studies that outline the link of menopause and its physical effects on the voice. Other studies such as Freeman et al (2005) who delved into the disturbance of hormone levels causing one of the most frequently reported symptoms of menopause, which are hot flashes. Although this is not a vocal symptom, Freeman did report that hot flashes are caused by hormonal imbalance and did remarkably increase anxiety. Further research in this area could provide evidence of a physical symptom causing anxiety in this specific phase of life, such as the link between anxiety and hot flashes. This could also be associated as evidence for other symptoms linked to the menopause to cause increased anxiety.</w:t>
      </w:r>
    </w:p>
    <w:p w:rsidR="000B1779" w:rsidRPr="002B67BF" w:rsidRDefault="000B1779" w:rsidP="000B1779">
      <w:pPr>
        <w:spacing w:line="360" w:lineRule="auto"/>
        <w:rPr>
          <w:rFonts w:ascii="Arial" w:hAnsi="Arial" w:cs="Arial"/>
        </w:rPr>
      </w:pPr>
      <w:r w:rsidRPr="002B67BF">
        <w:rPr>
          <w:rFonts w:ascii="Arial" w:hAnsi="Arial" w:cs="Arial"/>
        </w:rPr>
        <w:t xml:space="preserve">Additionally when looking at anxiety and performing, there is already substantial research here outlined by multiple studies such as Barefield (2012), Clark (2002) and Arneson(2010). They outlined and confirmed the link between anxiety and hormones, and how this is more prevalent in individuals by showing how lower testosterone levels play a role in anxiety. However, when looking for the link between performance anxiety and menopause, these studies contradict each other. Van Honk et al (2005) outlined that menopausal anxiety is caused by a lack of testosterone and high oetrogen levels, whilst Harlow et al (2012) outlines </w:t>
      </w:r>
      <w:r w:rsidRPr="002B67BF">
        <w:rPr>
          <w:rFonts w:ascii="Arial" w:hAnsi="Arial" w:cs="Arial"/>
        </w:rPr>
        <w:lastRenderedPageBreak/>
        <w:t xml:space="preserve">menopausal anxiety is caused by a decline in oestrogen levels. This may be due to the fact that performance anxiety and menopausal anxiety are linked to different types of hormones, such as oestrogen and cortisol. </w:t>
      </w:r>
    </w:p>
    <w:p w:rsidR="000B1779" w:rsidRPr="002B67BF" w:rsidRDefault="000B1779" w:rsidP="000B1779">
      <w:pPr>
        <w:spacing w:line="360" w:lineRule="auto"/>
        <w:rPr>
          <w:rFonts w:ascii="Arial" w:hAnsi="Arial" w:cs="Arial"/>
        </w:rPr>
      </w:pPr>
      <w:r w:rsidRPr="002B67BF">
        <w:rPr>
          <w:rFonts w:ascii="Arial" w:hAnsi="Arial" w:cs="Arial"/>
        </w:rPr>
        <w:t xml:space="preserve">To extend my research further, I looked at the role that adrenaline played in the menopause, in an attempt to find a more concrete link between the two. </w:t>
      </w:r>
      <w:r w:rsidR="00683168">
        <w:rPr>
          <w:rFonts w:ascii="Arial" w:hAnsi="Arial" w:cs="Arial"/>
        </w:rPr>
        <w:t xml:space="preserve">Although this was not originally a part of my research plan for this literature review, as I uncovered information about anxiety and hormones, adrenaline was frequently studied, and I wondered if there was potential links to the production of adrenaline and menopausal symptoms. </w:t>
      </w:r>
      <w:r w:rsidRPr="002B67BF">
        <w:rPr>
          <w:rFonts w:ascii="Arial" w:hAnsi="Arial" w:cs="Arial"/>
        </w:rPr>
        <w:t>Hannan (1927) and the preliminary research around the effects of injecting adrenaline-chloride into menopausal women experiencing hot flashes or flushing was an interesting discovery for this research. However this research did not offer any potential ways to alleviate the hot flushes, probably because this very outdated, nearing 100 years since the study took place. Slightly more recently was a discovery by Mayo (1999) that pinpointed the adrenal gland as the responsible organ for balancing hormones as well as regulating adrenaline and stress. They outlined that during the decline of balancing hormones such as androgen that exude from the adrenal gland, the concentration of the androgens increase cortisol and decrease oestrogen. This focus on cortisol, could show direct correlation between menopause and increased anxiety through stress. However, it is important to note that these studies are linking menopausal symptoms to anxiety and stress, and do not directly link to specifically performance anxiety.</w:t>
      </w:r>
    </w:p>
    <w:p w:rsidR="000B1779" w:rsidRPr="002B67BF" w:rsidRDefault="000B1779" w:rsidP="000B1779">
      <w:pPr>
        <w:spacing w:line="360" w:lineRule="auto"/>
        <w:rPr>
          <w:rFonts w:ascii="Arial" w:hAnsi="Arial" w:cs="Arial"/>
        </w:rPr>
      </w:pPr>
      <w:r w:rsidRPr="002B67BF">
        <w:rPr>
          <w:rFonts w:ascii="Arial" w:hAnsi="Arial" w:cs="Arial"/>
        </w:rPr>
        <w:t xml:space="preserve">Much of the research around performance anxiety points towards singing and performance anxiety being a fear of failing during performance, and this in turn can affect tonality, pitching abilities and memory (Clark 2002), thus causing even more anxiety around performing. Looking at much of the literature surrounding this, performance anxiety seems almost cyclic. (Barefield, 2012). However, not all singing anxiety is bad, as it can encourage musicians and singers to practise to reduce anxiety before and during a performance (Miller, 1996). Following on from this, there is contradicting research around performance anxiety and singing. Fancourt &amp; Perkins (2018) reported that singing lead to a greater decrease in the stress hormone cortisol, than the comparison singing, and can reduce stress symptoms. This contradicting research, showing how singing can alleviate stress doesn’t align with the bulk of research surrounding anxiety and performance, but potentially this could be due to the situation the singer finds themselves in. </w:t>
      </w:r>
    </w:p>
    <w:p w:rsidR="000B1779" w:rsidRPr="002B67BF" w:rsidRDefault="000B1779" w:rsidP="000B1779">
      <w:pPr>
        <w:spacing w:line="360" w:lineRule="auto"/>
        <w:rPr>
          <w:rFonts w:ascii="Arial" w:hAnsi="Arial" w:cs="Arial"/>
        </w:rPr>
      </w:pPr>
      <w:r w:rsidRPr="002B67BF">
        <w:rPr>
          <w:rFonts w:ascii="Arial" w:hAnsi="Arial" w:cs="Arial"/>
        </w:rPr>
        <w:t xml:space="preserve"> During resear</w:t>
      </w:r>
      <w:r w:rsidR="00683168">
        <w:rPr>
          <w:rFonts w:ascii="Arial" w:hAnsi="Arial" w:cs="Arial"/>
        </w:rPr>
        <w:t>ch, performance anxiety was</w:t>
      </w:r>
      <w:r w:rsidRPr="002B67BF">
        <w:rPr>
          <w:rFonts w:ascii="Arial" w:hAnsi="Arial" w:cs="Arial"/>
        </w:rPr>
        <w:t xml:space="preserve"> a wide topic and it bled into many areas of performance such as music performance and public speaking (Kenny, 2016). </w:t>
      </w:r>
      <w:r w:rsidR="00683168">
        <w:rPr>
          <w:rFonts w:ascii="Arial" w:hAnsi="Arial" w:cs="Arial"/>
        </w:rPr>
        <w:t xml:space="preserve">Additionally to this, some of the research surrounding performance anxiety related to multiple stages of </w:t>
      </w:r>
      <w:r w:rsidR="00683168">
        <w:rPr>
          <w:rFonts w:ascii="Arial" w:hAnsi="Arial" w:cs="Arial"/>
        </w:rPr>
        <w:lastRenderedPageBreak/>
        <w:t>singers lives with varying degrees of experience, and how music performance anxiety is prevalent in a wide range of individuals (Kenny, 2010). There was no specific research surrounding singers during menopause and the links to music performance anxiety. This subject topic could be explored further still, to see whether singers who are experiencing menopause have increased levels of anxiety when performing, compared to those who are not menopausal. The wide expanse of research on music performance anxiety, and its many topics, could potentially all be applicable to those experiencing menopause performing within these areas, such as public speaking and music performance.</w:t>
      </w:r>
    </w:p>
    <w:p w:rsidR="000B1779" w:rsidRDefault="000B1779" w:rsidP="000B1779">
      <w:pPr>
        <w:spacing w:line="360" w:lineRule="auto"/>
        <w:rPr>
          <w:rFonts w:ascii="Arial" w:hAnsi="Arial" w:cs="Arial"/>
          <w:b/>
          <w:u w:val="single"/>
        </w:rPr>
      </w:pPr>
    </w:p>
    <w:p w:rsidR="00683168" w:rsidRPr="002B67BF" w:rsidRDefault="00683168" w:rsidP="000B1779">
      <w:pPr>
        <w:spacing w:line="360" w:lineRule="auto"/>
        <w:rPr>
          <w:rFonts w:ascii="Arial" w:hAnsi="Arial" w:cs="Arial"/>
          <w:b/>
          <w:u w:val="single"/>
        </w:rPr>
      </w:pPr>
    </w:p>
    <w:p w:rsidR="000B1779" w:rsidRPr="002B67BF" w:rsidRDefault="000B1779" w:rsidP="000B1779">
      <w:pPr>
        <w:spacing w:line="360" w:lineRule="auto"/>
        <w:rPr>
          <w:rFonts w:ascii="Arial" w:hAnsi="Arial" w:cs="Arial"/>
          <w:b/>
          <w:u w:val="single"/>
        </w:rPr>
      </w:pPr>
      <w:r w:rsidRPr="002B67BF">
        <w:rPr>
          <w:rFonts w:ascii="Arial" w:hAnsi="Arial" w:cs="Arial"/>
          <w:b/>
          <w:u w:val="single"/>
        </w:rPr>
        <w:t>Conclusion</w:t>
      </w:r>
    </w:p>
    <w:p w:rsidR="000B1779" w:rsidRPr="002B67BF" w:rsidRDefault="000B1779" w:rsidP="000B1779">
      <w:pPr>
        <w:spacing w:line="360" w:lineRule="auto"/>
        <w:rPr>
          <w:rFonts w:ascii="Arial" w:hAnsi="Arial" w:cs="Arial"/>
        </w:rPr>
      </w:pPr>
      <w:r w:rsidRPr="002B67BF">
        <w:rPr>
          <w:rFonts w:ascii="Arial" w:hAnsi="Arial" w:cs="Arial"/>
        </w:rPr>
        <w:t xml:space="preserve">Although there are very little studies that directly link menopause and performance anxiety, it is evident through the analysis of the literature that some links can be made. By examining the physical symptoms of menopause throughout the literature, we can outline that particular symptoms such as hot flashes or flushing (Williams and Koren, 2017) can cause increased anxiety during the menopause. We can also outline that other symptom’s such as effects on the larynx resulting in power loss and difficulty pitching, are also prevalent during the menopause (Linsvelle and Rens 2011). To define whether these vocally specific symptoms relating to menopause are responsible for the same level of anxiety is difficult to pin point, as there is a severe lack of specific study within this area. </w:t>
      </w:r>
    </w:p>
    <w:p w:rsidR="000B1779" w:rsidRPr="002B67BF" w:rsidRDefault="000B1779" w:rsidP="000B1779">
      <w:pPr>
        <w:spacing w:line="360" w:lineRule="auto"/>
        <w:rPr>
          <w:rFonts w:ascii="Arial" w:hAnsi="Arial" w:cs="Arial"/>
        </w:rPr>
      </w:pPr>
      <w:r w:rsidRPr="002B67BF">
        <w:rPr>
          <w:rFonts w:ascii="Arial" w:hAnsi="Arial" w:cs="Arial"/>
        </w:rPr>
        <w:t>It seems as though although there is evidence that general anxiety and menopause are linked through the relationship between adrenaline, cortisol, androgens and oestrogen, however most of these studies are outdated (Hannan 1927 &amp; Mayo 1999), and more modern studies could be conducted to try and pinpoint the exact relationship between both stress hormones and sex hormones. Modern studies seemingly concentrated less on the biological relationship between these, but the mental symptoms the relationship can cause. Research surrounding both the menopause and performance anxiety seem to show increased self-doubt and depression (Bromberger 2013 and Monteleone 2018). This can be specified towards menopausal singers as well as those generally experiencing menopause, with some symptoms of menopause such as loss of power and intonation issues (Clark, 2012) linking to negative self-talk and doubt (Obstet, 2001).</w:t>
      </w:r>
    </w:p>
    <w:p w:rsidR="000B1779" w:rsidRDefault="000B1779" w:rsidP="000B1779">
      <w:pPr>
        <w:spacing w:line="360" w:lineRule="auto"/>
        <w:rPr>
          <w:rFonts w:ascii="Arial" w:hAnsi="Arial" w:cs="Arial"/>
        </w:rPr>
      </w:pPr>
      <w:r w:rsidRPr="002B67BF">
        <w:rPr>
          <w:rFonts w:ascii="Arial" w:hAnsi="Arial" w:cs="Arial"/>
        </w:rPr>
        <w:t xml:space="preserve">Looking back at my initial questions to ask when conducting this literature review, I return to the fourth question “Can we create a programme that aims to manage menopausal symptoms and performance anxiety for older female singers?” From all the information I </w:t>
      </w:r>
      <w:r w:rsidRPr="002B67BF">
        <w:rPr>
          <w:rFonts w:ascii="Arial" w:hAnsi="Arial" w:cs="Arial"/>
        </w:rPr>
        <w:lastRenderedPageBreak/>
        <w:t>have collected and analysed during this literature review, t</w:t>
      </w:r>
      <w:r w:rsidR="007D20F8">
        <w:rPr>
          <w:rFonts w:ascii="Arial" w:hAnsi="Arial" w:cs="Arial"/>
        </w:rPr>
        <w:t>here is no strong conclusion or evident link between menopause and performance anxiety to be able to answer this question and create a programme.</w:t>
      </w:r>
      <w:r w:rsidRPr="002B67BF">
        <w:rPr>
          <w:rFonts w:ascii="Arial" w:hAnsi="Arial" w:cs="Arial"/>
        </w:rPr>
        <w:t xml:space="preserve"> However, we can conclude that evidently more specific research should be had around the menopause and how it effects the singer, to better prepare our students for inevitable physical and mental challenges they may face.</w:t>
      </w:r>
      <w:r w:rsidR="007D20F8">
        <w:rPr>
          <w:rFonts w:ascii="Arial" w:hAnsi="Arial" w:cs="Arial"/>
        </w:rPr>
        <w:t xml:space="preserve"> With the correct knowledge we could alleviate unnecessary worry and shame of potential voice symptoms through a distressing time (Nosek, 2010).</w:t>
      </w:r>
      <w:r w:rsidRPr="002B67BF">
        <w:rPr>
          <w:rFonts w:ascii="Arial" w:hAnsi="Arial" w:cs="Arial"/>
        </w:rPr>
        <w:t xml:space="preserve"> The knowledge that is available is outdated or not readily accessible for our students facing menopause. With most of the population still referring to the menopause as a disease (Nusrat, 2008), more communication and study should be executed to allow for a programme or seminar to be created to support vocalists during the menopausal phase.</w:t>
      </w:r>
    </w:p>
    <w:p w:rsidR="006E4778" w:rsidRPr="002B67BF" w:rsidRDefault="006E4778" w:rsidP="000B1779">
      <w:pPr>
        <w:spacing w:line="360" w:lineRule="auto"/>
        <w:rPr>
          <w:rFonts w:ascii="Arial" w:hAnsi="Arial" w:cs="Arial"/>
        </w:rPr>
      </w:pPr>
      <w:r>
        <w:rPr>
          <w:rFonts w:ascii="Arial" w:hAnsi="Arial" w:cs="Arial"/>
        </w:rPr>
        <w:t xml:space="preserve">As I have not been able to put my findings and knowledge into my practise yet, I can identify the potential impact this study may have on my work. By expanding my knowledge through this assignment, I can see that the support for my students experiencing menopause needs to be updating and modernised to adapt my practise. Being able to understand, monitor and evaluate my </w:t>
      </w:r>
      <w:r w:rsidR="00E11CB9">
        <w:rPr>
          <w:rFonts w:ascii="Arial" w:hAnsi="Arial" w:cs="Arial"/>
        </w:rPr>
        <w:t>students’</w:t>
      </w:r>
      <w:r>
        <w:rPr>
          <w:rFonts w:ascii="Arial" w:hAnsi="Arial" w:cs="Arial"/>
        </w:rPr>
        <w:t xml:space="preserve"> needs I can</w:t>
      </w:r>
      <w:r w:rsidR="00E11CB9">
        <w:rPr>
          <w:rFonts w:ascii="Arial" w:hAnsi="Arial" w:cs="Arial"/>
        </w:rPr>
        <w:t xml:space="preserve"> help to eliminate any worries around symptoms. Recognising the symptoms, such as hot flashes or flushing, and the mental impact this has on my students regarding negative self-talk can help me tailor my lessons to fully support my students.</w:t>
      </w:r>
    </w:p>
    <w:p w:rsidR="000B1779" w:rsidRPr="002B67BF" w:rsidRDefault="000B1779" w:rsidP="000B1779">
      <w:pPr>
        <w:spacing w:line="360" w:lineRule="auto"/>
        <w:rPr>
          <w:rFonts w:ascii="Arial" w:hAnsi="Arial" w:cs="Arial"/>
          <w:b/>
          <w:u w:val="single"/>
        </w:rPr>
      </w:pPr>
    </w:p>
    <w:p w:rsidR="000B1779" w:rsidRPr="002B67BF" w:rsidRDefault="000B1779" w:rsidP="000B1779">
      <w:pPr>
        <w:spacing w:line="360" w:lineRule="auto"/>
        <w:rPr>
          <w:rFonts w:ascii="Arial" w:hAnsi="Arial" w:cs="Arial"/>
          <w:b/>
          <w:u w:val="single"/>
        </w:rPr>
      </w:pPr>
    </w:p>
    <w:p w:rsidR="000B1779" w:rsidRPr="002B67BF" w:rsidRDefault="000B1779" w:rsidP="000B1779">
      <w:pPr>
        <w:spacing w:line="360" w:lineRule="auto"/>
        <w:rPr>
          <w:rFonts w:ascii="Arial" w:hAnsi="Arial" w:cs="Arial"/>
        </w:rPr>
      </w:pPr>
    </w:p>
    <w:p w:rsidR="000B1779" w:rsidRPr="002B67BF" w:rsidRDefault="000B1779" w:rsidP="000B1779">
      <w:pPr>
        <w:spacing w:line="360" w:lineRule="auto"/>
        <w:rPr>
          <w:rFonts w:ascii="Arial" w:hAnsi="Arial" w:cs="Arial"/>
          <w:b/>
        </w:rPr>
      </w:pPr>
    </w:p>
    <w:p w:rsidR="000B1779" w:rsidRPr="002B67BF" w:rsidRDefault="000B1779" w:rsidP="000B1779">
      <w:pPr>
        <w:spacing w:line="360" w:lineRule="auto"/>
        <w:rPr>
          <w:rFonts w:ascii="Arial" w:hAnsi="Arial" w:cs="Arial"/>
          <w:b/>
        </w:rPr>
      </w:pPr>
    </w:p>
    <w:p w:rsidR="000B1779" w:rsidRPr="002B67BF" w:rsidRDefault="000B1779" w:rsidP="000B1779">
      <w:pPr>
        <w:spacing w:line="360" w:lineRule="auto"/>
        <w:rPr>
          <w:rFonts w:ascii="Arial" w:hAnsi="Arial" w:cs="Arial"/>
          <w:b/>
        </w:rPr>
      </w:pPr>
    </w:p>
    <w:p w:rsidR="000B1779" w:rsidRDefault="000B1779" w:rsidP="000B1779">
      <w:pPr>
        <w:spacing w:line="360" w:lineRule="auto"/>
        <w:rPr>
          <w:rFonts w:ascii="Arial" w:hAnsi="Arial" w:cs="Arial"/>
          <w:b/>
        </w:rPr>
      </w:pPr>
    </w:p>
    <w:p w:rsidR="0087451C" w:rsidRDefault="0087451C" w:rsidP="000B1779">
      <w:pPr>
        <w:spacing w:line="360" w:lineRule="auto"/>
        <w:rPr>
          <w:rFonts w:ascii="Arial" w:hAnsi="Arial" w:cs="Arial"/>
          <w:b/>
        </w:rPr>
      </w:pPr>
    </w:p>
    <w:p w:rsidR="0087451C" w:rsidRDefault="0087451C" w:rsidP="000B1779">
      <w:pPr>
        <w:spacing w:line="360" w:lineRule="auto"/>
        <w:rPr>
          <w:rFonts w:ascii="Arial" w:hAnsi="Arial" w:cs="Arial"/>
          <w:b/>
        </w:rPr>
      </w:pPr>
    </w:p>
    <w:p w:rsidR="0087451C" w:rsidRDefault="0087451C" w:rsidP="000B1779">
      <w:pPr>
        <w:spacing w:line="360" w:lineRule="auto"/>
        <w:rPr>
          <w:rFonts w:ascii="Arial" w:hAnsi="Arial" w:cs="Arial"/>
          <w:b/>
        </w:rPr>
      </w:pPr>
    </w:p>
    <w:p w:rsidR="00157193" w:rsidRDefault="00157193" w:rsidP="000B1779">
      <w:pPr>
        <w:spacing w:line="360" w:lineRule="auto"/>
        <w:rPr>
          <w:rFonts w:ascii="Arial" w:hAnsi="Arial" w:cs="Arial"/>
          <w:b/>
        </w:rPr>
      </w:pPr>
    </w:p>
    <w:p w:rsidR="00157193" w:rsidRPr="002B67BF" w:rsidRDefault="00157193" w:rsidP="000B1779">
      <w:pPr>
        <w:spacing w:line="360" w:lineRule="auto"/>
        <w:rPr>
          <w:rFonts w:ascii="Arial" w:hAnsi="Arial" w:cs="Arial"/>
          <w:b/>
        </w:rPr>
      </w:pPr>
    </w:p>
    <w:p w:rsidR="000B1779" w:rsidRPr="002B67BF" w:rsidRDefault="000B1779" w:rsidP="000B1779">
      <w:pPr>
        <w:spacing w:line="360" w:lineRule="auto"/>
        <w:rPr>
          <w:rFonts w:ascii="Arial" w:hAnsi="Arial" w:cs="Arial"/>
          <w:b/>
        </w:rPr>
      </w:pPr>
    </w:p>
    <w:p w:rsidR="000B1779" w:rsidRPr="002B67BF" w:rsidRDefault="000B1779" w:rsidP="000B1779">
      <w:pPr>
        <w:spacing w:line="360" w:lineRule="auto"/>
        <w:rPr>
          <w:rFonts w:ascii="Arial" w:hAnsi="Arial" w:cs="Arial"/>
          <w:u w:val="single"/>
        </w:rPr>
      </w:pPr>
      <w:r w:rsidRPr="002B67BF">
        <w:rPr>
          <w:rFonts w:ascii="Arial" w:hAnsi="Arial" w:cs="Arial"/>
          <w:u w:val="single"/>
        </w:rPr>
        <w:t>Bibliography</w:t>
      </w:r>
    </w:p>
    <w:p w:rsidR="000B1779" w:rsidRPr="002B67BF" w:rsidRDefault="000B1779" w:rsidP="000B1779">
      <w:pPr>
        <w:spacing w:line="360" w:lineRule="auto"/>
        <w:rPr>
          <w:rFonts w:ascii="Arial" w:hAnsi="Arial" w:cs="Arial"/>
        </w:rPr>
      </w:pPr>
      <w:r w:rsidRPr="002B67BF">
        <w:rPr>
          <w:rFonts w:ascii="Arial" w:hAnsi="Arial" w:cs="Arial"/>
        </w:rPr>
        <w:t xml:space="preserve">Abitol J, Abitol B, Abitol P (1999) Sex Hormones and the female Voice, </w:t>
      </w:r>
      <w:r w:rsidRPr="002B67BF">
        <w:rPr>
          <w:rFonts w:ascii="Arial" w:hAnsi="Arial" w:cs="Arial"/>
          <w:i/>
        </w:rPr>
        <w:t>Journal of Voice,</w:t>
      </w:r>
      <w:r w:rsidRPr="002B67BF">
        <w:rPr>
          <w:rFonts w:ascii="Arial" w:hAnsi="Arial" w:cs="Arial"/>
        </w:rPr>
        <w:t xml:space="preserve"> Vol13, No.3 pp 424-446.</w:t>
      </w:r>
    </w:p>
    <w:p w:rsidR="000B1779" w:rsidRPr="002B67BF" w:rsidRDefault="000B1779" w:rsidP="000B1779">
      <w:pPr>
        <w:spacing w:line="360" w:lineRule="auto"/>
        <w:rPr>
          <w:rFonts w:ascii="Arial" w:hAnsi="Arial" w:cs="Arial"/>
        </w:rPr>
      </w:pPr>
      <w:r w:rsidRPr="002B67BF">
        <w:rPr>
          <w:rFonts w:ascii="Arial" w:hAnsi="Arial" w:cs="Arial"/>
        </w:rPr>
        <w:t xml:space="preserve">Abitbol J,et al (1989) Does a hormonal vocal cord cycle exist in women? </w:t>
      </w:r>
      <w:r w:rsidRPr="002B67BF">
        <w:rPr>
          <w:rFonts w:ascii="Arial" w:hAnsi="Arial" w:cs="Arial"/>
          <w:i/>
        </w:rPr>
        <w:t>Voice</w:t>
      </w:r>
      <w:r w:rsidRPr="002B67BF">
        <w:rPr>
          <w:rFonts w:ascii="Arial" w:hAnsi="Arial" w:cs="Arial"/>
        </w:rPr>
        <w:t>. Vol. 3, pp.157–162</w:t>
      </w:r>
    </w:p>
    <w:p w:rsidR="000B1779" w:rsidRPr="002B67BF" w:rsidRDefault="000B1779" w:rsidP="000B1779">
      <w:pPr>
        <w:spacing w:line="360" w:lineRule="auto"/>
        <w:rPr>
          <w:rFonts w:ascii="Arial" w:hAnsi="Arial" w:cs="Arial"/>
        </w:rPr>
      </w:pPr>
      <w:r w:rsidRPr="002B67BF">
        <w:rPr>
          <w:rFonts w:ascii="Arial" w:hAnsi="Arial" w:cs="Arial"/>
        </w:rPr>
        <w:t xml:space="preserve">Altemus, M (2006) Sex differences in depression and anxiety disorders: Potential biological determinants, </w:t>
      </w:r>
      <w:r w:rsidRPr="002B67BF">
        <w:rPr>
          <w:rFonts w:ascii="Arial" w:hAnsi="Arial" w:cs="Arial"/>
          <w:i/>
        </w:rPr>
        <w:t>Hormones and Behavior</w:t>
      </w:r>
      <w:r w:rsidRPr="002B67BF">
        <w:rPr>
          <w:rFonts w:ascii="Arial" w:hAnsi="Arial" w:cs="Arial"/>
        </w:rPr>
        <w:t>, Volume 50, Issue 4, pp. 534-538,</w:t>
      </w:r>
    </w:p>
    <w:p w:rsidR="000B1779" w:rsidRPr="002B67BF" w:rsidRDefault="000B1779" w:rsidP="000B1779">
      <w:pPr>
        <w:spacing w:line="360" w:lineRule="auto"/>
        <w:rPr>
          <w:rFonts w:ascii="Arial" w:hAnsi="Arial" w:cs="Arial"/>
        </w:rPr>
      </w:pPr>
      <w:r w:rsidRPr="002B67BF">
        <w:rPr>
          <w:rFonts w:ascii="Arial" w:hAnsi="Arial" w:cs="Arial"/>
        </w:rPr>
        <w:t xml:space="preserve">Anderson, C (2010) Presenting and Evaluating Qualitiative research, </w:t>
      </w:r>
      <w:r w:rsidRPr="002B67BF">
        <w:rPr>
          <w:rFonts w:ascii="Arial" w:hAnsi="Arial" w:cs="Arial"/>
          <w:i/>
        </w:rPr>
        <w:t>American Journal of Pharamceutical Education</w:t>
      </w:r>
      <w:r w:rsidRPr="002B67BF">
        <w:rPr>
          <w:rFonts w:ascii="Arial" w:hAnsi="Arial" w:cs="Arial"/>
        </w:rPr>
        <w:t>, Vol 74, No.8, Article 141.</w:t>
      </w:r>
    </w:p>
    <w:p w:rsidR="000B1779" w:rsidRPr="002B67BF" w:rsidRDefault="000B1779" w:rsidP="000B1779">
      <w:pPr>
        <w:spacing w:line="360" w:lineRule="auto"/>
        <w:rPr>
          <w:rFonts w:ascii="Arial" w:hAnsi="Arial" w:cs="Arial"/>
          <w:shd w:val="clear" w:color="auto" w:fill="FFFFFF"/>
        </w:rPr>
      </w:pPr>
      <w:r w:rsidRPr="002B67BF">
        <w:rPr>
          <w:rFonts w:ascii="Arial" w:hAnsi="Arial" w:cs="Arial"/>
          <w:shd w:val="clear" w:color="auto" w:fill="FFFFFF"/>
        </w:rPr>
        <w:t xml:space="preserve">Andaloro C, Sharma P, La Mantia I (2023) </w:t>
      </w:r>
      <w:r w:rsidRPr="002B67BF">
        <w:rPr>
          <w:rFonts w:ascii="Arial" w:hAnsi="Arial" w:cs="Arial"/>
          <w:i/>
          <w:shd w:val="clear" w:color="auto" w:fill="FFFFFF"/>
        </w:rPr>
        <w:t>Anatomy, Head and Neck: Larynx Arytenoid Cartilage</w:t>
      </w:r>
      <w:r w:rsidRPr="002B67BF">
        <w:rPr>
          <w:rFonts w:ascii="Arial" w:hAnsi="Arial" w:cs="Arial"/>
          <w:shd w:val="clear" w:color="auto" w:fill="FFFFFF"/>
        </w:rPr>
        <w:t xml:space="preserve">. In: StatPearls. Treasure Island (FL): StatPearls Publishing; </w:t>
      </w:r>
    </w:p>
    <w:p w:rsidR="000B1779" w:rsidRDefault="000B1779" w:rsidP="000B1779">
      <w:pPr>
        <w:spacing w:line="360" w:lineRule="auto"/>
        <w:rPr>
          <w:rFonts w:ascii="Arial" w:hAnsi="Arial" w:cs="Arial"/>
        </w:rPr>
      </w:pPr>
      <w:r w:rsidRPr="002B67BF">
        <w:rPr>
          <w:rFonts w:ascii="Arial" w:hAnsi="Arial" w:cs="Arial"/>
        </w:rPr>
        <w:t>Arneson, C (2010) Performance Anxiety: A 21</w:t>
      </w:r>
      <w:r w:rsidRPr="002B67BF">
        <w:rPr>
          <w:rFonts w:ascii="Arial" w:hAnsi="Arial" w:cs="Arial"/>
          <w:vertAlign w:val="superscript"/>
        </w:rPr>
        <w:t>st</w:t>
      </w:r>
      <w:r w:rsidRPr="002B67BF">
        <w:rPr>
          <w:rFonts w:ascii="Arial" w:hAnsi="Arial" w:cs="Arial"/>
        </w:rPr>
        <w:t xml:space="preserve"> Century Perspective, </w:t>
      </w:r>
      <w:r w:rsidRPr="002B67BF">
        <w:rPr>
          <w:rFonts w:ascii="Arial" w:hAnsi="Arial" w:cs="Arial"/>
          <w:i/>
        </w:rPr>
        <w:t>Journal of Voice</w:t>
      </w:r>
      <w:r w:rsidRPr="002B67BF">
        <w:rPr>
          <w:rFonts w:ascii="Arial" w:hAnsi="Arial" w:cs="Arial"/>
        </w:rPr>
        <w:t>, Volume 66. No.5 pp.537-546</w:t>
      </w:r>
    </w:p>
    <w:p w:rsidR="00BA5436" w:rsidRPr="002B67BF" w:rsidRDefault="00BA5436" w:rsidP="000B1779">
      <w:pPr>
        <w:spacing w:line="360" w:lineRule="auto"/>
        <w:rPr>
          <w:rFonts w:ascii="Arial" w:hAnsi="Arial" w:cs="Arial"/>
        </w:rPr>
      </w:pPr>
      <w:r>
        <w:rPr>
          <w:rFonts w:ascii="Arial" w:hAnsi="Arial" w:cs="Arial"/>
        </w:rPr>
        <w:t xml:space="preserve">Bertain, E (2023) </w:t>
      </w:r>
      <w:r w:rsidRPr="00BA5436">
        <w:rPr>
          <w:rFonts w:ascii="Arial" w:hAnsi="Arial" w:cs="Arial"/>
          <w:i/>
        </w:rPr>
        <w:t>Overwhelming Prevalence of Music Performance Anxiety in Conservatory Musical Theatre Singers: Associated symptoms of Negative Self-Talk, Tension, and Increased Heart Rate in Performance</w:t>
      </w:r>
      <w:r>
        <w:rPr>
          <w:rFonts w:ascii="Arial" w:hAnsi="Arial" w:cs="Arial"/>
        </w:rPr>
        <w:t xml:space="preserve">, </w:t>
      </w:r>
      <w:r w:rsidRPr="00BA5436">
        <w:rPr>
          <w:rFonts w:ascii="Arial" w:hAnsi="Arial" w:cs="Arial"/>
        </w:rPr>
        <w:t>Boston Conservatory at Berklee ProQuest Dissertations Publishing</w:t>
      </w:r>
    </w:p>
    <w:p w:rsidR="000B1779" w:rsidRPr="002B67BF" w:rsidRDefault="000B1779" w:rsidP="000B1779">
      <w:pPr>
        <w:spacing w:line="360" w:lineRule="auto"/>
        <w:rPr>
          <w:rFonts w:ascii="Arial" w:hAnsi="Arial" w:cs="Arial"/>
        </w:rPr>
      </w:pPr>
      <w:r w:rsidRPr="002B67BF">
        <w:rPr>
          <w:rFonts w:ascii="Arial" w:hAnsi="Arial" w:cs="Arial"/>
        </w:rPr>
        <w:t>Bremer, Jallo, Rodgers, Kinser &amp; Dautovich (2019) Anxiety in Menopause: A Distinctly Different Syndrome?,</w:t>
      </w:r>
      <w:r w:rsidRPr="002B67BF">
        <w:rPr>
          <w:rFonts w:ascii="Arial" w:hAnsi="Arial" w:cs="Arial"/>
          <w:i/>
        </w:rPr>
        <w:t xml:space="preserve"> The Journal for Nurse Practitioners,</w:t>
      </w:r>
      <w:r w:rsidRPr="002B67BF">
        <w:rPr>
          <w:rFonts w:ascii="Arial" w:hAnsi="Arial" w:cs="Arial"/>
        </w:rPr>
        <w:t xml:space="preserve"> Volume 15, Issue 5, pp. 374-378,</w:t>
      </w:r>
    </w:p>
    <w:p w:rsidR="000B1779" w:rsidRPr="002B67BF" w:rsidRDefault="000B1779" w:rsidP="000B1779">
      <w:pPr>
        <w:spacing w:line="360" w:lineRule="auto"/>
        <w:rPr>
          <w:rFonts w:ascii="Arial" w:hAnsi="Arial" w:cs="Arial"/>
        </w:rPr>
      </w:pPr>
      <w:r w:rsidRPr="002B67BF">
        <w:rPr>
          <w:rFonts w:ascii="Arial" w:hAnsi="Arial" w:cs="Arial"/>
        </w:rPr>
        <w:t xml:space="preserve">Bromberger JT, Kravitz HM, Chang Y, et al (2013) Does risk for anxiety increase during the menopausal transition? </w:t>
      </w:r>
      <w:r w:rsidRPr="002B67BF">
        <w:rPr>
          <w:rFonts w:ascii="Arial" w:hAnsi="Arial" w:cs="Arial"/>
          <w:i/>
        </w:rPr>
        <w:t>Study of women’s health across the nation. Menopause</w:t>
      </w:r>
      <w:r w:rsidRPr="002B67BF">
        <w:rPr>
          <w:rFonts w:ascii="Arial" w:hAnsi="Arial" w:cs="Arial"/>
        </w:rPr>
        <w:t>, 20, pp.488–495</w:t>
      </w:r>
    </w:p>
    <w:p w:rsidR="000B1779" w:rsidRPr="002B67BF" w:rsidRDefault="000B1779" w:rsidP="000B1779">
      <w:pPr>
        <w:spacing w:line="360" w:lineRule="auto"/>
        <w:rPr>
          <w:rFonts w:ascii="Arial" w:hAnsi="Arial" w:cs="Arial"/>
        </w:rPr>
      </w:pPr>
      <w:r w:rsidRPr="002B67BF">
        <w:rPr>
          <w:rFonts w:ascii="Arial" w:hAnsi="Arial" w:cs="Arial"/>
        </w:rPr>
        <w:t xml:space="preserve">Bauld R &amp; Brown R F (2009) Stress, psychological distress, psychosocial factors, menopause symptoms and physical health in women, </w:t>
      </w:r>
      <w:r w:rsidRPr="002B67BF">
        <w:rPr>
          <w:rFonts w:ascii="Arial" w:hAnsi="Arial" w:cs="Arial"/>
          <w:i/>
        </w:rPr>
        <w:t xml:space="preserve">Maturitas, </w:t>
      </w:r>
      <w:r w:rsidRPr="002B67BF">
        <w:rPr>
          <w:rFonts w:ascii="Arial" w:hAnsi="Arial" w:cs="Arial"/>
        </w:rPr>
        <w:t>Volume 62, Issue 2, pp. 160-165</w:t>
      </w:r>
    </w:p>
    <w:p w:rsidR="000B1779" w:rsidRPr="002B67BF" w:rsidRDefault="000B1779" w:rsidP="000B1779">
      <w:pPr>
        <w:spacing w:line="360" w:lineRule="auto"/>
        <w:rPr>
          <w:rFonts w:ascii="Arial" w:hAnsi="Arial" w:cs="Arial"/>
        </w:rPr>
      </w:pPr>
      <w:r w:rsidRPr="002B67BF">
        <w:rPr>
          <w:rFonts w:ascii="Arial" w:hAnsi="Arial" w:cs="Arial"/>
        </w:rPr>
        <w:t xml:space="preserve">Barefield, R (2012) Fear of Singing: Identifying and Assisting Singers with Chronic Anxiety Issues, </w:t>
      </w:r>
      <w:r w:rsidRPr="002B67BF">
        <w:rPr>
          <w:rFonts w:ascii="Arial" w:hAnsi="Arial" w:cs="Arial"/>
          <w:i/>
        </w:rPr>
        <w:t>Music Educators Journal</w:t>
      </w:r>
      <w:r w:rsidRPr="002B67BF">
        <w:rPr>
          <w:rFonts w:ascii="Arial" w:hAnsi="Arial" w:cs="Arial"/>
        </w:rPr>
        <w:t>, Vol. 98, pp.60-63</w:t>
      </w:r>
    </w:p>
    <w:p w:rsidR="000B1779" w:rsidRPr="002B67BF" w:rsidRDefault="000B1779" w:rsidP="000B1779">
      <w:pPr>
        <w:spacing w:line="360" w:lineRule="auto"/>
        <w:rPr>
          <w:rFonts w:ascii="Arial" w:hAnsi="Arial" w:cs="Arial"/>
        </w:rPr>
      </w:pPr>
      <w:r w:rsidRPr="002B67BF">
        <w:rPr>
          <w:rFonts w:ascii="Arial" w:hAnsi="Arial" w:cs="Arial"/>
        </w:rPr>
        <w:t xml:space="preserve">Celik O, Celik A, Atespare A, Boyaci Z and Celebi S (2013) Voice and Speech changes in various stages of Menstrual Cycle, </w:t>
      </w:r>
      <w:r w:rsidRPr="002B67BF">
        <w:rPr>
          <w:rFonts w:ascii="Arial" w:hAnsi="Arial" w:cs="Arial"/>
          <w:i/>
        </w:rPr>
        <w:t xml:space="preserve">Journal of Voice , </w:t>
      </w:r>
      <w:r w:rsidRPr="002B67BF">
        <w:rPr>
          <w:rFonts w:ascii="Arial" w:hAnsi="Arial" w:cs="Arial"/>
        </w:rPr>
        <w:t>Vol 27, No.5 pp. 622-626</w:t>
      </w:r>
    </w:p>
    <w:p w:rsidR="000B1779" w:rsidRPr="002B67BF" w:rsidRDefault="000B1779" w:rsidP="000B1779">
      <w:pPr>
        <w:spacing w:line="360" w:lineRule="auto"/>
        <w:rPr>
          <w:rFonts w:ascii="Arial" w:hAnsi="Arial" w:cs="Arial"/>
        </w:rPr>
      </w:pPr>
      <w:r w:rsidRPr="002B67BF">
        <w:rPr>
          <w:rFonts w:ascii="Arial" w:hAnsi="Arial" w:cs="Arial"/>
        </w:rPr>
        <w:lastRenderedPageBreak/>
        <w:t xml:space="preserve">Clark M, &amp; Clark V (2002) </w:t>
      </w:r>
      <w:r w:rsidRPr="002B67BF">
        <w:rPr>
          <w:rFonts w:ascii="Arial" w:hAnsi="Arial" w:cs="Arial"/>
          <w:i/>
        </w:rPr>
        <w:t>Singing, Acting and Movement in Opera</w:t>
      </w:r>
      <w:r w:rsidRPr="002B67BF">
        <w:rPr>
          <w:rFonts w:ascii="Arial" w:hAnsi="Arial" w:cs="Arial"/>
        </w:rPr>
        <w:t>, Bloomington: Indiana University Press, p.105.</w:t>
      </w:r>
    </w:p>
    <w:p w:rsidR="000B1779" w:rsidRPr="002B67BF" w:rsidRDefault="000B1779" w:rsidP="000B1779">
      <w:pPr>
        <w:spacing w:line="360" w:lineRule="auto"/>
        <w:rPr>
          <w:rFonts w:ascii="Arial" w:hAnsi="Arial" w:cs="Arial"/>
        </w:rPr>
      </w:pPr>
      <w:r w:rsidRPr="002B67BF">
        <w:rPr>
          <w:rFonts w:ascii="Arial" w:hAnsi="Arial" w:cs="Arial"/>
        </w:rPr>
        <w:t xml:space="preserve">Crotty, M. (1998). </w:t>
      </w:r>
      <w:r w:rsidRPr="002B67BF">
        <w:rPr>
          <w:rFonts w:ascii="Arial" w:hAnsi="Arial" w:cs="Arial"/>
          <w:i/>
        </w:rPr>
        <w:t>The foundations of social science research</w:t>
      </w:r>
      <w:r w:rsidRPr="002B67BF">
        <w:rPr>
          <w:rFonts w:ascii="Arial" w:hAnsi="Arial" w:cs="Arial"/>
        </w:rPr>
        <w:t>. St. Leonards, New South Wales: Allen and Unwin.</w:t>
      </w:r>
    </w:p>
    <w:p w:rsidR="000B1779" w:rsidRPr="002B67BF" w:rsidRDefault="000B1779" w:rsidP="000B1779">
      <w:pPr>
        <w:spacing w:line="360" w:lineRule="auto"/>
        <w:rPr>
          <w:rFonts w:ascii="Arial" w:hAnsi="Arial" w:cs="Arial"/>
        </w:rPr>
      </w:pPr>
      <w:r w:rsidRPr="002B67BF">
        <w:rPr>
          <w:rFonts w:ascii="Arial" w:hAnsi="Arial" w:cs="Arial"/>
        </w:rPr>
        <w:t xml:space="preserve">Davis, S. R. et al (2015) </w:t>
      </w:r>
      <w:r w:rsidRPr="002B67BF">
        <w:rPr>
          <w:rFonts w:ascii="Arial" w:hAnsi="Arial" w:cs="Arial"/>
          <w:i/>
        </w:rPr>
        <w:t>Menopause.</w:t>
      </w:r>
      <w:r w:rsidRPr="002B67BF">
        <w:rPr>
          <w:rFonts w:ascii="Arial" w:hAnsi="Arial" w:cs="Arial"/>
        </w:rPr>
        <w:t xml:space="preserve"> Nat. Rev. Dis. Primers. Ed 1, </w:t>
      </w:r>
    </w:p>
    <w:p w:rsidR="000B1779" w:rsidRPr="002B67BF" w:rsidRDefault="000B1779" w:rsidP="000B1779">
      <w:pPr>
        <w:spacing w:line="360" w:lineRule="auto"/>
        <w:rPr>
          <w:rFonts w:ascii="Arial" w:hAnsi="Arial" w:cs="Arial"/>
        </w:rPr>
      </w:pPr>
      <w:r w:rsidRPr="002B67BF">
        <w:rPr>
          <w:rFonts w:ascii="Arial" w:hAnsi="Arial" w:cs="Arial"/>
        </w:rPr>
        <w:t xml:space="preserve">Dilthey, W. (1988). </w:t>
      </w:r>
      <w:r w:rsidRPr="002B67BF">
        <w:rPr>
          <w:rFonts w:ascii="Arial" w:hAnsi="Arial" w:cs="Arial"/>
          <w:i/>
        </w:rPr>
        <w:t xml:space="preserve">Introduction to the human sciences: An attempt to lay a foundation for the study of society and history </w:t>
      </w:r>
      <w:r w:rsidRPr="002B67BF">
        <w:rPr>
          <w:rFonts w:ascii="Arial" w:hAnsi="Arial" w:cs="Arial"/>
        </w:rPr>
        <w:t xml:space="preserve">(R. J. Betzanos, Trans.). Detroit, MI: Wayne State University. </w:t>
      </w:r>
    </w:p>
    <w:p w:rsidR="000B1779" w:rsidRPr="002B67BF" w:rsidRDefault="000B1779" w:rsidP="000B1779">
      <w:pPr>
        <w:spacing w:line="360" w:lineRule="auto"/>
        <w:rPr>
          <w:rFonts w:ascii="Arial" w:hAnsi="Arial" w:cs="Arial"/>
        </w:rPr>
      </w:pPr>
      <w:r w:rsidRPr="002B67BF">
        <w:rPr>
          <w:rFonts w:ascii="Arial" w:hAnsi="Arial" w:cs="Arial"/>
          <w:shd w:val="clear" w:color="auto" w:fill="FFFFFF"/>
        </w:rPr>
        <w:t>Drożdżowicz, A. (2021). Bringing back the voice: on the auditory objects of speech perception. </w:t>
      </w:r>
      <w:r w:rsidRPr="002B67BF">
        <w:rPr>
          <w:rFonts w:ascii="Arial" w:hAnsi="Arial" w:cs="Arial"/>
          <w:i/>
          <w:iCs/>
          <w:shd w:val="clear" w:color="auto" w:fill="FFFFFF"/>
        </w:rPr>
        <w:t>Synthese</w:t>
      </w:r>
      <w:r w:rsidRPr="002B67BF">
        <w:rPr>
          <w:rFonts w:ascii="Arial" w:hAnsi="Arial" w:cs="Arial"/>
          <w:shd w:val="clear" w:color="auto" w:fill="FFFFFF"/>
        </w:rPr>
        <w:t> </w:t>
      </w:r>
      <w:r w:rsidRPr="002B67BF">
        <w:rPr>
          <w:rFonts w:ascii="Arial" w:hAnsi="Arial" w:cs="Arial"/>
          <w:bCs/>
          <w:i/>
          <w:shd w:val="clear" w:color="auto" w:fill="FFFFFF"/>
        </w:rPr>
        <w:t>199</w:t>
      </w:r>
      <w:r w:rsidRPr="002B67BF">
        <w:rPr>
          <w:rFonts w:ascii="Arial" w:hAnsi="Arial" w:cs="Arial"/>
          <w:shd w:val="clear" w:color="auto" w:fill="FFFFFF"/>
        </w:rPr>
        <w:t>, 661–687 https://doi.org/10.1007/s11229-020-02687-z</w:t>
      </w:r>
    </w:p>
    <w:p w:rsidR="000B1779" w:rsidRPr="002B67BF" w:rsidRDefault="000B1779" w:rsidP="000B1779">
      <w:pPr>
        <w:spacing w:line="360" w:lineRule="auto"/>
        <w:rPr>
          <w:rFonts w:ascii="Arial" w:hAnsi="Arial" w:cs="Arial"/>
        </w:rPr>
      </w:pPr>
      <w:r w:rsidRPr="002B67BF">
        <w:rPr>
          <w:rFonts w:ascii="Arial" w:hAnsi="Arial" w:cs="Arial"/>
        </w:rPr>
        <w:t xml:space="preserve">Edwards, A, Elwyn, G, Hood, K., &amp; Rollnick, S. (2000). Judging the “weight of evidence” in systematic reviews: Introducing rigor into the qualitative overview stage by assessing signal and noise. </w:t>
      </w:r>
      <w:r w:rsidRPr="002B67BF">
        <w:rPr>
          <w:rFonts w:ascii="Arial" w:hAnsi="Arial" w:cs="Arial"/>
          <w:i/>
        </w:rPr>
        <w:t>Journal of Evaluation in Clinical Practice</w:t>
      </w:r>
      <w:r w:rsidRPr="002B67BF">
        <w:rPr>
          <w:rFonts w:ascii="Arial" w:hAnsi="Arial" w:cs="Arial"/>
        </w:rPr>
        <w:t>, No. 6, pp. 177-184</w:t>
      </w:r>
    </w:p>
    <w:p w:rsidR="000B1779" w:rsidRPr="002B67BF" w:rsidRDefault="000B1779" w:rsidP="000B1779">
      <w:pPr>
        <w:spacing w:line="360" w:lineRule="auto"/>
        <w:rPr>
          <w:rFonts w:ascii="Arial" w:hAnsi="Arial" w:cs="Arial"/>
        </w:rPr>
      </w:pPr>
      <w:r w:rsidRPr="002B67BF">
        <w:rPr>
          <w:rFonts w:ascii="Arial" w:hAnsi="Arial" w:cs="Arial"/>
        </w:rPr>
        <w:t>Elliot, M (2010) Singing and Mindfulness</w:t>
      </w:r>
      <w:r w:rsidRPr="002B67BF">
        <w:rPr>
          <w:rFonts w:ascii="Arial" w:hAnsi="Arial" w:cs="Arial"/>
          <w:i/>
        </w:rPr>
        <w:t>, Journal of Singing</w:t>
      </w:r>
      <w:r w:rsidRPr="002B67BF">
        <w:rPr>
          <w:rFonts w:ascii="Arial" w:hAnsi="Arial" w:cs="Arial"/>
        </w:rPr>
        <w:t>, Volume 67, No. 1, pp. 35–40</w:t>
      </w:r>
    </w:p>
    <w:p w:rsidR="000B1779" w:rsidRPr="002B67BF" w:rsidRDefault="000B1779" w:rsidP="000B1779">
      <w:pPr>
        <w:spacing w:line="360" w:lineRule="auto"/>
        <w:rPr>
          <w:rFonts w:ascii="Arial" w:hAnsi="Arial" w:cs="Arial"/>
        </w:rPr>
      </w:pPr>
      <w:r w:rsidRPr="002B67BF">
        <w:rPr>
          <w:rFonts w:ascii="Arial" w:hAnsi="Arial" w:cs="Arial"/>
        </w:rPr>
        <w:t xml:space="preserve">Domonkos E, Borbélyová V, Csongová M, Bosý M, Kačmárová M, Ostatníková D, Hodosy J, and Celec P (2017) Sex differences and sex hormones in anxiety-like behavior of aging rats, </w:t>
      </w:r>
      <w:r w:rsidRPr="002B67BF">
        <w:rPr>
          <w:rFonts w:ascii="Arial" w:hAnsi="Arial" w:cs="Arial"/>
          <w:i/>
        </w:rPr>
        <w:t>Hormones and Behavior</w:t>
      </w:r>
      <w:r w:rsidRPr="002B67BF">
        <w:rPr>
          <w:rFonts w:ascii="Arial" w:hAnsi="Arial" w:cs="Arial"/>
        </w:rPr>
        <w:t>, Volume 93, pp. 159-165</w:t>
      </w:r>
    </w:p>
    <w:p w:rsidR="000B1779" w:rsidRPr="002B67BF" w:rsidRDefault="000B1779" w:rsidP="000B1779">
      <w:pPr>
        <w:spacing w:line="360" w:lineRule="auto"/>
        <w:rPr>
          <w:rFonts w:ascii="Arial" w:hAnsi="Arial" w:cs="Arial"/>
        </w:rPr>
      </w:pPr>
      <w:r w:rsidRPr="002B67BF">
        <w:rPr>
          <w:rFonts w:ascii="Arial" w:hAnsi="Arial" w:cs="Arial"/>
        </w:rPr>
        <w:t>Fancourt, D., Aufegger, L., &amp; Williamon, A. (2015). Low-stress and high-stress singing have contrasting effects on glucocorticoid response. Frontiers in Psychology, 6, 1242. doi:10.3389/fpsyg. 2015.0124</w:t>
      </w:r>
    </w:p>
    <w:p w:rsidR="000B1779" w:rsidRPr="002B67BF" w:rsidRDefault="000B1779" w:rsidP="000B1779">
      <w:pPr>
        <w:spacing w:line="360" w:lineRule="auto"/>
        <w:rPr>
          <w:rFonts w:ascii="Arial" w:hAnsi="Arial" w:cs="Arial"/>
        </w:rPr>
      </w:pPr>
      <w:r w:rsidRPr="002B67BF">
        <w:rPr>
          <w:rFonts w:ascii="Arial" w:hAnsi="Arial" w:cs="Arial"/>
        </w:rPr>
        <w:t xml:space="preserve">Fancourt, D., &amp; Perkins, R. (2017). Associations between singing to babies and symptoms of postnatal depression, wellbeing, self-esteem and mother-infant bond. Public Health, Vol. 145, pp. 149–152. </w:t>
      </w:r>
    </w:p>
    <w:p w:rsidR="000B1779" w:rsidRPr="002B67BF" w:rsidRDefault="000B1779" w:rsidP="000B1779">
      <w:pPr>
        <w:spacing w:line="360" w:lineRule="auto"/>
        <w:rPr>
          <w:rFonts w:ascii="Arial" w:hAnsi="Arial" w:cs="Arial"/>
          <w:shd w:val="clear" w:color="auto" w:fill="FFFFFF"/>
        </w:rPr>
      </w:pPr>
      <w:r w:rsidRPr="002B67BF">
        <w:rPr>
          <w:rStyle w:val="referencesauthors"/>
          <w:rFonts w:ascii="Arial" w:hAnsi="Arial" w:cs="Arial"/>
          <w:shd w:val="clear" w:color="auto" w:fill="FFFFFF"/>
        </w:rPr>
        <w:t xml:space="preserve">Freeman W &amp; Sammel D (2016) </w:t>
      </w:r>
      <w:r w:rsidRPr="002B67BF">
        <w:rPr>
          <w:rFonts w:ascii="Arial" w:hAnsi="Arial" w:cs="Arial"/>
          <w:shd w:val="clear" w:color="auto" w:fill="FFFFFF"/>
        </w:rPr>
        <w:t>Anxiety</w:t>
      </w:r>
      <w:r w:rsidRPr="002B67BF">
        <w:rPr>
          <w:rStyle w:val="referencesarticle-title"/>
          <w:rFonts w:ascii="Arial" w:hAnsi="Arial" w:cs="Arial"/>
          <w:shd w:val="clear" w:color="auto" w:fill="FFFFFF"/>
        </w:rPr>
        <w:t xml:space="preserve"> as a risk factor for menopausal hot flashes: evidence from the Penn Ovarian Aging cohort</w:t>
      </w:r>
      <w:r w:rsidRPr="002B67BF">
        <w:rPr>
          <w:rFonts w:ascii="Arial" w:hAnsi="Arial" w:cs="Arial"/>
          <w:shd w:val="clear" w:color="auto" w:fill="FFFFFF"/>
        </w:rPr>
        <w:t>. </w:t>
      </w:r>
      <w:r w:rsidRPr="002B67BF">
        <w:rPr>
          <w:rStyle w:val="Strong"/>
          <w:rFonts w:ascii="Arial" w:hAnsi="Arial" w:cs="Arial"/>
          <w:b w:val="0"/>
          <w:i/>
          <w:shd w:val="clear" w:color="auto" w:fill="FFFFFF"/>
        </w:rPr>
        <w:t>Menopause</w:t>
      </w:r>
      <w:r w:rsidRPr="002B67BF">
        <w:rPr>
          <w:rFonts w:ascii="Arial" w:hAnsi="Arial" w:cs="Arial"/>
          <w:shd w:val="clear" w:color="auto" w:fill="FFFFFF"/>
        </w:rPr>
        <w:t>; Vol 23, pp.942–949</w:t>
      </w:r>
    </w:p>
    <w:p w:rsidR="000B1779" w:rsidRPr="002B67BF" w:rsidRDefault="000B1779" w:rsidP="000B1779">
      <w:pPr>
        <w:spacing w:line="360" w:lineRule="auto"/>
        <w:rPr>
          <w:rFonts w:ascii="Arial" w:hAnsi="Arial" w:cs="Arial"/>
        </w:rPr>
      </w:pPr>
      <w:r w:rsidRPr="002B67BF">
        <w:rPr>
          <w:rFonts w:ascii="Arial" w:hAnsi="Arial" w:cs="Arial"/>
          <w:shd w:val="clear" w:color="auto" w:fill="FFFFFF"/>
        </w:rPr>
        <w:t xml:space="preserve">Freeman, W &amp; Sammel, D (2005) The role of anxiety and hormonal changes in menopausal hot flashes. </w:t>
      </w:r>
      <w:r w:rsidRPr="002B67BF">
        <w:rPr>
          <w:rFonts w:ascii="Arial" w:hAnsi="Arial" w:cs="Arial"/>
          <w:i/>
          <w:shd w:val="clear" w:color="auto" w:fill="FFFFFF"/>
        </w:rPr>
        <w:t xml:space="preserve">Menopause; </w:t>
      </w:r>
      <w:r w:rsidRPr="002B67BF">
        <w:rPr>
          <w:rFonts w:ascii="Arial" w:hAnsi="Arial" w:cs="Arial"/>
          <w:shd w:val="clear" w:color="auto" w:fill="FFFFFF"/>
        </w:rPr>
        <w:t>Vol 12, pp 258-266</w:t>
      </w:r>
    </w:p>
    <w:p w:rsidR="000B1779" w:rsidRPr="002B67BF" w:rsidRDefault="000B1779" w:rsidP="000B1779">
      <w:pPr>
        <w:spacing w:line="360" w:lineRule="auto"/>
        <w:rPr>
          <w:rFonts w:ascii="Arial" w:hAnsi="Arial" w:cs="Arial"/>
        </w:rPr>
      </w:pPr>
      <w:r w:rsidRPr="002B67BF">
        <w:rPr>
          <w:rFonts w:ascii="Arial" w:hAnsi="Arial" w:cs="Arial"/>
        </w:rPr>
        <w:t xml:space="preserve">Garnero, P, Sornay-Rendu, E, Chapuy, M &amp; Delmas, P(1996) </w:t>
      </w:r>
      <w:r w:rsidRPr="002B67BF">
        <w:rPr>
          <w:rFonts w:ascii="Arial" w:hAnsi="Arial" w:cs="Arial"/>
          <w:i/>
        </w:rPr>
        <w:t>Increased bone turnover in late postmenopausal women is a major determinant of osteoporosis</w:t>
      </w:r>
      <w:r w:rsidRPr="002B67BF">
        <w:rPr>
          <w:rFonts w:ascii="Arial" w:hAnsi="Arial" w:cs="Arial"/>
        </w:rPr>
        <w:t xml:space="preserve">. Res. 11, pp. 337–349 </w:t>
      </w:r>
    </w:p>
    <w:p w:rsidR="000B1779" w:rsidRPr="002B67BF" w:rsidRDefault="000B1779" w:rsidP="000B1779">
      <w:pPr>
        <w:spacing w:line="360" w:lineRule="auto"/>
        <w:rPr>
          <w:rFonts w:ascii="Arial" w:hAnsi="Arial" w:cs="Arial"/>
        </w:rPr>
      </w:pPr>
      <w:r w:rsidRPr="002B67BF">
        <w:rPr>
          <w:rFonts w:ascii="Arial" w:hAnsi="Arial" w:cs="Arial"/>
        </w:rPr>
        <w:t>Hannan J (1927). On Certain Adrenaline Effects at the Menopause and their Significance. Br Med J. Vol.14, Ed. 5.</w:t>
      </w:r>
    </w:p>
    <w:p w:rsidR="000B1779" w:rsidRDefault="000B1779" w:rsidP="000B1779">
      <w:pPr>
        <w:spacing w:line="360" w:lineRule="auto"/>
        <w:rPr>
          <w:rFonts w:ascii="Arial" w:hAnsi="Arial" w:cs="Arial"/>
        </w:rPr>
      </w:pPr>
      <w:r w:rsidRPr="002B67BF">
        <w:rPr>
          <w:rFonts w:ascii="Arial" w:hAnsi="Arial" w:cs="Arial"/>
        </w:rPr>
        <w:lastRenderedPageBreak/>
        <w:t xml:space="preserve">Harlow, S. D. et al (2012) Executive summary of the stages of reproductive aging workshop - addressing the unfinished agenda of staging reproductive aging. </w:t>
      </w:r>
      <w:r w:rsidRPr="002B67BF">
        <w:rPr>
          <w:rFonts w:ascii="Arial" w:hAnsi="Arial" w:cs="Arial"/>
          <w:i/>
        </w:rPr>
        <w:t>Menopause</w:t>
      </w:r>
      <w:r w:rsidRPr="002B67BF">
        <w:rPr>
          <w:rFonts w:ascii="Arial" w:hAnsi="Arial" w:cs="Arial"/>
        </w:rPr>
        <w:t xml:space="preserve"> Vol.19, pp.387–395 </w:t>
      </w:r>
    </w:p>
    <w:p w:rsidR="00BA5436" w:rsidRPr="002B67BF" w:rsidRDefault="00BA5436" w:rsidP="00BA5436">
      <w:pPr>
        <w:spacing w:line="360" w:lineRule="auto"/>
        <w:rPr>
          <w:rFonts w:ascii="Arial" w:hAnsi="Arial" w:cs="Arial"/>
        </w:rPr>
      </w:pPr>
      <w:r w:rsidRPr="00BA5436">
        <w:rPr>
          <w:rFonts w:ascii="Arial" w:hAnsi="Arial" w:cs="Arial"/>
        </w:rPr>
        <w:t>Kenny,</w:t>
      </w:r>
      <w:r>
        <w:rPr>
          <w:rFonts w:ascii="Arial" w:hAnsi="Arial" w:cs="Arial"/>
        </w:rPr>
        <w:t xml:space="preserve"> D (2010)</w:t>
      </w:r>
      <w:r w:rsidR="00543976">
        <w:rPr>
          <w:rFonts w:ascii="Arial" w:hAnsi="Arial" w:cs="Arial"/>
        </w:rPr>
        <w:t xml:space="preserve"> </w:t>
      </w:r>
      <w:r w:rsidRPr="00BA5436">
        <w:rPr>
          <w:rFonts w:ascii="Arial" w:hAnsi="Arial" w:cs="Arial"/>
        </w:rPr>
        <w:t>Negative Emotions in Music Making: Per</w:t>
      </w:r>
      <w:r w:rsidR="00543976">
        <w:rPr>
          <w:rFonts w:ascii="Arial" w:hAnsi="Arial" w:cs="Arial"/>
        </w:rPr>
        <w:t xml:space="preserve">formance, </w:t>
      </w:r>
      <w:r w:rsidR="00543976" w:rsidRPr="00543976">
        <w:rPr>
          <w:rFonts w:ascii="Arial" w:hAnsi="Arial" w:cs="Arial"/>
          <w:i/>
        </w:rPr>
        <w:t xml:space="preserve">Handbook of music </w:t>
      </w:r>
      <w:r w:rsidRPr="00543976">
        <w:rPr>
          <w:rFonts w:ascii="Arial" w:hAnsi="Arial" w:cs="Arial"/>
          <w:i/>
        </w:rPr>
        <w:t>and emotion: Theory, research, applications</w:t>
      </w:r>
      <w:r w:rsidRPr="00BA5436">
        <w:rPr>
          <w:rFonts w:ascii="Arial" w:hAnsi="Arial" w:cs="Arial"/>
        </w:rPr>
        <w:t xml:space="preserve">, </w:t>
      </w:r>
      <w:r w:rsidR="00543976">
        <w:rPr>
          <w:rFonts w:ascii="Arial" w:hAnsi="Arial" w:cs="Arial"/>
        </w:rPr>
        <w:t>Oxford University Press, NY, p.425</w:t>
      </w:r>
    </w:p>
    <w:p w:rsidR="000B1779" w:rsidRPr="002B67BF" w:rsidRDefault="000B1779" w:rsidP="000B1779">
      <w:pPr>
        <w:spacing w:line="360" w:lineRule="auto"/>
        <w:rPr>
          <w:rFonts w:ascii="Arial" w:hAnsi="Arial" w:cs="Arial"/>
        </w:rPr>
      </w:pPr>
      <w:r w:rsidRPr="002B67BF">
        <w:rPr>
          <w:rFonts w:ascii="Arial" w:hAnsi="Arial" w:cs="Arial"/>
        </w:rPr>
        <w:t xml:space="preserve">Linvelle, S &amp; Rens J (2001) Vocal Tract Resonance Analysis of the aging voice using Long-Term Average Spectra, The Voice Foundation, </w:t>
      </w:r>
      <w:r w:rsidRPr="002B67BF">
        <w:rPr>
          <w:rFonts w:ascii="Arial" w:hAnsi="Arial" w:cs="Arial"/>
          <w:i/>
        </w:rPr>
        <w:t>Journal of Voice</w:t>
      </w:r>
      <w:r w:rsidRPr="002B67BF">
        <w:rPr>
          <w:rFonts w:ascii="Arial" w:hAnsi="Arial" w:cs="Arial"/>
        </w:rPr>
        <w:t>, Vol 15, No. 3, pp.323-330</w:t>
      </w:r>
    </w:p>
    <w:p w:rsidR="000B1779" w:rsidRPr="002B67BF" w:rsidRDefault="000B1779" w:rsidP="000B1779">
      <w:pPr>
        <w:spacing w:line="360" w:lineRule="auto"/>
        <w:rPr>
          <w:rFonts w:ascii="Arial" w:hAnsi="Arial" w:cs="Arial"/>
        </w:rPr>
      </w:pPr>
      <w:r w:rsidRPr="002B67BF">
        <w:rPr>
          <w:rFonts w:ascii="Arial" w:hAnsi="Arial" w:cs="Arial"/>
        </w:rPr>
        <w:t xml:space="preserve">Miller (1996) </w:t>
      </w:r>
      <w:r w:rsidRPr="002B67BF">
        <w:rPr>
          <w:rFonts w:ascii="Arial" w:hAnsi="Arial" w:cs="Arial"/>
          <w:i/>
        </w:rPr>
        <w:t>On the Art of Singing</w:t>
      </w:r>
      <w:r w:rsidRPr="002B67BF">
        <w:rPr>
          <w:rFonts w:ascii="Arial" w:hAnsi="Arial" w:cs="Arial"/>
        </w:rPr>
        <w:t>, New York: Oxford University Press, p.198.</w:t>
      </w:r>
    </w:p>
    <w:p w:rsidR="000B1779" w:rsidRPr="002B67BF" w:rsidRDefault="000B1779" w:rsidP="000B1779">
      <w:pPr>
        <w:spacing w:line="360" w:lineRule="auto"/>
        <w:rPr>
          <w:rFonts w:ascii="Arial" w:hAnsi="Arial" w:cs="Arial"/>
        </w:rPr>
      </w:pPr>
      <w:r w:rsidRPr="002B67BF">
        <w:rPr>
          <w:rFonts w:ascii="Arial" w:hAnsi="Arial" w:cs="Arial"/>
        </w:rPr>
        <w:t xml:space="preserve">Mayo, J (1999) </w:t>
      </w:r>
      <w:r w:rsidRPr="002B67BF">
        <w:rPr>
          <w:rFonts w:ascii="Arial" w:hAnsi="Arial" w:cs="Arial"/>
          <w:i/>
        </w:rPr>
        <w:t>A Natural Approach to Menopause,</w:t>
      </w:r>
      <w:r w:rsidRPr="002B67BF">
        <w:rPr>
          <w:rFonts w:ascii="Arial" w:hAnsi="Arial" w:cs="Arial"/>
        </w:rPr>
        <w:t xml:space="preserve"> APPLIED NUTRITIONAL SCIENCE REPORTS by Advanced Nutrition Publications, Inc. rev.</w:t>
      </w:r>
    </w:p>
    <w:p w:rsidR="000B1779" w:rsidRPr="002B67BF" w:rsidRDefault="000B1779" w:rsidP="000B1779">
      <w:pPr>
        <w:spacing w:line="360" w:lineRule="auto"/>
        <w:rPr>
          <w:rFonts w:ascii="Arial" w:hAnsi="Arial" w:cs="Arial"/>
        </w:rPr>
      </w:pPr>
      <w:r w:rsidRPr="002B67BF">
        <w:rPr>
          <w:rFonts w:ascii="Arial" w:hAnsi="Arial" w:cs="Arial"/>
        </w:rPr>
        <w:t xml:space="preserve">Monteleone, P, Mascagani G, Giannnini A., Genazanni, A &amp; Simoncini, T (2018) Symptoms of menopause -- global prevalence, physiology and implications. </w:t>
      </w:r>
      <w:r w:rsidRPr="002B67BF">
        <w:rPr>
          <w:rFonts w:ascii="Arial" w:hAnsi="Arial" w:cs="Arial"/>
          <w:i/>
        </w:rPr>
        <w:t>Nature Reviews.Endocrinology,</w:t>
      </w:r>
      <w:r w:rsidRPr="002B67BF">
        <w:rPr>
          <w:rFonts w:ascii="Arial" w:hAnsi="Arial" w:cs="Arial"/>
        </w:rPr>
        <w:t xml:space="preserve"> Vol 14 (Ed 4), pp. 199-215.</w:t>
      </w:r>
    </w:p>
    <w:p w:rsidR="000B1779" w:rsidRPr="002B67BF" w:rsidRDefault="000B1779" w:rsidP="000B1779">
      <w:pPr>
        <w:spacing w:line="360" w:lineRule="auto"/>
        <w:rPr>
          <w:rFonts w:ascii="Arial" w:hAnsi="Arial" w:cs="Arial"/>
        </w:rPr>
      </w:pPr>
      <w:r w:rsidRPr="002B67BF">
        <w:rPr>
          <w:rFonts w:ascii="Arial" w:hAnsi="Arial" w:cs="Arial"/>
          <w:shd w:val="clear" w:color="auto" w:fill="FFFFFF"/>
        </w:rPr>
        <w:t>Nelson (2008) Menopause. </w:t>
      </w:r>
      <w:r w:rsidRPr="002B67BF">
        <w:rPr>
          <w:rFonts w:ascii="Arial" w:hAnsi="Arial" w:cs="Arial"/>
          <w:i/>
          <w:iCs/>
          <w:shd w:val="clear" w:color="auto" w:fill="FFFFFF"/>
        </w:rPr>
        <w:t>The Lancet (British Edition)</w:t>
      </w:r>
      <w:r w:rsidRPr="002B67BF">
        <w:rPr>
          <w:rFonts w:ascii="Arial" w:hAnsi="Arial" w:cs="Arial"/>
          <w:shd w:val="clear" w:color="auto" w:fill="FFFFFF"/>
        </w:rPr>
        <w:t xml:space="preserve">, Vol </w:t>
      </w:r>
      <w:r w:rsidRPr="002B67BF">
        <w:rPr>
          <w:rFonts w:ascii="Arial" w:hAnsi="Arial" w:cs="Arial"/>
          <w:i/>
          <w:iCs/>
          <w:shd w:val="clear" w:color="auto" w:fill="FFFFFF"/>
        </w:rPr>
        <w:t>371</w:t>
      </w:r>
      <w:r w:rsidRPr="002B67BF">
        <w:rPr>
          <w:rFonts w:ascii="Arial" w:hAnsi="Arial" w:cs="Arial"/>
          <w:shd w:val="clear" w:color="auto" w:fill="FFFFFF"/>
        </w:rPr>
        <w:t xml:space="preserve">, pp. 760–770 </w:t>
      </w:r>
    </w:p>
    <w:p w:rsidR="000B1779" w:rsidRPr="002B67BF" w:rsidRDefault="000B1779" w:rsidP="000B1779">
      <w:pPr>
        <w:spacing w:line="360" w:lineRule="auto"/>
        <w:rPr>
          <w:rFonts w:ascii="Arial" w:hAnsi="Arial" w:cs="Arial"/>
        </w:rPr>
      </w:pPr>
      <w:r w:rsidRPr="002B67BF">
        <w:rPr>
          <w:rFonts w:ascii="Arial" w:hAnsi="Arial" w:cs="Arial"/>
        </w:rPr>
        <w:t xml:space="preserve">Nigel J, Himle D &amp; Papsdorf J (1981) </w:t>
      </w:r>
      <w:r w:rsidRPr="002B67BF">
        <w:rPr>
          <w:rFonts w:ascii="Arial" w:hAnsi="Arial" w:cs="Arial"/>
          <w:i/>
        </w:rPr>
        <w:t>Coping With Performance Anxiety</w:t>
      </w:r>
      <w:r w:rsidRPr="002B67BF">
        <w:rPr>
          <w:rFonts w:ascii="Arial" w:hAnsi="Arial" w:cs="Arial"/>
        </w:rPr>
        <w:t>, Oxford University Press, pp.26-33</w:t>
      </w:r>
    </w:p>
    <w:p w:rsidR="000B1779" w:rsidRDefault="000B1779" w:rsidP="000B1779">
      <w:pPr>
        <w:spacing w:line="360" w:lineRule="auto"/>
        <w:rPr>
          <w:rFonts w:ascii="Arial" w:hAnsi="Arial" w:cs="Arial"/>
        </w:rPr>
      </w:pPr>
      <w:r w:rsidRPr="002B67BF">
        <w:rPr>
          <w:rFonts w:ascii="Arial" w:hAnsi="Arial" w:cs="Arial"/>
        </w:rPr>
        <w:t xml:space="preserve">Nillni, Y.I., Rasmusson, A.M., Paul, E.L. et al (2021) The Impact of the Menstrual Cycle and Underlying Hormones in Anxiety and PTSD: What Do We Know and Where Do We Go From Here? </w:t>
      </w:r>
      <w:r w:rsidRPr="002B67BF">
        <w:rPr>
          <w:rFonts w:ascii="Arial" w:hAnsi="Arial" w:cs="Arial"/>
          <w:i/>
        </w:rPr>
        <w:t xml:space="preserve">Psychiatry Rep </w:t>
      </w:r>
      <w:r w:rsidRPr="002B67BF">
        <w:rPr>
          <w:rFonts w:ascii="Arial" w:hAnsi="Arial" w:cs="Arial"/>
        </w:rPr>
        <w:t xml:space="preserve">23, Vol 8 </w:t>
      </w:r>
    </w:p>
    <w:p w:rsidR="0087451C" w:rsidRPr="002C084D" w:rsidRDefault="0087451C" w:rsidP="000B1779">
      <w:pPr>
        <w:spacing w:line="360" w:lineRule="auto"/>
        <w:rPr>
          <w:rFonts w:ascii="Arial" w:hAnsi="Arial" w:cs="Arial"/>
        </w:rPr>
      </w:pPr>
      <w:r w:rsidRPr="002C084D">
        <w:rPr>
          <w:rFonts w:ascii="Arial" w:hAnsi="Arial" w:cs="Arial"/>
          <w:sz w:val="21"/>
          <w:szCs w:val="21"/>
          <w:shd w:val="clear" w:color="auto" w:fill="FFFFFF"/>
        </w:rPr>
        <w:t xml:space="preserve">Nosek, M, Kennedy C, Powell H &amp; Gudmundsdottir, M (2010) Silence, Stigma, and Shame: A Postmodern Analysis of Distress During Menopause. </w:t>
      </w:r>
      <w:r w:rsidRPr="002C084D">
        <w:rPr>
          <w:rFonts w:ascii="Arial" w:hAnsi="Arial" w:cs="Arial"/>
          <w:i/>
          <w:sz w:val="21"/>
          <w:szCs w:val="21"/>
          <w:shd w:val="clear" w:color="auto" w:fill="FFFFFF"/>
        </w:rPr>
        <w:t>Advances in Nursing Science ,</w:t>
      </w:r>
      <w:r w:rsidRPr="002C084D">
        <w:rPr>
          <w:rFonts w:ascii="Arial" w:hAnsi="Arial" w:cs="Arial"/>
          <w:sz w:val="21"/>
          <w:szCs w:val="21"/>
          <w:shd w:val="clear" w:color="auto" w:fill="FFFFFF"/>
        </w:rPr>
        <w:t xml:space="preserve"> Vol 33(Ed 3), pp 24-36</w:t>
      </w:r>
    </w:p>
    <w:p w:rsidR="000B1779" w:rsidRPr="002B67BF" w:rsidRDefault="000B1779" w:rsidP="000B1779">
      <w:pPr>
        <w:spacing w:line="360" w:lineRule="auto"/>
        <w:rPr>
          <w:rFonts w:ascii="Arial" w:hAnsi="Arial" w:cs="Arial"/>
        </w:rPr>
      </w:pPr>
      <w:r w:rsidRPr="002B67BF">
        <w:rPr>
          <w:rFonts w:ascii="Arial" w:hAnsi="Arial" w:cs="Arial"/>
        </w:rPr>
        <w:t xml:space="preserve">Nusrat, N. et al (2008) </w:t>
      </w:r>
      <w:r w:rsidRPr="002B67BF">
        <w:rPr>
          <w:rFonts w:ascii="Arial" w:hAnsi="Arial" w:cs="Arial"/>
          <w:i/>
        </w:rPr>
        <w:t xml:space="preserve">Knowledge, attitude and experience of menopause, </w:t>
      </w:r>
      <w:r w:rsidRPr="002B67BF">
        <w:rPr>
          <w:rFonts w:ascii="Arial" w:hAnsi="Arial" w:cs="Arial"/>
        </w:rPr>
        <w:t xml:space="preserve">Abbottabad 20, pp. 56–59 </w:t>
      </w:r>
    </w:p>
    <w:p w:rsidR="000B1779" w:rsidRPr="002B67BF" w:rsidRDefault="000B1779" w:rsidP="000B1779">
      <w:pPr>
        <w:spacing w:line="360" w:lineRule="auto"/>
        <w:rPr>
          <w:rFonts w:ascii="Arial" w:hAnsi="Arial" w:cs="Arial"/>
        </w:rPr>
      </w:pPr>
      <w:r w:rsidRPr="002B67BF">
        <w:rPr>
          <w:rFonts w:ascii="Arial" w:hAnsi="Arial" w:cs="Arial"/>
        </w:rPr>
        <w:t xml:space="preserve">Obstet, A (2001) Anxiety and depression before and after the menopause Springer-Verlag Vol 264, pp.199–202 </w:t>
      </w:r>
    </w:p>
    <w:p w:rsidR="000B1779" w:rsidRPr="002B67BF" w:rsidRDefault="000B1779" w:rsidP="000B1779">
      <w:pPr>
        <w:spacing w:line="360" w:lineRule="auto"/>
        <w:rPr>
          <w:rFonts w:ascii="Arial" w:hAnsi="Arial" w:cs="Arial"/>
        </w:rPr>
      </w:pPr>
      <w:r w:rsidRPr="002B67BF">
        <w:rPr>
          <w:rFonts w:ascii="Arial" w:hAnsi="Arial" w:cs="Arial"/>
        </w:rPr>
        <w:t xml:space="preserve">Paterson, M &amp; Pentland, W (2008) The Use of Hermaneutics in a Mixed Method Design, </w:t>
      </w:r>
      <w:r w:rsidRPr="002B67BF">
        <w:rPr>
          <w:rFonts w:ascii="Arial" w:hAnsi="Arial" w:cs="Arial"/>
          <w:i/>
        </w:rPr>
        <w:t xml:space="preserve">The Qualitative Report, </w:t>
      </w:r>
      <w:r w:rsidRPr="002B67BF">
        <w:rPr>
          <w:rFonts w:ascii="Arial" w:hAnsi="Arial" w:cs="Arial"/>
        </w:rPr>
        <w:t>Vol 13, No. 1, pp 116-134</w:t>
      </w:r>
    </w:p>
    <w:p w:rsidR="000B1779" w:rsidRPr="002B67BF" w:rsidRDefault="000B1779" w:rsidP="000B1779">
      <w:pPr>
        <w:spacing w:line="360" w:lineRule="auto"/>
        <w:rPr>
          <w:rFonts w:ascii="Arial" w:hAnsi="Arial" w:cs="Arial"/>
        </w:rPr>
      </w:pPr>
      <w:r w:rsidRPr="002B67BF">
        <w:rPr>
          <w:rFonts w:ascii="Arial" w:hAnsi="Arial" w:cs="Arial"/>
        </w:rPr>
        <w:t xml:space="preserve">Valentine, J. C., &amp; Cooper, H. (2008). A systematic and transparent approach for assessing the methodological quality of intervention effectiveness in research: The study design and </w:t>
      </w:r>
      <w:r w:rsidRPr="002B67BF">
        <w:rPr>
          <w:rFonts w:ascii="Arial" w:hAnsi="Arial" w:cs="Arial"/>
        </w:rPr>
        <w:lastRenderedPageBreak/>
        <w:t xml:space="preserve">implementation assessment device (Study DIAD). </w:t>
      </w:r>
      <w:r w:rsidRPr="002B67BF">
        <w:rPr>
          <w:rFonts w:ascii="Arial" w:hAnsi="Arial" w:cs="Arial"/>
          <w:i/>
        </w:rPr>
        <w:t xml:space="preserve">Psychological Methods, </w:t>
      </w:r>
      <w:r w:rsidRPr="002B67BF">
        <w:rPr>
          <w:rFonts w:ascii="Arial" w:hAnsi="Arial" w:cs="Arial"/>
        </w:rPr>
        <w:t>No. 13, pp. 130-149.</w:t>
      </w:r>
    </w:p>
    <w:p w:rsidR="000B1779" w:rsidRPr="002B67BF" w:rsidRDefault="000B1779" w:rsidP="000B1779">
      <w:pPr>
        <w:spacing w:line="360" w:lineRule="auto"/>
        <w:rPr>
          <w:rFonts w:ascii="Arial" w:hAnsi="Arial" w:cs="Arial"/>
        </w:rPr>
      </w:pPr>
      <w:r w:rsidRPr="002B67BF">
        <w:rPr>
          <w:rFonts w:ascii="Arial" w:hAnsi="Arial" w:cs="Arial"/>
        </w:rPr>
        <w:t xml:space="preserve">Raj A, Gupta B, Chowdhury A &amp; Chadha S (2008) </w:t>
      </w:r>
      <w:r w:rsidRPr="002B67BF">
        <w:rPr>
          <w:rFonts w:ascii="Arial" w:hAnsi="Arial" w:cs="Arial"/>
          <w:i/>
        </w:rPr>
        <w:t>A study of Voice Changes in Varies Phases of Menstrual Cycle and Postmenopausal Women</w:t>
      </w:r>
      <w:r w:rsidRPr="002B67BF">
        <w:rPr>
          <w:rFonts w:ascii="Arial" w:hAnsi="Arial" w:cs="Arial"/>
        </w:rPr>
        <w:t>, New Delhi, India</w:t>
      </w:r>
    </w:p>
    <w:p w:rsidR="000B1779" w:rsidRPr="002B67BF" w:rsidRDefault="000B1779" w:rsidP="000B1779">
      <w:pPr>
        <w:spacing w:line="360" w:lineRule="auto"/>
        <w:rPr>
          <w:rFonts w:ascii="Arial" w:hAnsi="Arial" w:cs="Arial"/>
        </w:rPr>
      </w:pPr>
      <w:r w:rsidRPr="002B67BF">
        <w:rPr>
          <w:rFonts w:ascii="Arial" w:hAnsi="Arial" w:cs="Arial"/>
          <w:shd w:val="clear" w:color="auto" w:fill="FFFFFF"/>
        </w:rPr>
        <w:t>Reid, K., Flowers, P., &amp; Larkin, M. (2005). Exploring lived experience. </w:t>
      </w:r>
      <w:r w:rsidRPr="002B67BF">
        <w:rPr>
          <w:rStyle w:val="Emphasis"/>
          <w:rFonts w:ascii="Arial" w:hAnsi="Arial" w:cs="Arial"/>
          <w:shd w:val="clear" w:color="auto" w:fill="FFFFFF"/>
        </w:rPr>
        <w:t xml:space="preserve">The Psychologist, 18 </w:t>
      </w:r>
      <w:r w:rsidRPr="002B67BF">
        <w:rPr>
          <w:rFonts w:ascii="Arial" w:hAnsi="Arial" w:cs="Arial"/>
          <w:shd w:val="clear" w:color="auto" w:fill="FFFFFF"/>
        </w:rPr>
        <w:t>(Ed 1), 20–23.</w:t>
      </w:r>
    </w:p>
    <w:p w:rsidR="000B1779" w:rsidRPr="002B67BF" w:rsidRDefault="000B1779" w:rsidP="000B1779">
      <w:pPr>
        <w:spacing w:line="360" w:lineRule="auto"/>
        <w:rPr>
          <w:rFonts w:ascii="Arial" w:hAnsi="Arial" w:cs="Arial"/>
        </w:rPr>
      </w:pPr>
      <w:r w:rsidRPr="002B67BF">
        <w:rPr>
          <w:rFonts w:ascii="Arial" w:hAnsi="Arial" w:cs="Arial"/>
        </w:rPr>
        <w:t>Richards, Jack C. 1990. The teacher as self-observer. In Jack C. Richards</w:t>
      </w:r>
      <w:r w:rsidRPr="002B67BF">
        <w:rPr>
          <w:rFonts w:ascii="Arial" w:hAnsi="Arial" w:cs="Arial"/>
          <w:i/>
        </w:rPr>
        <w:t>, The Language Teaching Matrix.</w:t>
      </w:r>
      <w:r w:rsidRPr="002B67BF">
        <w:rPr>
          <w:rFonts w:ascii="Arial" w:hAnsi="Arial" w:cs="Arial"/>
        </w:rPr>
        <w:t xml:space="preserve"> New York:  Cambridge University Press, pp. 118-143</w:t>
      </w:r>
    </w:p>
    <w:p w:rsidR="000B1779" w:rsidRPr="002B67BF" w:rsidRDefault="000B1779" w:rsidP="000B1779">
      <w:pPr>
        <w:spacing w:line="360" w:lineRule="auto"/>
        <w:rPr>
          <w:rFonts w:ascii="Arial" w:hAnsi="Arial" w:cs="Arial"/>
          <w:i/>
        </w:rPr>
      </w:pPr>
      <w:r w:rsidRPr="002B67BF">
        <w:rPr>
          <w:rFonts w:ascii="Arial" w:hAnsi="Arial" w:cs="Arial"/>
        </w:rPr>
        <w:t xml:space="preserve">Richards, J &amp; Lockhart , C (1991) Teacher development through peer observation. In press. </w:t>
      </w:r>
      <w:r w:rsidRPr="002B67BF">
        <w:rPr>
          <w:rFonts w:ascii="Arial" w:hAnsi="Arial" w:cs="Arial"/>
          <w:i/>
        </w:rPr>
        <w:t>TESOL Journal, Vol 1</w:t>
      </w:r>
    </w:p>
    <w:p w:rsidR="000B1779" w:rsidRPr="002B67BF" w:rsidRDefault="000B1779" w:rsidP="000B1779">
      <w:pPr>
        <w:spacing w:line="360" w:lineRule="auto"/>
        <w:rPr>
          <w:rFonts w:ascii="Arial" w:hAnsi="Arial" w:cs="Arial"/>
        </w:rPr>
      </w:pPr>
      <w:r w:rsidRPr="002B67BF">
        <w:rPr>
          <w:rFonts w:ascii="Arial" w:hAnsi="Arial" w:cs="Arial"/>
        </w:rPr>
        <w:t xml:space="preserve"> Rodriguez-Landa, Puga-Olugin, German-Ponciano, Garcia-Rios and Soria-Fregozo et al (2015) Anxiety in Natural and surgical Menopause : Physiologic and Therapeutic basis, A Fresh Look at Anxiety Disorders, pp. 173-179</w:t>
      </w:r>
    </w:p>
    <w:p w:rsidR="000B1779" w:rsidRDefault="000B1779" w:rsidP="000B1779">
      <w:pPr>
        <w:spacing w:line="360" w:lineRule="auto"/>
        <w:rPr>
          <w:rStyle w:val="pagerange"/>
          <w:rFonts w:ascii="Arial" w:hAnsi="Arial" w:cs="Arial"/>
        </w:rPr>
      </w:pPr>
      <w:r w:rsidRPr="002B67BF">
        <w:rPr>
          <w:rStyle w:val="authorname"/>
          <w:rFonts w:ascii="Arial" w:hAnsi="Arial" w:cs="Arial"/>
        </w:rPr>
        <w:t>Salis I</w:t>
      </w:r>
      <w:r w:rsidRPr="002B67BF">
        <w:rPr>
          <w:rStyle w:val="separator"/>
          <w:rFonts w:ascii="Arial" w:hAnsi="Arial" w:cs="Arial"/>
        </w:rPr>
        <w:t xml:space="preserve">, </w:t>
      </w:r>
      <w:r w:rsidRPr="002B67BF">
        <w:rPr>
          <w:rStyle w:val="authorname"/>
          <w:rFonts w:ascii="Arial" w:hAnsi="Arial" w:cs="Arial"/>
        </w:rPr>
        <w:t>Owen-Smith A</w:t>
      </w:r>
      <w:r w:rsidRPr="002B67BF">
        <w:rPr>
          <w:rStyle w:val="separator"/>
          <w:rFonts w:ascii="Arial" w:hAnsi="Arial" w:cs="Arial"/>
        </w:rPr>
        <w:t>, </w:t>
      </w:r>
      <w:r w:rsidRPr="002B67BF">
        <w:rPr>
          <w:rStyle w:val="authorname"/>
          <w:rFonts w:ascii="Arial" w:hAnsi="Arial" w:cs="Arial"/>
        </w:rPr>
        <w:t>Donovan</w:t>
      </w:r>
      <w:r w:rsidRPr="002B67BF">
        <w:rPr>
          <w:rStyle w:val="separator"/>
          <w:rFonts w:ascii="Arial" w:hAnsi="Arial" w:cs="Arial"/>
        </w:rPr>
        <w:t> J &amp;</w:t>
      </w:r>
      <w:r w:rsidRPr="002B67BF">
        <w:rPr>
          <w:rStyle w:val="authorname"/>
          <w:rFonts w:ascii="Arial" w:hAnsi="Arial" w:cs="Arial"/>
        </w:rPr>
        <w:t xml:space="preserve"> Lawlor D</w:t>
      </w:r>
      <w:r w:rsidRPr="002B67BF">
        <w:rPr>
          <w:rFonts w:ascii="Arial" w:hAnsi="Arial" w:cs="Arial"/>
        </w:rPr>
        <w:t> </w:t>
      </w:r>
      <w:r w:rsidRPr="002B67BF">
        <w:rPr>
          <w:rStyle w:val="Date1"/>
          <w:rFonts w:ascii="Arial" w:hAnsi="Arial" w:cs="Arial"/>
        </w:rPr>
        <w:t>(2018)</w:t>
      </w:r>
      <w:r w:rsidRPr="002B67BF">
        <w:rPr>
          <w:rFonts w:ascii="Arial" w:hAnsi="Arial" w:cs="Arial"/>
        </w:rPr>
        <w:t> </w:t>
      </w:r>
      <w:r w:rsidRPr="002B67BF">
        <w:rPr>
          <w:rStyle w:val="arttitle"/>
          <w:rFonts w:ascii="Arial" w:hAnsi="Arial" w:cs="Arial"/>
        </w:rPr>
        <w:t>Experiencing menopause in the UK: The interrelated narratives of normality, distress, and transformation,</w:t>
      </w:r>
      <w:r w:rsidRPr="002B67BF">
        <w:rPr>
          <w:rFonts w:ascii="Arial" w:hAnsi="Arial" w:cs="Arial"/>
        </w:rPr>
        <w:t> </w:t>
      </w:r>
      <w:r w:rsidRPr="002B67BF">
        <w:rPr>
          <w:rStyle w:val="serialtitle"/>
          <w:rFonts w:ascii="Arial" w:hAnsi="Arial" w:cs="Arial"/>
          <w:i/>
        </w:rPr>
        <w:t>Journal of Women &amp; Aging,</w:t>
      </w:r>
      <w:r w:rsidRPr="002B67BF">
        <w:rPr>
          <w:rFonts w:ascii="Arial" w:hAnsi="Arial" w:cs="Arial"/>
        </w:rPr>
        <w:t xml:space="preserve"> Vol </w:t>
      </w:r>
      <w:r w:rsidRPr="002B67BF">
        <w:rPr>
          <w:rStyle w:val="volumeissue"/>
          <w:rFonts w:ascii="Arial" w:hAnsi="Arial" w:cs="Arial"/>
        </w:rPr>
        <w:t>30, Ed 6,</w:t>
      </w:r>
      <w:r w:rsidRPr="002B67BF">
        <w:rPr>
          <w:rFonts w:ascii="Arial" w:hAnsi="Arial" w:cs="Arial"/>
        </w:rPr>
        <w:t xml:space="preserve"> pp. </w:t>
      </w:r>
      <w:r w:rsidRPr="002B67BF">
        <w:rPr>
          <w:rStyle w:val="pagerange"/>
          <w:rFonts w:ascii="Arial" w:hAnsi="Arial" w:cs="Arial"/>
        </w:rPr>
        <w:t>520-540</w:t>
      </w:r>
    </w:p>
    <w:p w:rsidR="00BA5436" w:rsidRPr="002B67BF" w:rsidRDefault="00BA5436" w:rsidP="000B1779">
      <w:pPr>
        <w:spacing w:line="360" w:lineRule="auto"/>
        <w:rPr>
          <w:rFonts w:ascii="Arial" w:hAnsi="Arial" w:cs="Arial"/>
        </w:rPr>
      </w:pPr>
      <w:r>
        <w:rPr>
          <w:rFonts w:ascii="Helvetica" w:hAnsi="Helvetica" w:cs="Helvetica"/>
          <w:color w:val="000000"/>
          <w:spacing w:val="-5"/>
          <w:shd w:val="clear" w:color="auto" w:fill="FFFFFF"/>
        </w:rPr>
        <w:t>Salmon, P. G. (1990). A Psychological Perspective on Musical Performance Anxiety: A Review of the Literature. </w:t>
      </w:r>
      <w:r>
        <w:rPr>
          <w:rFonts w:ascii="Helvetica" w:hAnsi="Helvetica" w:cs="Helvetica"/>
          <w:i/>
          <w:iCs/>
          <w:color w:val="000000"/>
          <w:spacing w:val="-5"/>
          <w:shd w:val="clear" w:color="auto" w:fill="FFFFFF"/>
        </w:rPr>
        <w:t>Medical Problems of Performing Artists</w:t>
      </w:r>
      <w:r>
        <w:rPr>
          <w:rFonts w:ascii="Helvetica" w:hAnsi="Helvetica" w:cs="Helvetica"/>
          <w:color w:val="000000"/>
          <w:spacing w:val="-5"/>
          <w:shd w:val="clear" w:color="auto" w:fill="FFFFFF"/>
        </w:rPr>
        <w:t>, </w:t>
      </w:r>
      <w:r>
        <w:rPr>
          <w:rFonts w:ascii="Helvetica" w:hAnsi="Helvetica" w:cs="Helvetica"/>
          <w:i/>
          <w:iCs/>
          <w:color w:val="000000"/>
          <w:spacing w:val="-5"/>
          <w:shd w:val="clear" w:color="auto" w:fill="FFFFFF"/>
        </w:rPr>
        <w:t>5</w:t>
      </w:r>
      <w:r>
        <w:rPr>
          <w:rFonts w:ascii="Helvetica" w:hAnsi="Helvetica" w:cs="Helvetica"/>
          <w:color w:val="000000"/>
          <w:spacing w:val="-5"/>
          <w:shd w:val="clear" w:color="auto" w:fill="FFFFFF"/>
        </w:rPr>
        <w:t>(1), 2–11. http://www.jstor.org/stable/45440271</w:t>
      </w:r>
    </w:p>
    <w:p w:rsidR="000B1779" w:rsidRPr="002B67BF" w:rsidRDefault="000B1779" w:rsidP="000B1779">
      <w:pPr>
        <w:spacing w:line="360" w:lineRule="auto"/>
        <w:rPr>
          <w:rFonts w:ascii="Arial" w:hAnsi="Arial" w:cs="Arial"/>
        </w:rPr>
      </w:pPr>
      <w:r w:rsidRPr="002B67BF">
        <w:rPr>
          <w:rFonts w:ascii="Arial" w:hAnsi="Arial" w:cs="Arial"/>
        </w:rPr>
        <w:t xml:space="preserve">Sebastian, B &amp; Cecez-Kecmanovic, D (2010) Literature Reviews and the Hermeneutic Circle, </w:t>
      </w:r>
      <w:r w:rsidRPr="002B67BF">
        <w:rPr>
          <w:rFonts w:ascii="Arial" w:hAnsi="Arial" w:cs="Arial"/>
          <w:i/>
        </w:rPr>
        <w:t>Australian Academic &amp; Research Libraries</w:t>
      </w:r>
      <w:r w:rsidRPr="002B67BF">
        <w:rPr>
          <w:rFonts w:ascii="Arial" w:hAnsi="Arial" w:cs="Arial"/>
        </w:rPr>
        <w:t>, Vol 41, Ed 2, pp. 129-144</w:t>
      </w:r>
    </w:p>
    <w:p w:rsidR="00BA5436" w:rsidRPr="002B67BF" w:rsidRDefault="00BA5436" w:rsidP="00BA5436">
      <w:pPr>
        <w:spacing w:line="360" w:lineRule="auto"/>
        <w:rPr>
          <w:rFonts w:ascii="Arial" w:hAnsi="Arial" w:cs="Arial"/>
        </w:rPr>
      </w:pPr>
      <w:r w:rsidRPr="002B67BF">
        <w:rPr>
          <w:rFonts w:ascii="Arial" w:hAnsi="Arial" w:cs="Arial"/>
        </w:rPr>
        <w:t xml:space="preserve">Schneider, Müller, Ditzen, Herpertz, &amp; Bertsch (2021)  Oxytocin and social anxiety: Interactions with sex hormones, </w:t>
      </w:r>
      <w:r w:rsidRPr="002B67BF">
        <w:rPr>
          <w:rFonts w:ascii="Arial" w:hAnsi="Arial" w:cs="Arial"/>
          <w:i/>
        </w:rPr>
        <w:t>Psychoneuroendocrinology</w:t>
      </w:r>
      <w:r w:rsidRPr="002B67BF">
        <w:rPr>
          <w:rFonts w:ascii="Arial" w:hAnsi="Arial" w:cs="Arial"/>
        </w:rPr>
        <w:t>, Volume 128</w:t>
      </w:r>
    </w:p>
    <w:p w:rsidR="000B1779" w:rsidRPr="002B67BF" w:rsidRDefault="000B1779" w:rsidP="000B1779">
      <w:pPr>
        <w:spacing w:line="360" w:lineRule="auto"/>
        <w:rPr>
          <w:rFonts w:ascii="Arial" w:hAnsi="Arial" w:cs="Arial"/>
        </w:rPr>
      </w:pPr>
      <w:r w:rsidRPr="002B67BF">
        <w:rPr>
          <w:rFonts w:ascii="Arial" w:hAnsi="Arial" w:cs="Arial"/>
        </w:rPr>
        <w:t xml:space="preserve">Schön, D. (1983). </w:t>
      </w:r>
      <w:r w:rsidRPr="002B67BF">
        <w:rPr>
          <w:rFonts w:ascii="Arial" w:hAnsi="Arial" w:cs="Arial"/>
          <w:i/>
        </w:rPr>
        <w:t>The Reflective Practitioner: How Professionals Think in Action</w:t>
      </w:r>
      <w:r w:rsidRPr="002B67BF">
        <w:rPr>
          <w:rFonts w:ascii="Arial" w:hAnsi="Arial" w:cs="Arial"/>
        </w:rPr>
        <w:t>. Temple Smith</w:t>
      </w:r>
    </w:p>
    <w:p w:rsidR="000B1779" w:rsidRPr="002B67BF" w:rsidRDefault="000B1779" w:rsidP="000B1779">
      <w:pPr>
        <w:spacing w:line="360" w:lineRule="auto"/>
        <w:rPr>
          <w:rFonts w:ascii="Arial" w:hAnsi="Arial" w:cs="Arial"/>
          <w:i/>
        </w:rPr>
      </w:pPr>
      <w:r w:rsidRPr="002B67BF">
        <w:rPr>
          <w:rFonts w:ascii="Arial" w:hAnsi="Arial" w:cs="Arial"/>
        </w:rPr>
        <w:t xml:space="preserve">Sharon, G (2006) The Menopause Experience: A Woman’s Perspective, </w:t>
      </w:r>
      <w:r w:rsidRPr="002B67BF">
        <w:rPr>
          <w:rFonts w:ascii="Arial" w:hAnsi="Arial" w:cs="Arial"/>
          <w:i/>
        </w:rPr>
        <w:t xml:space="preserve">Journal of Obstretic, Gynecologic and Neonatal Nursing, </w:t>
      </w:r>
      <w:r w:rsidRPr="002B67BF">
        <w:rPr>
          <w:rFonts w:ascii="Arial" w:hAnsi="Arial" w:cs="Arial"/>
        </w:rPr>
        <w:t>Volume</w:t>
      </w:r>
      <w:r w:rsidRPr="002B67BF">
        <w:rPr>
          <w:rFonts w:ascii="Arial" w:hAnsi="Arial" w:cs="Arial"/>
          <w:i/>
        </w:rPr>
        <w:t xml:space="preserve"> 31, Issue 1, pages 77-85</w:t>
      </w:r>
    </w:p>
    <w:p w:rsidR="000B1779" w:rsidRPr="002B67BF" w:rsidRDefault="000B1779" w:rsidP="000B1779">
      <w:pPr>
        <w:spacing w:line="360" w:lineRule="auto"/>
        <w:rPr>
          <w:rFonts w:ascii="Arial" w:hAnsi="Arial" w:cs="Arial"/>
        </w:rPr>
      </w:pPr>
      <w:r w:rsidRPr="002B67BF">
        <w:rPr>
          <w:rFonts w:ascii="Arial" w:hAnsi="Arial" w:cs="Arial"/>
        </w:rPr>
        <w:t xml:space="preserve">Steptoe &amp; Kearsley (1990) Cognitive and somatic anxiety, </w:t>
      </w:r>
      <w:r w:rsidRPr="002B67BF">
        <w:rPr>
          <w:rFonts w:ascii="Arial" w:hAnsi="Arial" w:cs="Arial"/>
          <w:i/>
        </w:rPr>
        <w:t>Behaviour Research and Therapy</w:t>
      </w:r>
      <w:r w:rsidRPr="002B67BF">
        <w:rPr>
          <w:rFonts w:ascii="Arial" w:hAnsi="Arial" w:cs="Arial"/>
        </w:rPr>
        <w:t>, Volume 28, Issue 1, pp.75-81,</w:t>
      </w:r>
    </w:p>
    <w:p w:rsidR="000B1779" w:rsidRPr="002B67BF" w:rsidRDefault="000B1779" w:rsidP="000B1779">
      <w:pPr>
        <w:spacing w:line="360" w:lineRule="auto"/>
        <w:rPr>
          <w:rFonts w:ascii="Arial" w:hAnsi="Arial" w:cs="Arial"/>
        </w:rPr>
      </w:pPr>
      <w:r w:rsidRPr="002B67BF">
        <w:rPr>
          <w:rFonts w:ascii="Arial" w:hAnsi="Arial" w:cs="Arial"/>
        </w:rPr>
        <w:t xml:space="preserve">Sweet, B (2015) ‘The Adolescent Female Changing Voice: A phenomological Investigation’, </w:t>
      </w:r>
      <w:r w:rsidRPr="002B67BF">
        <w:rPr>
          <w:rFonts w:ascii="Arial" w:hAnsi="Arial" w:cs="Arial"/>
          <w:i/>
        </w:rPr>
        <w:t>Journal of Research in Music Education</w:t>
      </w:r>
      <w:r w:rsidRPr="002B67BF">
        <w:rPr>
          <w:rFonts w:ascii="Arial" w:hAnsi="Arial" w:cs="Arial"/>
        </w:rPr>
        <w:t>, Vol.63 pp.70-88</w:t>
      </w:r>
    </w:p>
    <w:p w:rsidR="000B1779" w:rsidRPr="002B67BF" w:rsidRDefault="000B1779" w:rsidP="000B1779">
      <w:pPr>
        <w:spacing w:line="360" w:lineRule="auto"/>
        <w:rPr>
          <w:rFonts w:ascii="Arial" w:hAnsi="Arial" w:cs="Arial"/>
        </w:rPr>
      </w:pPr>
      <w:r w:rsidRPr="002B67BF">
        <w:rPr>
          <w:rFonts w:ascii="Arial" w:hAnsi="Arial" w:cs="Arial"/>
        </w:rPr>
        <w:lastRenderedPageBreak/>
        <w:t xml:space="preserve">Sweet, B (2020) </w:t>
      </w:r>
      <w:r w:rsidRPr="002B67BF">
        <w:rPr>
          <w:rFonts w:ascii="Arial" w:hAnsi="Arial" w:cs="Arial"/>
          <w:i/>
        </w:rPr>
        <w:t>Thinking Outside The Voice Box: Adolescent Voice Change in Music Education</w:t>
      </w:r>
      <w:r w:rsidRPr="002B67BF">
        <w:rPr>
          <w:rFonts w:ascii="Arial" w:hAnsi="Arial" w:cs="Arial"/>
        </w:rPr>
        <w:t>, Oxford University Press</w:t>
      </w:r>
    </w:p>
    <w:p w:rsidR="000B1779" w:rsidRPr="002B67BF" w:rsidRDefault="000B1779" w:rsidP="000B1779">
      <w:pPr>
        <w:spacing w:line="360" w:lineRule="auto"/>
        <w:rPr>
          <w:rFonts w:ascii="Arial" w:hAnsi="Arial" w:cs="Arial"/>
        </w:rPr>
      </w:pPr>
      <w:r w:rsidRPr="002B67BF">
        <w:rPr>
          <w:rFonts w:ascii="Arial" w:hAnsi="Arial" w:cs="Arial"/>
        </w:rPr>
        <w:t xml:space="preserve">Tangen, T &amp; Mykletun, A (2008) Depression and anxiety through the climacteric period: an epidemiological study (HUNT II). </w:t>
      </w:r>
      <w:r w:rsidRPr="002B67BF">
        <w:rPr>
          <w:rFonts w:ascii="Arial" w:hAnsi="Arial" w:cs="Arial"/>
          <w:i/>
        </w:rPr>
        <w:t xml:space="preserve">J Psychosom Obstet Gynaecol, </w:t>
      </w:r>
      <w:r w:rsidRPr="002B67BF">
        <w:rPr>
          <w:rFonts w:ascii="Arial" w:hAnsi="Arial" w:cs="Arial"/>
        </w:rPr>
        <w:t>Vol 29, 125–131.</w:t>
      </w:r>
    </w:p>
    <w:p w:rsidR="000B1779" w:rsidRPr="002B67BF" w:rsidRDefault="000B1779" w:rsidP="000B1779">
      <w:pPr>
        <w:spacing w:line="360" w:lineRule="auto"/>
        <w:rPr>
          <w:rFonts w:ascii="Arial" w:hAnsi="Arial" w:cs="Arial"/>
          <w:shd w:val="clear" w:color="auto" w:fill="F7F7F7"/>
        </w:rPr>
      </w:pPr>
      <w:r w:rsidRPr="002B67BF">
        <w:rPr>
          <w:rFonts w:ascii="Arial" w:hAnsi="Arial" w:cs="Arial"/>
          <w:shd w:val="clear" w:color="auto" w:fill="F7F7F7"/>
        </w:rPr>
        <w:t>Van Honk J, Peper J &amp; Schutter DJ (2005) Testosterone reduces unconscious fear but not consciously experienced anxiety: implications for the disorders of fear and anxiety. </w:t>
      </w:r>
      <w:r w:rsidRPr="002B67BF">
        <w:rPr>
          <w:rFonts w:ascii="Arial" w:hAnsi="Arial" w:cs="Arial"/>
          <w:i/>
          <w:iCs/>
          <w:shd w:val="clear" w:color="auto" w:fill="F7F7F7"/>
        </w:rPr>
        <w:t>Biol Psychiatry</w:t>
      </w:r>
      <w:r w:rsidRPr="002B67BF">
        <w:rPr>
          <w:rFonts w:ascii="Arial" w:hAnsi="Arial" w:cs="Arial"/>
          <w:shd w:val="clear" w:color="auto" w:fill="F7F7F7"/>
        </w:rPr>
        <w:t>, Vol  58, (Ed 3), 218–225</w:t>
      </w:r>
    </w:p>
    <w:p w:rsidR="000B1779" w:rsidRPr="002B67BF" w:rsidRDefault="000B1779" w:rsidP="000B1779">
      <w:pPr>
        <w:rPr>
          <w:rFonts w:ascii="Arial" w:eastAsia="Times New Roman" w:hAnsi="Arial" w:cs="Arial"/>
          <w:lang w:eastAsia="en-GB"/>
        </w:rPr>
      </w:pPr>
      <w:r w:rsidRPr="002B67BF">
        <w:rPr>
          <w:rFonts w:ascii="Arial" w:eastAsia="Times New Roman" w:hAnsi="Arial" w:cs="Arial"/>
          <w:lang w:eastAsia="en-GB"/>
        </w:rPr>
        <w:t>Van Veen, J. F., Jonker, B. W., Van Vliet, I. M., &amp; Zitman, F. G. (2009). The Effects of Female Reproductive Hormones in Generalized Social Anxiety Disorder. </w:t>
      </w:r>
      <w:r w:rsidRPr="002B67BF">
        <w:rPr>
          <w:rFonts w:ascii="Arial" w:eastAsia="Times New Roman" w:hAnsi="Arial" w:cs="Arial"/>
          <w:i/>
          <w:iCs/>
          <w:lang w:eastAsia="en-GB"/>
        </w:rPr>
        <w:t>The International Journal of Psychiatry in Medicine</w:t>
      </w:r>
      <w:r w:rsidRPr="002B67BF">
        <w:rPr>
          <w:rFonts w:ascii="Arial" w:eastAsia="Times New Roman" w:hAnsi="Arial" w:cs="Arial"/>
          <w:lang w:eastAsia="en-GB"/>
        </w:rPr>
        <w:t xml:space="preserve">, Vol </w:t>
      </w:r>
      <w:r w:rsidRPr="002B67BF">
        <w:rPr>
          <w:rFonts w:ascii="Arial" w:eastAsia="Times New Roman" w:hAnsi="Arial" w:cs="Arial"/>
          <w:i/>
          <w:iCs/>
          <w:lang w:eastAsia="en-GB"/>
        </w:rPr>
        <w:t xml:space="preserve">39, </w:t>
      </w:r>
      <w:r w:rsidRPr="002B67BF">
        <w:rPr>
          <w:rFonts w:ascii="Arial" w:eastAsia="Times New Roman" w:hAnsi="Arial" w:cs="Arial"/>
          <w:lang w:eastAsia="en-GB"/>
        </w:rPr>
        <w:t>(Ed 3), pp. 283-295</w:t>
      </w:r>
    </w:p>
    <w:p w:rsidR="000B1779" w:rsidRPr="002B67BF" w:rsidRDefault="000B1779" w:rsidP="000B1779">
      <w:pPr>
        <w:spacing w:line="360" w:lineRule="auto"/>
        <w:rPr>
          <w:rFonts w:ascii="Arial" w:hAnsi="Arial" w:cs="Arial"/>
        </w:rPr>
      </w:pPr>
      <w:r w:rsidRPr="002B67BF">
        <w:rPr>
          <w:rFonts w:ascii="Arial" w:hAnsi="Arial" w:cs="Arial"/>
        </w:rPr>
        <w:t xml:space="preserve">Williams &amp; Koran (1997) Obsessive-compulsive disorder in pregnancy, the puerperium, and the premenstruum,  </w:t>
      </w:r>
      <w:r w:rsidRPr="002B67BF">
        <w:rPr>
          <w:rFonts w:ascii="Arial" w:hAnsi="Arial" w:cs="Arial"/>
          <w:i/>
        </w:rPr>
        <w:t>J Clin Psychiatry</w:t>
      </w:r>
      <w:r w:rsidRPr="002B67BF">
        <w:rPr>
          <w:rFonts w:ascii="Arial" w:hAnsi="Arial" w:cs="Arial"/>
        </w:rPr>
        <w:t xml:space="preserve"> , Vol 58, pp. 330–334</w:t>
      </w:r>
    </w:p>
    <w:p w:rsidR="000B1779" w:rsidRDefault="000B1779" w:rsidP="000B1779">
      <w:pPr>
        <w:spacing w:line="360" w:lineRule="auto"/>
        <w:rPr>
          <w:rFonts w:ascii="Arial" w:hAnsi="Arial" w:cs="Arial"/>
        </w:rPr>
      </w:pPr>
      <w:r w:rsidRPr="002B67BF">
        <w:rPr>
          <w:rFonts w:ascii="Arial" w:hAnsi="Arial" w:cs="Arial"/>
        </w:rPr>
        <w:t xml:space="preserve">Young A, Abelson J &amp; Liberzon I (2008) Chapter 5.5 Stress hormones and anxiety disorders, </w:t>
      </w:r>
      <w:r w:rsidRPr="002B67BF">
        <w:rPr>
          <w:rFonts w:ascii="Arial" w:hAnsi="Arial" w:cs="Arial"/>
          <w:i/>
        </w:rPr>
        <w:t>Handbook of Behavioral Neuroscience</w:t>
      </w:r>
      <w:r w:rsidRPr="002B67BF">
        <w:rPr>
          <w:rFonts w:ascii="Arial" w:hAnsi="Arial" w:cs="Arial"/>
        </w:rPr>
        <w:t>, Vol 17, pp. 455-473</w:t>
      </w:r>
    </w:p>
    <w:p w:rsidR="000B1779" w:rsidRDefault="000B1779" w:rsidP="000B1779">
      <w:pPr>
        <w:spacing w:line="360" w:lineRule="auto"/>
        <w:rPr>
          <w:rFonts w:ascii="Arial" w:hAnsi="Arial" w:cs="Arial"/>
        </w:rPr>
      </w:pPr>
    </w:p>
    <w:p w:rsidR="000B1779" w:rsidRDefault="000B1779" w:rsidP="000B1779">
      <w:pPr>
        <w:spacing w:line="360" w:lineRule="auto"/>
        <w:rPr>
          <w:rFonts w:ascii="Arial" w:hAnsi="Arial" w:cs="Arial"/>
        </w:rPr>
      </w:pPr>
    </w:p>
    <w:p w:rsidR="000B1779" w:rsidRDefault="000B1779" w:rsidP="000B1779">
      <w:pPr>
        <w:spacing w:line="360" w:lineRule="auto"/>
        <w:rPr>
          <w:rFonts w:ascii="Arial" w:hAnsi="Arial" w:cs="Arial"/>
        </w:rPr>
      </w:pPr>
    </w:p>
    <w:p w:rsidR="000B1779" w:rsidRDefault="000B1779" w:rsidP="000B1779">
      <w:pPr>
        <w:spacing w:line="360" w:lineRule="auto"/>
        <w:rPr>
          <w:rFonts w:ascii="Arial" w:hAnsi="Arial" w:cs="Arial"/>
        </w:rPr>
      </w:pPr>
    </w:p>
    <w:p w:rsidR="000B1779" w:rsidRDefault="000B1779" w:rsidP="000B1779">
      <w:pPr>
        <w:spacing w:line="360" w:lineRule="auto"/>
        <w:rPr>
          <w:rFonts w:ascii="Arial" w:hAnsi="Arial" w:cs="Arial"/>
        </w:rPr>
      </w:pPr>
    </w:p>
    <w:p w:rsidR="00FF5841" w:rsidRDefault="00FF5841" w:rsidP="000B1779">
      <w:pPr>
        <w:spacing w:line="360" w:lineRule="auto"/>
        <w:rPr>
          <w:rFonts w:ascii="Arial" w:hAnsi="Arial" w:cs="Arial"/>
        </w:rPr>
      </w:pPr>
    </w:p>
    <w:p w:rsidR="00FF5841" w:rsidRDefault="00FF5841" w:rsidP="000B1779">
      <w:pPr>
        <w:spacing w:line="360" w:lineRule="auto"/>
        <w:rPr>
          <w:rFonts w:ascii="Arial" w:hAnsi="Arial" w:cs="Arial"/>
        </w:rPr>
      </w:pPr>
    </w:p>
    <w:p w:rsidR="00FF5841" w:rsidRDefault="00FF5841" w:rsidP="000B1779">
      <w:pPr>
        <w:spacing w:line="360" w:lineRule="auto"/>
        <w:rPr>
          <w:rFonts w:ascii="Arial" w:hAnsi="Arial" w:cs="Arial"/>
        </w:rPr>
      </w:pPr>
    </w:p>
    <w:p w:rsidR="00FF5841" w:rsidRDefault="00FF5841" w:rsidP="000B1779">
      <w:pPr>
        <w:spacing w:line="360" w:lineRule="auto"/>
        <w:rPr>
          <w:rFonts w:ascii="Arial" w:hAnsi="Arial" w:cs="Arial"/>
        </w:rPr>
      </w:pPr>
    </w:p>
    <w:p w:rsidR="00FF5841" w:rsidRDefault="00FF5841" w:rsidP="000B1779">
      <w:pPr>
        <w:spacing w:line="360" w:lineRule="auto"/>
        <w:rPr>
          <w:rFonts w:ascii="Arial" w:hAnsi="Arial" w:cs="Arial"/>
        </w:rPr>
      </w:pPr>
    </w:p>
    <w:p w:rsidR="00FF5841" w:rsidRDefault="00FF5841" w:rsidP="000B1779">
      <w:pPr>
        <w:spacing w:line="360" w:lineRule="auto"/>
        <w:rPr>
          <w:rFonts w:ascii="Arial" w:hAnsi="Arial" w:cs="Arial"/>
        </w:rPr>
      </w:pPr>
    </w:p>
    <w:p w:rsidR="00FF5841" w:rsidRDefault="00FF5841" w:rsidP="000B1779">
      <w:pPr>
        <w:spacing w:line="360" w:lineRule="auto"/>
        <w:rPr>
          <w:rFonts w:ascii="Arial" w:hAnsi="Arial" w:cs="Arial"/>
        </w:rPr>
      </w:pPr>
    </w:p>
    <w:p w:rsidR="00FF5841" w:rsidRDefault="00FF5841" w:rsidP="000B1779">
      <w:pPr>
        <w:spacing w:line="360" w:lineRule="auto"/>
        <w:rPr>
          <w:rFonts w:ascii="Arial" w:hAnsi="Arial" w:cs="Arial"/>
        </w:rPr>
      </w:pPr>
    </w:p>
    <w:p w:rsidR="00FF5841" w:rsidRDefault="00FF5841" w:rsidP="000B1779">
      <w:pPr>
        <w:spacing w:line="360" w:lineRule="auto"/>
        <w:rPr>
          <w:rFonts w:ascii="Arial" w:hAnsi="Arial" w:cs="Arial"/>
        </w:rPr>
      </w:pPr>
    </w:p>
    <w:p w:rsidR="000B1779" w:rsidRPr="002B67BF" w:rsidRDefault="000B1779" w:rsidP="000B1779">
      <w:pPr>
        <w:spacing w:line="360" w:lineRule="auto"/>
        <w:rPr>
          <w:rFonts w:ascii="Arial" w:hAnsi="Arial" w:cs="Arial"/>
        </w:rPr>
      </w:pPr>
    </w:p>
    <w:p w:rsidR="000B1779" w:rsidRPr="002B67BF" w:rsidRDefault="000B1779" w:rsidP="000B1779">
      <w:pPr>
        <w:spacing w:line="360" w:lineRule="auto"/>
        <w:rPr>
          <w:rFonts w:ascii="Arial" w:hAnsi="Arial" w:cs="Arial"/>
          <w:b/>
        </w:rPr>
      </w:pPr>
      <w:r>
        <w:rPr>
          <w:rFonts w:ascii="Arial" w:hAnsi="Arial" w:cs="Arial"/>
          <w:b/>
        </w:rPr>
        <w:lastRenderedPageBreak/>
        <w:t>Appendix A: Johns Model of Reflection</w:t>
      </w:r>
    </w:p>
    <w:p w:rsidR="000B1779" w:rsidRPr="002B67BF" w:rsidRDefault="000B1779" w:rsidP="000B1779">
      <w:pPr>
        <w:spacing w:line="360" w:lineRule="auto"/>
        <w:rPr>
          <w:rFonts w:ascii="Arial" w:hAnsi="Arial" w:cs="Arial"/>
        </w:rPr>
      </w:pPr>
      <w:r w:rsidRPr="002B67BF">
        <w:rPr>
          <w:rFonts w:ascii="Arial" w:hAnsi="Arial" w:cs="Arial"/>
          <w:noProof/>
          <w:lang w:eastAsia="en-GB"/>
        </w:rPr>
        <w:drawing>
          <wp:inline distT="0" distB="0" distL="0" distR="0" wp14:anchorId="59D9BA3F" wp14:editId="10CADF94">
            <wp:extent cx="5850427" cy="4722318"/>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57939" cy="4728382"/>
                    </a:xfrm>
                    <a:prstGeom prst="rect">
                      <a:avLst/>
                    </a:prstGeom>
                    <a:noFill/>
                  </pic:spPr>
                </pic:pic>
              </a:graphicData>
            </a:graphic>
          </wp:inline>
        </w:drawing>
      </w:r>
    </w:p>
    <w:p w:rsidR="000B1779" w:rsidRPr="002B67BF" w:rsidRDefault="000B1779" w:rsidP="000B1779">
      <w:pPr>
        <w:spacing w:line="360" w:lineRule="auto"/>
        <w:rPr>
          <w:rFonts w:ascii="Arial" w:hAnsi="Arial" w:cs="Arial"/>
          <w:b/>
        </w:rPr>
      </w:pPr>
    </w:p>
    <w:p w:rsidR="000B1779" w:rsidRPr="002B67BF" w:rsidRDefault="000B1779" w:rsidP="000B1779">
      <w:pPr>
        <w:spacing w:line="360" w:lineRule="auto"/>
        <w:rPr>
          <w:rFonts w:ascii="Arial" w:hAnsi="Arial" w:cs="Arial"/>
          <w:b/>
        </w:rPr>
      </w:pPr>
    </w:p>
    <w:p w:rsidR="000B1779" w:rsidRPr="002B67BF" w:rsidRDefault="000B1779" w:rsidP="000B1779">
      <w:pPr>
        <w:spacing w:line="360" w:lineRule="auto"/>
        <w:rPr>
          <w:rFonts w:ascii="Arial" w:hAnsi="Arial" w:cs="Arial"/>
          <w:b/>
        </w:rPr>
      </w:pPr>
    </w:p>
    <w:p w:rsidR="000B1779" w:rsidRPr="002B67BF" w:rsidRDefault="000B1779" w:rsidP="000B1779">
      <w:pPr>
        <w:spacing w:line="360" w:lineRule="auto"/>
        <w:rPr>
          <w:rFonts w:ascii="Arial" w:hAnsi="Arial" w:cs="Arial"/>
          <w:b/>
        </w:rPr>
      </w:pPr>
    </w:p>
    <w:p w:rsidR="006F5290" w:rsidRDefault="006F5290"/>
    <w:sectPr w:rsidR="006F529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856FB" w:rsidRDefault="00B856FB" w:rsidP="006E4778">
      <w:pPr>
        <w:spacing w:after="0" w:line="240" w:lineRule="auto"/>
      </w:pPr>
      <w:r>
        <w:separator/>
      </w:r>
    </w:p>
  </w:endnote>
  <w:endnote w:type="continuationSeparator" w:id="0">
    <w:p w:rsidR="00B856FB" w:rsidRDefault="00B856FB" w:rsidP="006E47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01070714"/>
      <w:docPartObj>
        <w:docPartGallery w:val="Page Numbers (Bottom of Page)"/>
        <w:docPartUnique/>
      </w:docPartObj>
    </w:sdtPr>
    <w:sdtEndPr>
      <w:rPr>
        <w:noProof/>
      </w:rPr>
    </w:sdtEndPr>
    <w:sdtContent>
      <w:p w:rsidR="006E4778" w:rsidRDefault="006E4778">
        <w:pPr>
          <w:pStyle w:val="Footer"/>
        </w:pPr>
        <w:r>
          <w:fldChar w:fldCharType="begin"/>
        </w:r>
        <w:r>
          <w:instrText xml:space="preserve"> PAGE   \* MERGEFORMAT </w:instrText>
        </w:r>
        <w:r>
          <w:fldChar w:fldCharType="separate"/>
        </w:r>
        <w:r w:rsidR="00F7251B">
          <w:rPr>
            <w:noProof/>
          </w:rPr>
          <w:t>2</w:t>
        </w:r>
        <w:r>
          <w:rPr>
            <w:noProof/>
          </w:rPr>
          <w:fldChar w:fldCharType="end"/>
        </w:r>
      </w:p>
    </w:sdtContent>
  </w:sdt>
  <w:p w:rsidR="006E4778" w:rsidRDefault="006E477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856FB" w:rsidRDefault="00B856FB" w:rsidP="006E4778">
      <w:pPr>
        <w:spacing w:after="0" w:line="240" w:lineRule="auto"/>
      </w:pPr>
      <w:r>
        <w:separator/>
      </w:r>
    </w:p>
  </w:footnote>
  <w:footnote w:type="continuationSeparator" w:id="0">
    <w:p w:rsidR="00B856FB" w:rsidRDefault="00B856FB" w:rsidP="006E477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E4778" w:rsidRDefault="006E4778">
    <w:pPr>
      <w:pStyle w:val="Header"/>
    </w:pPr>
    <w:r>
      <w:t>Holly Hallam - 2129252</w:t>
    </w:r>
  </w:p>
  <w:p w:rsidR="006E4778" w:rsidRDefault="006E477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44D48A5"/>
    <w:multiLevelType w:val="multilevel"/>
    <w:tmpl w:val="531CB3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C0658D"/>
    <w:multiLevelType w:val="hybridMultilevel"/>
    <w:tmpl w:val="48F8C1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256EA6"/>
    <w:multiLevelType w:val="hybridMultilevel"/>
    <w:tmpl w:val="913E5D84"/>
    <w:lvl w:ilvl="0" w:tplc="DAA8D900">
      <w:start w:val="37"/>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4D115464"/>
    <w:multiLevelType w:val="hybridMultilevel"/>
    <w:tmpl w:val="7A743A1C"/>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222740"/>
    <w:multiLevelType w:val="hybridMultilevel"/>
    <w:tmpl w:val="48F8C1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1F5906"/>
    <w:multiLevelType w:val="hybridMultilevel"/>
    <w:tmpl w:val="0388D0DE"/>
    <w:lvl w:ilvl="0" w:tplc="056A27CC">
      <w:numFmt w:val="bullet"/>
      <w:lvlText w:val="-"/>
      <w:lvlJc w:val="left"/>
      <w:pPr>
        <w:ind w:left="413" w:hanging="360"/>
      </w:pPr>
      <w:rPr>
        <w:rFonts w:ascii="Calibri" w:eastAsiaTheme="minorHAnsi" w:hAnsi="Calibri" w:cs="Calibri" w:hint="default"/>
      </w:rPr>
    </w:lvl>
    <w:lvl w:ilvl="1" w:tplc="08090003" w:tentative="1">
      <w:start w:val="1"/>
      <w:numFmt w:val="bullet"/>
      <w:lvlText w:val="o"/>
      <w:lvlJc w:val="left"/>
      <w:pPr>
        <w:ind w:left="1133" w:hanging="360"/>
      </w:pPr>
      <w:rPr>
        <w:rFonts w:ascii="Courier New" w:hAnsi="Courier New" w:cs="Courier New" w:hint="default"/>
      </w:rPr>
    </w:lvl>
    <w:lvl w:ilvl="2" w:tplc="08090005" w:tentative="1">
      <w:start w:val="1"/>
      <w:numFmt w:val="bullet"/>
      <w:lvlText w:val=""/>
      <w:lvlJc w:val="left"/>
      <w:pPr>
        <w:ind w:left="1853" w:hanging="360"/>
      </w:pPr>
      <w:rPr>
        <w:rFonts w:ascii="Wingdings" w:hAnsi="Wingdings" w:hint="default"/>
      </w:rPr>
    </w:lvl>
    <w:lvl w:ilvl="3" w:tplc="08090001" w:tentative="1">
      <w:start w:val="1"/>
      <w:numFmt w:val="bullet"/>
      <w:lvlText w:val=""/>
      <w:lvlJc w:val="left"/>
      <w:pPr>
        <w:ind w:left="2573" w:hanging="360"/>
      </w:pPr>
      <w:rPr>
        <w:rFonts w:ascii="Symbol" w:hAnsi="Symbol" w:hint="default"/>
      </w:rPr>
    </w:lvl>
    <w:lvl w:ilvl="4" w:tplc="08090003" w:tentative="1">
      <w:start w:val="1"/>
      <w:numFmt w:val="bullet"/>
      <w:lvlText w:val="o"/>
      <w:lvlJc w:val="left"/>
      <w:pPr>
        <w:ind w:left="3293" w:hanging="360"/>
      </w:pPr>
      <w:rPr>
        <w:rFonts w:ascii="Courier New" w:hAnsi="Courier New" w:cs="Courier New" w:hint="default"/>
      </w:rPr>
    </w:lvl>
    <w:lvl w:ilvl="5" w:tplc="08090005" w:tentative="1">
      <w:start w:val="1"/>
      <w:numFmt w:val="bullet"/>
      <w:lvlText w:val=""/>
      <w:lvlJc w:val="left"/>
      <w:pPr>
        <w:ind w:left="4013" w:hanging="360"/>
      </w:pPr>
      <w:rPr>
        <w:rFonts w:ascii="Wingdings" w:hAnsi="Wingdings" w:hint="default"/>
      </w:rPr>
    </w:lvl>
    <w:lvl w:ilvl="6" w:tplc="08090001" w:tentative="1">
      <w:start w:val="1"/>
      <w:numFmt w:val="bullet"/>
      <w:lvlText w:val=""/>
      <w:lvlJc w:val="left"/>
      <w:pPr>
        <w:ind w:left="4733" w:hanging="360"/>
      </w:pPr>
      <w:rPr>
        <w:rFonts w:ascii="Symbol" w:hAnsi="Symbol" w:hint="default"/>
      </w:rPr>
    </w:lvl>
    <w:lvl w:ilvl="7" w:tplc="08090003" w:tentative="1">
      <w:start w:val="1"/>
      <w:numFmt w:val="bullet"/>
      <w:lvlText w:val="o"/>
      <w:lvlJc w:val="left"/>
      <w:pPr>
        <w:ind w:left="5453" w:hanging="360"/>
      </w:pPr>
      <w:rPr>
        <w:rFonts w:ascii="Courier New" w:hAnsi="Courier New" w:cs="Courier New" w:hint="default"/>
      </w:rPr>
    </w:lvl>
    <w:lvl w:ilvl="8" w:tplc="08090005" w:tentative="1">
      <w:start w:val="1"/>
      <w:numFmt w:val="bullet"/>
      <w:lvlText w:val=""/>
      <w:lvlJc w:val="left"/>
      <w:pPr>
        <w:ind w:left="6173" w:hanging="360"/>
      </w:pPr>
      <w:rPr>
        <w:rFonts w:ascii="Wingdings" w:hAnsi="Wingdings" w:hint="default"/>
      </w:rPr>
    </w:lvl>
  </w:abstractNum>
  <w:abstractNum w:abstractNumId="6" w15:restartNumberingAfterBreak="0">
    <w:nsid w:val="62116103"/>
    <w:multiLevelType w:val="hybridMultilevel"/>
    <w:tmpl w:val="1A5CA89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abstractNumId w:val="5"/>
  </w:num>
  <w:num w:numId="2">
    <w:abstractNumId w:val="1"/>
  </w:num>
  <w:num w:numId="3">
    <w:abstractNumId w:val="6"/>
  </w:num>
  <w:num w:numId="4">
    <w:abstractNumId w:val="4"/>
  </w:num>
  <w:num w:numId="5">
    <w:abstractNumId w:val="3"/>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1779"/>
    <w:rsid w:val="00094661"/>
    <w:rsid w:val="000B1779"/>
    <w:rsid w:val="00157193"/>
    <w:rsid w:val="002C084D"/>
    <w:rsid w:val="00543976"/>
    <w:rsid w:val="00683168"/>
    <w:rsid w:val="006E4778"/>
    <w:rsid w:val="006F5290"/>
    <w:rsid w:val="007D20F8"/>
    <w:rsid w:val="0087451C"/>
    <w:rsid w:val="008F20A7"/>
    <w:rsid w:val="00904799"/>
    <w:rsid w:val="00AC3112"/>
    <w:rsid w:val="00B856FB"/>
    <w:rsid w:val="00BA5436"/>
    <w:rsid w:val="00E11CB9"/>
    <w:rsid w:val="00F7251B"/>
    <w:rsid w:val="00FF5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14FE869-B1A9-45E0-B1D9-47011F2F0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177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17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779"/>
  </w:style>
  <w:style w:type="paragraph" w:styleId="Footer">
    <w:name w:val="footer"/>
    <w:basedOn w:val="Normal"/>
    <w:link w:val="FooterChar"/>
    <w:uiPriority w:val="99"/>
    <w:unhideWhenUsed/>
    <w:rsid w:val="000B17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779"/>
  </w:style>
  <w:style w:type="paragraph" w:styleId="ListParagraph">
    <w:name w:val="List Paragraph"/>
    <w:basedOn w:val="Normal"/>
    <w:uiPriority w:val="34"/>
    <w:qFormat/>
    <w:rsid w:val="000B1779"/>
    <w:pPr>
      <w:ind w:left="720"/>
      <w:contextualSpacing/>
    </w:pPr>
  </w:style>
  <w:style w:type="table" w:styleId="TableGrid">
    <w:name w:val="Table Grid"/>
    <w:basedOn w:val="TableNormal"/>
    <w:uiPriority w:val="39"/>
    <w:rsid w:val="000B1779"/>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ferencesauthors">
    <w:name w:val="references__authors"/>
    <w:basedOn w:val="DefaultParagraphFont"/>
    <w:rsid w:val="000B1779"/>
  </w:style>
  <w:style w:type="character" w:customStyle="1" w:styleId="referencesarticle-title">
    <w:name w:val="references__article-title"/>
    <w:basedOn w:val="DefaultParagraphFont"/>
    <w:rsid w:val="000B1779"/>
  </w:style>
  <w:style w:type="character" w:styleId="Strong">
    <w:name w:val="Strong"/>
    <w:basedOn w:val="DefaultParagraphFont"/>
    <w:uiPriority w:val="22"/>
    <w:qFormat/>
    <w:rsid w:val="000B1779"/>
    <w:rPr>
      <w:b/>
      <w:bCs/>
    </w:rPr>
  </w:style>
  <w:style w:type="character" w:customStyle="1" w:styleId="referencesyear">
    <w:name w:val="references__year"/>
    <w:basedOn w:val="DefaultParagraphFont"/>
    <w:rsid w:val="000B1779"/>
  </w:style>
  <w:style w:type="character" w:styleId="Hyperlink">
    <w:name w:val="Hyperlink"/>
    <w:basedOn w:val="DefaultParagraphFont"/>
    <w:uiPriority w:val="99"/>
    <w:unhideWhenUsed/>
    <w:rsid w:val="000B1779"/>
    <w:rPr>
      <w:color w:val="0000FF"/>
      <w:u w:val="single"/>
    </w:rPr>
  </w:style>
  <w:style w:type="character" w:styleId="Emphasis">
    <w:name w:val="Emphasis"/>
    <w:basedOn w:val="DefaultParagraphFont"/>
    <w:uiPriority w:val="20"/>
    <w:qFormat/>
    <w:rsid w:val="000B1779"/>
    <w:rPr>
      <w:i/>
      <w:iCs/>
    </w:rPr>
  </w:style>
  <w:style w:type="character" w:customStyle="1" w:styleId="authorname">
    <w:name w:val="authorname"/>
    <w:basedOn w:val="DefaultParagraphFont"/>
    <w:rsid w:val="000B1779"/>
  </w:style>
  <w:style w:type="character" w:customStyle="1" w:styleId="separator">
    <w:name w:val="separator"/>
    <w:basedOn w:val="DefaultParagraphFont"/>
    <w:rsid w:val="000B1779"/>
  </w:style>
  <w:style w:type="character" w:customStyle="1" w:styleId="Date1">
    <w:name w:val="Date1"/>
    <w:basedOn w:val="DefaultParagraphFont"/>
    <w:rsid w:val="000B1779"/>
  </w:style>
  <w:style w:type="character" w:customStyle="1" w:styleId="arttitle">
    <w:name w:val="art_title"/>
    <w:basedOn w:val="DefaultParagraphFont"/>
    <w:rsid w:val="000B1779"/>
  </w:style>
  <w:style w:type="character" w:customStyle="1" w:styleId="serialtitle">
    <w:name w:val="serial_title"/>
    <w:basedOn w:val="DefaultParagraphFont"/>
    <w:rsid w:val="000B1779"/>
  </w:style>
  <w:style w:type="character" w:customStyle="1" w:styleId="volumeissue">
    <w:name w:val="volume_issue"/>
    <w:basedOn w:val="DefaultParagraphFont"/>
    <w:rsid w:val="000B1779"/>
  </w:style>
  <w:style w:type="character" w:customStyle="1" w:styleId="pagerange">
    <w:name w:val="page_range"/>
    <w:basedOn w:val="DefaultParagraphFont"/>
    <w:rsid w:val="000B1779"/>
  </w:style>
  <w:style w:type="character" w:customStyle="1" w:styleId="doilink">
    <w:name w:val="doi_link"/>
    <w:basedOn w:val="DefaultParagraphFont"/>
    <w:rsid w:val="000B1779"/>
  </w:style>
  <w:style w:type="character" w:styleId="CommentReference">
    <w:name w:val="annotation reference"/>
    <w:basedOn w:val="DefaultParagraphFont"/>
    <w:uiPriority w:val="99"/>
    <w:semiHidden/>
    <w:unhideWhenUsed/>
    <w:rsid w:val="000B1779"/>
    <w:rPr>
      <w:sz w:val="16"/>
      <w:szCs w:val="16"/>
    </w:rPr>
  </w:style>
  <w:style w:type="paragraph" w:styleId="CommentText">
    <w:name w:val="annotation text"/>
    <w:basedOn w:val="Normal"/>
    <w:link w:val="CommentTextChar"/>
    <w:uiPriority w:val="99"/>
    <w:semiHidden/>
    <w:unhideWhenUsed/>
    <w:rsid w:val="000B1779"/>
    <w:pPr>
      <w:spacing w:line="240" w:lineRule="auto"/>
    </w:pPr>
    <w:rPr>
      <w:sz w:val="20"/>
      <w:szCs w:val="20"/>
    </w:rPr>
  </w:style>
  <w:style w:type="character" w:customStyle="1" w:styleId="CommentTextChar">
    <w:name w:val="Comment Text Char"/>
    <w:basedOn w:val="DefaultParagraphFont"/>
    <w:link w:val="CommentText"/>
    <w:uiPriority w:val="99"/>
    <w:semiHidden/>
    <w:rsid w:val="000B1779"/>
    <w:rPr>
      <w:sz w:val="20"/>
      <w:szCs w:val="20"/>
    </w:rPr>
  </w:style>
  <w:style w:type="paragraph" w:styleId="CommentSubject">
    <w:name w:val="annotation subject"/>
    <w:basedOn w:val="CommentText"/>
    <w:next w:val="CommentText"/>
    <w:link w:val="CommentSubjectChar"/>
    <w:uiPriority w:val="99"/>
    <w:semiHidden/>
    <w:unhideWhenUsed/>
    <w:rsid w:val="000B1779"/>
    <w:rPr>
      <w:b/>
      <w:bCs/>
    </w:rPr>
  </w:style>
  <w:style w:type="character" w:customStyle="1" w:styleId="CommentSubjectChar">
    <w:name w:val="Comment Subject Char"/>
    <w:basedOn w:val="CommentTextChar"/>
    <w:link w:val="CommentSubject"/>
    <w:uiPriority w:val="99"/>
    <w:semiHidden/>
    <w:rsid w:val="000B1779"/>
    <w:rPr>
      <w:b/>
      <w:bCs/>
      <w:sz w:val="20"/>
      <w:szCs w:val="20"/>
    </w:rPr>
  </w:style>
  <w:style w:type="paragraph" w:styleId="BalloonText">
    <w:name w:val="Balloon Text"/>
    <w:basedOn w:val="Normal"/>
    <w:link w:val="BalloonTextChar"/>
    <w:uiPriority w:val="99"/>
    <w:semiHidden/>
    <w:unhideWhenUsed/>
    <w:rsid w:val="000B177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177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11961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29</Pages>
  <Words>9762</Words>
  <Characters>55647</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Hallam</dc:creator>
  <cp:keywords/>
  <dc:description/>
  <cp:lastModifiedBy>Holly Hallam</cp:lastModifiedBy>
  <cp:revision>2</cp:revision>
  <dcterms:created xsi:type="dcterms:W3CDTF">2023-11-30T18:37:00Z</dcterms:created>
  <dcterms:modified xsi:type="dcterms:W3CDTF">2023-11-30T18:37:00Z</dcterms:modified>
</cp:coreProperties>
</file>