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rPr>
          <w:rtl w:val="0"/>
          <w:lang w:val="en-US"/>
        </w:rPr>
        <w:t>Task 1:</w:t>
      </w:r>
    </w:p>
    <w:p>
      <w:pPr>
        <w:pStyle w:val="Body"/>
      </w:pPr>
    </w:p>
    <w:p>
      <w:pPr>
        <w:pStyle w:val="Body"/>
        <w:spacing w:before="180" w:after="180"/>
      </w:pPr>
      <w:r>
        <w:rPr>
          <w:rtl w:val="0"/>
          <w:lang w:val="en-US"/>
        </w:rPr>
        <w:t>Dear David,</w:t>
      </w:r>
    </w:p>
    <w:p>
      <w:pPr>
        <w:pStyle w:val="Body"/>
        <w:spacing w:before="180" w:after="180"/>
      </w:pPr>
      <w:r>
        <w:rPr>
          <w:rtl w:val="0"/>
          <w:lang w:val="en-US"/>
        </w:rPr>
        <w:t xml:space="preserve">The </w:t>
      </w:r>
      <w:r>
        <w:rPr>
          <w:rtl w:val="0"/>
        </w:rPr>
        <w:t>£</w:t>
      </w:r>
      <w:r>
        <w:rPr>
          <w:rtl w:val="0"/>
          <w:lang w:val="en-US"/>
        </w:rPr>
        <w:t>1000 gift that was left by Mrs. Spain must satisfy certain legal conditions to be properly accepted and used as she intended. Firstly, Mrs. Spain</w:t>
      </w:r>
      <w:r>
        <w:rPr>
          <w:rtl w:val="1"/>
        </w:rPr>
        <w:t>’</w:t>
      </w:r>
      <w:r>
        <w:rPr>
          <w:rtl w:val="0"/>
          <w:lang w:val="en-US"/>
        </w:rPr>
        <w:t>s mental capacity must be considered. Under the Mental Capacity Act 2005, a testator must understand the nature of the gift, its consequences, and its effect. The 2018 medical report confirms that she was of sound mind, meaning her intent should be considered valid. Since the will was drafted in 2013, there is no indication that her mental state had deteriorated in a way that would impact the validity of her decisions.</w:t>
      </w:r>
    </w:p>
    <w:p>
      <w:pPr>
        <w:pStyle w:val="Body"/>
        <w:spacing w:before="180" w:after="180"/>
      </w:pPr>
      <w:r>
        <w:rPr>
          <w:rtl w:val="0"/>
          <w:lang w:val="en-US"/>
        </w:rPr>
        <w:t xml:space="preserve">The second aspect is the delivery of the gift. Under common law, a valid gift requires three elements: the donor's intention to make the gift, actual transfer, and the recipient's acceptance. If the gift has already been transferred and accepted by you, it would generally be considered valid. Additionally, as the will was drafted in 2013 and over seven years have passed, the gift would not be subject to inheritance tax. Furthermore, since the amount falls below the </w:t>
      </w:r>
      <w:r>
        <w:rPr>
          <w:rtl w:val="0"/>
        </w:rPr>
        <w:t>£</w:t>
      </w:r>
      <w:r>
        <w:rPr>
          <w:rtl w:val="0"/>
          <w:lang w:val="en-US"/>
        </w:rPr>
        <w:t>3,000 annual exemption threshold, it does not require taxation. It is important to consider whether the gift is classified as a specific legacy (a gift of a particular asset) or as a pecuniary legacy (a monetary gift). If it is the latter, it would be distributed before the residual estate, ensuring that this gift is prioritized in the probate process.</w:t>
      </w:r>
    </w:p>
    <w:p>
      <w:pPr>
        <w:pStyle w:val="Body"/>
        <w:spacing w:before="180" w:after="180"/>
      </w:pPr>
      <w:r>
        <w:rPr>
          <w:rtl w:val="0"/>
          <w:lang w:val="en-US"/>
        </w:rPr>
        <w:t>Another factor to consider is whether the gift was made under any undue influence or coercion. While there is no evidence to suggest this, in probate cases, beneficiaries may sometimes contest bequests if they believe they were made under pressure. If all beneficiaries agree that the gift should be honored as per the will, this risk is minimal. However, should a challenge arise, legal precedents, such as Edwards v Edwards (2007), emphasize the need for a clear burden of proof on those alleging undue influence.</w:t>
      </w:r>
    </w:p>
    <w:p>
      <w:pPr>
        <w:pStyle w:val="Body"/>
        <w:spacing w:before="180" w:after="180"/>
      </w:pPr>
      <w:r>
        <w:rPr>
          <w:rtl w:val="0"/>
          <w:lang w:val="en-US"/>
        </w:rPr>
        <w:t>Regarding the gold left by Mrs. Spain, its distribution must align with the instructions in the will. Fiona's claim of a "private inheritance" has no legal standing unless explicitly stated in the will. If the gold is not specified as a gift to Fiona, it falls under the general provisions of the estate and will be distributed accordingly. Fiona's assertion alone is not legally binding. The case of Parker v Felgate (1883) establishes that informal statements of intention hold no legal weight unless recorded in a legally enforceable format. The doctrine of secret trusts is sometimes applied in similar cases, where assets are promised outside of the will with an intention that they be passed on in confidence. However, for this to be enforceable, two key conditions must be met: (1) the testator must have communicated the trust to the intended trustee, and (2) the trustee must have accepted the obligation. Since there is no formal evidence that Mrs. Spain created a secret trust for Fiona, the gold remains part of the estate.</w:t>
      </w:r>
    </w:p>
    <w:p>
      <w:pPr>
        <w:pStyle w:val="Body"/>
        <w:spacing w:before="180" w:after="180"/>
      </w:pPr>
      <w:r>
        <w:rPr>
          <w:rtl w:val="0"/>
          <w:lang w:val="en-US"/>
        </w:rPr>
        <w:t>Additionally, there are legal and ethical considerations regarding Fiona's request to transfer the gold to her secretly. As the estate</w:t>
      </w:r>
      <w:r>
        <w:rPr>
          <w:rtl w:val="1"/>
        </w:rPr>
        <w:t>’</w:t>
      </w:r>
      <w:r>
        <w:rPr>
          <w:rtl w:val="0"/>
          <w:lang w:val="en-US"/>
        </w:rPr>
        <w:t>s representative, you are legally obligated to act in the best interests of all beneficiaries, not just one. Carrying out Fiona</w:t>
      </w:r>
      <w:r>
        <w:rPr>
          <w:rtl w:val="1"/>
        </w:rPr>
        <w:t>’</w:t>
      </w:r>
      <w:r>
        <w:rPr>
          <w:rtl w:val="0"/>
          <w:lang w:val="en-US"/>
        </w:rPr>
        <w:t>s request in secrecy could constitute a breach of duty and violate the Solicitors Regulation Authority (SRA) Code of Conduct. Your duty extends beyond simply following the perceived wishes of a single beneficiary; rather, you must ensure that the estate is handled fairly and in accordance with the law.</w:t>
      </w:r>
    </w:p>
    <w:p>
      <w:pPr>
        <w:pStyle w:val="Body"/>
        <w:spacing w:before="180" w:after="180"/>
      </w:pPr>
      <w:r>
        <w:rPr>
          <w:rtl w:val="0"/>
          <w:lang w:val="en-US"/>
        </w:rPr>
        <w:t>If Fiona continues to press her claim, there are several legal avenues she may pursue. She may apply for a rectification of the will if she believes there was a clerical error or mistake that led to the exclusion of the gold from her inheritance. Under section 20 of the Administration of Justice Act 1982, the court has the power to amend a will if it is proven that an error was made in drafting that did not reflect the testator</w:t>
      </w:r>
      <w:r>
        <w:rPr>
          <w:rtl w:val="1"/>
        </w:rPr>
        <w:t>’</w:t>
      </w:r>
      <w:r>
        <w:rPr>
          <w:rtl w:val="0"/>
          <w:lang w:val="en-US"/>
        </w:rPr>
        <w:t>s true intentions. However, the burden of proof would rest with Fiona, and without strong evidence, such an application is unlikely to succeed.</w:t>
      </w:r>
    </w:p>
    <w:p>
      <w:pPr>
        <w:pStyle w:val="Body"/>
        <w:spacing w:before="180" w:after="180"/>
      </w:pPr>
      <w:r>
        <w:rPr>
          <w:rtl w:val="0"/>
          <w:lang w:val="en-US"/>
        </w:rPr>
        <w:t>Alternatively, if Fiona disputes the distribution, she could contest the will under proprietary estoppel, arguing that she relied on assurances from Mrs. Spain that she would inherit the gold and acted to her detriment because of those assurances. Such claims are difficult to prove and require a strong evidentiary basis, including correspondence or witness testimonies.</w:t>
      </w:r>
    </w:p>
    <w:p>
      <w:pPr>
        <w:pStyle w:val="Body"/>
        <w:spacing w:before="180" w:after="180"/>
      </w:pPr>
      <w:r>
        <w:rPr>
          <w:rtl w:val="0"/>
          <w:lang w:val="en-US"/>
        </w:rPr>
        <w:t>Once probate is granted, the estate, including the gold, must be distributed according to the will. If Fiona insists on her claim, the matter may need to be resolved through probate court. Any legal challenge will require an assessment of whether the testator</w:t>
      </w:r>
      <w:r>
        <w:rPr>
          <w:rtl w:val="1"/>
        </w:rPr>
        <w:t>’</w:t>
      </w:r>
      <w:r>
        <w:rPr>
          <w:rtl w:val="0"/>
          <w:lang w:val="en-US"/>
        </w:rPr>
        <w:t>s wishes were documented clearly and whether Fiona can provide any supporting evidence for her claim.</w:t>
      </w:r>
    </w:p>
    <w:p>
      <w:pPr>
        <w:pStyle w:val="Body"/>
        <w:spacing w:before="180" w:after="180"/>
      </w:pPr>
      <w:r>
        <w:rPr>
          <w:rtl w:val="0"/>
          <w:lang w:val="en-US"/>
        </w:rPr>
        <w:t>These steps ensure that the estate is handled lawfully and ethically. As a firm, we must uphold the integrity of the probate process and cannot proceed with Fiona</w:t>
      </w:r>
      <w:r>
        <w:rPr>
          <w:rtl w:val="1"/>
        </w:rPr>
        <w:t>’</w:t>
      </w:r>
      <w:r>
        <w:rPr>
          <w:rtl w:val="0"/>
          <w:lang w:val="en-US"/>
        </w:rPr>
        <w:t>s request without verifying its legal standing. If needed, we can engage in further legal consultation to determine the best course of action while ensuring compliance with probate laws and ethical standards.</w:t>
      </w:r>
    </w:p>
    <w:p>
      <w:pPr>
        <w:pStyle w:val="Body"/>
        <w:spacing w:before="180" w:after="180"/>
      </w:pPr>
      <w:r>
        <w:rPr>
          <w:rtl w:val="0"/>
          <w:lang w:val="en-US"/>
        </w:rPr>
        <w:t>Yours sincerely,</w:t>
      </w:r>
      <w:r>
        <w:br w:type="textWrapping"/>
      </w:r>
      <w:r>
        <w:rPr>
          <w:rtl w:val="0"/>
        </w:rPr>
        <w:t>Rowan Dhillon</w:t>
      </w:r>
    </w:p>
    <w:p>
      <w:pPr>
        <w:pStyle w:val="Body"/>
      </w:pPr>
    </w:p>
    <w:p>
      <w:pPr>
        <w:pStyle w:val="Body"/>
      </w:pPr>
    </w:p>
    <w:p>
      <w:pPr>
        <w:pStyle w:val="Body"/>
      </w:pPr>
    </w:p>
    <w:p>
      <w:pPr>
        <w:pStyle w:val="Body"/>
      </w:pPr>
      <w:r>
        <w:rPr>
          <w:rtl w:val="0"/>
          <w:lang w:val="en-US"/>
        </w:rPr>
        <w:t>Task 2:</w:t>
      </w:r>
    </w:p>
    <w:p>
      <w:pPr>
        <w:pStyle w:val="Body"/>
      </w:pPr>
    </w:p>
    <w:p>
      <w:pPr>
        <w:pStyle w:val="Body"/>
        <w:rPr>
          <w:b w:val="1"/>
          <w:bCs w:val="1"/>
        </w:rPr>
      </w:pPr>
      <w:r>
        <w:rPr>
          <w:b w:val="1"/>
          <w:bCs w:val="1"/>
          <w:rtl w:val="0"/>
          <w:lang w:val="en-US"/>
        </w:rPr>
        <w:t>Making Sense of the Inheritance Tax Reforms: What They Mean for Farmers and Business Owners</w:t>
      </w:r>
    </w:p>
    <w:p>
      <w:pPr>
        <w:pStyle w:val="Body"/>
        <w:spacing w:before="180" w:after="180"/>
      </w:pPr>
      <w:r>
        <w:rPr>
          <w:rtl w:val="0"/>
          <w:lang w:val="en-US"/>
        </w:rPr>
        <w:t>The government is shaking up Inheritance Tax (IHT) relief, particularly for farmers and business owners. While these changes are meant to close tax loopholes, they could hit family-run farms and small businesses hard. So, what</w:t>
      </w:r>
      <w:r>
        <w:rPr>
          <w:rtl w:val="1"/>
        </w:rPr>
        <w:t>’</w:t>
      </w:r>
      <w:r>
        <w:rPr>
          <w:rtl w:val="0"/>
          <w:lang w:val="en-US"/>
        </w:rPr>
        <w:t>s changing, and why does it matter?</w:t>
      </w:r>
    </w:p>
    <w:p>
      <w:pPr>
        <w:pStyle w:val="Body"/>
        <w:rPr>
          <w:b w:val="1"/>
          <w:bCs w:val="1"/>
        </w:rPr>
      </w:pPr>
      <w:r>
        <w:rPr>
          <w:b w:val="1"/>
          <w:bCs w:val="1"/>
          <w:rtl w:val="0"/>
          <w:lang w:val="en-US"/>
        </w:rPr>
        <w:t>Inheritance Tax and Reliefs: An Overview</w:t>
      </w:r>
    </w:p>
    <w:p>
      <w:pPr>
        <w:pStyle w:val="Body"/>
      </w:pPr>
      <w:r>
        <w:rPr>
          <w:rtl w:val="0"/>
          <w:lang w:val="en-US"/>
        </w:rPr>
        <w:t xml:space="preserve">Inheritance Tax, which applies to estates valued over a certain threshold, is a tax on the estate of someone who has passed away. It is typically charged at 40% on the value of the estate above the IHT threshold, which as of 2024 is </w:t>
      </w:r>
      <w:r>
        <w:rPr>
          <w:rtl w:val="0"/>
        </w:rPr>
        <w:t>£</w:t>
      </w:r>
      <w:r>
        <w:rPr>
          <w:rtl w:val="0"/>
          <w:lang w:val="en-US"/>
        </w:rPr>
        <w:t xml:space="preserve">325,000. However, certain types of property can qualify for relief, meaning they are either exempt from tax or subject to a lower rate. Two of the most important reliefs are the Agricultural Property Relief (APR) and Business Property Relief (BPR), which can significantly reduce or even eliminate the tax liability on agricultural land and businesses passed on to heirs. </w:t>
      </w:r>
    </w:p>
    <w:p>
      <w:pPr>
        <w:pStyle w:val="Body"/>
      </w:pPr>
    </w:p>
    <w:p>
      <w:pPr>
        <w:pStyle w:val="Body"/>
        <w:spacing w:before="280"/>
      </w:pPr>
      <w:r>
        <w:rPr>
          <w:rtl w:val="0"/>
          <w:lang w:val="en-US"/>
        </w:rPr>
        <w:t>How Inheritance Tax Relief Works Now</w:t>
      </w:r>
    </w:p>
    <w:p>
      <w:pPr>
        <w:pStyle w:val="Body"/>
        <w:numPr>
          <w:ilvl w:val="0"/>
          <w:numId w:val="2"/>
        </w:numPr>
        <w:bidi w:val="0"/>
        <w:spacing w:before="180"/>
        <w:ind w:right="0"/>
        <w:jc w:val="left"/>
        <w:rPr>
          <w:rtl w:val="0"/>
          <w:lang w:val="en-US"/>
        </w:rPr>
      </w:pPr>
      <w:r>
        <w:rPr>
          <w:b w:val="1"/>
          <w:bCs w:val="1"/>
          <w:rtl w:val="0"/>
          <w:lang w:val="en-US"/>
        </w:rPr>
        <w:t>Agricultural Property Relief (APR):</w:t>
      </w:r>
    </w:p>
    <w:p>
      <w:pPr>
        <w:pStyle w:val="Body"/>
        <w:numPr>
          <w:ilvl w:val="1"/>
          <w:numId w:val="2"/>
        </w:numPr>
        <w:bidi w:val="0"/>
        <w:ind w:right="0"/>
        <w:jc w:val="left"/>
        <w:rPr>
          <w:rtl w:val="0"/>
          <w:lang w:val="en-US"/>
        </w:rPr>
      </w:pPr>
      <w:r>
        <w:rPr>
          <w:rtl w:val="0"/>
          <w:lang w:val="en-US"/>
        </w:rPr>
        <w:t>Farmers can get up to 100% IHT relief on farmland and buildings, as long as they meet ownership and use conditions.</w:t>
      </w:r>
    </w:p>
    <w:p>
      <w:pPr>
        <w:pStyle w:val="Body"/>
        <w:numPr>
          <w:ilvl w:val="0"/>
          <w:numId w:val="2"/>
        </w:numPr>
        <w:bidi w:val="0"/>
        <w:ind w:right="0"/>
        <w:jc w:val="left"/>
        <w:rPr>
          <w:rtl w:val="0"/>
          <w:lang w:val="en-US"/>
        </w:rPr>
      </w:pPr>
      <w:r>
        <w:rPr>
          <w:b w:val="1"/>
          <w:bCs w:val="1"/>
          <w:rtl w:val="0"/>
          <w:lang w:val="en-US"/>
        </w:rPr>
        <w:t>Business Property Relief (BPR):</w:t>
      </w:r>
    </w:p>
    <w:p>
      <w:pPr>
        <w:pStyle w:val="Body"/>
        <w:numPr>
          <w:ilvl w:val="1"/>
          <w:numId w:val="2"/>
        </w:numPr>
        <w:bidi w:val="0"/>
        <w:spacing w:after="180"/>
        <w:ind w:right="0"/>
        <w:jc w:val="left"/>
        <w:rPr>
          <w:rtl w:val="0"/>
          <w:lang w:val="en-US"/>
        </w:rPr>
      </w:pPr>
      <w:r>
        <w:rPr>
          <w:rtl w:val="0"/>
          <w:lang w:val="en-US"/>
        </w:rPr>
        <w:t>Businesses can also claim up to 100% relief on unlisted shares and business assets if held for at least two years.</w:t>
      </w:r>
    </w:p>
    <w:p>
      <w:pPr>
        <w:pStyle w:val="Body"/>
        <w:spacing w:before="280"/>
      </w:pPr>
      <w:r>
        <w:rPr>
          <w:rtl w:val="0"/>
          <w:lang w:val="en-US"/>
        </w:rPr>
        <w:t>What</w:t>
      </w:r>
      <w:r>
        <w:rPr>
          <w:rtl w:val="1"/>
        </w:rPr>
        <w:t>’</w:t>
      </w:r>
      <w:r>
        <w:rPr>
          <w:rtl w:val="0"/>
          <w:lang w:val="en-US"/>
        </w:rPr>
        <w:t>s Changing in April 2026?</w:t>
      </w:r>
    </w:p>
    <w:p>
      <w:pPr>
        <w:pStyle w:val="Body"/>
        <w:numPr>
          <w:ilvl w:val="0"/>
          <w:numId w:val="4"/>
        </w:numPr>
        <w:bidi w:val="0"/>
        <w:spacing w:before="180"/>
        <w:ind w:right="0"/>
        <w:jc w:val="left"/>
        <w:rPr>
          <w:rtl w:val="0"/>
          <w:lang w:val="en-US"/>
        </w:rPr>
      </w:pPr>
      <w:r>
        <w:rPr>
          <w:b w:val="1"/>
          <w:bCs w:val="1"/>
          <w:rtl w:val="0"/>
          <w:lang w:val="en-US"/>
        </w:rPr>
        <w:t xml:space="preserve">New </w:t>
      </w:r>
      <w:r>
        <w:rPr>
          <w:b w:val="1"/>
          <w:bCs w:val="1"/>
          <w:rtl w:val="0"/>
        </w:rPr>
        <w:t>£</w:t>
      </w:r>
      <w:r>
        <w:rPr>
          <w:b w:val="1"/>
          <w:bCs w:val="1"/>
          <w:rtl w:val="0"/>
          <w:lang w:val="de-DE"/>
        </w:rPr>
        <w:t>1 Million Cap:</w:t>
      </w:r>
    </w:p>
    <w:p>
      <w:pPr>
        <w:pStyle w:val="Body"/>
        <w:numPr>
          <w:ilvl w:val="1"/>
          <w:numId w:val="4"/>
        </w:numPr>
        <w:bidi w:val="0"/>
        <w:ind w:right="0"/>
        <w:jc w:val="left"/>
        <w:rPr>
          <w:rtl w:val="0"/>
          <w:lang w:val="en-US"/>
        </w:rPr>
      </w:pPr>
      <w:r>
        <w:rPr>
          <w:rtl w:val="0"/>
          <w:lang w:val="en-US"/>
        </w:rPr>
        <w:t xml:space="preserve">APR and BPR claims will be capped at </w:t>
      </w:r>
      <w:r>
        <w:rPr>
          <w:rtl w:val="0"/>
        </w:rPr>
        <w:t>£</w:t>
      </w:r>
      <w:r>
        <w:rPr>
          <w:rtl w:val="0"/>
          <w:lang w:val="en-US"/>
        </w:rPr>
        <w:t>1 million combined. Any value above that only gets 50% relief instead of 100%.</w:t>
      </w:r>
    </w:p>
    <w:p>
      <w:pPr>
        <w:pStyle w:val="Body"/>
        <w:numPr>
          <w:ilvl w:val="0"/>
          <w:numId w:val="4"/>
        </w:numPr>
        <w:bidi w:val="0"/>
        <w:ind w:right="0"/>
        <w:jc w:val="left"/>
        <w:rPr>
          <w:rtl w:val="0"/>
          <w:lang w:val="en-US"/>
        </w:rPr>
      </w:pPr>
      <w:r>
        <w:rPr>
          <w:b w:val="1"/>
          <w:bCs w:val="1"/>
          <w:rtl w:val="0"/>
          <w:lang w:val="en-US"/>
        </w:rPr>
        <w:t>Higher Tax on Excess Value:</w:t>
      </w:r>
    </w:p>
    <w:p>
      <w:pPr>
        <w:pStyle w:val="Body"/>
        <w:numPr>
          <w:ilvl w:val="1"/>
          <w:numId w:val="4"/>
        </w:numPr>
        <w:bidi w:val="0"/>
        <w:spacing w:after="180"/>
        <w:ind w:right="0"/>
        <w:jc w:val="left"/>
        <w:rPr>
          <w:rtl w:val="0"/>
          <w:lang w:val="en-US"/>
        </w:rPr>
      </w:pPr>
      <w:r>
        <w:rPr>
          <w:rtl w:val="0"/>
          <w:lang w:val="en-US"/>
        </w:rPr>
        <w:t>Property or business assets over the cap will be taxed at 20% rather than the usual 40% IHT rate.</w:t>
      </w:r>
    </w:p>
    <w:p>
      <w:pPr>
        <w:pStyle w:val="Body"/>
        <w:spacing w:before="280"/>
      </w:pPr>
      <w:r>
        <w:rPr>
          <w:rtl w:val="0"/>
          <w:lang w:val="en-US"/>
        </w:rPr>
        <w:t>Why Is the Government Doing This?</w:t>
      </w:r>
    </w:p>
    <w:p>
      <w:pPr>
        <w:pStyle w:val="Body"/>
        <w:numPr>
          <w:ilvl w:val="0"/>
          <w:numId w:val="6"/>
        </w:numPr>
        <w:bidi w:val="0"/>
        <w:spacing w:before="180"/>
        <w:ind w:right="0"/>
        <w:jc w:val="left"/>
        <w:rPr>
          <w:rtl w:val="0"/>
          <w:lang w:val="en-US"/>
        </w:rPr>
      </w:pPr>
      <w:r>
        <w:rPr>
          <w:b w:val="1"/>
          <w:bCs w:val="1"/>
          <w:rtl w:val="0"/>
          <w:lang w:val="en-US"/>
        </w:rPr>
        <w:t>Stopping Tax Loopholes:</w:t>
      </w:r>
    </w:p>
    <w:p>
      <w:pPr>
        <w:pStyle w:val="Body"/>
        <w:numPr>
          <w:ilvl w:val="1"/>
          <w:numId w:val="6"/>
        </w:numPr>
        <w:bidi w:val="0"/>
        <w:ind w:right="0"/>
        <w:jc w:val="left"/>
        <w:rPr>
          <w:rtl w:val="0"/>
          <w:lang w:val="en-US"/>
        </w:rPr>
      </w:pPr>
      <w:r>
        <w:rPr>
          <w:rtl w:val="0"/>
          <w:lang w:val="en-US"/>
        </w:rPr>
        <w:t>Some wealthy investors buy farmland or businesses mainly for tax breaks. The government wants to stop this.</w:t>
      </w:r>
    </w:p>
    <w:p>
      <w:pPr>
        <w:pStyle w:val="Body"/>
        <w:numPr>
          <w:ilvl w:val="0"/>
          <w:numId w:val="6"/>
        </w:numPr>
        <w:bidi w:val="0"/>
        <w:ind w:right="0"/>
        <w:jc w:val="left"/>
        <w:rPr>
          <w:rtl w:val="0"/>
          <w:lang w:val="en-US"/>
        </w:rPr>
      </w:pPr>
      <w:r>
        <w:rPr>
          <w:b w:val="1"/>
          <w:bCs w:val="1"/>
          <w:rtl w:val="0"/>
          <w:lang w:val="en-US"/>
        </w:rPr>
        <w:t>Bringing in More Tax Revenue:</w:t>
      </w:r>
    </w:p>
    <w:p>
      <w:pPr>
        <w:pStyle w:val="Body"/>
        <w:numPr>
          <w:ilvl w:val="1"/>
          <w:numId w:val="6"/>
        </w:numPr>
        <w:bidi w:val="0"/>
        <w:spacing w:after="180"/>
        <w:ind w:right="0"/>
        <w:jc w:val="left"/>
        <w:rPr>
          <w:rtl w:val="0"/>
          <w:lang w:val="en-US"/>
        </w:rPr>
      </w:pPr>
      <w:r>
        <w:rPr>
          <w:rtl w:val="0"/>
          <w:lang w:val="en-US"/>
        </w:rPr>
        <w:t xml:space="preserve">These changes are expected to raise </w:t>
      </w:r>
      <w:r>
        <w:rPr>
          <w:rtl w:val="0"/>
        </w:rPr>
        <w:t>£</w:t>
      </w:r>
      <w:r>
        <w:rPr>
          <w:rtl w:val="0"/>
          <w:lang w:val="en-US"/>
        </w:rPr>
        <w:t>500 million per year by 2030, which will go toward public services.</w:t>
      </w:r>
    </w:p>
    <w:p>
      <w:pPr>
        <w:pStyle w:val="Body"/>
        <w:spacing w:before="280"/>
      </w:pPr>
      <w:r>
        <w:rPr>
          <w:rtl w:val="0"/>
          <w:lang w:val="en-US"/>
        </w:rPr>
        <w:t>What Could This Mean for Farmers and Businesses?</w:t>
      </w:r>
    </w:p>
    <w:p>
      <w:pPr>
        <w:pStyle w:val="Body"/>
        <w:numPr>
          <w:ilvl w:val="0"/>
          <w:numId w:val="8"/>
        </w:numPr>
        <w:bidi w:val="0"/>
        <w:spacing w:before="180"/>
        <w:ind w:right="0"/>
        <w:jc w:val="left"/>
        <w:rPr>
          <w:rtl w:val="0"/>
          <w:lang w:val="en-US"/>
        </w:rPr>
      </w:pPr>
      <w:r>
        <w:rPr>
          <w:b w:val="1"/>
          <w:bCs w:val="1"/>
          <w:rtl w:val="0"/>
          <w:lang w:val="en-US"/>
        </w:rPr>
        <w:t>Pressure on Family-Owned Farms:</w:t>
      </w:r>
    </w:p>
    <w:p>
      <w:pPr>
        <w:pStyle w:val="Body"/>
        <w:numPr>
          <w:ilvl w:val="1"/>
          <w:numId w:val="8"/>
        </w:numPr>
        <w:bidi w:val="0"/>
        <w:ind w:right="0"/>
        <w:jc w:val="left"/>
        <w:rPr>
          <w:rtl w:val="0"/>
          <w:lang w:val="en-US"/>
        </w:rPr>
      </w:pPr>
      <w:r>
        <w:rPr>
          <w:rtl w:val="0"/>
          <w:lang w:val="en-US"/>
        </w:rPr>
        <w:t>Many farmers are land-rich but cash-poor. With higher tax bills, some might have to sell parts of their farms.</w:t>
      </w:r>
    </w:p>
    <w:p>
      <w:pPr>
        <w:pStyle w:val="Body"/>
        <w:numPr>
          <w:ilvl w:val="0"/>
          <w:numId w:val="8"/>
        </w:numPr>
        <w:bidi w:val="0"/>
        <w:ind w:right="0"/>
        <w:jc w:val="left"/>
        <w:rPr>
          <w:rtl w:val="0"/>
          <w:lang w:val="en-US"/>
        </w:rPr>
      </w:pPr>
      <w:r>
        <w:rPr>
          <w:b w:val="1"/>
          <w:bCs w:val="1"/>
          <w:rtl w:val="0"/>
          <w:lang w:val="en-US"/>
        </w:rPr>
        <w:t>Impact on Investment Decisions:</w:t>
      </w:r>
    </w:p>
    <w:p>
      <w:pPr>
        <w:pStyle w:val="Body"/>
        <w:numPr>
          <w:ilvl w:val="1"/>
          <w:numId w:val="8"/>
        </w:numPr>
        <w:bidi w:val="0"/>
        <w:spacing w:after="180"/>
        <w:ind w:right="0"/>
        <w:jc w:val="left"/>
        <w:rPr>
          <w:rtl w:val="0"/>
          <w:lang w:val="en-US"/>
        </w:rPr>
      </w:pPr>
      <w:r>
        <w:rPr>
          <w:rtl w:val="0"/>
          <w:lang w:val="en-US"/>
        </w:rPr>
        <w:t>Farmland and business assets could become less attractive investments, affecting their long-term value.</w:t>
      </w:r>
    </w:p>
    <w:p>
      <w:pPr>
        <w:pStyle w:val="Body"/>
        <w:spacing w:before="280"/>
      </w:pPr>
      <w:r>
        <w:rPr>
          <w:rtl w:val="0"/>
          <w:lang w:val="en-US"/>
        </w:rPr>
        <w:t>What Happens Next?</w:t>
      </w:r>
    </w:p>
    <w:p>
      <w:pPr>
        <w:pStyle w:val="Body"/>
        <w:spacing w:before="180" w:after="180"/>
      </w:pPr>
      <w:r>
        <w:rPr>
          <w:rtl w:val="0"/>
          <w:lang w:val="en-US"/>
        </w:rPr>
        <w:t>The government says these changes will make the tax system fairer, but many in the farming and business sectors are concerned. Stakeholders should stay involved in policy discussions to ensure their voices are heard.</w:t>
      </w:r>
    </w:p>
    <w:p>
      <w:pPr>
        <w:pStyle w:val="Body"/>
        <w:rPr>
          <w:b w:val="1"/>
          <w:bCs w:val="1"/>
        </w:rPr>
      </w:pPr>
      <w:r>
        <w:rPr>
          <w:b w:val="1"/>
          <w:bCs w:val="1"/>
          <w:rtl w:val="0"/>
          <w:lang w:val="en-US"/>
        </w:rPr>
        <w:t>Research Trail:</w:t>
      </w:r>
    </w:p>
    <w:p>
      <w:pPr>
        <w:pStyle w:val="Body"/>
      </w:pPr>
      <w:r>
        <w:rPr>
          <w:rtl w:val="0"/>
          <w:lang w:val="en-US"/>
        </w:rPr>
        <w:t>To gather the information for this article, the following research steps were taken:</w:t>
      </w:r>
    </w:p>
    <w:p>
      <w:pPr>
        <w:pStyle w:val="Body"/>
        <w:numPr>
          <w:ilvl w:val="0"/>
          <w:numId w:val="10"/>
        </w:numPr>
        <w:bidi w:val="0"/>
        <w:spacing w:before="240"/>
        <w:ind w:right="0"/>
        <w:jc w:val="left"/>
        <w:rPr>
          <w:b w:val="1"/>
          <w:bCs w:val="1"/>
          <w:rtl w:val="0"/>
          <w:lang w:val="en-US"/>
        </w:rPr>
      </w:pPr>
      <w:r>
        <w:rPr>
          <w:b w:val="1"/>
          <w:bCs w:val="1"/>
          <w:rtl w:val="0"/>
          <w:lang w:val="en-US"/>
        </w:rPr>
        <w:t>Primary Source Review:</w:t>
      </w:r>
    </w:p>
    <w:p>
      <w:pPr>
        <w:pStyle w:val="Body"/>
        <w:numPr>
          <w:ilvl w:val="1"/>
          <w:numId w:val="12"/>
        </w:numPr>
        <w:rPr>
          <w:lang w:val="en-US"/>
        </w:rPr>
      </w:pPr>
      <w:r>
        <w:rPr>
          <w:rtl w:val="0"/>
          <w:lang w:val="en-US"/>
        </w:rPr>
        <w:t xml:space="preserve">I began by reviewing the Masala, Seely, and Keep (2024) House of Commons Library research briefing titled "Inheritance Tax: Current Policy and Debates" (available at </w:t>
      </w:r>
      <w:r>
        <w:rPr>
          <w:rStyle w:val="Hyperlink.0"/>
        </w:rPr>
        <w:fldChar w:fldCharType="begin" w:fldLock="0"/>
      </w:r>
      <w:r>
        <w:rPr>
          <w:rStyle w:val="Hyperlink.0"/>
        </w:rPr>
        <w:instrText xml:space="preserve"> HYPERLINK "https://commonslibrary.parliament.uk/research-briefings/sn00093/"</w:instrText>
      </w:r>
      <w:r>
        <w:rPr>
          <w:rStyle w:val="Hyperlink.0"/>
        </w:rPr>
        <w:fldChar w:fldCharType="separate" w:fldLock="0"/>
      </w:r>
      <w:r>
        <w:rPr>
          <w:rStyle w:val="Hyperlink.0"/>
          <w:rtl w:val="0"/>
          <w:lang w:val="en-US"/>
        </w:rPr>
        <w:t>https://commonslibrary.parliament.uk/research-briefings/sn00093/</w:t>
      </w:r>
      <w:r>
        <w:rPr/>
        <w:fldChar w:fldCharType="end" w:fldLock="0"/>
      </w:r>
      <w:r>
        <w:rPr>
          <w:rStyle w:val="None"/>
          <w:rtl w:val="0"/>
          <w:lang w:val="en-US"/>
        </w:rPr>
        <w:t>). This briefing provided an overview of the current state of inheritance tax reliefs and an outline of the proposed changes.</w:t>
      </w:r>
    </w:p>
    <w:p>
      <w:pPr>
        <w:pStyle w:val="Body"/>
        <w:numPr>
          <w:ilvl w:val="0"/>
          <w:numId w:val="10"/>
        </w:numPr>
        <w:bidi w:val="0"/>
        <w:ind w:right="0"/>
        <w:jc w:val="left"/>
        <w:rPr>
          <w:b w:val="1"/>
          <w:bCs w:val="1"/>
          <w:rtl w:val="0"/>
          <w:lang w:val="en-US"/>
        </w:rPr>
      </w:pPr>
      <w:r>
        <w:rPr>
          <w:rStyle w:val="None"/>
          <w:b w:val="1"/>
          <w:bCs w:val="1"/>
          <w:rtl w:val="0"/>
          <w:lang w:val="en-US"/>
        </w:rPr>
        <w:t>Secondary Sources:</w:t>
      </w:r>
    </w:p>
    <w:p>
      <w:pPr>
        <w:pStyle w:val="Body"/>
        <w:numPr>
          <w:ilvl w:val="1"/>
          <w:numId w:val="12"/>
        </w:numPr>
        <w:rPr>
          <w:lang w:val="en-US"/>
        </w:rPr>
      </w:pPr>
      <w:r>
        <w:rPr>
          <w:rStyle w:val="None"/>
          <w:rtl w:val="0"/>
          <w:lang w:val="en-US"/>
        </w:rPr>
        <w:t>Secondary academic sources surrounding Agricultural Property Relief (APR) and Business Property Relief (BPR) were then used to help assist with the research, such as articles published in the Journal of Agricultural Economics and the British Tax Review.</w:t>
      </w:r>
    </w:p>
    <w:p>
      <w:pPr>
        <w:pStyle w:val="Body"/>
        <w:numPr>
          <w:ilvl w:val="0"/>
          <w:numId w:val="10"/>
        </w:numPr>
        <w:bidi w:val="0"/>
        <w:ind w:right="0"/>
        <w:jc w:val="left"/>
        <w:rPr>
          <w:b w:val="1"/>
          <w:bCs w:val="1"/>
          <w:rtl w:val="0"/>
          <w:lang w:val="en-US"/>
        </w:rPr>
      </w:pPr>
      <w:r>
        <w:rPr>
          <w:rStyle w:val="None"/>
          <w:b w:val="1"/>
          <w:bCs w:val="1"/>
          <w:rtl w:val="0"/>
          <w:lang w:val="en-US"/>
        </w:rPr>
        <w:t>Government Documents:</w:t>
      </w:r>
    </w:p>
    <w:p>
      <w:pPr>
        <w:pStyle w:val="Body"/>
        <w:numPr>
          <w:ilvl w:val="1"/>
          <w:numId w:val="12"/>
        </w:numPr>
        <w:spacing w:after="240"/>
        <w:rPr>
          <w:lang w:val="en-US"/>
        </w:rPr>
      </w:pPr>
      <w:r>
        <w:rPr>
          <w:rStyle w:val="None"/>
          <w:rtl w:val="0"/>
          <w:lang w:val="en-US"/>
        </w:rPr>
        <w:t>I also reviewed key government documents outlining public policy and fiscal strategies, which often include discussions about tax reforms and their expected impact.</w:t>
      </w:r>
    </w:p>
    <w:p>
      <w:pPr>
        <w:pStyle w:val="Body"/>
      </w:pPr>
      <w:r>
        <w:rPr>
          <w:rStyle w:val="None"/>
          <w:rtl w:val="0"/>
          <w:lang w:val="en-US"/>
        </w:rPr>
        <w:t xml:space="preserve">By following these steps, I compiled a comprehensive understanding of the current policy, upcoming changes, and the practical effects of these proposed reforms on agricultural and business-related inheritance tax reliefs. This style of research was successful in gaining information and finding out the key points on the topic. </w:t>
      </w:r>
    </w:p>
    <w:p>
      <w:pPr>
        <w:pStyle w:val="Body"/>
      </w:pPr>
    </w:p>
    <w:p>
      <w:pPr>
        <w:pStyle w:val="Body"/>
      </w:pPr>
    </w:p>
    <w:p>
      <w:pPr>
        <w:pStyle w:val="Body"/>
      </w:pPr>
    </w:p>
    <w:p>
      <w:pPr>
        <w:pStyle w:val="Body"/>
      </w:pPr>
    </w:p>
    <w:p>
      <w:pPr>
        <w:pStyle w:val="Body"/>
      </w:pPr>
    </w:p>
    <w:p>
      <w:pPr>
        <w:pStyle w:val="Body"/>
      </w:pPr>
    </w:p>
    <w:p>
      <w:pPr>
        <w:pStyle w:val="Body"/>
      </w:pPr>
    </w:p>
    <w:p>
      <w:pPr>
        <w:pStyle w:val="Body"/>
      </w:pPr>
      <w:r>
        <w:rPr>
          <w:rStyle w:val="None"/>
          <w:rtl w:val="0"/>
          <w:lang w:val="en-US"/>
        </w:rPr>
        <w:t>Task 3:</w:t>
      </w:r>
    </w:p>
    <w:p>
      <w:pPr>
        <w:pStyle w:val="Body"/>
        <w:spacing w:before="180" w:after="180"/>
        <w:rPr>
          <w:rStyle w:val="None"/>
          <w:b w:val="1"/>
          <w:bCs w:val="1"/>
        </w:rPr>
      </w:pPr>
      <w:r>
        <w:rPr>
          <w:rStyle w:val="None"/>
          <w:b w:val="1"/>
          <w:bCs w:val="1"/>
          <w:rtl w:val="0"/>
          <w:lang w:val="en-US"/>
        </w:rPr>
        <w:t>Reflection Report: Careers Conference Attendance</w:t>
      </w:r>
    </w:p>
    <w:p>
      <w:pPr>
        <w:pStyle w:val="Body"/>
        <w:spacing w:before="280"/>
      </w:pPr>
      <w:r>
        <w:rPr>
          <w:rStyle w:val="None"/>
          <w:rtl w:val="0"/>
          <w:lang w:val="en-US"/>
        </w:rPr>
        <w:t>Key Takeaways</w:t>
      </w:r>
    </w:p>
    <w:p>
      <w:pPr>
        <w:pStyle w:val="Body"/>
        <w:spacing w:before="180" w:after="180"/>
      </w:pPr>
      <w:r>
        <w:rPr>
          <w:rStyle w:val="None"/>
          <w:rtl w:val="0"/>
          <w:lang w:val="en-US"/>
        </w:rPr>
        <w:t>The Careers Conference provided valuable insights into law, probation, and social justice careers. Hearing directly from professionals made career paths feel more real and personal. The information emphasized that practical experience</w:t>
      </w:r>
      <w:r>
        <w:rPr>
          <w:rStyle w:val="None"/>
          <w:rtl w:val="0"/>
          <w:lang w:val="en-US"/>
        </w:rPr>
        <w:t>—</w:t>
      </w:r>
      <w:r>
        <w:rPr>
          <w:rStyle w:val="None"/>
          <w:rtl w:val="0"/>
          <w:lang w:val="en-US"/>
        </w:rPr>
        <w:t>through internships, shadowing, or volunteering</w:t>
      </w:r>
      <w:r>
        <w:rPr>
          <w:rStyle w:val="None"/>
          <w:rtl w:val="0"/>
          <w:lang w:val="en-US"/>
        </w:rPr>
        <w:t>—</w:t>
      </w:r>
      <w:r>
        <w:rPr>
          <w:rStyle w:val="None"/>
          <w:rtl w:val="0"/>
          <w:lang w:val="en-US"/>
        </w:rPr>
        <w:t>sets candidates apart. The differences between structured solicitor roles and the dynamic nature of barristers</w:t>
      </w:r>
      <w:r>
        <w:rPr>
          <w:rStyle w:val="None"/>
          <w:rtl w:val="1"/>
        </w:rPr>
        <w:t xml:space="preserve">’ </w:t>
      </w:r>
      <w:r>
        <w:rPr>
          <w:rStyle w:val="None"/>
          <w:rtl w:val="0"/>
          <w:lang w:val="en-US"/>
        </w:rPr>
        <w:t>work stood out, reinforcing the need to gain firsthand experience before committing to a path.</w:t>
      </w:r>
    </w:p>
    <w:p>
      <w:pPr>
        <w:pStyle w:val="Body"/>
        <w:spacing w:before="180" w:after="180"/>
      </w:pPr>
      <w:r>
        <w:rPr>
          <w:rStyle w:val="None"/>
          <w:rtl w:val="0"/>
          <w:lang w:val="en-US"/>
        </w:rPr>
        <w:t>The Probation Service in Wales session highlighted how probation officers balance rehabilitation with public safety, making a tangible difference in reducing reoffending. Personal stories about the impact of community payback and substance abuse programs reinforced how legal systems support individuals beyond sentencing. Similarly, the Thrive Women</w:t>
      </w:r>
      <w:r>
        <w:rPr>
          <w:rStyle w:val="None"/>
          <w:rtl w:val="1"/>
        </w:rPr>
        <w:t>’</w:t>
      </w:r>
      <w:r>
        <w:rPr>
          <w:rStyle w:val="None"/>
          <w:rtl w:val="0"/>
          <w:lang w:val="en-US"/>
        </w:rPr>
        <w:t>s Aid discussion underscored the vital role of legal advocacy in protecting survivors of domestic abuse, with programs like EDGE and RAPID demonstrating the importance of tailored support.</w:t>
      </w:r>
    </w:p>
    <w:p>
      <w:pPr>
        <w:pStyle w:val="Body"/>
        <w:spacing w:before="180" w:after="180"/>
      </w:pPr>
      <w:r>
        <w:rPr>
          <w:rStyle w:val="None"/>
          <w:rtl w:val="0"/>
          <w:lang w:val="en-US"/>
        </w:rPr>
        <w:t>A key takeaway was the value of transferable skills such as networking, adaptability, and communication. One speaker shared how a simple internship shaped their career, reinforcing that experience and connections are just as crucial as academic success.</w:t>
      </w:r>
    </w:p>
    <w:p>
      <w:pPr>
        <w:pStyle w:val="Body"/>
        <w:spacing w:before="280"/>
      </w:pPr>
      <w:r>
        <w:rPr>
          <w:rStyle w:val="None"/>
          <w:rtl w:val="0"/>
          <w:lang w:val="en-US"/>
        </w:rPr>
        <w:t>Action Plan</w:t>
      </w:r>
    </w:p>
    <w:p>
      <w:pPr>
        <w:pStyle w:val="Body"/>
        <w:numPr>
          <w:ilvl w:val="0"/>
          <w:numId w:val="14"/>
        </w:numPr>
        <w:bidi w:val="0"/>
        <w:spacing w:before="180"/>
        <w:ind w:right="0"/>
        <w:jc w:val="left"/>
        <w:rPr>
          <w:rtl w:val="0"/>
          <w:lang w:val="en-US"/>
        </w:rPr>
      </w:pPr>
      <w:r>
        <w:rPr>
          <w:rStyle w:val="None"/>
          <w:rtl w:val="0"/>
          <w:lang w:val="en-US"/>
        </w:rPr>
        <w:t>Gain Legal Experience: Apply for internships or shadowing opportunities in probate or criminal law firms by April 15, 2025.</w:t>
      </w:r>
    </w:p>
    <w:p>
      <w:pPr>
        <w:pStyle w:val="Body"/>
        <w:numPr>
          <w:ilvl w:val="0"/>
          <w:numId w:val="14"/>
        </w:numPr>
        <w:bidi w:val="0"/>
        <w:spacing w:after="180"/>
        <w:ind w:right="0"/>
        <w:jc w:val="left"/>
        <w:rPr>
          <w:rtl w:val="0"/>
          <w:lang w:val="en-US"/>
        </w:rPr>
      </w:pPr>
      <w:r>
        <w:rPr>
          <w:rStyle w:val="None"/>
          <w:rtl w:val="0"/>
          <w:lang w:val="en-US"/>
        </w:rPr>
        <w:t>Expand Professional Network: Attend two law career events and connect with five professionals by May 30, 2025.</w:t>
      </w:r>
    </w:p>
    <w:p>
      <w:pPr>
        <w:pStyle w:val="Body"/>
        <w:spacing w:before="280"/>
      </w:pPr>
      <w:r>
        <w:rPr>
          <w:rStyle w:val="None"/>
          <w:rtl w:val="0"/>
          <w:lang w:val="en-US"/>
        </w:rPr>
        <w:t>Skills Development</w:t>
      </w:r>
    </w:p>
    <w:p>
      <w:pPr>
        <w:pStyle w:val="Body"/>
        <w:spacing w:before="240" w:after="40"/>
      </w:pPr>
      <w:r>
        <w:rPr>
          <w:rStyle w:val="None"/>
          <w:rtl w:val="0"/>
          <w:lang w:val="en-US"/>
        </w:rPr>
        <w:t>Problem-Solving:</w:t>
      </w:r>
    </w:p>
    <w:p>
      <w:pPr>
        <w:pStyle w:val="Body"/>
        <w:numPr>
          <w:ilvl w:val="0"/>
          <w:numId w:val="16"/>
        </w:numPr>
        <w:bidi w:val="0"/>
        <w:spacing w:before="180"/>
        <w:ind w:right="0"/>
        <w:jc w:val="left"/>
        <w:rPr>
          <w:rtl w:val="0"/>
          <w:lang w:val="en-US"/>
        </w:rPr>
      </w:pPr>
      <w:r>
        <w:rPr>
          <w:rStyle w:val="None"/>
          <w:rtl w:val="0"/>
          <w:lang w:val="en-US"/>
        </w:rPr>
        <w:t>Legal coursework sharpened my ability to analyze complex issues and apply logical reasoning.</w:t>
      </w:r>
    </w:p>
    <w:p>
      <w:pPr>
        <w:pStyle w:val="Body"/>
        <w:numPr>
          <w:ilvl w:val="0"/>
          <w:numId w:val="16"/>
        </w:numPr>
        <w:bidi w:val="0"/>
        <w:ind w:right="0"/>
        <w:jc w:val="left"/>
        <w:rPr>
          <w:rtl w:val="0"/>
          <w:lang w:val="en-US"/>
        </w:rPr>
      </w:pPr>
      <w:r>
        <w:rPr>
          <w:rStyle w:val="None"/>
          <w:rtl w:val="0"/>
          <w:lang w:val="en-US"/>
        </w:rPr>
        <w:t>Probation discussions highlighted creative problem-solving in rehabilitation and compliance.</w:t>
      </w:r>
    </w:p>
    <w:p>
      <w:pPr>
        <w:pStyle w:val="Body"/>
        <w:numPr>
          <w:ilvl w:val="0"/>
          <w:numId w:val="16"/>
        </w:numPr>
        <w:bidi w:val="0"/>
        <w:spacing w:after="180"/>
        <w:ind w:right="0"/>
        <w:jc w:val="left"/>
        <w:rPr>
          <w:rtl w:val="0"/>
          <w:lang w:val="en-US"/>
        </w:rPr>
      </w:pPr>
      <w:r>
        <w:rPr>
          <w:rStyle w:val="None"/>
          <w:rtl w:val="0"/>
          <w:lang w:val="en-US"/>
        </w:rPr>
        <w:t>Application: Essential for handling cases, negotiations, and interpreting legal frameworks.</w:t>
      </w:r>
    </w:p>
    <w:p>
      <w:pPr>
        <w:pStyle w:val="Body"/>
        <w:spacing w:before="240" w:after="40"/>
      </w:pPr>
      <w:r>
        <w:rPr>
          <w:rStyle w:val="None"/>
          <w:rtl w:val="0"/>
          <w:lang w:val="en-US"/>
        </w:rPr>
        <w:t>Self-Management &amp; Resilience:</w:t>
      </w:r>
    </w:p>
    <w:p>
      <w:pPr>
        <w:pStyle w:val="Body"/>
        <w:numPr>
          <w:ilvl w:val="0"/>
          <w:numId w:val="18"/>
        </w:numPr>
        <w:bidi w:val="0"/>
        <w:spacing w:before="180"/>
        <w:ind w:right="0"/>
        <w:jc w:val="left"/>
        <w:rPr>
          <w:rtl w:val="0"/>
          <w:lang w:val="en-US"/>
        </w:rPr>
      </w:pPr>
      <w:r>
        <w:rPr>
          <w:rStyle w:val="None"/>
          <w:rtl w:val="0"/>
          <w:lang w:val="en-US"/>
        </w:rPr>
        <w:t>Balancing coursework and commitments improved my time management and adaptability.</w:t>
      </w:r>
    </w:p>
    <w:p>
      <w:pPr>
        <w:pStyle w:val="Body"/>
        <w:numPr>
          <w:ilvl w:val="0"/>
          <w:numId w:val="18"/>
        </w:numPr>
        <w:bidi w:val="0"/>
        <w:ind w:right="0"/>
        <w:jc w:val="left"/>
        <w:rPr>
          <w:rtl w:val="0"/>
          <w:lang w:val="en-US"/>
        </w:rPr>
      </w:pPr>
      <w:r>
        <w:rPr>
          <w:rStyle w:val="None"/>
          <w:rtl w:val="0"/>
          <w:lang w:val="en-US"/>
        </w:rPr>
        <w:t>The conference reinforced resilience as crucial for handling high-pressure situations.</w:t>
      </w:r>
    </w:p>
    <w:p>
      <w:pPr>
        <w:pStyle w:val="Body"/>
        <w:numPr>
          <w:ilvl w:val="0"/>
          <w:numId w:val="18"/>
        </w:numPr>
        <w:bidi w:val="0"/>
        <w:spacing w:after="180"/>
        <w:ind w:right="0"/>
        <w:jc w:val="left"/>
        <w:rPr>
          <w:rtl w:val="0"/>
          <w:lang w:val="en-US"/>
        </w:rPr>
      </w:pPr>
      <w:r>
        <w:rPr>
          <w:rStyle w:val="None"/>
          <w:rtl w:val="0"/>
          <w:lang w:val="en-US"/>
        </w:rPr>
        <w:t>Example: Managing coursework deadlines while preparing for a legal competition required discipline and strong organizational skills.</w:t>
      </w:r>
    </w:p>
    <w:p>
      <w:pPr>
        <w:pStyle w:val="Body"/>
        <w:spacing w:before="280"/>
      </w:pPr>
      <w:r>
        <w:rPr>
          <w:rStyle w:val="None"/>
          <w:rtl w:val="0"/>
          <w:lang w:val="it-IT"/>
        </w:rPr>
        <w:t>Conclusion</w:t>
      </w:r>
    </w:p>
    <w:p>
      <w:pPr>
        <w:pStyle w:val="Body"/>
        <w:spacing w:before="180" w:after="180"/>
      </w:pPr>
      <w:r>
        <w:rPr>
          <w:rStyle w:val="None"/>
          <w:rtl w:val="0"/>
          <w:lang w:val="en-US"/>
        </w:rPr>
        <w:t>The conference was both informative and motivating, offering real insight into different career paths and the importance of hands-on experience. Hearing from professionals made these careers feel more accessible. With a clearer understanding of my options and a solid action plan, I feel ready to take my next steps. Strengthening my problem-solving and resilience skills will be key as I move forward in my legal career.</w:t>
      </w:r>
    </w:p>
    <w:p>
      <w:pPr>
        <w:pStyle w:val="Body"/>
      </w:pPr>
    </w:p>
    <w:p>
      <w:pPr>
        <w:pStyle w:val="Body"/>
      </w:p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5.0"/>
  </w:abstractNum>
  <w:abstractNum w:abstractNumId="11">
    <w:multiLevelType w:val="hybridMultilevel"/>
    <w:styleLink w:val="Imported Style 5.0"/>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79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900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6"/>
  </w:abstractNum>
  <w:abstractNum w:abstractNumId="13">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color w:val="ffffff"/>
        <w:spacing w:val="0"/>
        <w:w w:val="100"/>
        <w:kern w:val="0"/>
        <w:position w:val="0"/>
        <w:sz w:val="18"/>
        <w:szCs w:val="18"/>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abstractNum>
  <w:abstractNum w:abstractNumId="14">
    <w:multiLevelType w:val="hybridMultilevel"/>
    <w:numStyleLink w:val="Imported Style 7"/>
  </w:abstractNum>
  <w:abstractNum w:abstractNumId="15">
    <w:multiLevelType w:val="hybridMultilevel"/>
    <w:styleLink w:val="Imported Style 7"/>
    <w:lvl w:ilvl="0">
      <w:start w:val="1"/>
      <w:numFmt w:val="bullet"/>
      <w:suff w:val="tab"/>
      <w:lvlText w:val="●"/>
      <w:lvlJc w:val="left"/>
      <w:pPr>
        <w:ind w:left="720" w:hanging="360"/>
      </w:pPr>
      <w:rPr>
        <w:rFonts w:hAnsi="Arial Unicode MS"/>
        <w:caps w:val="0"/>
        <w:smallCaps w:val="0"/>
        <w:strike w:val="0"/>
        <w:dstrike w:val="0"/>
        <w:outline w:val="0"/>
        <w:emboss w:val="0"/>
        <w:imprint w:val="0"/>
        <w:color w:val="ffffff"/>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abstractNum>
  <w:abstractNum w:abstractNumId="16">
    <w:multiLevelType w:val="hybridMultilevel"/>
    <w:numStyleLink w:val="Imported Style 8"/>
  </w:abstractNum>
  <w:abstractNum w:abstractNumId="17">
    <w:multiLevelType w:val="hybridMultilevel"/>
    <w:styleLink w:val="Imported Style 8"/>
    <w:lvl w:ilvl="0">
      <w:start w:val="1"/>
      <w:numFmt w:val="bullet"/>
      <w:suff w:val="tab"/>
      <w:lvlText w:val="●"/>
      <w:lvlJc w:val="left"/>
      <w:pPr>
        <w:ind w:left="720" w:hanging="360"/>
      </w:pPr>
      <w:rPr>
        <w:rFonts w:hAnsi="Arial Unicode MS"/>
        <w:caps w:val="0"/>
        <w:smallCaps w:val="0"/>
        <w:strike w:val="0"/>
        <w:dstrike w:val="0"/>
        <w:outline w:val="0"/>
        <w:emboss w:val="0"/>
        <w:imprint w:val="0"/>
        <w:color w:val="ffffff"/>
        <w:spacing w:val="0"/>
        <w:w w:val="100"/>
        <w:kern w:val="0"/>
        <w:position w:val="0"/>
        <w:sz w:val="18"/>
        <w:szCs w:val="18"/>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color w:val="ffffff"/>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5.0">
    <w:name w:val="Imported Style 5.0"/>
    <w:pPr>
      <w:numPr>
        <w:numId w:val="11"/>
      </w:numPr>
    </w:pPr>
  </w:style>
  <w:style w:type="character" w:styleId="None">
    <w:name w:val="None"/>
  </w:style>
  <w:style w:type="character" w:styleId="Hyperlink.0">
    <w:name w:val="Hyperlink.0"/>
    <w:basedOn w:val="None"/>
    <w:next w:val="Hyperlink.0"/>
    <w:rPr>
      <w:outline w:val="0"/>
      <w:color w:val="0000ff"/>
      <w:u w:val="single" w:color="0000ff"/>
      <w14:textFill>
        <w14:solidFill>
          <w14:srgbClr w14:val="0000FF"/>
        </w14:solidFill>
      </w14:textFill>
    </w:rPr>
  </w:style>
  <w:style w:type="numbering" w:styleId="Imported Style 6">
    <w:name w:val="Imported Style 6"/>
    <w:pPr>
      <w:numPr>
        <w:numId w:val="13"/>
      </w:numPr>
    </w:pPr>
  </w:style>
  <w:style w:type="numbering" w:styleId="Imported Style 7">
    <w:name w:val="Imported Style 7"/>
    <w:pPr>
      <w:numPr>
        <w:numId w:val="15"/>
      </w:numPr>
    </w:pPr>
  </w:style>
  <w:style w:type="numbering" w:styleId="Imported Style 8">
    <w:name w:val="Imported Style 8"/>
    <w:pPr>
      <w:numPr>
        <w:numId w:val="1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