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Rule="auto"/>
        <w:jc w:val="center"/>
        <w:rPr>
          <w:rFonts w:ascii="Arial" w:cs="Arial" w:eastAsia="Arial" w:hAnsi="Arial"/>
          <w:sz w:val="52"/>
          <w:szCs w:val="52"/>
          <w:u w:val="single"/>
        </w:rPr>
      </w:pPr>
      <w:r w:rsidDel="00000000" w:rsidR="00000000" w:rsidRPr="00000000">
        <w:rPr>
          <w:rFonts w:ascii="Arial" w:cs="Arial" w:eastAsia="Arial" w:hAnsi="Arial"/>
          <w:sz w:val="52"/>
          <w:szCs w:val="52"/>
          <w:u w:val="single"/>
          <w:rtl w:val="0"/>
        </w:rPr>
        <w:t xml:space="preserve">Employee Engagement</w:t>
      </w:r>
    </w:p>
    <w:p w:rsidR="00000000" w:rsidDel="00000000" w:rsidP="00000000" w:rsidRDefault="00000000" w:rsidRPr="00000000" w14:paraId="00000002">
      <w:pPr>
        <w:spacing w:after="200" w:lineRule="auto"/>
        <w:jc w:val="center"/>
        <w:rPr>
          <w:rFonts w:ascii="Arial" w:cs="Arial" w:eastAsia="Arial" w:hAnsi="Arial"/>
          <w:sz w:val="52"/>
          <w:szCs w:val="52"/>
          <w:u w:val="single"/>
        </w:rPr>
      </w:pPr>
      <w:r w:rsidDel="00000000" w:rsidR="00000000" w:rsidRPr="00000000">
        <w:rPr>
          <w:rFonts w:ascii="Arial" w:cs="Arial" w:eastAsia="Arial" w:hAnsi="Arial"/>
          <w:sz w:val="52"/>
          <w:szCs w:val="52"/>
          <w:u w:val="single"/>
          <w:rtl w:val="0"/>
        </w:rPr>
        <w:t xml:space="preserve">by Mirela Loredana Andrei</w:t>
      </w:r>
    </w:p>
    <w:p w:rsidR="00000000" w:rsidDel="00000000" w:rsidP="00000000" w:rsidRDefault="00000000" w:rsidRPr="00000000" w14:paraId="00000003">
      <w:pPr>
        <w:spacing w:after="200" w:lineRule="auto"/>
        <w:jc w:val="center"/>
        <w:rPr>
          <w:rFonts w:ascii="Arial" w:cs="Arial" w:eastAsia="Arial" w:hAnsi="Arial"/>
          <w:sz w:val="52"/>
          <w:szCs w:val="52"/>
          <w:u w:val="single"/>
        </w:rPr>
      </w:pPr>
      <w:r w:rsidDel="00000000" w:rsidR="00000000" w:rsidRPr="00000000">
        <w:rPr>
          <w:rFonts w:ascii="Arial" w:cs="Arial" w:eastAsia="Arial" w:hAnsi="Arial"/>
          <w:sz w:val="52"/>
          <w:szCs w:val="52"/>
          <w:u w:val="single"/>
          <w:rtl w:val="0"/>
        </w:rPr>
        <w:t xml:space="preserve">1914800</w:t>
      </w:r>
    </w:p>
    <w:p w:rsidR="00000000" w:rsidDel="00000000" w:rsidP="00000000" w:rsidRDefault="00000000" w:rsidRPr="00000000" w14:paraId="00000004">
      <w:pPr>
        <w:spacing w:after="200" w:lineRule="auto"/>
        <w:jc w:val="center"/>
        <w:rPr>
          <w:rFonts w:ascii="Arial" w:cs="Arial" w:eastAsia="Arial" w:hAnsi="Arial"/>
          <w:sz w:val="52"/>
          <w:szCs w:val="52"/>
          <w:u w:val="single"/>
        </w:rPr>
      </w:pPr>
      <w:r w:rsidDel="00000000" w:rsidR="00000000" w:rsidRPr="00000000">
        <w:rPr>
          <w:rFonts w:ascii="Arial" w:cs="Arial" w:eastAsia="Arial" w:hAnsi="Arial"/>
          <w:sz w:val="52"/>
          <w:szCs w:val="52"/>
          <w:u w:val="single"/>
          <w:rtl w:val="0"/>
        </w:rPr>
        <w:t xml:space="preserve">Managing People</w:t>
      </w:r>
    </w:p>
    <w:p w:rsidR="00000000" w:rsidDel="00000000" w:rsidP="00000000" w:rsidRDefault="00000000" w:rsidRPr="00000000" w14:paraId="00000005">
      <w:pPr>
        <w:spacing w:after="200" w:lineRule="auto"/>
        <w:jc w:val="center"/>
        <w:rPr>
          <w:rFonts w:ascii="Arial" w:cs="Arial" w:eastAsia="Arial" w:hAnsi="Arial"/>
          <w:sz w:val="52"/>
          <w:szCs w:val="52"/>
          <w:u w:val="single"/>
        </w:rPr>
      </w:pPr>
      <w:r w:rsidDel="00000000" w:rsidR="00000000" w:rsidRPr="00000000">
        <w:rPr>
          <w:rFonts w:ascii="Arial" w:cs="Arial" w:eastAsia="Arial" w:hAnsi="Arial"/>
          <w:sz w:val="52"/>
          <w:szCs w:val="52"/>
          <w:u w:val="single"/>
          <w:rtl w:val="0"/>
        </w:rPr>
        <w:t xml:space="preserve">LCBB5004</w:t>
      </w:r>
    </w:p>
    <w:p w:rsidR="00000000" w:rsidDel="00000000" w:rsidP="00000000" w:rsidRDefault="00000000" w:rsidRPr="00000000" w14:paraId="00000006">
      <w:pPr>
        <w:spacing w:after="200" w:lineRule="auto"/>
        <w:jc w:val="center"/>
        <w:rPr>
          <w:rFonts w:ascii="Arial" w:cs="Arial" w:eastAsia="Arial" w:hAnsi="Arial"/>
          <w:sz w:val="52"/>
          <w:szCs w:val="52"/>
          <w:u w:val="single"/>
        </w:rPr>
      </w:pPr>
      <w:r w:rsidDel="00000000" w:rsidR="00000000" w:rsidRPr="00000000">
        <w:rPr>
          <w:rFonts w:ascii="Arial" w:cs="Arial" w:eastAsia="Arial" w:hAnsi="Arial"/>
          <w:sz w:val="52"/>
          <w:szCs w:val="52"/>
          <w:u w:val="single"/>
          <w:rtl w:val="0"/>
        </w:rPr>
        <w:t xml:space="preserve">Nishi Ramsurrun</w:t>
      </w:r>
    </w:p>
    <w:p w:rsidR="00000000" w:rsidDel="00000000" w:rsidP="00000000" w:rsidRDefault="00000000" w:rsidRPr="00000000" w14:paraId="00000007">
      <w:pPr>
        <w:spacing w:after="200" w:lineRule="auto"/>
        <w:jc w:val="left"/>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08">
      <w:pPr>
        <w:spacing w:after="200" w:lineRule="auto"/>
        <w:jc w:val="left"/>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Arial" w:cs="Arial" w:eastAsia="Arial" w:hAnsi="Arial"/>
          <w:b w:val="1"/>
          <w:i w:val="0"/>
          <w:smallCaps w:val="0"/>
          <w:strike w:val="0"/>
          <w:color w:val="000000"/>
          <w:sz w:val="22"/>
          <w:szCs w:val="22"/>
          <w:highlight w:val="white"/>
          <w:u w:val="none"/>
          <w:vertAlign w:val="baseline"/>
        </w:rPr>
      </w:pPr>
      <w:bookmarkStart w:colFirst="0" w:colLast="0" w:name="_heading=h.gjdgxs" w:id="0"/>
      <w:bookmarkEnd w:id="0"/>
      <w:r w:rsidDel="00000000" w:rsidR="00000000" w:rsidRPr="00000000">
        <w:rPr>
          <w:rFonts w:ascii="Arial" w:cs="Arial" w:eastAsia="Arial" w:hAnsi="Arial"/>
          <w:b w:val="1"/>
          <w:i w:val="0"/>
          <w:smallCaps w:val="0"/>
          <w:strike w:val="0"/>
          <w:color w:val="000000"/>
          <w:sz w:val="22"/>
          <w:szCs w:val="22"/>
          <w:highlight w:val="white"/>
          <w:u w:val="none"/>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Introduction</w:t>
            </w:r>
          </w:hyperlink>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Main Body</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Concept of employee engagement</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Evaluation of diagnostics tools to measure the engagement</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4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An employee value proposition</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6</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Conclusion</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8</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References</w:t>
            </w:r>
          </w:hyperlink>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9</w:t>
            </w:r>
          </w:hyperlink>
          <w:r w:rsidDel="00000000" w:rsidR="00000000" w:rsidRPr="00000000">
            <w:rPr>
              <w:rtl w:val="0"/>
            </w:rPr>
          </w:r>
        </w:p>
        <w:p w:rsidR="00000000" w:rsidDel="00000000" w:rsidP="00000000" w:rsidRDefault="00000000" w:rsidRPr="00000000" w14:paraId="00000011">
          <w:pPr>
            <w:rPr>
              <w:rFonts w:ascii="Arial" w:cs="Arial" w:eastAsia="Arial" w:hAnsi="Arial"/>
              <w:sz w:val="22"/>
              <w:szCs w:val="22"/>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after="200" w:lineRule="auto"/>
        <w:jc w:val="left"/>
        <w:rPr>
          <w:rFonts w:ascii="Arial" w:cs="Arial" w:eastAsia="Arial" w:hAnsi="Arial"/>
          <w:b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3">
      <w:pPr>
        <w:spacing w:after="200" w:lineRule="auto"/>
        <w:jc w:val="left"/>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14">
      <w:pPr>
        <w:pStyle w:val="Heading1"/>
        <w:rPr>
          <w:rFonts w:ascii="Arial" w:cs="Arial" w:eastAsia="Arial" w:hAnsi="Arial"/>
          <w:sz w:val="22"/>
          <w:szCs w:val="22"/>
        </w:rPr>
      </w:pPr>
      <w:bookmarkStart w:colFirst="0" w:colLast="0" w:name="_heading=h.30j0zll" w:id="1"/>
      <w:bookmarkEnd w:id="1"/>
      <w:r w:rsidDel="00000000" w:rsidR="00000000" w:rsidRPr="00000000">
        <w:rPr>
          <w:rFonts w:ascii="Arial" w:cs="Arial" w:eastAsia="Arial" w:hAnsi="Arial"/>
          <w:sz w:val="22"/>
          <w:szCs w:val="22"/>
          <w:rtl w:val="0"/>
        </w:rPr>
        <w:t xml:space="preserve">Introduction</w:t>
      </w:r>
    </w:p>
    <w:p w:rsidR="00000000" w:rsidDel="00000000" w:rsidP="00000000" w:rsidRDefault="00000000" w:rsidRPr="00000000" w14:paraId="00000015">
      <w:pPr>
        <w:rPr>
          <w:rFonts w:ascii="Arial" w:cs="Arial" w:eastAsia="Arial" w:hAnsi="Arial"/>
          <w:sz w:val="22"/>
          <w:szCs w:val="22"/>
        </w:rPr>
      </w:pPr>
      <w:r w:rsidDel="00000000" w:rsidR="00000000" w:rsidRPr="00000000">
        <w:rPr>
          <w:rFonts w:ascii="Arial" w:cs="Arial" w:eastAsia="Arial" w:hAnsi="Arial"/>
          <w:sz w:val="22"/>
          <w:szCs w:val="22"/>
          <w:rtl w:val="0"/>
        </w:rPr>
        <w:t xml:space="preserve">In HR fundamental employee engagement is a concept that mainly discusses the level of enthusiasm, positivity, and dedication an individual feels for his/her job role in an association. An engaged employee is said that they are highly motivated towards the work they perform and it is a critical aspect of the company. It is been observed by the researchers that engaged employees are highly proactive towards the job they possess and are more productive and perform simultaneously. Marks and Spencer delivers hassle-free convenience and easy returns and online delivery is also paperless (M&amp;S, 2022).     </w:t>
      </w:r>
    </w:p>
    <w:p w:rsidR="00000000" w:rsidDel="00000000" w:rsidP="00000000" w:rsidRDefault="00000000" w:rsidRPr="00000000" w14:paraId="00000016">
      <w:pPr>
        <w:rPr>
          <w:rFonts w:ascii="Arial" w:cs="Arial" w:eastAsia="Arial" w:hAnsi="Arial"/>
          <w:sz w:val="22"/>
          <w:szCs w:val="22"/>
        </w:rPr>
      </w:pPr>
      <w:r w:rsidDel="00000000" w:rsidR="00000000" w:rsidRPr="00000000">
        <w:rPr>
          <w:rFonts w:ascii="Arial" w:cs="Arial" w:eastAsia="Arial" w:hAnsi="Arial"/>
          <w:sz w:val="22"/>
          <w:szCs w:val="22"/>
          <w:rtl w:val="0"/>
        </w:rPr>
        <w:t xml:space="preserve">In the present assignment review the key drivers of the employee within the Marks and Spencer (M&amp;S) which aims at the productive nature of the workers. On the other hand, an evaluation of diagnostic tools in order to measure the engagement of an employee with the implementation of a value proposition is presented.   </w:t>
      </w:r>
    </w:p>
    <w:p w:rsidR="00000000" w:rsidDel="00000000" w:rsidP="00000000" w:rsidRDefault="00000000" w:rsidRPr="00000000" w14:paraId="00000017">
      <w:pPr>
        <w:pStyle w:val="Heading1"/>
        <w:rPr>
          <w:rFonts w:ascii="Arial" w:cs="Arial" w:eastAsia="Arial" w:hAnsi="Arial"/>
          <w:sz w:val="22"/>
          <w:szCs w:val="22"/>
        </w:rPr>
      </w:pPr>
      <w:bookmarkStart w:colFirst="0" w:colLast="0" w:name="_heading=h.1fob9te" w:id="2"/>
      <w:bookmarkEnd w:id="2"/>
      <w:r w:rsidDel="00000000" w:rsidR="00000000" w:rsidRPr="00000000">
        <w:rPr>
          <w:rFonts w:ascii="Arial" w:cs="Arial" w:eastAsia="Arial" w:hAnsi="Arial"/>
          <w:sz w:val="22"/>
          <w:szCs w:val="22"/>
          <w:rtl w:val="0"/>
        </w:rPr>
        <w:t xml:space="preserve">Main Body</w:t>
      </w:r>
    </w:p>
    <w:p w:rsidR="00000000" w:rsidDel="00000000" w:rsidP="00000000" w:rsidRDefault="00000000" w:rsidRPr="00000000" w14:paraId="00000018">
      <w:pPr>
        <w:pStyle w:val="Heading2"/>
        <w:rPr>
          <w:rFonts w:ascii="Arial" w:cs="Arial" w:eastAsia="Arial" w:hAnsi="Arial"/>
          <w:sz w:val="22"/>
          <w:szCs w:val="22"/>
        </w:rPr>
      </w:pPr>
      <w:bookmarkStart w:colFirst="0" w:colLast="0" w:name="_heading=h.3znysh7" w:id="3"/>
      <w:bookmarkEnd w:id="3"/>
      <w:r w:rsidDel="00000000" w:rsidR="00000000" w:rsidRPr="00000000">
        <w:rPr>
          <w:rFonts w:ascii="Arial" w:cs="Arial" w:eastAsia="Arial" w:hAnsi="Arial"/>
          <w:sz w:val="22"/>
          <w:szCs w:val="22"/>
          <w:rtl w:val="0"/>
        </w:rPr>
        <w:t xml:space="preserve">Concept of employee engagement</w:t>
      </w:r>
    </w:p>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Employee engagement is a development and an interaction with the overall performance of the M&amp;S in order to achieve the outcomes as well as to stay focused on the mission and vision of the organization (Buil, Martínez and Matute, 2019). Employee engagement is basically trust, integrity, and commitment between both sides within an employee and an organization. The concept of employee engagement is the aim that increases the chances of success of the business contributing to the individual as well as productivity of M&amp;S simultaneously. There are various key drivers of employee engagement in an organization some of them are mentioned.  </w:t>
      </w:r>
    </w:p>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Reward and recognition</w:t>
      </w:r>
      <w:r w:rsidDel="00000000" w:rsidR="00000000" w:rsidRPr="00000000">
        <w:rPr>
          <w:rFonts w:ascii="Arial" w:cs="Arial" w:eastAsia="Arial" w:hAnsi="Arial"/>
          <w:sz w:val="22"/>
          <w:szCs w:val="22"/>
          <w:rtl w:val="0"/>
        </w:rPr>
        <w:t xml:space="preserve"> is a process where every individual of M&amp;S is acknowledged and praised on the basis of performance in an extrinsic as well as intrinsic manner. It is present in a workplace where there is proper appreciation and acknowledgment of efforts that are made by an employee within Marks and Spencer (Yacine, 2021). This involves regular and accurate monetary compensation with team celebration if the milestone is served within an M&amp;S. </w:t>
      </w:r>
    </w:p>
    <w:p w:rsidR="00000000" w:rsidDel="00000000" w:rsidP="00000000" w:rsidRDefault="00000000" w:rsidRPr="00000000" w14:paraId="0000001B">
      <w:pPr>
        <w:rPr>
          <w:rFonts w:ascii="Arial" w:cs="Arial" w:eastAsia="Arial" w:hAnsi="Arial"/>
          <w:sz w:val="22"/>
          <w:szCs w:val="22"/>
        </w:rPr>
      </w:pPr>
      <w:r w:rsidDel="00000000" w:rsidR="00000000" w:rsidRPr="00000000">
        <w:rPr>
          <w:rFonts w:ascii="Arial" w:cs="Arial" w:eastAsia="Arial" w:hAnsi="Arial"/>
          <w:sz w:val="22"/>
          <w:szCs w:val="22"/>
          <w:rtl w:val="0"/>
        </w:rPr>
        <w:t xml:space="preserve">It is been analyzed from research that reward and recognition are crucial within M&amp;S as it leads to an increase in productivity and also stimulates a spirit of teamwork which eventually acts as a catalyst to gain high employee performance. </w:t>
      </w:r>
    </w:p>
    <w:p w:rsidR="00000000" w:rsidDel="00000000" w:rsidP="00000000" w:rsidRDefault="00000000" w:rsidRPr="00000000" w14:paraId="0000001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Concrete communication </w:t>
      </w:r>
      <w:r w:rsidDel="00000000" w:rsidR="00000000" w:rsidRPr="00000000">
        <w:rPr>
          <w:rFonts w:ascii="Arial" w:cs="Arial" w:eastAsia="Arial" w:hAnsi="Arial"/>
          <w:sz w:val="22"/>
          <w:szCs w:val="22"/>
          <w:rtl w:val="0"/>
        </w:rPr>
        <w:t xml:space="preserve">aims at being specific, clear, and precise rather than passing on general information about the tasks within M&amp;S. Concrete communication implies a particular and structural manner which results in bossing the confidence of an employee as well as strengths the performance and manifest which stresses upon using clear and image building words (McCabe and O'Bryant, 2019). The aim of the utilization of facts and figures is basically to distribute informative solutions to the quarries within Marks and Spencer.</w:t>
      </w:r>
    </w:p>
    <w:p w:rsidR="00000000" w:rsidDel="00000000" w:rsidP="00000000" w:rsidRDefault="00000000" w:rsidRPr="00000000" w14:paraId="0000001D">
      <w:pPr>
        <w:rPr>
          <w:rFonts w:ascii="Arial" w:cs="Arial" w:eastAsia="Arial" w:hAnsi="Arial"/>
          <w:sz w:val="22"/>
          <w:szCs w:val="22"/>
        </w:rPr>
      </w:pPr>
      <w:r w:rsidDel="00000000" w:rsidR="00000000" w:rsidRPr="00000000">
        <w:rPr>
          <w:rFonts w:ascii="Arial" w:cs="Arial" w:eastAsia="Arial" w:hAnsi="Arial"/>
          <w:sz w:val="22"/>
          <w:szCs w:val="22"/>
          <w:rtl w:val="0"/>
        </w:rPr>
        <w:t xml:space="preserve">In modern-day concrete communication</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stresses upon using words appropriately and the language basically carries connotative as well as denotative meanings so as to form positive expression in the firm.    </w:t>
      </w:r>
    </w:p>
    <w:p w:rsidR="00000000" w:rsidDel="00000000" w:rsidP="00000000" w:rsidRDefault="00000000" w:rsidRPr="00000000" w14:paraId="0000001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Training and development</w:t>
      </w:r>
      <w:r w:rsidDel="00000000" w:rsidR="00000000" w:rsidRPr="00000000">
        <w:rPr>
          <w:rFonts w:ascii="Arial" w:cs="Arial" w:eastAsia="Arial" w:hAnsi="Arial"/>
          <w:sz w:val="22"/>
          <w:szCs w:val="22"/>
          <w:rtl w:val="0"/>
        </w:rPr>
        <w:t xml:space="preserve"> enhance the skills and knowledge of an employee and helps the organization to gain as well as retain top-notch talent which eventually increases job satisfaction and increases morale within an employee and in M&amp;S. On the other hand training and development is necessary as it helps to improve productivity and through which it is easy to earn profit rates for the organization as a whole (Parke, </w:t>
      </w:r>
      <w:r w:rsidDel="00000000" w:rsidR="00000000" w:rsidRPr="00000000">
        <w:rPr>
          <w:rFonts w:ascii="Arial" w:cs="Arial" w:eastAsia="Arial" w:hAnsi="Arial"/>
          <w:i w:val="1"/>
          <w:sz w:val="22"/>
          <w:szCs w:val="22"/>
          <w:rtl w:val="0"/>
        </w:rPr>
        <w:t xml:space="preserve">et al. </w:t>
      </w:r>
      <w:r w:rsidDel="00000000" w:rsidR="00000000" w:rsidRPr="00000000">
        <w:rPr>
          <w:rFonts w:ascii="Arial" w:cs="Arial" w:eastAsia="Arial" w:hAnsi="Arial"/>
          <w:sz w:val="22"/>
          <w:szCs w:val="22"/>
          <w:rtl w:val="0"/>
        </w:rPr>
        <w:t xml:space="preserve">2018).  </w:t>
      </w:r>
    </w:p>
    <w:p w:rsidR="00000000" w:rsidDel="00000000" w:rsidP="00000000" w:rsidRDefault="00000000" w:rsidRPr="00000000" w14:paraId="0000001F">
      <w:pPr>
        <w:rPr>
          <w:rFonts w:ascii="Arial" w:cs="Arial" w:eastAsia="Arial" w:hAnsi="Arial"/>
          <w:sz w:val="22"/>
          <w:szCs w:val="22"/>
        </w:rPr>
      </w:pPr>
      <w:r w:rsidDel="00000000" w:rsidR="00000000" w:rsidRPr="00000000">
        <w:rPr>
          <w:rFonts w:ascii="Arial" w:cs="Arial" w:eastAsia="Arial" w:hAnsi="Arial"/>
          <w:sz w:val="22"/>
          <w:szCs w:val="22"/>
          <w:rtl w:val="0"/>
        </w:rPr>
        <w:t xml:space="preserve">Through training processes, future leaders are been developed which can be vital for the business to optimize growth and evolution. In addition to this leadership, talent can also acquire new recruitments and HR managers can also appoint present employees to the post of managerial candidates (Motyka, 2018). Another benefit of training and development is it empowers each and every individual within the workplace which enhances trust and as a result of this employee can feel greater confidence and value which influence them to make their own decisions independently. </w:t>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Individual performance-related pay</w:t>
      </w:r>
      <w:r w:rsidDel="00000000" w:rsidR="00000000" w:rsidRPr="00000000">
        <w:rPr>
          <w:rFonts w:ascii="Arial" w:cs="Arial" w:eastAsia="Arial" w:hAnsi="Arial"/>
          <w:sz w:val="22"/>
          <w:szCs w:val="22"/>
          <w:rtl w:val="0"/>
        </w:rPr>
        <w:t xml:space="preserve"> is a method that provides every employee with monetary rewards in the form of increasing the basic pay or even cash bonuses which happen on the basis of performance mainly in the form of agreed objectives (Riyanto, Endri and Herlisha, 2021).  It has numerous objectives, for instance, it increases focus as well as commitment in order to gain corporate objectives and it also motivates the employees to work hard as the reward is directly associated with the performance of the employees.  </w:t>
      </w:r>
    </w:p>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The purpose of performance-related pay (PRP) is basically to develop an effective as well as a positive culture that reinforces the existing work culture. It rewards an employee on the basis of the contribution he/she has made to achieve success at the organizational level</w:t>
      </w:r>
      <w:r w:rsidDel="00000000" w:rsidR="00000000" w:rsidRPr="00000000">
        <w:rPr>
          <w:rFonts w:ascii="Arial" w:cs="Arial" w:eastAsia="Arial" w:hAnsi="Arial"/>
          <w:color w:val="222222"/>
          <w:sz w:val="22"/>
          <w:szCs w:val="22"/>
          <w:rtl w:val="0"/>
        </w:rPr>
        <w:t xml:space="preserve"> </w:t>
      </w:r>
      <w:r w:rsidDel="00000000" w:rsidR="00000000" w:rsidRPr="00000000">
        <w:rPr>
          <w:rFonts w:ascii="Arial" w:cs="Arial" w:eastAsia="Arial" w:hAnsi="Arial"/>
          <w:sz w:val="22"/>
          <w:szCs w:val="22"/>
          <w:rtl w:val="0"/>
        </w:rPr>
        <w:t xml:space="preserve">(Linggiallo, et al. 2021). Performance-related pay helps the M&amp;S recruit and retain high-quality staffers and manage productivity among the co-workers within an organization.     </w:t>
      </w:r>
    </w:p>
    <w:p w:rsidR="00000000" w:rsidDel="00000000" w:rsidP="00000000" w:rsidRDefault="00000000" w:rsidRPr="00000000" w14:paraId="0000002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Management by objectives (MBO) </w:t>
      </w:r>
      <w:r w:rsidDel="00000000" w:rsidR="00000000" w:rsidRPr="00000000">
        <w:rPr>
          <w:rFonts w:ascii="Arial" w:cs="Arial" w:eastAsia="Arial" w:hAnsi="Arial"/>
          <w:sz w:val="22"/>
          <w:szCs w:val="22"/>
          <w:rtl w:val="0"/>
        </w:rPr>
        <w:t xml:space="preserve">is basically an approach that aims at improving the performance by objectives that are been clearly defined and are agreed upon by both staff members and management. As per this particular theory if the goals and actions are cleared it directly encourages the participation and employees to stay committed and also set goals according to the requirements of the project (Siswanto, Maulidiyah and Masyhuri, 2021). This process clearly identifies the objectives and outlines them according to the necessity. MBO leads to increase positive interaction amongst every employee and aims at tailoring goals which eventually brings a sense of importance and also brings loyalty within the association.     </w:t>
      </w:r>
    </w:p>
    <w:p w:rsidR="00000000" w:rsidDel="00000000" w:rsidP="00000000" w:rsidRDefault="00000000" w:rsidRPr="00000000" w14:paraId="00000023">
      <w:pPr>
        <w:rPr>
          <w:rFonts w:ascii="Arial" w:cs="Arial" w:eastAsia="Arial" w:hAnsi="Arial"/>
          <w:sz w:val="22"/>
          <w:szCs w:val="22"/>
        </w:rPr>
      </w:pPr>
      <w:r w:rsidDel="00000000" w:rsidR="00000000" w:rsidRPr="00000000">
        <w:rPr>
          <w:rFonts w:ascii="Arial" w:cs="Arial" w:eastAsia="Arial" w:hAnsi="Arial"/>
          <w:sz w:val="22"/>
          <w:szCs w:val="22"/>
          <w:rtl w:val="0"/>
        </w:rPr>
        <w:t xml:space="preserve">There are also certain specific critics of this theory who states that it emphasizes the mindset of the employee to achieve the goals by any means possible which intern will directly cause the overall performance of the M&amp;S (Empowerment, 2018).</w:t>
      </w:r>
    </w:p>
    <w:p w:rsidR="00000000" w:rsidDel="00000000" w:rsidP="00000000" w:rsidRDefault="00000000" w:rsidRPr="00000000" w14:paraId="00000024">
      <w:pPr>
        <w:pStyle w:val="Heading2"/>
        <w:rPr>
          <w:rFonts w:ascii="Arial" w:cs="Arial" w:eastAsia="Arial" w:hAnsi="Arial"/>
          <w:sz w:val="22"/>
          <w:szCs w:val="22"/>
          <w:u w:val="none"/>
        </w:rPr>
      </w:pPr>
      <w:bookmarkStart w:colFirst="0" w:colLast="0" w:name="_heading=h.2et92p0" w:id="4"/>
      <w:bookmarkEnd w:id="4"/>
      <w:r w:rsidDel="00000000" w:rsidR="00000000" w:rsidRPr="00000000">
        <w:rPr>
          <w:rFonts w:ascii="Arial" w:cs="Arial" w:eastAsia="Arial" w:hAnsi="Arial"/>
          <w:sz w:val="22"/>
          <w:szCs w:val="22"/>
          <w:rtl w:val="0"/>
        </w:rPr>
        <w:t xml:space="preserve">Evaluation of diagnostics tools to measure the engagement</w:t>
      </w:r>
      <w:r w:rsidDel="00000000" w:rsidR="00000000" w:rsidRPr="00000000">
        <w:rPr>
          <w:rtl w:val="0"/>
        </w:rPr>
      </w:r>
    </w:p>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This is an effective measure in order to monitor and measure the performance of M&amp;S through employee surveys, total quality management, appraisals, etc., are a few of them. </w:t>
      </w:r>
    </w:p>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Employee surveys </w:t>
      </w:r>
      <w:r w:rsidDel="00000000" w:rsidR="00000000" w:rsidRPr="00000000">
        <w:rPr>
          <w:rFonts w:ascii="Arial" w:cs="Arial" w:eastAsia="Arial" w:hAnsi="Arial"/>
          <w:sz w:val="22"/>
          <w:szCs w:val="22"/>
          <w:rtl w:val="0"/>
        </w:rPr>
        <w:t xml:space="preserve">this is one of the most commonly utilized tools in order to ask for feedback from an employee and also increase the participation of every employee which allows more honest responses for the personnel (Satata, 2021). Managers can get a pulse on employee engagement by asking a set of questions such as if the employee is ready to give his/her best effort at work each and every day if the employee is satisfied with the work culture of M&amp;S and the link between the goals of the company and work.</w:t>
      </w:r>
    </w:p>
    <w:p w:rsidR="00000000" w:rsidDel="00000000" w:rsidP="00000000" w:rsidRDefault="00000000" w:rsidRPr="00000000" w14:paraId="0000002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Total Quality Management (TQM) </w:t>
      </w:r>
      <w:r w:rsidDel="00000000" w:rsidR="00000000" w:rsidRPr="00000000">
        <w:rPr>
          <w:rFonts w:ascii="Arial" w:cs="Arial" w:eastAsia="Arial" w:hAnsi="Arial"/>
          <w:sz w:val="22"/>
          <w:szCs w:val="22"/>
          <w:rtl w:val="0"/>
        </w:rPr>
        <w:t xml:space="preserve">is the procedure of detecting the errors and then reducing the same and streamlining supply chain management within the M&amp;S. It also facilitates the amenities of the firm and on that basis help to track the experience of the customers which ultimately ensures that employees are productive; it then aims to hold upon the entire quality of the finished product or services (Puspitasari and Darwin, 2021). </w:t>
      </w:r>
    </w:p>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structure's procedure that emphasizes improving the outputs of the M&amp;S which also involves commodities as well as amenities via continual improvement of the internal and external process of the practices been measured within M&amp;S (Stirpe, Profili and Sammarra, 2022). It emphasizes making a decision that is fact-based utilizing performance metrics that monitor the procedures and allowing to possess an effective level of communication which is encouraged for the aim of maintaining the morale of the employees as well as their involvement for work based tasks.    </w:t>
      </w:r>
    </w:p>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Performance appraisals </w:t>
      </w:r>
      <w:r w:rsidDel="00000000" w:rsidR="00000000" w:rsidRPr="00000000">
        <w:rPr>
          <w:rFonts w:ascii="Arial" w:cs="Arial" w:eastAsia="Arial" w:hAnsi="Arial"/>
          <w:sz w:val="22"/>
          <w:szCs w:val="22"/>
          <w:rtl w:val="0"/>
        </w:rPr>
        <w:t xml:space="preserve">are suggested as daily reviewing of the job performance of the staff members and the contribution which has been made to the firm. Organizations use performance appraisals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in order to determine the role of each of the staffers in optimizing the growth of the company (Smith, </w:t>
      </w:r>
      <w:r w:rsidDel="00000000" w:rsidR="00000000" w:rsidRPr="00000000">
        <w:rPr>
          <w:rFonts w:ascii="Arial" w:cs="Arial" w:eastAsia="Arial" w:hAnsi="Arial"/>
          <w:i w:val="1"/>
          <w:sz w:val="22"/>
          <w:szCs w:val="22"/>
          <w:rtl w:val="0"/>
        </w:rPr>
        <w:t xml:space="preserve">et al.</w:t>
      </w:r>
      <w:r w:rsidDel="00000000" w:rsidR="00000000" w:rsidRPr="00000000">
        <w:rPr>
          <w:rFonts w:ascii="Arial" w:cs="Arial" w:eastAsia="Arial" w:hAnsi="Arial"/>
          <w:sz w:val="22"/>
          <w:szCs w:val="22"/>
          <w:rtl w:val="0"/>
        </w:rPr>
        <w:t xml:space="preserve"> 2022). It is one of the best tools which is been used to review, reward and retain the performance and encourage the high-achieving workers. To obtain direct reports the most commonly utilized is top-down reviews it helps out the employees who believe that the culture of the company is dissatisfying.   </w:t>
      </w:r>
    </w:p>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Continuous professional and personal development programs </w:t>
      </w:r>
      <w:r w:rsidDel="00000000" w:rsidR="00000000" w:rsidRPr="00000000">
        <w:rPr>
          <w:rFonts w:ascii="Arial" w:cs="Arial" w:eastAsia="Arial" w:hAnsi="Arial"/>
          <w:sz w:val="22"/>
          <w:szCs w:val="22"/>
          <w:rtl w:val="0"/>
        </w:rPr>
        <w:t xml:space="preserve">emphasize professionals contributing to lifelong learning initiatives which help to develop professional qualities and facilitate improvement in pursuing knowledge, expertise, and practice which ultimately leads to encouragement and empowerment. Hence it can help to develop the entire process of development and provide a clear pathway for entire organizations as a whole (POTOLEA and TOMA, 2022).  </w:t>
      </w:r>
    </w:p>
    <w:p w:rsidR="00000000" w:rsidDel="00000000" w:rsidP="00000000" w:rsidRDefault="00000000" w:rsidRPr="00000000" w14:paraId="0000002B">
      <w:pPr>
        <w:rPr>
          <w:rFonts w:ascii="Arial" w:cs="Arial" w:eastAsia="Arial" w:hAnsi="Arial"/>
          <w:sz w:val="22"/>
          <w:szCs w:val="22"/>
        </w:rPr>
      </w:pPr>
      <w:r w:rsidDel="00000000" w:rsidR="00000000" w:rsidRPr="00000000">
        <w:rPr>
          <w:rFonts w:ascii="Arial" w:cs="Arial" w:eastAsia="Arial" w:hAnsi="Arial"/>
          <w:sz w:val="22"/>
          <w:szCs w:val="22"/>
          <w:rtl w:val="0"/>
        </w:rPr>
        <w:t xml:space="preserve">In accordance with this personal development, the procedure focuses on emphasizing the activities which develop individual potential and abilities to develop and focus upon personal enhancement with living a quality of life simultaneously (Soyer, Balkin and Amar, 2021). Personal development procedures pertain and help to realize the dreams as well as aspirations of the individual which as a result can upskill and provide the ability to thrive in any situation.    </w:t>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Staff and manager meetings </w:t>
      </w:r>
      <w:r w:rsidDel="00000000" w:rsidR="00000000" w:rsidRPr="00000000">
        <w:rPr>
          <w:rFonts w:ascii="Arial" w:cs="Arial" w:eastAsia="Arial" w:hAnsi="Arial"/>
          <w:sz w:val="22"/>
          <w:szCs w:val="22"/>
          <w:rtl w:val="0"/>
        </w:rPr>
        <w:t xml:space="preserve">help to create weekly systems of creating and building a positive and influence work culture which helps to keep seniors executives if the firm and staff members to neglect gap and eradicate the communication crack which might present and result in improper performance of the association (Motyka, 2018). Meeting with staff members and leaders also helps to improve solving issues and allows offering positive and essential suggestions to brainstorm potential answers to the problems. Staff and manager meetings provide clarity while having proper discussions about the work. It provides a prominent focus on daily meetings and projects which need to be effectively managed and helps to spend less time deciding how and what to address in the particular project which makes it easy to focus directly on the work and helps to make it a priority. </w:t>
      </w:r>
    </w:p>
    <w:p w:rsidR="00000000" w:rsidDel="00000000" w:rsidP="00000000" w:rsidRDefault="00000000" w:rsidRPr="00000000" w14:paraId="0000002D">
      <w:pPr>
        <w:pStyle w:val="Heading2"/>
        <w:rPr>
          <w:rFonts w:ascii="Arial" w:cs="Arial" w:eastAsia="Arial" w:hAnsi="Arial"/>
          <w:sz w:val="22"/>
          <w:szCs w:val="22"/>
        </w:rPr>
      </w:pPr>
      <w:bookmarkStart w:colFirst="0" w:colLast="0" w:name="_heading=h.tyjcwt" w:id="5"/>
      <w:bookmarkEnd w:id="5"/>
      <w:r w:rsidDel="00000000" w:rsidR="00000000" w:rsidRPr="00000000">
        <w:rPr>
          <w:rFonts w:ascii="Arial" w:cs="Arial" w:eastAsia="Arial" w:hAnsi="Arial"/>
          <w:sz w:val="22"/>
          <w:szCs w:val="22"/>
          <w:rtl w:val="0"/>
        </w:rPr>
        <w:t xml:space="preserve">An employee value proposition</w:t>
      </w:r>
    </w:p>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Employee value proposition (EVP) is a unique set of benefits that are received by an employee in return for the expertise, abilities as well as experience that they bring to the particular association. It is the positive impact of employee employment which helps to improve the performance of workers and association. It has been proven important because it retains and recruits the best individual in the firm which benefits the organization in long term.  </w:t>
      </w:r>
    </w:p>
    <w:p w:rsidR="00000000" w:rsidDel="00000000" w:rsidP="00000000" w:rsidRDefault="00000000" w:rsidRPr="00000000" w14:paraId="0000002F">
      <w:pPr>
        <w:keepNext w:val="1"/>
        <w:rPr>
          <w:rFonts w:ascii="Arial" w:cs="Arial" w:eastAsia="Arial" w:hAnsi="Arial"/>
          <w:sz w:val="22"/>
          <w:szCs w:val="22"/>
        </w:rPr>
      </w:pPr>
      <w:r w:rsidDel="00000000" w:rsidR="00000000" w:rsidRPr="00000000">
        <w:rPr>
          <w:rFonts w:ascii="Arial" w:cs="Arial" w:eastAsia="Arial" w:hAnsi="Arial"/>
          <w:sz w:val="22"/>
          <w:szCs w:val="22"/>
        </w:rPr>
        <mc:AlternateContent>
          <mc:Choice Requires="wpg">
            <w:drawing>
              <wp:inline distB="0" distT="0" distL="0" distR="0">
                <wp:extent cx="5886450" cy="3952875"/>
                <wp:effectExtent b="0" l="0" r="0" t="0"/>
                <wp:docPr id="2" name=""/>
                <a:graphic>
                  <a:graphicData uri="http://schemas.microsoft.com/office/word/2010/wordprocessingGroup">
                    <wpg:wgp>
                      <wpg:cNvGrpSpPr/>
                      <wpg:grpSpPr>
                        <a:xfrm>
                          <a:off x="0" y="0"/>
                          <a:ext cx="5886450" cy="3952875"/>
                          <a:chOff x="0" y="0"/>
                          <a:chExt cx="5886450" cy="3952875"/>
                        </a:xfrm>
                      </wpg:grpSpPr>
                      <wpg:grpSp>
                        <wpg:cNvGrpSpPr/>
                        <wpg:grpSpPr>
                          <a:xfrm>
                            <a:off x="0" y="0"/>
                            <a:ext cx="5886450" cy="3952875"/>
                            <a:chOff x="0" y="0"/>
                            <a:chExt cx="5886450" cy="3952875"/>
                          </a:xfrm>
                        </wpg:grpSpPr>
                        <wps:wsp>
                          <wps:cNvSpPr/>
                          <wps:cNvPr id="3" name="Shape 3"/>
                          <wps:spPr>
                            <a:xfrm>
                              <a:off x="0" y="0"/>
                              <a:ext cx="5886450" cy="39528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1329661" y="244682"/>
                              <a:ext cx="3320415" cy="3320415"/>
                            </a:xfrm>
                            <a:prstGeom prst="pie">
                              <a:avLst>
                                <a:gd fmla="val 16200000" name="adj1"/>
                                <a:gd fmla="val 20520000" name="adj2"/>
                              </a:avLst>
                            </a:prstGeom>
                            <a:solidFill>
                              <a:schemeClr val="accen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 name="Shape 5"/>
                          <wps:spPr>
                            <a:xfrm>
                              <a:off x="3061811" y="802828"/>
                              <a:ext cx="1067276" cy="71151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Book Antiqua" w:cs="Book Antiqua" w:eastAsia="Book Antiqua" w:hAnsi="Book Antiqua"/>
                                    <w:b w:val="1"/>
                                    <w:i w:val="0"/>
                                    <w:smallCaps w:val="0"/>
                                    <w:strike w:val="0"/>
                                    <w:color w:val="000000"/>
                                    <w:sz w:val="18"/>
                                    <w:vertAlign w:val="baseline"/>
                                  </w:rPr>
                                  <w:t xml:space="preserve">Career</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Book Antiqua" w:cs="Book Antiqua" w:eastAsia="Book Antiqua" w:hAnsi="Book Antiqua"/>
                                    <w:b w:val="0"/>
                                    <w:i w:val="0"/>
                                    <w:smallCaps w:val="0"/>
                                    <w:strike w:val="0"/>
                                    <w:color w:val="000000"/>
                                    <w:sz w:val="18"/>
                                    <w:vertAlign w:val="baseline"/>
                                  </w:rPr>
                                  <w:t xml:space="preserve">Plans</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Book Antiqua" w:cs="Book Antiqua" w:eastAsia="Book Antiqua" w:hAnsi="Book Antiqua"/>
                                    <w:b w:val="0"/>
                                    <w:i w:val="0"/>
                                    <w:smallCaps w:val="0"/>
                                    <w:strike w:val="0"/>
                                    <w:color w:val="000000"/>
                                    <w:sz w:val="18"/>
                                    <w:vertAlign w:val="baseline"/>
                                  </w:rPr>
                                  <w:t xml:space="preserve">Trainung</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11425" lIns="11425" spcFirstLastPara="1" rIns="11425" wrap="square" tIns="11425">
                            <a:noAutofit/>
                          </wps:bodyPr>
                        </wps:wsp>
                        <wps:wsp>
                          <wps:cNvSpPr/>
                          <wps:cNvPr id="6" name="Shape 6"/>
                          <wps:spPr>
                            <a:xfrm>
                              <a:off x="1358122" y="333227"/>
                              <a:ext cx="3320415" cy="3320415"/>
                            </a:xfrm>
                            <a:prstGeom prst="pie">
                              <a:avLst>
                                <a:gd fmla="val 20520000" name="adj1"/>
                                <a:gd fmla="val 3240000" name="adj2"/>
                              </a:avLst>
                            </a:prstGeom>
                            <a:solidFill>
                              <a:schemeClr val="accen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7" name="Shape 7"/>
                          <wps:spPr>
                            <a:xfrm>
                              <a:off x="3496627" y="1850340"/>
                              <a:ext cx="988218" cy="790575"/>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Book Antiqua" w:cs="Book Antiqua" w:eastAsia="Book Antiqua" w:hAnsi="Book Antiqua"/>
                                    <w:b w:val="1"/>
                                    <w:i w:val="0"/>
                                    <w:smallCaps w:val="0"/>
                                    <w:strike w:val="0"/>
                                    <w:color w:val="000000"/>
                                    <w:sz w:val="18"/>
                                    <w:vertAlign w:val="baseline"/>
                                  </w:rPr>
                                  <w:t xml:space="preserve">Culture</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Book Antiqua" w:cs="Book Antiqua" w:eastAsia="Book Antiqua" w:hAnsi="Book Antiqua"/>
                                    <w:b w:val="0"/>
                                    <w:i w:val="0"/>
                                    <w:smallCaps w:val="0"/>
                                    <w:strike w:val="0"/>
                                    <w:color w:val="000000"/>
                                    <w:sz w:val="18"/>
                                    <w:vertAlign w:val="baseline"/>
                                  </w:rPr>
                                  <w:t xml:space="preserve">Recognition</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Book Antiqua" w:cs="Book Antiqua" w:eastAsia="Book Antiqua" w:hAnsi="Book Antiqua"/>
                                    <w:b w:val="0"/>
                                    <w:i w:val="0"/>
                                    <w:smallCaps w:val="0"/>
                                    <w:strike w:val="0"/>
                                    <w:color w:val="000000"/>
                                    <w:sz w:val="18"/>
                                    <w:vertAlign w:val="baseline"/>
                                  </w:rPr>
                                  <w:t xml:space="preserve">Quality</w:t>
                                </w:r>
                              </w:p>
                            </w:txbxContent>
                          </wps:txbx>
                          <wps:bodyPr anchorCtr="0" anchor="ctr" bIns="11425" lIns="11425" spcFirstLastPara="1" rIns="11425" wrap="square" tIns="11425">
                            <a:noAutofit/>
                          </wps:bodyPr>
                        </wps:wsp>
                        <wps:wsp>
                          <wps:cNvSpPr/>
                          <wps:cNvPr id="8" name="Shape 8"/>
                          <wps:spPr>
                            <a:xfrm>
                              <a:off x="1330067" y="389669"/>
                              <a:ext cx="3320415" cy="3320415"/>
                            </a:xfrm>
                            <a:prstGeom prst="pie">
                              <a:avLst>
                                <a:gd fmla="val 3240000" name="adj1"/>
                                <a:gd fmla="val 7560000" name="adj2"/>
                              </a:avLst>
                            </a:prstGeom>
                            <a:solidFill>
                              <a:schemeClr val="accen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9" name="Shape 9"/>
                          <wps:spPr>
                            <a:xfrm>
                              <a:off x="2515930" y="2721865"/>
                              <a:ext cx="948690" cy="869632"/>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Book Antiqua" w:cs="Book Antiqua" w:eastAsia="Book Antiqua" w:hAnsi="Book Antiqua"/>
                                    <w:b w:val="1"/>
                                    <w:i w:val="0"/>
                                    <w:smallCaps w:val="0"/>
                                    <w:strike w:val="0"/>
                                    <w:color w:val="000000"/>
                                    <w:sz w:val="18"/>
                                    <w:vertAlign w:val="baseline"/>
                                  </w:rPr>
                                  <w:t xml:space="preserve">Work</w:t>
                                </w:r>
                                <w:r w:rsidDel="00000000" w:rsidR="00000000" w:rsidRPr="00000000">
                                  <w:rPr>
                                    <w:rFonts w:ascii="Book Antiqua" w:cs="Book Antiqua" w:eastAsia="Book Antiqua" w:hAnsi="Book Antiqua"/>
                                    <w:b w:val="0"/>
                                    <w:i w:val="0"/>
                                    <w:smallCaps w:val="0"/>
                                    <w:strike w:val="0"/>
                                    <w:color w:val="000000"/>
                                    <w:sz w:val="18"/>
                                    <w:vertAlign w:val="baseline"/>
                                  </w:rPr>
                                  <w:t xml:space="preserve"> </w:t>
                                </w:r>
                                <w:r w:rsidDel="00000000" w:rsidR="00000000" w:rsidRPr="00000000">
                                  <w:rPr>
                                    <w:rFonts w:ascii="Book Antiqua" w:cs="Book Antiqua" w:eastAsia="Book Antiqua" w:hAnsi="Book Antiqua"/>
                                    <w:b w:val="1"/>
                                    <w:i w:val="0"/>
                                    <w:smallCaps w:val="0"/>
                                    <w:strike w:val="0"/>
                                    <w:color w:val="000000"/>
                                    <w:sz w:val="18"/>
                                    <w:vertAlign w:val="baseline"/>
                                  </w:rPr>
                                  <w:t xml:space="preserve">environment</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Book Antiqua" w:cs="Book Antiqua" w:eastAsia="Book Antiqua" w:hAnsi="Book Antiqua"/>
                                    <w:b w:val="0"/>
                                    <w:i w:val="0"/>
                                    <w:smallCaps w:val="0"/>
                                    <w:strike w:val="0"/>
                                    <w:color w:val="000000"/>
                                    <w:sz w:val="18"/>
                                    <w:vertAlign w:val="baseline"/>
                                  </w:rPr>
                                  <w:t xml:space="preserve">Performance</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Book Antiqua" w:cs="Book Antiqua" w:eastAsia="Book Antiqua" w:hAnsi="Book Antiqua"/>
                                    <w:b w:val="0"/>
                                    <w:i w:val="0"/>
                                    <w:smallCaps w:val="0"/>
                                    <w:strike w:val="0"/>
                                    <w:color w:val="000000"/>
                                    <w:sz w:val="18"/>
                                    <w:vertAlign w:val="baseline"/>
                                  </w:rPr>
                                  <w:t xml:space="preserve">contradicts </w:t>
                                </w:r>
                              </w:p>
                            </w:txbxContent>
                          </wps:txbx>
                          <wps:bodyPr anchorCtr="0" anchor="ctr" bIns="11425" lIns="11425" spcFirstLastPara="1" rIns="11425" wrap="square" tIns="11425">
                            <a:noAutofit/>
                          </wps:bodyPr>
                        </wps:wsp>
                        <wps:wsp>
                          <wps:cNvSpPr/>
                          <wps:cNvPr id="10" name="Shape 10"/>
                          <wps:spPr>
                            <a:xfrm>
                              <a:off x="1207912" y="333227"/>
                              <a:ext cx="3320415" cy="3320415"/>
                            </a:xfrm>
                            <a:prstGeom prst="pie">
                              <a:avLst>
                                <a:gd fmla="val 7560000" name="adj1"/>
                                <a:gd fmla="val 11880000" name="adj2"/>
                              </a:avLst>
                            </a:prstGeom>
                            <a:solidFill>
                              <a:schemeClr val="accen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1" name="Shape 11"/>
                          <wps:spPr>
                            <a:xfrm>
                              <a:off x="1401603" y="1850340"/>
                              <a:ext cx="988218" cy="790575"/>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Book Antiqua" w:cs="Book Antiqua" w:eastAsia="Book Antiqua" w:hAnsi="Book Antiqua"/>
                                    <w:b w:val="1"/>
                                    <w:i w:val="0"/>
                                    <w:smallCaps w:val="0"/>
                                    <w:strike w:val="0"/>
                                    <w:color w:val="000000"/>
                                    <w:sz w:val="18"/>
                                    <w:vertAlign w:val="baseline"/>
                                  </w:rPr>
                                  <w:t xml:space="preserve">Compensation</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Book Antiqua" w:cs="Book Antiqua" w:eastAsia="Book Antiqua" w:hAnsi="Book Antiqua"/>
                                    <w:b w:val="0"/>
                                    <w:i w:val="0"/>
                                    <w:smallCaps w:val="0"/>
                                    <w:strike w:val="0"/>
                                    <w:color w:val="000000"/>
                                    <w:sz w:val="18"/>
                                    <w:vertAlign w:val="baseline"/>
                                  </w:rPr>
                                  <w:t xml:space="preserve">Premium pay</w:t>
                                </w:r>
                              </w:p>
                            </w:txbxContent>
                          </wps:txbx>
                          <wps:bodyPr anchorCtr="0" anchor="ctr" bIns="11425" lIns="11425" spcFirstLastPara="1" rIns="11425" wrap="square" tIns="11425">
                            <a:noAutofit/>
                          </wps:bodyPr>
                        </wps:wsp>
                        <wps:wsp>
                          <wps:cNvSpPr/>
                          <wps:cNvPr id="12" name="Shape 12"/>
                          <wps:spPr>
                            <a:xfrm>
                              <a:off x="1236373" y="244682"/>
                              <a:ext cx="3320415" cy="3320415"/>
                            </a:xfrm>
                            <a:prstGeom prst="pie">
                              <a:avLst>
                                <a:gd fmla="val 11880000" name="adj1"/>
                                <a:gd fmla="val 16200000" name="adj2"/>
                              </a:avLst>
                            </a:prstGeom>
                            <a:solidFill>
                              <a:schemeClr val="accent1"/>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3" name="Shape 13"/>
                          <wps:spPr>
                            <a:xfrm>
                              <a:off x="1757362" y="802828"/>
                              <a:ext cx="1067276" cy="71151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Book Antiqua" w:cs="Book Antiqua" w:eastAsia="Book Antiqua" w:hAnsi="Book Antiqua"/>
                                    <w:b w:val="1"/>
                                    <w:i w:val="0"/>
                                    <w:smallCaps w:val="0"/>
                                    <w:strike w:val="0"/>
                                    <w:color w:val="000000"/>
                                    <w:sz w:val="18"/>
                                    <w:vertAlign w:val="baseline"/>
                                  </w:rPr>
                                  <w:t xml:space="preserve">Benefits</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Book Antiqua" w:cs="Book Antiqua" w:eastAsia="Book Antiqua" w:hAnsi="Book Antiqua"/>
                                    <w:b w:val="0"/>
                                    <w:i w:val="0"/>
                                    <w:smallCaps w:val="0"/>
                                    <w:strike w:val="0"/>
                                    <w:color w:val="000000"/>
                                    <w:sz w:val="18"/>
                                    <w:vertAlign w:val="baseline"/>
                                  </w:rPr>
                                  <w:t xml:space="preserve">Health</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Book Antiqua" w:cs="Book Antiqua" w:eastAsia="Book Antiqua" w:hAnsi="Book Antiqua"/>
                                    <w:b w:val="0"/>
                                    <w:i w:val="0"/>
                                    <w:smallCaps w:val="0"/>
                                    <w:strike w:val="0"/>
                                    <w:color w:val="000000"/>
                                    <w:sz w:val="18"/>
                                    <w:vertAlign w:val="baseline"/>
                                  </w:rPr>
                                  <w:t xml:space="preserve">Paid time off</w:t>
                                </w:r>
                              </w:p>
                              <w:p w:rsidR="00000000" w:rsidDel="00000000" w:rsidP="00000000" w:rsidRDefault="00000000" w:rsidRPr="00000000">
                                <w:pPr>
                                  <w:spacing w:after="0" w:before="62.99999713897705" w:line="215.9999942779541"/>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11425" lIns="11425" spcFirstLastPara="1" rIns="11425" wrap="square" tIns="11425">
                            <a:noAutofit/>
                          </wps:bodyPr>
                        </wps:wsp>
                        <wps:wsp>
                          <wps:cNvSpPr/>
                          <wps:cNvPr id="14" name="Shape 14"/>
                          <wps:spPr>
                            <a:xfrm>
                              <a:off x="1123955" y="39133"/>
                              <a:ext cx="3731514" cy="3731514"/>
                            </a:xfrm>
                            <a:custGeom>
                              <a:rect b="b" l="l" r="r" t="t"/>
                              <a:pathLst>
                                <a:path extrusionOk="0" h="120000" w="120000">
                                  <a:moveTo>
                                    <a:pt x="60005" y="4067"/>
                                  </a:moveTo>
                                  <a:lnTo>
                                    <a:pt x="60005" y="4067"/>
                                  </a:lnTo>
                                  <a:cubicBezTo>
                                    <a:pt x="82391" y="4070"/>
                                    <a:pt x="102619" y="17419"/>
                                    <a:pt x="111424" y="38000"/>
                                  </a:cubicBezTo>
                                  <a:lnTo>
                                    <a:pt x="115280" y="36747"/>
                                  </a:lnTo>
                                  <a:lnTo>
                                    <a:pt x="110293" y="43657"/>
                                  </a:lnTo>
                                  <a:lnTo>
                                    <a:pt x="101740" y="41147"/>
                                  </a:lnTo>
                                  <a:lnTo>
                                    <a:pt x="105594" y="39894"/>
                                  </a:lnTo>
                                  <a:lnTo>
                                    <a:pt x="105594" y="39894"/>
                                  </a:lnTo>
                                  <a:cubicBezTo>
                                    <a:pt x="97628" y="21829"/>
                                    <a:pt x="79748" y="10171"/>
                                    <a:pt x="60005" y="10169"/>
                                  </a:cubicBezTo>
                                  <a:close/>
                                </a:path>
                              </a:pathLst>
                            </a:custGeom>
                            <a:solidFill>
                              <a:srgbClr val="B1C0D7"/>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5" name="Shape 15"/>
                          <wps:spPr>
                            <a:xfrm>
                              <a:off x="1152802" y="127648"/>
                              <a:ext cx="3731514" cy="3731514"/>
                            </a:xfrm>
                            <a:custGeom>
                              <a:rect b="b" l="l" r="r" t="t"/>
                              <a:pathLst>
                                <a:path extrusionOk="0" h="120000" w="120000">
                                  <a:moveTo>
                                    <a:pt x="113195" y="42715"/>
                                  </a:moveTo>
                                  <a:cubicBezTo>
                                    <a:pt x="120114" y="64009"/>
                                    <a:pt x="113668" y="87378"/>
                                    <a:pt x="96810" y="102113"/>
                                  </a:cubicBezTo>
                                  <a:lnTo>
                                    <a:pt x="99192" y="105393"/>
                                  </a:lnTo>
                                  <a:lnTo>
                                    <a:pt x="91080" y="102785"/>
                                  </a:lnTo>
                                  <a:lnTo>
                                    <a:pt x="90825" y="93875"/>
                                  </a:lnTo>
                                  <a:lnTo>
                                    <a:pt x="93207" y="97154"/>
                                  </a:lnTo>
                                  <a:lnTo>
                                    <a:pt x="93207" y="97154"/>
                                  </a:lnTo>
                                  <a:cubicBezTo>
                                    <a:pt x="107930" y="83994"/>
                                    <a:pt x="113494" y="63382"/>
                                    <a:pt x="107392" y="44601"/>
                                  </a:cubicBezTo>
                                  <a:close/>
                                </a:path>
                              </a:pathLst>
                            </a:custGeom>
                            <a:solidFill>
                              <a:srgbClr val="B1C0D7"/>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6" name="Shape 16"/>
                          <wps:spPr>
                            <a:xfrm>
                              <a:off x="1124518" y="184257"/>
                              <a:ext cx="3731514" cy="3731514"/>
                            </a:xfrm>
                            <a:custGeom>
                              <a:rect b="b" l="l" r="r" t="t"/>
                              <a:pathLst>
                                <a:path extrusionOk="0" h="120000" w="120000">
                                  <a:moveTo>
                                    <a:pt x="92880" y="105248"/>
                                  </a:moveTo>
                                  <a:cubicBezTo>
                                    <a:pt x="74766" y="118411"/>
                                    <a:pt x="50547" y="119502"/>
                                    <a:pt x="31322" y="108021"/>
                                  </a:cubicBezTo>
                                  <a:lnTo>
                                    <a:pt x="28939" y="111301"/>
                                  </a:lnTo>
                                  <a:lnTo>
                                    <a:pt x="28913" y="102779"/>
                                  </a:lnTo>
                                  <a:lnTo>
                                    <a:pt x="37308" y="99784"/>
                                  </a:lnTo>
                                  <a:lnTo>
                                    <a:pt x="34926" y="103063"/>
                                  </a:lnTo>
                                  <a:lnTo>
                                    <a:pt x="34926" y="103063"/>
                                  </a:lnTo>
                                  <a:cubicBezTo>
                                    <a:pt x="51992" y="113000"/>
                                    <a:pt x="73317" y="111921"/>
                                    <a:pt x="89293" y="100311"/>
                                  </a:cubicBezTo>
                                  <a:close/>
                                </a:path>
                              </a:pathLst>
                            </a:custGeom>
                            <a:solidFill>
                              <a:srgbClr val="B1C0D7"/>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7" name="Shape 17"/>
                          <wps:spPr>
                            <a:xfrm>
                              <a:off x="1002133" y="127648"/>
                              <a:ext cx="3731514" cy="3731514"/>
                            </a:xfrm>
                            <a:custGeom>
                              <a:rect b="b" l="l" r="r" t="t"/>
                              <a:pathLst>
                                <a:path extrusionOk="0" h="120000" w="120000">
                                  <a:moveTo>
                                    <a:pt x="27127" y="105253"/>
                                  </a:moveTo>
                                  <a:cubicBezTo>
                                    <a:pt x="9012" y="92094"/>
                                    <a:pt x="490" y="69400"/>
                                    <a:pt x="5466" y="47570"/>
                                  </a:cubicBezTo>
                                  <a:lnTo>
                                    <a:pt x="1610" y="46317"/>
                                  </a:lnTo>
                                  <a:lnTo>
                                    <a:pt x="9707" y="43658"/>
                                  </a:lnTo>
                                  <a:lnTo>
                                    <a:pt x="15150" y="50716"/>
                                  </a:lnTo>
                                  <a:lnTo>
                                    <a:pt x="11296" y="49464"/>
                                  </a:lnTo>
                                  <a:lnTo>
                                    <a:pt x="11296" y="49464"/>
                                  </a:lnTo>
                                  <a:cubicBezTo>
                                    <a:pt x="7121" y="68765"/>
                                    <a:pt x="14737" y="88710"/>
                                    <a:pt x="30714" y="100316"/>
                                  </a:cubicBezTo>
                                  <a:close/>
                                </a:path>
                              </a:pathLst>
                            </a:custGeom>
                            <a:solidFill>
                              <a:srgbClr val="B1C0D7"/>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8" name="Shape 18"/>
                          <wps:spPr>
                            <a:xfrm>
                              <a:off x="1030980" y="39133"/>
                              <a:ext cx="3731514" cy="3731514"/>
                            </a:xfrm>
                            <a:custGeom>
                              <a:rect b="b" l="l" r="r" t="t"/>
                              <a:pathLst>
                                <a:path extrusionOk="0" h="120000" w="120000">
                                  <a:moveTo>
                                    <a:pt x="6805" y="42714"/>
                                  </a:moveTo>
                                  <a:cubicBezTo>
                                    <a:pt x="13724" y="21424"/>
                                    <a:pt x="32669" y="6310"/>
                                    <a:pt x="54964" y="4295"/>
                                  </a:cubicBezTo>
                                  <a:lnTo>
                                    <a:pt x="54964" y="240"/>
                                  </a:lnTo>
                                  <a:lnTo>
                                    <a:pt x="59995" y="7118"/>
                                  </a:lnTo>
                                  <a:lnTo>
                                    <a:pt x="54965" y="14477"/>
                                  </a:lnTo>
                                  <a:lnTo>
                                    <a:pt x="54965" y="10424"/>
                                  </a:lnTo>
                                  <a:lnTo>
                                    <a:pt x="54965" y="10424"/>
                                  </a:lnTo>
                                  <a:cubicBezTo>
                                    <a:pt x="35322" y="12419"/>
                                    <a:pt x="18710" y="25823"/>
                                    <a:pt x="12609" y="44600"/>
                                  </a:cubicBezTo>
                                  <a:close/>
                                </a:path>
                              </a:pathLst>
                            </a:custGeom>
                            <a:solidFill>
                              <a:srgbClr val="B1C0D7"/>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inline>
            </w:drawing>
          </mc:Choice>
          <mc:Fallback>
            <w:drawing>
              <wp:inline distB="0" distT="0" distL="0" distR="0">
                <wp:extent cx="5886450" cy="3952875"/>
                <wp:effectExtent b="0" l="0" r="0" t="0"/>
                <wp:docPr id="2"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5886450" cy="39528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1"/>
          <w:i w:val="0"/>
          <w:smallCaps w:val="0"/>
          <w:strike w:val="0"/>
          <w:color w:val="000000"/>
          <w:sz w:val="22"/>
          <w:szCs w:val="22"/>
          <w:highlight w:val="white"/>
          <w:u w:val="none"/>
          <w:vertAlign w:val="baseline"/>
        </w:rPr>
      </w:pPr>
      <w:r w:rsidDel="00000000" w:rsidR="00000000" w:rsidRPr="00000000">
        <w:rPr>
          <w:rFonts w:ascii="Arial" w:cs="Arial" w:eastAsia="Arial" w:hAnsi="Arial"/>
          <w:b w:val="1"/>
          <w:i w:val="0"/>
          <w:smallCaps w:val="0"/>
          <w:strike w:val="0"/>
          <w:color w:val="000000"/>
          <w:sz w:val="22"/>
          <w:szCs w:val="22"/>
          <w:highlight w:val="white"/>
          <w:u w:val="none"/>
          <w:vertAlign w:val="baseline"/>
          <w:rtl w:val="0"/>
        </w:rPr>
        <w:t xml:space="preserve">Figure 1: Employee value proposition</w:t>
      </w:r>
    </w:p>
    <w:p w:rsidR="00000000" w:rsidDel="00000000" w:rsidP="00000000" w:rsidRDefault="00000000" w:rsidRPr="00000000" w14:paraId="000000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(Source: Created by author)</w:t>
      </w:r>
    </w:p>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Figure 1 explains the important concept of the employee value proposition which highlights the main functions of engagement of employees which involves benefits, career, compensation benefits, culture and work environment. </w:t>
      </w:r>
    </w:p>
    <w:p w:rsidR="00000000" w:rsidDel="00000000" w:rsidP="00000000" w:rsidRDefault="00000000" w:rsidRPr="00000000" w14:paraId="00000033">
      <w:pPr>
        <w:rPr>
          <w:rFonts w:ascii="Arial" w:cs="Arial" w:eastAsia="Arial" w:hAnsi="Arial"/>
          <w:sz w:val="22"/>
          <w:szCs w:val="22"/>
        </w:rPr>
      </w:pPr>
      <w:r w:rsidDel="00000000" w:rsidR="00000000" w:rsidRPr="00000000">
        <w:rPr>
          <w:rFonts w:ascii="Arial" w:cs="Arial" w:eastAsia="Arial" w:hAnsi="Arial"/>
          <w:sz w:val="22"/>
          <w:szCs w:val="22"/>
          <w:rtl w:val="0"/>
        </w:rPr>
        <w:t xml:space="preserve">Benefits are referred to as providing employees with placement opportunities after recognizing their strengths and weakness to perform tasks which takes place in M&amp;S (Allcoat and von Mühlenen, 2018). Benefits are evaluating affirmative perquisites and optimizing value which eventually outlines the policies and programs of M&amp;S which help them to develop as a whole.   </w:t>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 In accordance with this, a career plan aids development and training programs that provide advancement opportunities as well as growth procurement initiatives for every employee in the M&amp;S. Compensation measures upon the base pay of the newly hired employees and optimizes their short-term incentives and long-term incentives. On the other hand, performance-related pay is another approach in M&amp;S that provides benefits to an employee at work with a premium pay wage on the basis of the hard work and potential; of an employee (Butt, et al. 2019). </w:t>
      </w:r>
    </w:p>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Culture is the fourth stage of the employee value proposition which determines the values and beliefs of the association after analyzing employee engagement at M&amp;S. The culture emphasizes active participation by interacting with the employees and asking queries about project related which as a result maintains the reputation of the M&amp;S (Motyka, 2018). Work environment statutes upon challenges occur during handling of various activities and tackling the entire group of individuals within M&amp;S. The work environment is the performance standards that help arrange sites, space and schedules according to the needs and requirements.               </w:t>
      </w:r>
    </w:p>
    <w:p w:rsidR="00000000" w:rsidDel="00000000" w:rsidP="00000000" w:rsidRDefault="00000000" w:rsidRPr="00000000" w14:paraId="00000036">
      <w:pPr>
        <w:pStyle w:val="Heading1"/>
        <w:rPr>
          <w:rFonts w:ascii="Arial" w:cs="Arial" w:eastAsia="Arial" w:hAnsi="Arial"/>
          <w:sz w:val="22"/>
          <w:szCs w:val="22"/>
        </w:rPr>
      </w:pPr>
      <w:bookmarkStart w:colFirst="0" w:colLast="0" w:name="_heading=h.3dy6vkm" w:id="6"/>
      <w:bookmarkEnd w:id="6"/>
      <w:r w:rsidDel="00000000" w:rsidR="00000000" w:rsidRPr="00000000">
        <w:rPr>
          <w:rFonts w:ascii="Arial" w:cs="Arial" w:eastAsia="Arial" w:hAnsi="Arial"/>
          <w:sz w:val="22"/>
          <w:szCs w:val="22"/>
          <w:rtl w:val="0"/>
        </w:rPr>
        <w:t xml:space="preserve">Conclusion</w:t>
      </w:r>
    </w:p>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It can be concluded from the above assignment that the main concept and drives of employee engagement are analyzed on the basis of various key influencing factors for instance providing reward and recognition to the employees and possessing concrete communication with the team members and individual performance-related pay is also one of the key features which are considered as crucial within an M&amp;S.  In addition to this, evaluation of diagnostic tools is represented which helps to measure the total quality management as well as performance appraisals for continuous professional and personal development programs. On the other hand, an employee value proposition is also analyzed in the assignment including the use of appropriate strategy which helps to raise levels of engagement. </w:t>
      </w:r>
    </w:p>
    <w:p w:rsidR="00000000" w:rsidDel="00000000" w:rsidP="00000000" w:rsidRDefault="00000000" w:rsidRPr="00000000" w14:paraId="00000038">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39">
      <w:pPr>
        <w:spacing w:after="200" w:lineRule="auto"/>
        <w:jc w:val="left"/>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A">
      <w:pPr>
        <w:pStyle w:val="Heading1"/>
        <w:rPr>
          <w:rFonts w:ascii="Arial" w:cs="Arial" w:eastAsia="Arial" w:hAnsi="Arial"/>
          <w:sz w:val="22"/>
          <w:szCs w:val="22"/>
        </w:rPr>
      </w:pPr>
      <w:bookmarkStart w:colFirst="0" w:colLast="0" w:name="_heading=h.1t3h5sf" w:id="7"/>
      <w:bookmarkEnd w:id="7"/>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3B">
      <w:pPr>
        <w:rPr>
          <w:rFonts w:ascii="Arial" w:cs="Arial" w:eastAsia="Arial" w:hAnsi="Arial"/>
          <w:sz w:val="22"/>
          <w:szCs w:val="22"/>
        </w:rPr>
      </w:pPr>
      <w:r w:rsidDel="00000000" w:rsidR="00000000" w:rsidRPr="00000000">
        <w:rPr>
          <w:rFonts w:ascii="Arial" w:cs="Arial" w:eastAsia="Arial" w:hAnsi="Arial"/>
          <w:sz w:val="22"/>
          <w:szCs w:val="22"/>
          <w:rtl w:val="0"/>
        </w:rPr>
        <w:t xml:space="preserve">Allcoat, D. and von Mühlenen, A., 2018. Learning in virtual reality: Effects on performance, emotion and engagement. </w:t>
      </w:r>
      <w:r w:rsidDel="00000000" w:rsidR="00000000" w:rsidRPr="00000000">
        <w:rPr>
          <w:rFonts w:ascii="Arial" w:cs="Arial" w:eastAsia="Arial" w:hAnsi="Arial"/>
          <w:i w:val="1"/>
          <w:sz w:val="22"/>
          <w:szCs w:val="22"/>
          <w:rtl w:val="0"/>
        </w:rPr>
        <w:t xml:space="preserve">Research in Learning Technology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26</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sz w:val="22"/>
          <w:szCs w:val="22"/>
          <w:rtl w:val="0"/>
        </w:rPr>
        <w:t xml:space="preserve">Buil, I., Martínez, E. and Matute, J., 2019. Transformational leadership and employee performance: The role of identification, engagement and proactive personality. </w:t>
      </w:r>
      <w:r w:rsidDel="00000000" w:rsidR="00000000" w:rsidRPr="00000000">
        <w:rPr>
          <w:rFonts w:ascii="Arial" w:cs="Arial" w:eastAsia="Arial" w:hAnsi="Arial"/>
          <w:i w:val="1"/>
          <w:sz w:val="22"/>
          <w:szCs w:val="22"/>
          <w:rtl w:val="0"/>
        </w:rPr>
        <w:t xml:space="preserve">International Journal of Hospitality Management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77</w:t>
      </w:r>
      <w:r w:rsidDel="00000000" w:rsidR="00000000" w:rsidRPr="00000000">
        <w:rPr>
          <w:rFonts w:ascii="Arial" w:cs="Arial" w:eastAsia="Arial" w:hAnsi="Arial"/>
          <w:sz w:val="22"/>
          <w:szCs w:val="22"/>
          <w:rtl w:val="0"/>
        </w:rPr>
        <w:t xml:space="preserve">, pp.64-75.</w:t>
      </w:r>
    </w:p>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sz w:val="22"/>
          <w:szCs w:val="22"/>
          <w:rtl w:val="0"/>
        </w:rPr>
        <w:t xml:space="preserve">Butt, M.A., Nawaz, F., Hussain, S., Sousa, M.J., Wang, M., Sumbal, M.S. and Shujahat, M., 2019. Individual knowledge management engagement, knowledge-worker productivity, and innovation performance in knowledge-based organizations: the implications for knowledge processes and knowledge-based systems. </w:t>
      </w:r>
      <w:r w:rsidDel="00000000" w:rsidR="00000000" w:rsidRPr="00000000">
        <w:rPr>
          <w:rFonts w:ascii="Arial" w:cs="Arial" w:eastAsia="Arial" w:hAnsi="Arial"/>
          <w:i w:val="1"/>
          <w:sz w:val="22"/>
          <w:szCs w:val="22"/>
          <w:rtl w:val="0"/>
        </w:rPr>
        <w:t xml:space="preserve">Computational and Mathematical Organization Theory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25</w:t>
      </w:r>
      <w:r w:rsidDel="00000000" w:rsidR="00000000" w:rsidRPr="00000000">
        <w:rPr>
          <w:rFonts w:ascii="Arial" w:cs="Arial" w:eastAsia="Arial" w:hAnsi="Arial"/>
          <w:sz w:val="22"/>
          <w:szCs w:val="22"/>
          <w:rtl w:val="0"/>
        </w:rPr>
        <w:t xml:space="preserve">(3), pp.336-356.</w:t>
      </w:r>
    </w:p>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Empowerment, W.E., 2018. A review of literature on the associations among employee empowerment, work engagement and employee performance. </w:t>
      </w:r>
      <w:r w:rsidDel="00000000" w:rsidR="00000000" w:rsidRPr="00000000">
        <w:rPr>
          <w:rFonts w:ascii="Arial" w:cs="Arial" w:eastAsia="Arial" w:hAnsi="Arial"/>
          <w:i w:val="1"/>
          <w:sz w:val="22"/>
          <w:szCs w:val="22"/>
          <w:rtl w:val="0"/>
        </w:rPr>
        <w:t xml:space="preserve">Modern Applied Science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12</w:t>
      </w:r>
      <w:r w:rsidDel="00000000" w:rsidR="00000000" w:rsidRPr="00000000">
        <w:rPr>
          <w:rFonts w:ascii="Arial" w:cs="Arial" w:eastAsia="Arial" w:hAnsi="Arial"/>
          <w:sz w:val="22"/>
          <w:szCs w:val="22"/>
          <w:rtl w:val="0"/>
        </w:rPr>
        <w:t xml:space="preserve">(11), pp.313-329.</w:t>
      </w:r>
    </w:p>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Linggiallo, H., Riadi, S., Hariyadi, S. and Adhimursandi, D., 2021. The effect of predictor variables on employee engagement and organizational commitment and employee performance. </w:t>
      </w:r>
      <w:r w:rsidDel="00000000" w:rsidR="00000000" w:rsidRPr="00000000">
        <w:rPr>
          <w:rFonts w:ascii="Arial" w:cs="Arial" w:eastAsia="Arial" w:hAnsi="Arial"/>
          <w:i w:val="1"/>
          <w:sz w:val="22"/>
          <w:szCs w:val="22"/>
          <w:rtl w:val="0"/>
        </w:rPr>
        <w:t xml:space="preserve">Management Science Letters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11</w:t>
      </w:r>
      <w:r w:rsidDel="00000000" w:rsidR="00000000" w:rsidRPr="00000000">
        <w:rPr>
          <w:rFonts w:ascii="Arial" w:cs="Arial" w:eastAsia="Arial" w:hAnsi="Arial"/>
          <w:sz w:val="22"/>
          <w:szCs w:val="22"/>
          <w:rtl w:val="0"/>
        </w:rPr>
        <w:t xml:space="preserve">(1), pp.31-40.</w:t>
      </w:r>
    </w:p>
    <w:p w:rsidR="00000000" w:rsidDel="00000000" w:rsidP="00000000" w:rsidRDefault="00000000" w:rsidRPr="00000000" w14:paraId="00000040">
      <w:pPr>
        <w:rPr>
          <w:rFonts w:ascii="Arial" w:cs="Arial" w:eastAsia="Arial" w:hAnsi="Arial"/>
          <w:sz w:val="22"/>
          <w:szCs w:val="22"/>
        </w:rPr>
      </w:pPr>
      <w:r w:rsidDel="00000000" w:rsidR="00000000" w:rsidRPr="00000000">
        <w:rPr>
          <w:rFonts w:ascii="Arial" w:cs="Arial" w:eastAsia="Arial" w:hAnsi="Arial"/>
          <w:sz w:val="22"/>
          <w:szCs w:val="22"/>
          <w:rtl w:val="0"/>
        </w:rPr>
        <w:t xml:space="preserve">M&amp;S, 2022. </w:t>
      </w:r>
      <w:r w:rsidDel="00000000" w:rsidR="00000000" w:rsidRPr="00000000">
        <w:rPr>
          <w:rFonts w:ascii="Arial" w:cs="Arial" w:eastAsia="Arial" w:hAnsi="Arial"/>
          <w:i w:val="1"/>
          <w:sz w:val="22"/>
          <w:szCs w:val="22"/>
          <w:rtl w:val="0"/>
        </w:rPr>
        <w:t xml:space="preserve">Home</w:t>
      </w:r>
      <w:r w:rsidDel="00000000" w:rsidR="00000000" w:rsidRPr="00000000">
        <w:rPr>
          <w:rFonts w:ascii="Arial" w:cs="Arial" w:eastAsia="Arial" w:hAnsi="Arial"/>
          <w:sz w:val="22"/>
          <w:szCs w:val="22"/>
          <w:rtl w:val="0"/>
        </w:rPr>
        <w:t xml:space="preserve"> [Online]. Accessed through: &lt; </w:t>
      </w:r>
      <w:hyperlink r:id="rId8">
        <w:r w:rsidDel="00000000" w:rsidR="00000000" w:rsidRPr="00000000">
          <w:rPr>
            <w:rFonts w:ascii="Arial" w:cs="Arial" w:eastAsia="Arial" w:hAnsi="Arial"/>
            <w:color w:val="0000ff"/>
            <w:sz w:val="22"/>
            <w:szCs w:val="22"/>
            <w:u w:val="single"/>
            <w:rtl w:val="0"/>
          </w:rPr>
          <w:t xml:space="preserve">https://www.marksandspencer.com/</w:t>
        </w:r>
      </w:hyperlink>
      <w:r w:rsidDel="00000000" w:rsidR="00000000" w:rsidRPr="00000000">
        <w:rPr>
          <w:rFonts w:ascii="Arial" w:cs="Arial" w:eastAsia="Arial" w:hAnsi="Arial"/>
          <w:sz w:val="22"/>
          <w:szCs w:val="22"/>
          <w:rtl w:val="0"/>
        </w:rPr>
        <w:t xml:space="preserve">&gt;. [Accessed on 20</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April, 2022]. </w:t>
      </w:r>
    </w:p>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McCabe, J. and O'Bryant, M., 2019. How Does a Company Best Engage and Attract Recent Graduates Leveraging Their Employee Value Proposition (EVP) and Employer Brand?.</w:t>
      </w:r>
    </w:p>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Motyka, B., 2018. Employee engagement and performance: a systematic literature review. </w:t>
      </w:r>
      <w:r w:rsidDel="00000000" w:rsidR="00000000" w:rsidRPr="00000000">
        <w:rPr>
          <w:rFonts w:ascii="Arial" w:cs="Arial" w:eastAsia="Arial" w:hAnsi="Arial"/>
          <w:i w:val="1"/>
          <w:sz w:val="22"/>
          <w:szCs w:val="22"/>
          <w:rtl w:val="0"/>
        </w:rPr>
        <w:t xml:space="preserve">International Journal of Management and Economics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54</w:t>
      </w:r>
      <w:r w:rsidDel="00000000" w:rsidR="00000000" w:rsidRPr="00000000">
        <w:rPr>
          <w:rFonts w:ascii="Arial" w:cs="Arial" w:eastAsia="Arial" w:hAnsi="Arial"/>
          <w:sz w:val="22"/>
          <w:szCs w:val="22"/>
          <w:rtl w:val="0"/>
        </w:rPr>
        <w:t xml:space="preserve">(3), pp.227-244.</w:t>
      </w:r>
    </w:p>
    <w:p w:rsidR="00000000" w:rsidDel="00000000" w:rsidP="00000000" w:rsidRDefault="00000000" w:rsidRPr="00000000" w14:paraId="00000043">
      <w:pPr>
        <w:rPr>
          <w:rFonts w:ascii="Arial" w:cs="Arial" w:eastAsia="Arial" w:hAnsi="Arial"/>
          <w:sz w:val="22"/>
          <w:szCs w:val="22"/>
        </w:rPr>
      </w:pPr>
      <w:r w:rsidDel="00000000" w:rsidR="00000000" w:rsidRPr="00000000">
        <w:rPr>
          <w:rFonts w:ascii="Arial" w:cs="Arial" w:eastAsia="Arial" w:hAnsi="Arial"/>
          <w:sz w:val="22"/>
          <w:szCs w:val="22"/>
          <w:rtl w:val="0"/>
        </w:rPr>
        <w:t xml:space="preserve">Motyka, B., 2018. Employee engagement and performance: a systematic literature review. </w:t>
      </w:r>
      <w:r w:rsidDel="00000000" w:rsidR="00000000" w:rsidRPr="00000000">
        <w:rPr>
          <w:rFonts w:ascii="Arial" w:cs="Arial" w:eastAsia="Arial" w:hAnsi="Arial"/>
          <w:i w:val="1"/>
          <w:sz w:val="22"/>
          <w:szCs w:val="22"/>
          <w:rtl w:val="0"/>
        </w:rPr>
        <w:t xml:space="preserve">International Journal of Management and Economics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54</w:t>
      </w:r>
      <w:r w:rsidDel="00000000" w:rsidR="00000000" w:rsidRPr="00000000">
        <w:rPr>
          <w:rFonts w:ascii="Arial" w:cs="Arial" w:eastAsia="Arial" w:hAnsi="Arial"/>
          <w:sz w:val="22"/>
          <w:szCs w:val="22"/>
          <w:rtl w:val="0"/>
        </w:rPr>
        <w:t xml:space="preserve">(3), pp.227-244.</w:t>
      </w:r>
    </w:p>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Parke, M.R., Weinhardt, J.M., Brodsky, A., Tangirala, S. and DeVoe, S.E., 2018. When daily planning improves employee performance: The importance of planning type, engagement, and interruptions. </w:t>
      </w:r>
      <w:r w:rsidDel="00000000" w:rsidR="00000000" w:rsidRPr="00000000">
        <w:rPr>
          <w:rFonts w:ascii="Arial" w:cs="Arial" w:eastAsia="Arial" w:hAnsi="Arial"/>
          <w:i w:val="1"/>
          <w:sz w:val="22"/>
          <w:szCs w:val="22"/>
          <w:rtl w:val="0"/>
        </w:rPr>
        <w:t xml:space="preserve">Journal of Applied Psychology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103</w:t>
      </w:r>
      <w:r w:rsidDel="00000000" w:rsidR="00000000" w:rsidRPr="00000000">
        <w:rPr>
          <w:rFonts w:ascii="Arial" w:cs="Arial" w:eastAsia="Arial" w:hAnsi="Arial"/>
          <w:sz w:val="22"/>
          <w:szCs w:val="22"/>
          <w:rtl w:val="0"/>
        </w:rPr>
        <w:t xml:space="preserve">(3), p.300.</w:t>
      </w:r>
    </w:p>
    <w:p w:rsidR="00000000" w:rsidDel="00000000" w:rsidP="00000000" w:rsidRDefault="00000000" w:rsidRPr="00000000" w14:paraId="00000045">
      <w:pPr>
        <w:rPr>
          <w:rFonts w:ascii="Arial" w:cs="Arial" w:eastAsia="Arial" w:hAnsi="Arial"/>
          <w:sz w:val="22"/>
          <w:szCs w:val="22"/>
        </w:rPr>
      </w:pPr>
      <w:r w:rsidDel="00000000" w:rsidR="00000000" w:rsidRPr="00000000">
        <w:rPr>
          <w:rFonts w:ascii="Arial" w:cs="Arial" w:eastAsia="Arial" w:hAnsi="Arial"/>
          <w:sz w:val="22"/>
          <w:szCs w:val="22"/>
          <w:rtl w:val="0"/>
        </w:rPr>
        <w:t xml:space="preserve">POTOLEA, D. and TOMA, S.,2022. AN INTEGRATED APPROACH OF THE PROFESSIONAL DEVELOPMENT. SOME IMPLICATIONS TO DISTANCE-EDUCATION.</w:t>
      </w:r>
    </w:p>
    <w:p w:rsidR="00000000" w:rsidDel="00000000" w:rsidP="00000000" w:rsidRDefault="00000000" w:rsidRPr="00000000" w14:paraId="00000046">
      <w:pPr>
        <w:rPr>
          <w:rFonts w:ascii="Arial" w:cs="Arial" w:eastAsia="Arial" w:hAnsi="Arial"/>
          <w:sz w:val="22"/>
          <w:szCs w:val="22"/>
        </w:rPr>
      </w:pPr>
      <w:r w:rsidDel="00000000" w:rsidR="00000000" w:rsidRPr="00000000">
        <w:rPr>
          <w:rFonts w:ascii="Arial" w:cs="Arial" w:eastAsia="Arial" w:hAnsi="Arial"/>
          <w:sz w:val="22"/>
          <w:szCs w:val="22"/>
          <w:rtl w:val="0"/>
        </w:rPr>
        <w:t xml:space="preserve">Puspitasari, A.S.A. and Darwin, M., 2021. Effect of Work-Life Balance and Welfare Level on Millennial Employee Performance Through Work Engagement. </w:t>
      </w:r>
      <w:r w:rsidDel="00000000" w:rsidR="00000000" w:rsidRPr="00000000">
        <w:rPr>
          <w:rFonts w:ascii="Arial" w:cs="Arial" w:eastAsia="Arial" w:hAnsi="Arial"/>
          <w:i w:val="1"/>
          <w:sz w:val="22"/>
          <w:szCs w:val="22"/>
          <w:rtl w:val="0"/>
        </w:rPr>
        <w:t xml:space="preserve">International Journal of Science and Society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3</w:t>
      </w:r>
      <w:r w:rsidDel="00000000" w:rsidR="00000000" w:rsidRPr="00000000">
        <w:rPr>
          <w:rFonts w:ascii="Arial" w:cs="Arial" w:eastAsia="Arial" w:hAnsi="Arial"/>
          <w:sz w:val="22"/>
          <w:szCs w:val="22"/>
          <w:rtl w:val="0"/>
        </w:rPr>
        <w:t xml:space="preserve">(1), pp.334-344.</w:t>
      </w:r>
    </w:p>
    <w:p w:rsidR="00000000" w:rsidDel="00000000" w:rsidP="00000000" w:rsidRDefault="00000000" w:rsidRPr="00000000" w14:paraId="00000047">
      <w:pPr>
        <w:rPr>
          <w:rFonts w:ascii="Arial" w:cs="Arial" w:eastAsia="Arial" w:hAnsi="Arial"/>
          <w:sz w:val="22"/>
          <w:szCs w:val="22"/>
        </w:rPr>
      </w:pPr>
      <w:r w:rsidDel="00000000" w:rsidR="00000000" w:rsidRPr="00000000">
        <w:rPr>
          <w:rFonts w:ascii="Arial" w:cs="Arial" w:eastAsia="Arial" w:hAnsi="Arial"/>
          <w:sz w:val="22"/>
          <w:szCs w:val="22"/>
          <w:rtl w:val="0"/>
        </w:rPr>
        <w:t xml:space="preserve">Riyanto, S., Endri, E. and Herlisha, N., 2021. Effect of work motivation and job satisfaction on employee performance: Mediating role of employee engagement. </w:t>
      </w:r>
      <w:r w:rsidDel="00000000" w:rsidR="00000000" w:rsidRPr="00000000">
        <w:rPr>
          <w:rFonts w:ascii="Arial" w:cs="Arial" w:eastAsia="Arial" w:hAnsi="Arial"/>
          <w:i w:val="1"/>
          <w:sz w:val="22"/>
          <w:szCs w:val="22"/>
          <w:rtl w:val="0"/>
        </w:rPr>
        <w:t xml:space="preserve">Problems and Perspectives in Management</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19</w:t>
      </w:r>
      <w:r w:rsidDel="00000000" w:rsidR="00000000" w:rsidRPr="00000000">
        <w:rPr>
          <w:rFonts w:ascii="Arial" w:cs="Arial" w:eastAsia="Arial" w:hAnsi="Arial"/>
          <w:sz w:val="22"/>
          <w:szCs w:val="22"/>
          <w:rtl w:val="0"/>
        </w:rPr>
        <w:t xml:space="preserve">(3), pp.162-174.</w:t>
      </w:r>
    </w:p>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Satata, D.B.M., 2021. Employee engagement as an effort to improve work performance: literature review. </w:t>
      </w:r>
      <w:r w:rsidDel="00000000" w:rsidR="00000000" w:rsidRPr="00000000">
        <w:rPr>
          <w:rFonts w:ascii="Arial" w:cs="Arial" w:eastAsia="Arial" w:hAnsi="Arial"/>
          <w:i w:val="1"/>
          <w:sz w:val="22"/>
          <w:szCs w:val="22"/>
          <w:rtl w:val="0"/>
        </w:rPr>
        <w:t xml:space="preserve">Ilomata International Journal of Social Science</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w:t>
      </w:r>
      <w:r w:rsidDel="00000000" w:rsidR="00000000" w:rsidRPr="00000000">
        <w:rPr>
          <w:rFonts w:ascii="Arial" w:cs="Arial" w:eastAsia="Arial" w:hAnsi="Arial"/>
          <w:sz w:val="22"/>
          <w:szCs w:val="22"/>
          <w:rtl w:val="0"/>
        </w:rPr>
        <w:t xml:space="preserve">(1), pp.41-49.</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Siswanto, S., Maulidiyah, Z. and Masyhuri, M., 2021. Employee engagement and motivation as mediators between the linkage of reward with employee performance. </w:t>
      </w:r>
      <w:r w:rsidDel="00000000" w:rsidR="00000000" w:rsidRPr="00000000">
        <w:rPr>
          <w:rFonts w:ascii="Arial" w:cs="Arial" w:eastAsia="Arial" w:hAnsi="Arial"/>
          <w:i w:val="1"/>
          <w:sz w:val="22"/>
          <w:szCs w:val="22"/>
          <w:rtl w:val="0"/>
        </w:rPr>
        <w:t xml:space="preserve">The Journal of Asian Finance, Economics and Business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8</w:t>
      </w:r>
      <w:r w:rsidDel="00000000" w:rsidR="00000000" w:rsidRPr="00000000">
        <w:rPr>
          <w:rFonts w:ascii="Arial" w:cs="Arial" w:eastAsia="Arial" w:hAnsi="Arial"/>
          <w:sz w:val="22"/>
          <w:szCs w:val="22"/>
          <w:rtl w:val="0"/>
        </w:rPr>
        <w:t xml:space="preserve">(2), pp.625-633.</w:t>
      </w:r>
    </w:p>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Smith, C.R., Julie, C., Nel, B.P. and Gierdien, F., 2022. MATHEMATICS TEACHERS’PREFERENCES REGARDING CONTINUOUS PROFESSIONAL DEVELOPMENT ACTIVITIES. </w:t>
      </w:r>
      <w:r w:rsidDel="00000000" w:rsidR="00000000" w:rsidRPr="00000000">
        <w:rPr>
          <w:rFonts w:ascii="Arial" w:cs="Arial" w:eastAsia="Arial" w:hAnsi="Arial"/>
          <w:i w:val="1"/>
          <w:sz w:val="22"/>
          <w:szCs w:val="22"/>
          <w:rtl w:val="0"/>
        </w:rPr>
        <w:t xml:space="preserve">BOOK OF PROCEEDINGS–LONG PAPERS</w:t>
      </w:r>
      <w:r w:rsidDel="00000000" w:rsidR="00000000" w:rsidRPr="00000000">
        <w:rPr>
          <w:rFonts w:ascii="Arial" w:cs="Arial" w:eastAsia="Arial" w:hAnsi="Arial"/>
          <w:sz w:val="22"/>
          <w:szCs w:val="22"/>
          <w:rtl w:val="0"/>
        </w:rPr>
        <w:t xml:space="preserve">, p.134.</w:t>
      </w:r>
    </w:p>
    <w:p w:rsidR="00000000" w:rsidDel="00000000" w:rsidP="00000000" w:rsidRDefault="00000000" w:rsidRPr="00000000" w14:paraId="0000004B">
      <w:pPr>
        <w:rPr>
          <w:rFonts w:ascii="Arial" w:cs="Arial" w:eastAsia="Arial" w:hAnsi="Arial"/>
          <w:sz w:val="22"/>
          <w:szCs w:val="22"/>
        </w:rPr>
      </w:pPr>
      <w:r w:rsidDel="00000000" w:rsidR="00000000" w:rsidRPr="00000000">
        <w:rPr>
          <w:rFonts w:ascii="Arial" w:cs="Arial" w:eastAsia="Arial" w:hAnsi="Arial"/>
          <w:sz w:val="22"/>
          <w:szCs w:val="22"/>
          <w:rtl w:val="0"/>
        </w:rPr>
        <w:t xml:space="preserve">Soyer, C., Balkin, D. and Amar, F., 2021. Unpacking the effect of autonomous motivation on workplace performance: Engagement and distributive justice matter!. </w:t>
      </w:r>
      <w:r w:rsidDel="00000000" w:rsidR="00000000" w:rsidRPr="00000000">
        <w:rPr>
          <w:rFonts w:ascii="Arial" w:cs="Arial" w:eastAsia="Arial" w:hAnsi="Arial"/>
          <w:i w:val="1"/>
          <w:sz w:val="22"/>
          <w:szCs w:val="22"/>
          <w:rtl w:val="0"/>
        </w:rPr>
        <w:t xml:space="preserve">European Management Review</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4C">
      <w:pPr>
        <w:rPr>
          <w:rFonts w:ascii="Arial" w:cs="Arial" w:eastAsia="Arial" w:hAnsi="Arial"/>
          <w:sz w:val="22"/>
          <w:szCs w:val="22"/>
        </w:rPr>
      </w:pPr>
      <w:r w:rsidDel="00000000" w:rsidR="00000000" w:rsidRPr="00000000">
        <w:rPr>
          <w:rFonts w:ascii="Arial" w:cs="Arial" w:eastAsia="Arial" w:hAnsi="Arial"/>
          <w:sz w:val="22"/>
          <w:szCs w:val="22"/>
          <w:rtl w:val="0"/>
        </w:rPr>
        <w:t xml:space="preserve">Stirpe, L., Profili, S. and Sammarra, A., 2022. Satisfaction with HR practices and employee performance: A moderated mediation model of engagement and health. </w:t>
      </w:r>
      <w:r w:rsidDel="00000000" w:rsidR="00000000" w:rsidRPr="00000000">
        <w:rPr>
          <w:rFonts w:ascii="Arial" w:cs="Arial" w:eastAsia="Arial" w:hAnsi="Arial"/>
          <w:i w:val="1"/>
          <w:sz w:val="22"/>
          <w:szCs w:val="22"/>
          <w:rtl w:val="0"/>
        </w:rPr>
        <w:t xml:space="preserve">European Management Journal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40</w:t>
      </w:r>
      <w:r w:rsidDel="00000000" w:rsidR="00000000" w:rsidRPr="00000000">
        <w:rPr>
          <w:rFonts w:ascii="Arial" w:cs="Arial" w:eastAsia="Arial" w:hAnsi="Arial"/>
          <w:sz w:val="22"/>
          <w:szCs w:val="22"/>
          <w:rtl w:val="0"/>
        </w:rPr>
        <w:t xml:space="preserve">(2), pp.295-305.</w:t>
      </w:r>
    </w:p>
    <w:p w:rsidR="00000000" w:rsidDel="00000000" w:rsidP="00000000" w:rsidRDefault="00000000" w:rsidRPr="00000000" w14:paraId="0000004D">
      <w:pPr>
        <w:rPr>
          <w:rFonts w:ascii="Arial" w:cs="Arial" w:eastAsia="Arial" w:hAnsi="Arial"/>
          <w:color w:val="222222"/>
          <w:sz w:val="22"/>
          <w:szCs w:val="22"/>
        </w:rPr>
      </w:pPr>
      <w:r w:rsidDel="00000000" w:rsidR="00000000" w:rsidRPr="00000000">
        <w:rPr>
          <w:rFonts w:ascii="Arial" w:cs="Arial" w:eastAsia="Arial" w:hAnsi="Arial"/>
          <w:sz w:val="22"/>
          <w:szCs w:val="22"/>
          <w:rtl w:val="0"/>
        </w:rPr>
        <w:t xml:space="preserve">Yacine, L., 2021. </w:t>
      </w:r>
      <w:r w:rsidDel="00000000" w:rsidR="00000000" w:rsidRPr="00000000">
        <w:rPr>
          <w:rFonts w:ascii="Arial" w:cs="Arial" w:eastAsia="Arial" w:hAnsi="Arial"/>
          <w:i w:val="1"/>
          <w:sz w:val="22"/>
          <w:szCs w:val="22"/>
          <w:rtl w:val="0"/>
        </w:rPr>
        <w:t xml:space="preserve">EMPLOYEES-AS-CUSTOMERS: COUPLING THE EMPLOYEE VALUE PROPOSITION AND MILLENNIALS’EXPERIENCE IN THE CONSTRUCTION OF THE INTERNAL BRAND</w:t>
      </w:r>
      <w:r w:rsidDel="00000000" w:rsidR="00000000" w:rsidRPr="00000000">
        <w:rPr>
          <w:rFonts w:ascii="Arial" w:cs="Arial" w:eastAsia="Arial" w:hAnsi="Arial"/>
          <w:sz w:val="22"/>
          <w:szCs w:val="22"/>
          <w:rtl w:val="0"/>
        </w:rPr>
        <w:t xml:space="preserve"> (Doctoral dissertation, Tampere University).</w:t>
      </w:r>
      <w:r w:rsidDel="00000000" w:rsidR="00000000" w:rsidRPr="00000000">
        <w:rPr>
          <w:rFonts w:ascii="Arial" w:cs="Arial" w:eastAsia="Arial" w:hAnsi="Arial"/>
          <w:color w:val="222222"/>
          <w:sz w:val="22"/>
          <w:szCs w:val="22"/>
          <w:rtl w:val="0"/>
        </w:rPr>
        <w:t xml:space="preserve"> </w:t>
      </w:r>
    </w:p>
    <w:p w:rsidR="00000000" w:rsidDel="00000000" w:rsidP="00000000" w:rsidRDefault="00000000" w:rsidRPr="00000000" w14:paraId="000000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sectPr>
      <w:foot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Lucida Sans"/>
  <w:font w:name="Book Antiqu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highlight w:val="white"/>
        <w:lang w:val="en-US"/>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color w:val="000000"/>
      <w:sz w:val="28"/>
      <w:szCs w:val="28"/>
    </w:rPr>
  </w:style>
  <w:style w:type="paragraph" w:styleId="Heading2">
    <w:name w:val="heading 2"/>
    <w:basedOn w:val="Normal"/>
    <w:next w:val="Normal"/>
    <w:pPr>
      <w:keepNext w:val="1"/>
      <w:keepLines w:val="1"/>
    </w:pPr>
    <w:rPr>
      <w:color w:val="000000"/>
      <w:u w:val="single"/>
    </w:rPr>
  </w:style>
  <w:style w:type="paragraph" w:styleId="Heading3">
    <w:name w:val="heading 3"/>
    <w:basedOn w:val="Normal"/>
    <w:next w:val="Normal"/>
    <w:pPr>
      <w:keepNext w:val="1"/>
      <w:keepLines w:val="1"/>
    </w:pPr>
    <w:rPr>
      <w:b w:val="1"/>
      <w:i w:val="1"/>
      <w:color w:val="000000"/>
    </w:rPr>
  </w:style>
  <w:style w:type="paragraph" w:styleId="Heading4">
    <w:name w:val="heading 4"/>
    <w:basedOn w:val="Normal"/>
    <w:next w:val="Normal"/>
    <w:pPr>
      <w:keepNext w:val="1"/>
      <w:keepLines w:val="1"/>
      <w:spacing w:before="200" w:lineRule="auto"/>
    </w:pPr>
    <w:rPr>
      <w:rFonts w:ascii="Lucida Sans" w:cs="Lucida Sans" w:eastAsia="Lucida Sans" w:hAnsi="Lucida Sans"/>
      <w:b w:val="1"/>
      <w:i w:val="1"/>
      <w:color w:val="4f81bd"/>
    </w:rPr>
  </w:style>
  <w:style w:type="paragraph" w:styleId="Heading5">
    <w:name w:val="heading 5"/>
    <w:basedOn w:val="Normal"/>
    <w:next w:val="Normal"/>
    <w:pPr>
      <w:keepNext w:val="1"/>
      <w:keepLines w:val="1"/>
      <w:spacing w:before="200" w:lineRule="auto"/>
    </w:pPr>
    <w:rPr>
      <w:rFonts w:ascii="Lucida Sans" w:cs="Lucida Sans" w:eastAsia="Lucida Sans" w:hAnsi="Lucida Sans"/>
      <w:color w:val="243f61"/>
    </w:rPr>
  </w:style>
  <w:style w:type="paragraph" w:styleId="Heading6">
    <w:name w:val="heading 6"/>
    <w:basedOn w:val="Normal"/>
    <w:next w:val="Normal"/>
    <w:pPr>
      <w:keepNext w:val="1"/>
      <w:keepLines w:val="1"/>
      <w:spacing w:before="200" w:lineRule="auto"/>
    </w:pPr>
    <w:rPr>
      <w:rFonts w:ascii="Lucida Sans" w:cs="Lucida Sans" w:eastAsia="Lucida Sans" w:hAnsi="Lucida Sans"/>
      <w:i w:val="1"/>
      <w:color w:val="243f61"/>
    </w:rPr>
  </w:style>
  <w:style w:type="paragraph" w:styleId="Title">
    <w:name w:val="Title"/>
    <w:basedOn w:val="Normal"/>
    <w:next w:val="Normal"/>
    <w:pPr>
      <w:pBdr>
        <w:bottom w:color="4f81bd" w:space="4" w:sz="8" w:val="single"/>
      </w:pBdr>
      <w:spacing w:after="300" w:line="240" w:lineRule="auto"/>
    </w:pPr>
    <w:rPr>
      <w:sz w:val="52"/>
      <w:szCs w:val="52"/>
    </w:rPr>
  </w:style>
  <w:style w:type="paragraph" w:styleId="Normal" w:default="1">
    <w:name w:val="Normal"/>
    <w:qFormat w:val="1"/>
    <w:rsid w:val="003A3087"/>
    <w:pPr>
      <w:spacing w:after="0" w:line="360" w:lineRule="auto"/>
      <w:jc w:val="both"/>
    </w:pPr>
    <w:rPr>
      <w:rFonts w:ascii="Times New Roman" w:hAnsi="Times New Roman"/>
      <w:sz w:val="24"/>
      <w:shd w:color="auto" w:fill="ffffff" w:val="clear"/>
    </w:rPr>
  </w:style>
  <w:style w:type="paragraph" w:styleId="Heading1">
    <w:name w:val="heading 1"/>
    <w:basedOn w:val="Normal"/>
    <w:next w:val="Normal"/>
    <w:link w:val="Heading1Char"/>
    <w:uiPriority w:val="9"/>
    <w:qFormat w:val="1"/>
    <w:rsid w:val="002C66AA"/>
    <w:pPr>
      <w:keepNext w:val="1"/>
      <w:keepLines w:val="1"/>
      <w:outlineLvl w:val="0"/>
    </w:pPr>
    <w:rPr>
      <w:rFonts w:cstheme="majorBidi" w:eastAsiaTheme="majorEastAsia"/>
      <w:b w:val="1"/>
      <w:bCs w:val="1"/>
      <w:color w:val="000000" w:themeColor="text1"/>
      <w:sz w:val="28"/>
      <w:szCs w:val="28"/>
    </w:rPr>
  </w:style>
  <w:style w:type="paragraph" w:styleId="Heading2">
    <w:name w:val="heading 2"/>
    <w:basedOn w:val="Normal"/>
    <w:next w:val="Normal"/>
    <w:link w:val="Heading2Char"/>
    <w:uiPriority w:val="9"/>
    <w:unhideWhenUsed w:val="1"/>
    <w:qFormat w:val="1"/>
    <w:rsid w:val="002B2386"/>
    <w:pPr>
      <w:keepNext w:val="1"/>
      <w:keepLines w:val="1"/>
      <w:outlineLvl w:val="1"/>
    </w:pPr>
    <w:rPr>
      <w:rFonts w:cstheme="majorBidi" w:eastAsiaTheme="majorEastAsia"/>
      <w:bCs w:val="1"/>
      <w:color w:val="000000" w:themeColor="text1"/>
      <w:szCs w:val="26"/>
      <w:u w:val="single"/>
    </w:rPr>
  </w:style>
  <w:style w:type="paragraph" w:styleId="Heading3">
    <w:name w:val="heading 3"/>
    <w:basedOn w:val="Normal"/>
    <w:next w:val="Normal"/>
    <w:link w:val="Heading3Char"/>
    <w:uiPriority w:val="9"/>
    <w:unhideWhenUsed w:val="1"/>
    <w:qFormat w:val="1"/>
    <w:rsid w:val="00ED1EAF"/>
    <w:pPr>
      <w:keepNext w:val="1"/>
      <w:keepLines w:val="1"/>
      <w:outlineLvl w:val="2"/>
    </w:pPr>
    <w:rPr>
      <w:rFonts w:cstheme="majorBidi" w:eastAsiaTheme="majorEastAsia"/>
      <w:b w:val="1"/>
      <w:bCs w:val="1"/>
      <w:i w:val="1"/>
      <w:color w:val="000000" w:themeColor="text1"/>
    </w:rPr>
  </w:style>
  <w:style w:type="paragraph" w:styleId="Heading4">
    <w:name w:val="heading 4"/>
    <w:basedOn w:val="Normal"/>
    <w:next w:val="Normal"/>
    <w:link w:val="Heading4Char"/>
    <w:uiPriority w:val="9"/>
    <w:unhideWhenUsed w:val="1"/>
    <w:qFormat w:val="1"/>
    <w:rsid w:val="00A84819"/>
    <w:pPr>
      <w:keepNext w:val="1"/>
      <w:keepLines w:val="1"/>
      <w:spacing w:before="200"/>
      <w:outlineLvl w:val="3"/>
    </w:pPr>
    <w:rPr>
      <w:rFonts w:asciiTheme="majorHAnsi" w:cstheme="majorBidi" w:eastAsiaTheme="majorEastAsia" w:hAnsiTheme="majorHAnsi"/>
      <w:b w:val="1"/>
      <w:bCs w:val="1"/>
      <w:i w:val="1"/>
      <w:iCs w:val="1"/>
      <w:color w:val="4f81bd" w:themeColor="accent1"/>
    </w:rPr>
  </w:style>
  <w:style w:type="paragraph" w:styleId="Heading5">
    <w:name w:val="heading 5"/>
    <w:basedOn w:val="Normal"/>
    <w:next w:val="Normal"/>
    <w:link w:val="Heading5Char"/>
    <w:uiPriority w:val="9"/>
    <w:unhideWhenUsed w:val="1"/>
    <w:qFormat w:val="1"/>
    <w:rsid w:val="00FC794B"/>
    <w:pPr>
      <w:keepNext w:val="1"/>
      <w:keepLines w:val="1"/>
      <w:spacing w:before="200"/>
      <w:outlineLvl w:val="4"/>
    </w:pPr>
    <w:rPr>
      <w:rFonts w:asciiTheme="majorHAnsi" w:cstheme="majorBidi" w:eastAsiaTheme="majorEastAsia" w:hAnsiTheme="majorHAnsi"/>
      <w:color w:val="243f60" w:themeColor="accent1" w:themeShade="00007F"/>
    </w:rPr>
  </w:style>
  <w:style w:type="paragraph" w:styleId="Heading6">
    <w:name w:val="heading 6"/>
    <w:basedOn w:val="Normal"/>
    <w:next w:val="Normal"/>
    <w:link w:val="Heading6Char"/>
    <w:uiPriority w:val="9"/>
    <w:unhideWhenUsed w:val="1"/>
    <w:qFormat w:val="1"/>
    <w:rsid w:val="00FC794B"/>
    <w:pPr>
      <w:keepNext w:val="1"/>
      <w:keepLines w:val="1"/>
      <w:spacing w:before="200"/>
      <w:outlineLvl w:val="5"/>
    </w:pPr>
    <w:rPr>
      <w:rFonts w:asciiTheme="majorHAnsi" w:cstheme="majorBidi" w:eastAsiaTheme="majorEastAsia" w:hAnsiTheme="majorHAnsi"/>
      <w:i w:val="1"/>
      <w:iCs w:val="1"/>
      <w:color w:val="243f60" w:themeColor="accent1" w:themeShade="00007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m15408485597120198gmail-apple-converted-space" w:customStyle="1">
    <w:name w:val="m_15408485597120198gmail-apple-converted-space"/>
    <w:basedOn w:val="DefaultParagraphFont"/>
    <w:rsid w:val="00FE0A94"/>
  </w:style>
  <w:style w:type="character" w:styleId="Heading1Char" w:customStyle="1">
    <w:name w:val="Heading 1 Char"/>
    <w:basedOn w:val="DefaultParagraphFont"/>
    <w:link w:val="Heading1"/>
    <w:uiPriority w:val="9"/>
    <w:rsid w:val="002C66AA"/>
    <w:rPr>
      <w:rFonts w:ascii="Times New Roman" w:hAnsi="Times New Roman" w:cstheme="majorBidi" w:eastAsiaTheme="majorEastAsia"/>
      <w:b w:val="1"/>
      <w:bCs w:val="1"/>
      <w:color w:val="000000" w:themeColor="text1"/>
      <w:sz w:val="28"/>
      <w:szCs w:val="28"/>
    </w:rPr>
  </w:style>
  <w:style w:type="character" w:styleId="Heading2Char" w:customStyle="1">
    <w:name w:val="Heading 2 Char"/>
    <w:basedOn w:val="DefaultParagraphFont"/>
    <w:link w:val="Heading2"/>
    <w:uiPriority w:val="9"/>
    <w:rsid w:val="002B2386"/>
    <w:rPr>
      <w:rFonts w:ascii="Times New Roman" w:hAnsi="Times New Roman" w:cstheme="majorBidi" w:eastAsiaTheme="majorEastAsia"/>
      <w:bCs w:val="1"/>
      <w:color w:val="000000" w:themeColor="text1"/>
      <w:sz w:val="24"/>
      <w:szCs w:val="26"/>
      <w:u w:val="single"/>
    </w:rPr>
  </w:style>
  <w:style w:type="paragraph" w:styleId="ListParagraph">
    <w:name w:val="List Paragraph"/>
    <w:aliases w:val="Bullets,List Paragraph 2,List Paragraph1,Questions and numbered lists,Single bullet style,Table numbering"/>
    <w:basedOn w:val="Normal"/>
    <w:link w:val="ListParagraphChar"/>
    <w:uiPriority w:val="34"/>
    <w:qFormat w:val="1"/>
    <w:rsid w:val="002B2386"/>
    <w:pPr>
      <w:ind w:left="720"/>
      <w:contextualSpacing w:val="1"/>
    </w:pPr>
    <w:rPr>
      <w:lang w:val="ms-MY"/>
    </w:rPr>
  </w:style>
  <w:style w:type="paragraph" w:styleId="FootnoteText">
    <w:name w:val="footnote text"/>
    <w:basedOn w:val="Normal"/>
    <w:link w:val="FootnoteTextChar"/>
    <w:uiPriority w:val="99"/>
    <w:semiHidden w:val="1"/>
    <w:unhideWhenUsed w:val="1"/>
    <w:rsid w:val="002B2386"/>
    <w:pPr>
      <w:spacing w:line="240" w:lineRule="auto"/>
    </w:pPr>
    <w:rPr>
      <w:sz w:val="20"/>
      <w:szCs w:val="20"/>
    </w:rPr>
  </w:style>
  <w:style w:type="character" w:styleId="FootnoteTextChar" w:customStyle="1">
    <w:name w:val="Footnote Text Char"/>
    <w:basedOn w:val="DefaultParagraphFont"/>
    <w:link w:val="FootnoteText"/>
    <w:uiPriority w:val="99"/>
    <w:semiHidden w:val="1"/>
    <w:rsid w:val="002B2386"/>
    <w:rPr>
      <w:rFonts w:ascii="Times New Roman" w:hAnsi="Times New Roman"/>
      <w:sz w:val="20"/>
      <w:szCs w:val="20"/>
    </w:rPr>
  </w:style>
  <w:style w:type="character" w:styleId="FootnoteReference">
    <w:name w:val="footnote reference"/>
    <w:basedOn w:val="DefaultParagraphFont"/>
    <w:uiPriority w:val="99"/>
    <w:semiHidden w:val="1"/>
    <w:unhideWhenUsed w:val="1"/>
    <w:rsid w:val="002B2386"/>
    <w:rPr>
      <w:vertAlign w:val="superscript"/>
    </w:rPr>
  </w:style>
  <w:style w:type="table" w:styleId="TableGrid">
    <w:name w:val="Table Grid"/>
    <w:basedOn w:val="TableNormal"/>
    <w:uiPriority w:val="59"/>
    <w:rsid w:val="00F708F6"/>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BalloonText">
    <w:name w:val="Balloon Text"/>
    <w:basedOn w:val="Normal"/>
    <w:link w:val="BalloonTextChar"/>
    <w:uiPriority w:val="99"/>
    <w:semiHidden w:val="1"/>
    <w:unhideWhenUsed w:val="1"/>
    <w:rsid w:val="00DE4B0A"/>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DE4B0A"/>
    <w:rPr>
      <w:rFonts w:ascii="Tahoma" w:cs="Tahoma" w:hAnsi="Tahoma"/>
      <w:sz w:val="16"/>
      <w:szCs w:val="16"/>
    </w:rPr>
  </w:style>
  <w:style w:type="paragraph" w:styleId="Caption">
    <w:name w:val="caption"/>
    <w:basedOn w:val="Normal"/>
    <w:next w:val="Normal"/>
    <w:uiPriority w:val="35"/>
    <w:unhideWhenUsed w:val="1"/>
    <w:qFormat w:val="1"/>
    <w:rsid w:val="0033641B"/>
    <w:pPr>
      <w:spacing w:after="200" w:line="240" w:lineRule="auto"/>
    </w:pPr>
    <w:rPr>
      <w:b w:val="1"/>
      <w:bCs w:val="1"/>
      <w:color w:val="4f81bd" w:themeColor="accent1"/>
      <w:sz w:val="18"/>
      <w:szCs w:val="18"/>
    </w:rPr>
  </w:style>
  <w:style w:type="paragraph" w:styleId="Header">
    <w:name w:val="header"/>
    <w:basedOn w:val="Normal"/>
    <w:link w:val="HeaderChar"/>
    <w:uiPriority w:val="99"/>
    <w:unhideWhenUsed w:val="1"/>
    <w:rsid w:val="00D3379B"/>
    <w:pPr>
      <w:tabs>
        <w:tab w:val="center" w:pos="4680"/>
        <w:tab w:val="right" w:pos="9360"/>
      </w:tabs>
      <w:spacing w:line="240" w:lineRule="auto"/>
    </w:pPr>
  </w:style>
  <w:style w:type="character" w:styleId="HeaderChar" w:customStyle="1">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val="1"/>
    <w:rsid w:val="00D3379B"/>
    <w:pPr>
      <w:tabs>
        <w:tab w:val="center" w:pos="4680"/>
        <w:tab w:val="right" w:pos="9360"/>
      </w:tabs>
      <w:spacing w:line="240" w:lineRule="auto"/>
    </w:pPr>
  </w:style>
  <w:style w:type="character" w:styleId="FooterChar" w:customStyle="1">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val="1"/>
    <w:rsid w:val="003B23BA"/>
    <w:rPr>
      <w:color w:val="0000ff" w:themeColor="hyperlink"/>
      <w:u w:val="single"/>
    </w:rPr>
  </w:style>
  <w:style w:type="character" w:styleId="aqj" w:customStyle="1">
    <w:name w:val="aqj"/>
    <w:basedOn w:val="DefaultParagraphFont"/>
    <w:rsid w:val="0094191B"/>
  </w:style>
  <w:style w:type="paragraph" w:styleId="Bibliography">
    <w:name w:val="Bibliography"/>
    <w:basedOn w:val="Normal"/>
    <w:next w:val="Normal"/>
    <w:uiPriority w:val="37"/>
    <w:unhideWhenUsed w:val="1"/>
    <w:rsid w:val="00293023"/>
  </w:style>
  <w:style w:type="paragraph" w:styleId="Title">
    <w:name w:val="Title"/>
    <w:basedOn w:val="Normal"/>
    <w:next w:val="Normal"/>
    <w:link w:val="TitleChar"/>
    <w:uiPriority w:val="10"/>
    <w:qFormat w:val="1"/>
    <w:rsid w:val="00B14417"/>
    <w:pPr>
      <w:pBdr>
        <w:bottom w:color="4f81bd" w:space="4" w:sz="8" w:themeColor="accent1" w:val="single"/>
      </w:pBdr>
      <w:spacing w:after="300" w:line="240" w:lineRule="auto"/>
      <w:contextualSpacing w:val="1"/>
    </w:pPr>
    <w:rPr>
      <w:rFonts w:cstheme="majorBidi" w:eastAsiaTheme="majorEastAsia"/>
      <w:spacing w:val="5"/>
      <w:kern w:val="28"/>
      <w:sz w:val="52"/>
      <w:szCs w:val="52"/>
    </w:rPr>
  </w:style>
  <w:style w:type="character" w:styleId="TitleChar" w:customStyle="1">
    <w:name w:val="Title Char"/>
    <w:basedOn w:val="DefaultParagraphFont"/>
    <w:link w:val="Title"/>
    <w:uiPriority w:val="10"/>
    <w:rsid w:val="00B14417"/>
    <w:rPr>
      <w:rFonts w:ascii="Times New Roman" w:hAnsi="Times New Roman" w:cstheme="majorBidi" w:eastAsiaTheme="majorEastAsia"/>
      <w:spacing w:val="5"/>
      <w:kern w:val="28"/>
      <w:sz w:val="52"/>
      <w:szCs w:val="52"/>
    </w:rPr>
  </w:style>
  <w:style w:type="character" w:styleId="Heading3Char" w:customStyle="1">
    <w:name w:val="Heading 3 Char"/>
    <w:basedOn w:val="DefaultParagraphFont"/>
    <w:link w:val="Heading3"/>
    <w:uiPriority w:val="9"/>
    <w:rsid w:val="00ED1EAF"/>
    <w:rPr>
      <w:rFonts w:ascii="Times New Roman" w:hAnsi="Times New Roman" w:cstheme="majorBidi" w:eastAsiaTheme="majorEastAsia"/>
      <w:b w:val="1"/>
      <w:bCs w:val="1"/>
      <w:i w:val="1"/>
      <w:color w:val="000000" w:themeColor="text1"/>
      <w:sz w:val="24"/>
    </w:rPr>
  </w:style>
  <w:style w:type="paragraph" w:styleId="m8772925966304752777m2501475125118583379gmail-msolistparagraph" w:customStyle="1">
    <w:name w:val="m_8772925966304752777m_2501475125118583379gmail-msolistparagraph"/>
    <w:basedOn w:val="Normal"/>
    <w:rsid w:val="00951678"/>
    <w:pPr>
      <w:spacing w:after="100" w:afterAutospacing="1" w:before="100" w:beforeAutospacing="1" w:line="240" w:lineRule="auto"/>
      <w:jc w:val="left"/>
    </w:pPr>
    <w:rPr>
      <w:rFonts w:cs="Times New Roman" w:eastAsia="Times New Roman"/>
      <w:szCs w:val="24"/>
    </w:rPr>
  </w:style>
  <w:style w:type="character" w:styleId="Heading4Char" w:customStyle="1">
    <w:name w:val="Heading 4 Char"/>
    <w:basedOn w:val="DefaultParagraphFont"/>
    <w:link w:val="Heading4"/>
    <w:uiPriority w:val="9"/>
    <w:rsid w:val="00A84819"/>
    <w:rPr>
      <w:rFonts w:asciiTheme="majorHAnsi" w:cstheme="majorBidi" w:eastAsiaTheme="majorEastAsia" w:hAnsiTheme="majorHAnsi"/>
      <w:b w:val="1"/>
      <w:bCs w:val="1"/>
      <w:i w:val="1"/>
      <w:iCs w:val="1"/>
      <w:color w:val="4f81bd" w:themeColor="accent1"/>
      <w:sz w:val="24"/>
    </w:rPr>
  </w:style>
  <w:style w:type="paragraph" w:styleId="TOCHeading">
    <w:name w:val="TOC Heading"/>
    <w:basedOn w:val="Heading1"/>
    <w:next w:val="Normal"/>
    <w:uiPriority w:val="39"/>
    <w:semiHidden w:val="1"/>
    <w:unhideWhenUsed w:val="1"/>
    <w:qFormat w:val="1"/>
    <w:rsid w:val="008D6562"/>
    <w:pPr>
      <w:spacing w:before="480" w:line="276" w:lineRule="auto"/>
      <w:jc w:val="left"/>
      <w:outlineLvl w:val="9"/>
    </w:pPr>
    <w:rPr>
      <w:rFonts w:asciiTheme="majorHAnsi" w:hAnsiTheme="majorHAnsi"/>
      <w:color w:val="365f91" w:themeColor="accent1" w:themeShade="0000BF"/>
    </w:rPr>
  </w:style>
  <w:style w:type="paragraph" w:styleId="TOC2">
    <w:name w:val="toc 2"/>
    <w:basedOn w:val="Normal"/>
    <w:next w:val="Normal"/>
    <w:autoRedefine w:val="1"/>
    <w:uiPriority w:val="39"/>
    <w:unhideWhenUsed w:val="1"/>
    <w:rsid w:val="008D6562"/>
    <w:pPr>
      <w:spacing w:after="100"/>
      <w:ind w:left="240"/>
    </w:pPr>
  </w:style>
  <w:style w:type="paragraph" w:styleId="TOC1">
    <w:name w:val="toc 1"/>
    <w:basedOn w:val="Normal"/>
    <w:next w:val="Normal"/>
    <w:autoRedefine w:val="1"/>
    <w:uiPriority w:val="39"/>
    <w:unhideWhenUsed w:val="1"/>
    <w:rsid w:val="008D6562"/>
    <w:pPr>
      <w:spacing w:after="100"/>
    </w:pPr>
  </w:style>
  <w:style w:type="table" w:styleId="LightGrid-Accent11" w:customStyle="1">
    <w:name w:val="Light Grid - Accent 11"/>
    <w:basedOn w:val="TableNormal"/>
    <w:uiPriority w:val="62"/>
    <w:rsid w:val="002D2FF6"/>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paragraph" w:styleId="NoSpacing">
    <w:name w:val="No Spacing"/>
    <w:uiPriority w:val="1"/>
    <w:qFormat w:val="1"/>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val="1"/>
    <w:rsid w:val="00617D17"/>
  </w:style>
  <w:style w:type="paragraph" w:styleId="NormalWeb">
    <w:name w:val="Normal (Web)"/>
    <w:basedOn w:val="Normal"/>
    <w:uiPriority w:val="99"/>
    <w:semiHidden w:val="1"/>
    <w:unhideWhenUsed w:val="1"/>
    <w:rsid w:val="00B14790"/>
    <w:pPr>
      <w:spacing w:after="100" w:afterAutospacing="1" w:before="100" w:beforeAutospacing="1" w:line="240" w:lineRule="auto"/>
      <w:jc w:val="left"/>
    </w:pPr>
    <w:rPr>
      <w:rFonts w:cs="Times New Roman" w:eastAsia="Times New Roman"/>
      <w:szCs w:val="24"/>
      <w:shd w:color="auto" w:fill="auto" w:val="clear"/>
    </w:rPr>
  </w:style>
  <w:style w:type="paragraph" w:styleId="TOC3">
    <w:name w:val="toc 3"/>
    <w:basedOn w:val="Normal"/>
    <w:next w:val="Normal"/>
    <w:autoRedefine w:val="1"/>
    <w:uiPriority w:val="39"/>
    <w:unhideWhenUsed w:val="1"/>
    <w:rsid w:val="001C4D5A"/>
    <w:pPr>
      <w:spacing w:after="100"/>
      <w:ind w:left="480"/>
    </w:pPr>
  </w:style>
  <w:style w:type="character" w:styleId="PlaceholderText">
    <w:name w:val="Placeholder Text"/>
    <w:basedOn w:val="DefaultParagraphFont"/>
    <w:uiPriority w:val="99"/>
    <w:semiHidden w:val="1"/>
    <w:rsid w:val="007B0872"/>
    <w:rPr>
      <w:color w:val="808080"/>
    </w:rPr>
  </w:style>
  <w:style w:type="character" w:styleId="Strong">
    <w:name w:val="Strong"/>
    <w:basedOn w:val="DefaultParagraphFont"/>
    <w:uiPriority w:val="22"/>
    <w:qFormat w:val="1"/>
    <w:rsid w:val="00AD2ACA"/>
    <w:rPr>
      <w:b w:val="1"/>
      <w:bCs w:val="1"/>
    </w:rPr>
  </w:style>
  <w:style w:type="paragraph" w:styleId="m-4188834022657756158gmail-msolistparagraph" w:customStyle="1">
    <w:name w:val="m_-4188834022657756158gmail-msolistparagraph"/>
    <w:basedOn w:val="Normal"/>
    <w:rsid w:val="00AD2ACA"/>
    <w:pPr>
      <w:spacing w:after="100" w:afterAutospacing="1" w:before="100" w:beforeAutospacing="1" w:line="240" w:lineRule="auto"/>
      <w:jc w:val="left"/>
    </w:pPr>
    <w:rPr>
      <w:rFonts w:cs="Times New Roman" w:eastAsia="Times New Roman"/>
      <w:color w:val="000000" w:themeColor="text1"/>
      <w:szCs w:val="24"/>
      <w:shd w:color="auto" w:fill="auto" w:val="clear"/>
    </w:rPr>
  </w:style>
  <w:style w:type="paragraph" w:styleId="Normal1" w:customStyle="1">
    <w:name w:val="Normal1"/>
    <w:rsid w:val="00AD2ACA"/>
    <w:pPr>
      <w:spacing w:after="0"/>
    </w:pPr>
    <w:rPr>
      <w:rFonts w:ascii="Arial" w:cs="Arial" w:eastAsia="Arial" w:hAnsi="Arial"/>
    </w:rPr>
  </w:style>
  <w:style w:type="character" w:styleId="CommentReference">
    <w:name w:val="annotation reference"/>
    <w:basedOn w:val="DefaultParagraphFont"/>
    <w:uiPriority w:val="99"/>
    <w:semiHidden w:val="1"/>
    <w:unhideWhenUsed w:val="1"/>
    <w:rsid w:val="00AD2ACA"/>
    <w:rPr>
      <w:sz w:val="16"/>
      <w:szCs w:val="16"/>
    </w:rPr>
  </w:style>
  <w:style w:type="paragraph" w:styleId="CommentText">
    <w:name w:val="annotation text"/>
    <w:basedOn w:val="Normal"/>
    <w:link w:val="CommentTextChar"/>
    <w:uiPriority w:val="99"/>
    <w:semiHidden w:val="1"/>
    <w:unhideWhenUsed w:val="1"/>
    <w:rsid w:val="00AD2ACA"/>
    <w:pPr>
      <w:spacing w:line="240" w:lineRule="auto"/>
      <w:jc w:val="left"/>
    </w:pPr>
    <w:rPr>
      <w:rFonts w:ascii="Arial" w:cs="Arial" w:eastAsia="Arial" w:hAnsi="Arial"/>
      <w:sz w:val="20"/>
      <w:szCs w:val="20"/>
      <w:shd w:color="auto" w:fill="auto" w:val="clear"/>
    </w:rPr>
  </w:style>
  <w:style w:type="character" w:styleId="CommentTextChar" w:customStyle="1">
    <w:name w:val="Comment Text Char"/>
    <w:basedOn w:val="DefaultParagraphFont"/>
    <w:link w:val="CommentText"/>
    <w:uiPriority w:val="99"/>
    <w:semiHidden w:val="1"/>
    <w:rsid w:val="00AD2ACA"/>
    <w:rPr>
      <w:rFonts w:ascii="Arial" w:cs="Arial" w:eastAsia="Arial" w:hAnsi="Arial"/>
      <w:sz w:val="20"/>
      <w:szCs w:val="20"/>
    </w:rPr>
  </w:style>
  <w:style w:type="paragraph" w:styleId="CommentSubject">
    <w:name w:val="annotation subject"/>
    <w:basedOn w:val="CommentText"/>
    <w:next w:val="CommentText"/>
    <w:link w:val="CommentSubjectChar"/>
    <w:uiPriority w:val="99"/>
    <w:semiHidden w:val="1"/>
    <w:unhideWhenUsed w:val="1"/>
    <w:rsid w:val="00AD2ACA"/>
    <w:pPr>
      <w:jc w:val="both"/>
    </w:pPr>
    <w:rPr>
      <w:rFonts w:ascii="Times New Roman" w:hAnsi="Times New Roman" w:cstheme="minorBidi" w:eastAsiaTheme="minorHAnsi"/>
      <w:b w:val="1"/>
      <w:bCs w:val="1"/>
      <w:color w:val="000000" w:themeColor="text1"/>
      <w:lang w:val="en-GB"/>
    </w:rPr>
  </w:style>
  <w:style w:type="character" w:styleId="CommentSubjectChar" w:customStyle="1">
    <w:name w:val="Comment Subject Char"/>
    <w:basedOn w:val="CommentTextChar"/>
    <w:link w:val="CommentSubject"/>
    <w:uiPriority w:val="99"/>
    <w:semiHidden w:val="1"/>
    <w:rsid w:val="00AD2ACA"/>
    <w:rPr>
      <w:rFonts w:ascii="Times New Roman" w:cs="Arial" w:eastAsia="Arial" w:hAnsi="Times New Roman"/>
      <w:b w:val="1"/>
      <w:bCs w:val="1"/>
      <w:color w:val="000000" w:themeColor="text1"/>
      <w:sz w:val="20"/>
      <w:szCs w:val="20"/>
      <w:lang w:val="en-GB"/>
    </w:rPr>
  </w:style>
  <w:style w:type="paragraph" w:styleId="Default" w:customStyle="1">
    <w:name w:val="Default"/>
    <w:rsid w:val="008B705B"/>
    <w:pPr>
      <w:autoSpaceDE w:val="0"/>
      <w:autoSpaceDN w:val="0"/>
      <w:adjustRightInd w:val="0"/>
      <w:spacing w:after="0" w:line="240" w:lineRule="auto"/>
    </w:pPr>
    <w:rPr>
      <w:rFonts w:ascii="Arial" w:cs="Arial" w:hAnsi="Arial"/>
      <w:color w:val="000000"/>
      <w:sz w:val="24"/>
      <w:szCs w:val="24"/>
    </w:rPr>
  </w:style>
  <w:style w:type="character" w:styleId="FollowedHyperlink">
    <w:name w:val="FollowedHyperlink"/>
    <w:basedOn w:val="DefaultParagraphFont"/>
    <w:uiPriority w:val="99"/>
    <w:semiHidden w:val="1"/>
    <w:unhideWhenUsed w:val="1"/>
    <w:rsid w:val="001F346F"/>
    <w:rPr>
      <w:color w:val="800080" w:themeColor="followedHyperlink"/>
      <w:u w:val="single"/>
    </w:rPr>
  </w:style>
  <w:style w:type="character" w:styleId="Heading5Char" w:customStyle="1">
    <w:name w:val="Heading 5 Char"/>
    <w:basedOn w:val="DefaultParagraphFont"/>
    <w:link w:val="Heading5"/>
    <w:uiPriority w:val="9"/>
    <w:rsid w:val="00FC794B"/>
    <w:rPr>
      <w:rFonts w:asciiTheme="majorHAnsi" w:cstheme="majorBidi" w:eastAsiaTheme="majorEastAsia" w:hAnsiTheme="majorHAnsi"/>
      <w:color w:val="243f60" w:themeColor="accent1" w:themeShade="00007F"/>
      <w:sz w:val="24"/>
    </w:rPr>
  </w:style>
  <w:style w:type="character" w:styleId="Heading6Char" w:customStyle="1">
    <w:name w:val="Heading 6 Char"/>
    <w:basedOn w:val="DefaultParagraphFont"/>
    <w:link w:val="Heading6"/>
    <w:uiPriority w:val="9"/>
    <w:rsid w:val="00FC794B"/>
    <w:rPr>
      <w:rFonts w:asciiTheme="majorHAnsi" w:cstheme="majorBidi" w:eastAsiaTheme="majorEastAsia" w:hAnsiTheme="majorHAnsi"/>
      <w:i w:val="1"/>
      <w:iCs w:val="1"/>
      <w:color w:val="243f60" w:themeColor="accent1" w:themeShade="00007F"/>
      <w:sz w:val="24"/>
    </w:rPr>
  </w:style>
  <w:style w:type="paragraph" w:styleId="TableParagraph" w:customStyle="1">
    <w:name w:val="Table Paragraph"/>
    <w:basedOn w:val="Normal"/>
    <w:uiPriority w:val="1"/>
    <w:qFormat w:val="1"/>
    <w:rsid w:val="00DE4A96"/>
    <w:pPr>
      <w:widowControl w:val="0"/>
      <w:autoSpaceDE w:val="0"/>
      <w:autoSpaceDN w:val="0"/>
      <w:spacing w:line="240" w:lineRule="auto"/>
      <w:jc w:val="left"/>
    </w:pPr>
    <w:rPr>
      <w:rFonts w:ascii="Carlito" w:cs="Carlito" w:eastAsia="Carlito" w:hAnsi="Carlito"/>
      <w:sz w:val="22"/>
      <w:shd w:color="auto" w:fill="auto" w:val="clear"/>
    </w:rPr>
  </w:style>
  <w:style w:type="character" w:styleId="fontstyle01" w:customStyle="1">
    <w:name w:val="fontstyle01"/>
    <w:basedOn w:val="DefaultParagraphFont"/>
    <w:rsid w:val="00065355"/>
    <w:rPr>
      <w:rFonts w:ascii="Arial-BoldMT" w:hAnsi="Arial-BoldMT" w:hint="default"/>
      <w:b w:val="1"/>
      <w:bCs w:val="1"/>
      <w:i w:val="0"/>
      <w:iCs w:val="0"/>
      <w:color w:val="000000"/>
      <w:sz w:val="22"/>
      <w:szCs w:val="22"/>
    </w:rPr>
  </w:style>
  <w:style w:type="paragraph" w:styleId="DocumentMap">
    <w:name w:val="Document Map"/>
    <w:basedOn w:val="Normal"/>
    <w:link w:val="DocumentMapChar"/>
    <w:uiPriority w:val="99"/>
    <w:semiHidden w:val="1"/>
    <w:unhideWhenUsed w:val="1"/>
    <w:rsid w:val="000E0A1E"/>
    <w:pPr>
      <w:spacing w:line="240" w:lineRule="auto"/>
    </w:pPr>
    <w:rPr>
      <w:rFonts w:ascii="Tahoma" w:cs="Tahoma" w:hAnsi="Tahoma"/>
      <w:sz w:val="16"/>
      <w:szCs w:val="16"/>
    </w:rPr>
  </w:style>
  <w:style w:type="character" w:styleId="DocumentMapChar" w:customStyle="1">
    <w:name w:val="Document Map Char"/>
    <w:basedOn w:val="DefaultParagraphFont"/>
    <w:link w:val="DocumentMap"/>
    <w:uiPriority w:val="99"/>
    <w:semiHidden w:val="1"/>
    <w:rsid w:val="000E0A1E"/>
    <w:rPr>
      <w:rFonts w:ascii="Tahoma" w:cs="Tahoma" w:hAnsi="Tahoma"/>
      <w:sz w:val="16"/>
      <w:szCs w:val="16"/>
    </w:rPr>
  </w:style>
  <w:style w:type="character" w:styleId="Emphasis">
    <w:name w:val="Emphasis"/>
    <w:basedOn w:val="DefaultParagraphFont"/>
    <w:uiPriority w:val="20"/>
    <w:qFormat w:val="1"/>
    <w:rsid w:val="00514883"/>
    <w:rPr>
      <w:i w:val="1"/>
      <w:iCs w:val="1"/>
    </w:rPr>
  </w:style>
  <w:style w:type="paragraph" w:styleId="BodyText3">
    <w:name w:val="Body Text 3"/>
    <w:basedOn w:val="Normal"/>
    <w:link w:val="BodyText3Char"/>
    <w:rsid w:val="0002046B"/>
    <w:pPr>
      <w:spacing w:line="240" w:lineRule="auto"/>
      <w:jc w:val="left"/>
    </w:pPr>
    <w:rPr>
      <w:rFonts w:ascii="Arial" w:cs="Times New Roman" w:eastAsia="Times New Roman" w:hAnsi="Arial"/>
      <w:b w:val="1"/>
      <w:bCs w:val="1"/>
      <w:szCs w:val="20"/>
      <w:shd w:color="auto" w:fill="auto" w:val="clear"/>
      <w:lang w:val="lv-LV"/>
    </w:rPr>
  </w:style>
  <w:style w:type="character" w:styleId="BodyText3Char" w:customStyle="1">
    <w:name w:val="Body Text 3 Char"/>
    <w:basedOn w:val="DefaultParagraphFont"/>
    <w:link w:val="BodyText3"/>
    <w:rsid w:val="0002046B"/>
    <w:rPr>
      <w:rFonts w:ascii="Arial" w:cs="Times New Roman" w:eastAsia="Times New Roman" w:hAnsi="Arial"/>
      <w:b w:val="1"/>
      <w:bCs w:val="1"/>
      <w:sz w:val="24"/>
      <w:szCs w:val="20"/>
      <w:lang w:val="lv-LV"/>
    </w:rPr>
  </w:style>
  <w:style w:type="paragraph" w:styleId="ID-text" w:customStyle="1">
    <w:name w:val="ID-text"/>
    <w:basedOn w:val="Normal"/>
    <w:rsid w:val="004B3B5C"/>
    <w:pPr>
      <w:ind w:firstLine="567"/>
    </w:pPr>
    <w:rPr>
      <w:rFonts w:cs="Times New Roman" w:eastAsia="Times New Roman"/>
      <w:szCs w:val="24"/>
      <w:shd w:color="auto" w:fill="auto" w:val="clear"/>
      <w:lang w:eastAsia="lv-LV" w:val="ru-RU"/>
    </w:rPr>
  </w:style>
  <w:style w:type="paragraph" w:styleId="BodyText">
    <w:name w:val="Body Text"/>
    <w:basedOn w:val="Normal"/>
    <w:link w:val="BodyTextChar"/>
    <w:uiPriority w:val="99"/>
    <w:semiHidden w:val="1"/>
    <w:unhideWhenUsed w:val="1"/>
    <w:rsid w:val="001B0397"/>
    <w:pPr>
      <w:spacing w:after="120"/>
    </w:pPr>
  </w:style>
  <w:style w:type="character" w:styleId="BodyTextChar" w:customStyle="1">
    <w:name w:val="Body Text Char"/>
    <w:basedOn w:val="DefaultParagraphFont"/>
    <w:link w:val="BodyText"/>
    <w:uiPriority w:val="99"/>
    <w:semiHidden w:val="1"/>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0000BF"/>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Grid-Accent1">
    <w:name w:val="Light Grid Accent 1"/>
    <w:basedOn w:val="TableNormal"/>
    <w:uiPriority w:val="62"/>
    <w:rsid w:val="00D2260A"/>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character" w:styleId="ListParagraphChar" w:customStyle="1">
    <w:name w:val="List Paragraph Char"/>
    <w:aliases w:val="Bullets Char,List Paragraph 2 Char,List Paragraph1 Char,Questions and numbered lists Char,Single bullet style Char,Table numbering Char"/>
    <w:basedOn w:val="DefaultParagraphFont"/>
    <w:link w:val="ListParagraph"/>
    <w:uiPriority w:val="34"/>
    <w:locked w:val="1"/>
    <w:rsid w:val="0057354D"/>
    <w:rPr>
      <w:rFonts w:ascii="Times New Roman" w:hAnsi="Times New Roman"/>
      <w:sz w:val="24"/>
      <w:lang w:val="ms-MY"/>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marksandspencer.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BookAntiqua-regular.ttf"/><Relationship Id="rId2" Type="http://schemas.openxmlformats.org/officeDocument/2006/relationships/font" Target="fonts/BookAntiqua-bold.ttf"/><Relationship Id="rId3" Type="http://schemas.openxmlformats.org/officeDocument/2006/relationships/font" Target="fonts/BookAntiqua-italic.ttf"/><Relationship Id="rId4" Type="http://schemas.openxmlformats.org/officeDocument/2006/relationships/font" Target="fonts/BookAntiqua-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kpcarBNtcCRsgTd9Qa37qUcH1uw==">AMUW2mU5YUHv8JodkjfcA98Pzbwx8Yfw4EqO9KTTJlF5t9hhIxNW0pb8qfv4AcRi+k7qrbd71ycKe8cVqPS75SgrcoBG/YcC+tFuzZYHUiPuSrOAKm0k2C5JF71KBmE6UXkP4HhxUpJUOags8wXoTv8NKwYWRJ9tSUHcGWnxJQofpdUhrVH+jz+UC++U9ZFFXOp2vLwaIUxRydJ9bmgucUfd0nAN0lUAERULRwBOqYdVx2bq5ycHF6o=</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2022-04-20T09:56:00Z</dcterms:created>
  <dc:creator>Admin</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