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_rels/fontTable.xml.rels" ContentType="application/vnd.openxmlformats-package.relationships+xml"/>
  <Override PartName="/word/_rels/document.xml.rels" ContentType="application/vnd.openxmlformats-package.relationships+xml"/>
  <Override PartName="/word/styles.xml" ContentType="application/vnd.openxmlformats-officedocument.wordprocessingml.styles+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oter2.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header1.xml" ContentType="application/vnd.openxmlformats-officedocument.wordprocessingml.header+xml"/>
  <Override PartName="/word/document.xml" ContentType="application/vnd.openxmlformats-officedocument.wordprocessingml.document.main+xml"/>
  <Override PartName="/word/settings.xml" ContentType="application/vnd.openxmlformats-officedocument.wordprocessingml.settings+xml"/>
  <Override PartName="/word/numbering.xml" ContentType="application/vnd.openxmlformats-officedocument.wordprocessingml.numbering+xml"/>
  <Override PartName="/word/fonts/font1.odttf" ContentType="application/vnd.openxmlformats-officedocument.obfuscatedFont"/>
  <Override PartName="/word/fonts/font2.odttf" ContentType="application/vnd.openxmlformats-officedocument.obfuscatedFont"/>
  <Override PartName="/word/fonts/font3.odttf" ContentType="application/vnd.openxmlformats-officedocument.obfuscatedFont"/>
  <Override PartName="/word/fonts/font4.odttf" ContentType="application/vnd.openxmlformats-officedocument.obfuscatedFont"/>
  <Override PartName="/word/footer3.xml" ContentType="application/vnd.openxmlformats-officedocument.wordprocessingml.footer+xml"/>
  <Override PartName="/word/media/image1.png" ContentType="image/png"/>
  <Override PartName="/word/media/image2.png" ContentType="image/png"/>
  <Override PartName="/word/media/image3.png" ContentType="image/png"/>
  <Override PartName="/word/media/image4.png" ContentType="image/png"/>
  <Override PartName="/word/media/image5.png" ContentType="image/png"/>
  <Override PartName="/word/media/image6.png" ContentType="image/png"/>
  <Override PartName="/word/media/image7.png" ContentType="image/png"/>
  <Override PartName="/word/media/image8.png" ContentType="image/png"/>
  <Override PartName="/word/media/image10.png" ContentType="image/png"/>
  <Override PartName="/word/media/image9.png" ContentType="image/png"/>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body>
    <w:p>
      <w:pPr>
        <w:pStyle w:val="Normal"/>
        <w:jc w:val="center"/>
        <w:rPr>
          <w:rFonts w:ascii="Arial" w:hAnsi="Arial" w:cs="Arial"/>
        </w:rPr>
      </w:pPr>
      <w:r>
        <w:rPr/>
        <mc:AlternateContent>
          <mc:Choice Requires="wps">
            <w:drawing>
              <wp:inline distT="0" distB="0" distL="0" distR="0" wp14:anchorId="133428BE">
                <wp:extent cx="2847975" cy="1228725"/>
                <wp:effectExtent l="0" t="0" r="9525" b="9525"/>
                <wp:docPr id="1" name="image10.png"/>
                <a:graphic xmlns:a="http://schemas.openxmlformats.org/drawingml/2006/main">
                  <a:graphicData uri="http://schemas.openxmlformats.org/drawingml/2006/picture">
                    <pic:pic xmlns:pic="http://schemas.openxmlformats.org/drawingml/2006/picture">
                      <pic:nvPicPr>
                        <pic:cNvPr id="2" name="image10.png" descr=""/>
                        <pic:cNvPicPr/>
                      </pic:nvPicPr>
                      <pic:blipFill>
                        <a:blip r:embed="rId2"/>
                        <a:stretch/>
                      </pic:blipFill>
                      <pic:spPr>
                        <a:xfrm>
                          <a:off x="0" y="0"/>
                          <a:ext cx="2847960" cy="1228680"/>
                        </a:xfrm>
                        <a:prstGeom prst="rect">
                          <a:avLst/>
                        </a:prstGeom>
                        <a:noFill/>
                        <a:ln w="0">
                          <a:noFill/>
                        </a:ln>
                      </pic:spPr>
                    </pic:pic>
                  </a:graphicData>
                </a:graphic>
              </wp:inline>
            </w:drawing>
          </mc:Choice>
        </mc:AlternateContent>
      </w:r>
    </w:p>
    <w:p>
      <w:pPr>
        <w:pStyle w:val="Normal"/>
        <w:jc w:val="center"/>
        <w:rPr>
          <w:rFonts w:ascii="Arial" w:hAnsi="Arial" w:cs="Arial"/>
        </w:rPr>
      </w:pPr>
      <w:r>
        <w:rPr>
          <w:rFonts w:cs="Arial" w:ascii="Arial" w:hAnsi="Arial"/>
        </w:rPr>
      </w:r>
    </w:p>
    <w:p>
      <w:pPr>
        <w:pStyle w:val="Normal"/>
        <w:jc w:val="center"/>
        <w:rPr>
          <w:rFonts w:ascii="Arial" w:hAnsi="Arial" w:cs="Arial"/>
          <w:b/>
          <w:bCs/>
          <w:sz w:val="48"/>
          <w:szCs w:val="48"/>
        </w:rPr>
      </w:pPr>
      <w:r>
        <w:rPr>
          <w:rFonts w:cs="Arial" w:ascii="Arial" w:hAnsi="Arial"/>
          <w:b/>
          <w:bCs/>
          <w:sz w:val="48"/>
          <w:szCs w:val="48"/>
        </w:rPr>
        <w:t xml:space="preserve">MODULE NAME: STRATEGIC MANAGEMENT </w:t>
      </w:r>
    </w:p>
    <w:p>
      <w:pPr>
        <w:pStyle w:val="Normal"/>
        <w:jc w:val="center"/>
        <w:rPr>
          <w:rFonts w:ascii="Arial" w:hAnsi="Arial" w:cs="Arial"/>
          <w:b/>
          <w:bCs/>
          <w:sz w:val="44"/>
          <w:szCs w:val="44"/>
        </w:rPr>
      </w:pPr>
      <w:r>
        <w:rPr>
          <w:rFonts w:cs="Arial" w:ascii="Arial" w:hAnsi="Arial"/>
          <w:b/>
          <w:bCs/>
          <w:sz w:val="44"/>
          <w:szCs w:val="44"/>
        </w:rPr>
        <w:t>Programme Name: Master of Business Administration</w:t>
      </w:r>
    </w:p>
    <w:p>
      <w:pPr>
        <w:pStyle w:val="Normal"/>
        <w:jc w:val="center"/>
        <w:rPr>
          <w:rFonts w:ascii="Arial" w:hAnsi="Arial" w:cs="Arial"/>
          <w:b/>
          <w:bCs/>
          <w:sz w:val="40"/>
          <w:szCs w:val="40"/>
        </w:rPr>
      </w:pPr>
      <w:r>
        <w:rPr>
          <w:rFonts w:cs="Arial" w:ascii="Arial" w:hAnsi="Arial"/>
          <w:b/>
          <w:bCs/>
          <w:sz w:val="40"/>
          <w:szCs w:val="40"/>
        </w:rPr>
        <w:t>MODULE CODE: LCMB7003</w:t>
      </w:r>
    </w:p>
    <w:p>
      <w:pPr>
        <w:pStyle w:val="Normal"/>
        <w:jc w:val="center"/>
        <w:rPr>
          <w:rFonts w:ascii="Arial" w:hAnsi="Arial" w:cs="Arial"/>
          <w:b/>
          <w:bCs/>
          <w:sz w:val="40"/>
          <w:szCs w:val="40"/>
        </w:rPr>
      </w:pPr>
      <w:r>
        <w:rPr>
          <w:rFonts w:cs="Arial" w:ascii="Arial" w:hAnsi="Arial"/>
          <w:b/>
          <w:bCs/>
          <w:sz w:val="40"/>
          <w:szCs w:val="40"/>
        </w:rPr>
      </w:r>
    </w:p>
    <w:p>
      <w:pPr>
        <w:pStyle w:val="Normal"/>
        <w:jc w:val="center"/>
        <w:rPr>
          <w:rFonts w:ascii="Arial" w:hAnsi="Arial" w:cs="Arial"/>
          <w:b/>
          <w:bCs/>
          <w:i/>
          <w:i/>
          <w:iCs/>
          <w:sz w:val="36"/>
          <w:szCs w:val="36"/>
        </w:rPr>
      </w:pPr>
      <w:r>
        <w:rPr>
          <w:rFonts w:cs="Arial" w:ascii="Arial" w:hAnsi="Arial"/>
          <w:b/>
          <w:bCs/>
          <w:i/>
          <w:iCs/>
          <w:sz w:val="36"/>
          <w:szCs w:val="36"/>
        </w:rPr>
        <w:t xml:space="preserve">Report on Coca Cola, UK </w:t>
      </w:r>
    </w:p>
    <w:p>
      <w:pPr>
        <w:pStyle w:val="Normal"/>
        <w:jc w:val="center"/>
        <w:rPr>
          <w:rFonts w:ascii="Arial" w:hAnsi="Arial" w:cs="Arial"/>
          <w:b/>
          <w:bCs/>
          <w:i/>
          <w:i/>
          <w:iCs/>
          <w:sz w:val="36"/>
          <w:szCs w:val="36"/>
        </w:rPr>
      </w:pPr>
      <w:r>
        <w:rPr>
          <w:rFonts w:cs="Arial" w:ascii="Arial" w:hAnsi="Arial"/>
          <w:b/>
          <w:bCs/>
          <w:i/>
          <w:iCs/>
          <w:sz w:val="36"/>
          <w:szCs w:val="36"/>
        </w:rPr>
      </w:r>
    </w:p>
    <w:p>
      <w:pPr>
        <w:pStyle w:val="Normal"/>
        <w:jc w:val="center"/>
        <w:rPr>
          <w:rFonts w:ascii="Arial" w:hAnsi="Arial" w:cs="Arial"/>
          <w:b/>
          <w:bCs/>
          <w:i/>
          <w:i/>
          <w:iCs/>
          <w:sz w:val="36"/>
          <w:szCs w:val="36"/>
        </w:rPr>
      </w:pPr>
      <w:r>
        <w:rPr>
          <w:rFonts w:cs="Arial" w:ascii="Arial" w:hAnsi="Arial"/>
          <w:b/>
          <w:bCs/>
          <w:i/>
          <w:iCs/>
          <w:sz w:val="36"/>
          <w:szCs w:val="36"/>
        </w:rPr>
        <w:t>Lecturer Name: Amare Desta</w:t>
      </w:r>
    </w:p>
    <w:p>
      <w:pPr>
        <w:pStyle w:val="Normal"/>
        <w:jc w:val="center"/>
        <w:rPr>
          <w:rFonts w:ascii="Arial" w:hAnsi="Arial" w:cs="Arial"/>
          <w:b/>
          <w:bCs/>
          <w:i/>
          <w:i/>
          <w:iCs/>
          <w:sz w:val="36"/>
          <w:szCs w:val="36"/>
        </w:rPr>
      </w:pPr>
      <w:r>
        <w:rPr>
          <w:rFonts w:cs="Arial" w:ascii="Arial" w:hAnsi="Arial"/>
          <w:b/>
          <w:bCs/>
          <w:i/>
          <w:iCs/>
          <w:sz w:val="36"/>
          <w:szCs w:val="36"/>
        </w:rPr>
        <w:t xml:space="preserve">ghulam mujtaba </w:t>
      </w:r>
    </w:p>
    <w:p>
      <w:pPr>
        <w:pStyle w:val="Normal"/>
        <w:jc w:val="center"/>
        <w:rPr>
          <w:rFonts w:ascii="Arial" w:hAnsi="Arial" w:cs="Arial"/>
          <w:b/>
          <w:bCs/>
          <w:i/>
          <w:i/>
          <w:iCs/>
          <w:sz w:val="36"/>
          <w:szCs w:val="36"/>
        </w:rPr>
      </w:pPr>
      <w:r>
        <w:rPr>
          <w:rFonts w:cs="Arial" w:ascii="Arial" w:hAnsi="Arial"/>
          <w:b/>
          <w:bCs/>
          <w:i/>
          <w:iCs/>
          <w:sz w:val="36"/>
          <w:szCs w:val="36"/>
        </w:rPr>
      </w:r>
    </w:p>
    <w:p>
      <w:pPr>
        <w:pStyle w:val="Normal"/>
        <w:jc w:val="center"/>
        <w:rPr>
          <w:rFonts w:ascii="Arial" w:hAnsi="Arial" w:cs="Arial"/>
          <w:b/>
          <w:bCs/>
          <w:i/>
          <w:i/>
          <w:iCs/>
          <w:sz w:val="36"/>
          <w:szCs w:val="36"/>
        </w:rPr>
      </w:pPr>
      <w:r>
        <w:rPr>
          <w:rFonts w:cs="Arial" w:ascii="Arial" w:hAnsi="Arial"/>
          <w:b/>
          <w:bCs/>
          <w:i/>
          <w:iCs/>
          <w:sz w:val="36"/>
          <w:szCs w:val="36"/>
        </w:rPr>
        <w:t xml:space="preserve">name- hinaben rajshibhai sundavadra </w:t>
      </w:r>
    </w:p>
    <w:p>
      <w:pPr>
        <w:pStyle w:val="Normal"/>
        <w:jc w:val="center"/>
        <w:rPr>
          <w:rFonts w:ascii="Arial" w:hAnsi="Arial" w:cs="Arial"/>
          <w:b/>
          <w:bCs/>
          <w:i/>
          <w:i/>
          <w:iCs/>
          <w:sz w:val="36"/>
          <w:szCs w:val="36"/>
        </w:rPr>
      </w:pPr>
      <w:r>
        <w:rPr>
          <w:rFonts w:cs="Arial" w:ascii="Arial" w:hAnsi="Arial"/>
          <w:b/>
          <w:bCs/>
          <w:i/>
          <w:iCs/>
          <w:sz w:val="36"/>
          <w:szCs w:val="36"/>
        </w:rPr>
        <w:t>student id- 2521861</w:t>
      </w:r>
    </w:p>
    <w:p>
      <w:pPr>
        <w:pStyle w:val="Normal"/>
        <w:jc w:val="center"/>
        <w:rPr>
          <w:b/>
          <w:bCs/>
        </w:rPr>
      </w:pPr>
      <w:r>
        <w:rPr>
          <w:b/>
          <w:bCs/>
        </w:rPr>
      </w:r>
    </w:p>
    <w:p>
      <w:pPr>
        <w:pStyle w:val="Normal"/>
        <w:jc w:val="center"/>
        <w:rPr>
          <w:b/>
          <w:bCs/>
        </w:rPr>
      </w:pPr>
      <w:r>
        <w:rPr>
          <w:b/>
          <w:bCs/>
        </w:rPr>
      </w:r>
    </w:p>
    <w:p>
      <w:pPr>
        <w:pStyle w:val="Normal"/>
        <w:jc w:val="center"/>
        <w:rPr>
          <w:b/>
          <w:bCs/>
        </w:rPr>
      </w:pPr>
      <w:r>
        <w:rPr>
          <w:b/>
          <w:bCs/>
        </w:rPr>
      </w:r>
    </w:p>
    <w:p>
      <w:pPr>
        <w:pStyle w:val="Normal"/>
        <w:rPr>
          <w:rFonts w:ascii="Arial" w:hAnsi="Arial" w:cs="Arial"/>
        </w:rPr>
      </w:pPr>
      <w:r>
        <w:rPr>
          <w:rFonts w:cs="Arial" w:ascii="Arial" w:hAnsi="Arial"/>
        </w:rPr>
      </w:r>
    </w:p>
    <w:p>
      <w:pPr>
        <w:pStyle w:val="Normal"/>
        <w:rPr>
          <w:rFonts w:ascii="Arial" w:hAnsi="Arial" w:cs="Arial"/>
        </w:rPr>
      </w:pPr>
      <w:r>
        <w:rPr>
          <w:rFonts w:cs="Arial" w:ascii="Arial" w:hAnsi="Arial"/>
        </w:rPr>
      </w:r>
    </w:p>
    <w:p>
      <w:pPr>
        <w:pStyle w:val="Normal"/>
        <w:rPr>
          <w:rFonts w:ascii="Arial" w:hAnsi="Arial" w:cs="Arial"/>
        </w:rPr>
      </w:pPr>
      <w:r>
        <w:rPr>
          <w:rFonts w:cs="Arial" w:ascii="Arial" w:hAnsi="Arial"/>
        </w:rPr>
      </w:r>
    </w:p>
    <w:p>
      <w:pPr>
        <w:pStyle w:val="Normal"/>
        <w:jc w:val="center"/>
        <w:rPr>
          <w:rFonts w:ascii="Arial" w:hAnsi="Arial" w:cs="Arial"/>
          <w:b/>
          <w:bCs/>
          <w:sz w:val="32"/>
          <w:szCs w:val="32"/>
        </w:rPr>
      </w:pPr>
      <w:r>
        <w:rPr>
          <w:rFonts w:cs="Arial" w:ascii="Arial" w:hAnsi="Arial"/>
          <w:b/>
          <w:bCs/>
          <w:sz w:val="32"/>
          <w:szCs w:val="32"/>
        </w:rPr>
      </w:r>
    </w:p>
    <w:p>
      <w:pPr>
        <w:pStyle w:val="Normal"/>
        <w:jc w:val="center"/>
        <w:rPr>
          <w:rFonts w:ascii="Arial" w:hAnsi="Arial" w:cs="Arial"/>
          <w:b/>
          <w:bCs/>
          <w:sz w:val="32"/>
          <w:szCs w:val="32"/>
        </w:rPr>
      </w:pPr>
      <w:r>
        <w:rPr>
          <w:rFonts w:cs="Arial" w:ascii="Arial" w:hAnsi="Arial"/>
          <w:b/>
          <w:bCs/>
          <w:sz w:val="32"/>
          <w:szCs w:val="32"/>
        </w:rPr>
      </w:r>
    </w:p>
    <w:p>
      <w:pPr>
        <w:pStyle w:val="Normal"/>
        <w:jc w:val="center"/>
        <w:rPr>
          <w:rFonts w:ascii="Arial" w:hAnsi="Arial" w:cs="Arial"/>
          <w:b/>
          <w:bCs/>
          <w:sz w:val="32"/>
          <w:szCs w:val="32"/>
        </w:rPr>
      </w:pPr>
      <w:r>
        <w:rPr>
          <w:rFonts w:cs="Arial" w:ascii="Arial" w:hAnsi="Arial"/>
          <w:b/>
          <w:bCs/>
          <w:sz w:val="32"/>
          <w:szCs w:val="32"/>
        </w:rPr>
      </w:r>
    </w:p>
    <w:p>
      <w:pPr>
        <w:pStyle w:val="Normal"/>
        <w:jc w:val="center"/>
        <w:rPr>
          <w:rFonts w:ascii="Arial" w:hAnsi="Arial" w:cs="Arial"/>
          <w:b/>
          <w:bCs/>
          <w:sz w:val="32"/>
          <w:szCs w:val="32"/>
        </w:rPr>
      </w:pPr>
      <w:r>
        <w:rPr>
          <w:rFonts w:cs="Arial" w:ascii="Arial" w:hAnsi="Arial"/>
          <w:b/>
          <w:bCs/>
          <w:sz w:val="32"/>
          <w:szCs w:val="32"/>
        </w:rPr>
      </w:r>
    </w:p>
    <w:p>
      <w:pPr>
        <w:pStyle w:val="Normal"/>
        <w:jc w:val="center"/>
        <w:rPr>
          <w:rFonts w:ascii="Arial" w:hAnsi="Arial" w:cs="Arial"/>
          <w:b/>
          <w:bCs/>
          <w:sz w:val="32"/>
          <w:szCs w:val="32"/>
        </w:rPr>
      </w:pPr>
      <w:bookmarkStart w:id="0" w:name="_ptjux8h2pcjk"/>
      <w:bookmarkEnd w:id="0"/>
      <w:r>
        <w:rPr>
          <w:rFonts w:cs="Arial" w:ascii="Arial" w:hAnsi="Arial"/>
          <w:b/>
          <w:bCs/>
          <w:sz w:val="32"/>
          <w:szCs w:val="32"/>
        </w:rPr>
        <w:t>Executive summary</w:t>
      </w:r>
    </w:p>
    <w:p>
      <w:pPr>
        <w:pStyle w:val="Normal"/>
        <w:rPr>
          <w:rFonts w:ascii="Arial" w:hAnsi="Arial" w:cs="Arial"/>
          <w:b/>
          <w:bCs/>
          <w:sz w:val="32"/>
          <w:szCs w:val="32"/>
        </w:rPr>
      </w:pPr>
      <w:r>
        <w:rPr>
          <w:rFonts w:cs="Arial" w:ascii="Arial" w:hAnsi="Arial"/>
          <w:b/>
          <w:bCs/>
          <w:sz w:val="32"/>
          <w:szCs w:val="32"/>
        </w:rPr>
      </w:r>
    </w:p>
    <w:p>
      <w:pPr>
        <w:pStyle w:val="Normal"/>
        <w:rPr>
          <w:rFonts w:ascii="Arial" w:hAnsi="Arial" w:cs="Arial"/>
          <w:b/>
          <w:bCs/>
          <w:sz w:val="32"/>
          <w:szCs w:val="32"/>
        </w:rPr>
      </w:pPr>
      <w:r>
        <w:rPr>
          <w:rFonts w:cs="Arial" w:ascii="Arial" w:hAnsi="Arial"/>
          <w:b/>
          <w:bCs/>
          <w:sz w:val="32"/>
          <w:szCs w:val="32"/>
        </w:rPr>
      </w:r>
    </w:p>
    <w:p>
      <w:pPr>
        <w:pStyle w:val="Normal"/>
        <w:rPr>
          <w:rFonts w:ascii="Arial" w:hAnsi="Arial" w:cs="Arial"/>
          <w:b/>
          <w:bCs/>
          <w:sz w:val="32"/>
          <w:szCs w:val="32"/>
        </w:rPr>
      </w:pPr>
      <w:r>
        <w:rPr>
          <w:rFonts w:cs="Arial" w:ascii="Arial" w:hAnsi="Arial"/>
        </w:rPr>
        <w:t xml:space="preserve">This report evaluates the strategic position of Coca-Cola UK within the highly competitive soft drinks industry through integrated external and internal analyses. PESTEL, VRIO as well as SWOT frameworks identify key opportunities, including growing demand for healthier beverages, sustainability and digital innovation, alongside challenges such as inflation, regulatory pressures and intense competition. The analysis highlights strong brand equity, extensive distribution network and innovation capabilities of Coca-Cola as key competitive strengths. The report concludes that a differentiation strategy, validated using the SAFe framework, is the most appropriate approach to sustain long-term competitive advantage. Furthermore, a CSR strategy and Balanced Scorecard are recommended to strengthen sustainability, operational performance, stakeholder value and long-term organisational growth in the UK </w:t>
      </w:r>
      <w:r>
        <w:br w:type="page"/>
      </w:r>
    </w:p>
    <w:p>
      <w:pPr>
        <w:pStyle w:val="Normal"/>
        <w:spacing w:before="0" w:after="0"/>
        <w:jc w:val="center"/>
        <w:rPr>
          <w:rFonts w:ascii="Arial" w:hAnsi="Arial" w:cs="Arial"/>
          <w:b/>
          <w:bCs/>
          <w:sz w:val="32"/>
          <w:szCs w:val="32"/>
        </w:rPr>
      </w:pPr>
      <w:r>
        <w:rPr>
          <w:rFonts w:cs="Arial" w:ascii="Arial" w:hAnsi="Arial"/>
          <w:b/>
          <w:bCs/>
          <w:sz w:val="32"/>
          <w:szCs w:val="32"/>
        </w:rPr>
        <w:t xml:space="preserve">Table of Contents </w:t>
      </w:r>
    </w:p>
    <w:sdt>
      <w:sdtPr>
        <w:docPartObj>
          <w:docPartGallery w:val="Table of Contents"/>
          <w:docPartUnique w:val="true"/>
        </w:docPartObj>
      </w:sdtPr>
      <w:sdtContent>
        <w:p>
          <w:pPr>
            <w:pStyle w:val="TOC1"/>
            <w:tabs>
              <w:tab w:val="clear" w:pos="720"/>
              <w:tab w:val="right" w:pos="9019" w:leader="dot"/>
            </w:tabs>
            <w:rPr>
              <w:rFonts w:ascii="Cambria" w:hAnsi="Cambria" w:eastAsia="Liberation Sans" w:cs="Liberation Sans" w:asciiTheme="minorHAnsi" w:hAnsiTheme="minorHAnsi"/>
              <w:kern w:val="2"/>
              <w:lang w:eastAsia="zh-CN"/>
              <w14:ligatures w14:val="standardContextual"/>
            </w:rPr>
          </w:pPr>
          <w:r>
            <w:fldChar w:fldCharType="begin"/>
          </w:r>
          <w:r>
            <w:rPr>
              <w:webHidden/>
              <w:rStyle w:val="IndexLink"/>
              <w:vanish w:val="false"/>
              <w:rFonts w:cs="Arial" w:ascii="Arial" w:hAnsi="Arial"/>
            </w:rPr>
            <w:instrText xml:space="preserve"> TOC \z \o "1-9" \u \t "heading 1,1,heading 2,2,heading 3,3,heading 4,4,heading 5,5,heading 6,6" \h</w:instrText>
          </w:r>
          <w:r>
            <w:rPr>
              <w:webHidden/>
              <w:rStyle w:val="IndexLink"/>
              <w:vanish w:val="false"/>
              <w:rFonts w:cs="Arial" w:ascii="Arial" w:hAnsi="Arial"/>
            </w:rPr>
            <w:fldChar w:fldCharType="separate"/>
          </w:r>
          <w:hyperlink w:anchor="_Toc236501931">
            <w:r>
              <w:rPr>
                <w:webHidden/>
                <w:rStyle w:val="IndexLink"/>
                <w:rFonts w:cs="Arial" w:ascii="Arial" w:hAnsi="Arial"/>
                <w:vanish w:val="false"/>
              </w:rPr>
              <w:t>1. Organisational Context and Overview</w:t>
            </w:r>
            <w:r>
              <w:rPr>
                <w:webHidden/>
              </w:rPr>
              <w:fldChar w:fldCharType="begin"/>
            </w:r>
            <w:r>
              <w:rPr>
                <w:webHidden/>
              </w:rPr>
              <w:instrText xml:space="preserve">PAGEREF _Toc236501931 \h</w:instrText>
            </w:r>
            <w:r>
              <w:rPr>
                <w:webHidden/>
              </w:rPr>
              <w:fldChar w:fldCharType="separate"/>
            </w:r>
            <w:r>
              <w:rPr>
                <w:rStyle w:val="IndexLink"/>
                <w:vanish w:val="false"/>
              </w:rPr>
              <w:tab/>
              <w:t>3</w:t>
            </w:r>
            <w:r>
              <w:rPr>
                <w:webHidden/>
              </w:rPr>
              <w:fldChar w:fldCharType="end"/>
            </w:r>
          </w:hyperlink>
        </w:p>
        <w:p>
          <w:pPr>
            <w:pStyle w:val="TOC2"/>
            <w:tabs>
              <w:tab w:val="clear" w:pos="720"/>
              <w:tab w:val="right" w:pos="9019" w:leader="dot"/>
            </w:tabs>
            <w:rPr>
              <w:rFonts w:ascii="Cambria" w:hAnsi="Cambria" w:eastAsia="Liberation Sans" w:cs="Liberation Sans" w:asciiTheme="minorHAnsi" w:hAnsiTheme="minorHAnsi"/>
              <w:kern w:val="2"/>
              <w:lang w:eastAsia="zh-CN"/>
              <w14:ligatures w14:val="standardContextual"/>
            </w:rPr>
          </w:pPr>
          <w:hyperlink w:anchor="_Toc236501932">
            <w:r>
              <w:rPr>
                <w:webHidden/>
                <w:rStyle w:val="IndexLink"/>
                <w:rFonts w:cs="Arial" w:ascii="Arial" w:hAnsi="Arial"/>
                <w:vanish w:val="false"/>
              </w:rPr>
              <w:t>1.1. Company Profile</w:t>
            </w:r>
            <w:r>
              <w:rPr>
                <w:webHidden/>
              </w:rPr>
              <w:fldChar w:fldCharType="begin"/>
            </w:r>
            <w:r>
              <w:rPr>
                <w:webHidden/>
              </w:rPr>
              <w:instrText xml:space="preserve">PAGEREF _Toc236501932 \h</w:instrText>
            </w:r>
            <w:r>
              <w:rPr>
                <w:webHidden/>
              </w:rPr>
              <w:fldChar w:fldCharType="separate"/>
            </w:r>
            <w:r>
              <w:rPr>
                <w:rStyle w:val="IndexLink"/>
                <w:vanish w:val="false"/>
              </w:rPr>
              <w:tab/>
              <w:t>3</w:t>
            </w:r>
            <w:r>
              <w:rPr>
                <w:webHidden/>
              </w:rPr>
              <w:fldChar w:fldCharType="end"/>
            </w:r>
          </w:hyperlink>
        </w:p>
        <w:p>
          <w:pPr>
            <w:pStyle w:val="TOC2"/>
            <w:tabs>
              <w:tab w:val="clear" w:pos="720"/>
              <w:tab w:val="right" w:pos="9019" w:leader="dot"/>
            </w:tabs>
            <w:rPr>
              <w:rFonts w:ascii="Cambria" w:hAnsi="Cambria" w:eastAsia="Liberation Sans" w:cs="Liberation Sans" w:asciiTheme="minorHAnsi" w:hAnsiTheme="minorHAnsi"/>
              <w:kern w:val="2"/>
              <w:lang w:eastAsia="zh-CN"/>
              <w14:ligatures w14:val="standardContextual"/>
            </w:rPr>
          </w:pPr>
          <w:hyperlink w:anchor="_Toc236501933">
            <w:r>
              <w:rPr>
                <w:webHidden/>
                <w:rStyle w:val="IndexLink"/>
                <w:rFonts w:cs="Arial" w:ascii="Arial" w:hAnsi="Arial"/>
                <w:vanish w:val="false"/>
              </w:rPr>
              <w:t>1.2 Industry and market position</w:t>
            </w:r>
            <w:r>
              <w:rPr>
                <w:webHidden/>
              </w:rPr>
              <w:fldChar w:fldCharType="begin"/>
            </w:r>
            <w:r>
              <w:rPr>
                <w:webHidden/>
              </w:rPr>
              <w:instrText xml:space="preserve">PAGEREF _Toc236501933 \h</w:instrText>
            </w:r>
            <w:r>
              <w:rPr>
                <w:webHidden/>
              </w:rPr>
              <w:fldChar w:fldCharType="separate"/>
            </w:r>
            <w:r>
              <w:rPr>
                <w:rStyle w:val="IndexLink"/>
                <w:vanish w:val="false"/>
              </w:rPr>
              <w:tab/>
              <w:t>4</w:t>
            </w:r>
            <w:r>
              <w:rPr>
                <w:webHidden/>
              </w:rPr>
              <w:fldChar w:fldCharType="end"/>
            </w:r>
          </w:hyperlink>
        </w:p>
        <w:p>
          <w:pPr>
            <w:pStyle w:val="TOC1"/>
            <w:tabs>
              <w:tab w:val="clear" w:pos="720"/>
              <w:tab w:val="right" w:pos="9019" w:leader="dot"/>
            </w:tabs>
            <w:rPr>
              <w:rFonts w:ascii="Cambria" w:hAnsi="Cambria" w:eastAsia="Liberation Sans" w:cs="Liberation Sans" w:asciiTheme="minorHAnsi" w:hAnsiTheme="minorHAnsi"/>
              <w:kern w:val="2"/>
              <w:lang w:eastAsia="zh-CN"/>
              <w14:ligatures w14:val="standardContextual"/>
            </w:rPr>
          </w:pPr>
          <w:hyperlink w:anchor="_Toc236501934">
            <w:r>
              <w:rPr>
                <w:webHidden/>
                <w:rStyle w:val="IndexLink"/>
                <w:rFonts w:cs="Arial" w:ascii="Arial" w:hAnsi="Arial"/>
                <w:vanish w:val="false"/>
              </w:rPr>
              <w:t>2. External and internal analysis</w:t>
            </w:r>
            <w:r>
              <w:rPr>
                <w:webHidden/>
              </w:rPr>
              <w:fldChar w:fldCharType="begin"/>
            </w:r>
            <w:r>
              <w:rPr>
                <w:webHidden/>
              </w:rPr>
              <w:instrText xml:space="preserve">PAGEREF _Toc236501934 \h</w:instrText>
            </w:r>
            <w:r>
              <w:rPr>
                <w:webHidden/>
              </w:rPr>
              <w:fldChar w:fldCharType="separate"/>
            </w:r>
            <w:r>
              <w:rPr>
                <w:rStyle w:val="IndexLink"/>
                <w:vanish w:val="false"/>
              </w:rPr>
              <w:tab/>
              <w:t>5</w:t>
            </w:r>
            <w:r>
              <w:rPr>
                <w:webHidden/>
              </w:rPr>
              <w:fldChar w:fldCharType="end"/>
            </w:r>
          </w:hyperlink>
        </w:p>
        <w:p>
          <w:pPr>
            <w:pStyle w:val="TOC2"/>
            <w:tabs>
              <w:tab w:val="clear" w:pos="720"/>
              <w:tab w:val="right" w:pos="9019" w:leader="dot"/>
            </w:tabs>
            <w:rPr>
              <w:rFonts w:ascii="Cambria" w:hAnsi="Cambria" w:eastAsia="Liberation Sans" w:cs="Liberation Sans" w:asciiTheme="minorHAnsi" w:hAnsiTheme="minorHAnsi"/>
              <w:kern w:val="2"/>
              <w:lang w:eastAsia="zh-CN"/>
              <w14:ligatures w14:val="standardContextual"/>
            </w:rPr>
          </w:pPr>
          <w:hyperlink w:anchor="_Toc236501935">
            <w:r>
              <w:rPr>
                <w:webHidden/>
                <w:rStyle w:val="IndexLink"/>
                <w:rFonts w:cs="Arial" w:ascii="Arial" w:hAnsi="Arial"/>
                <w:vanish w:val="false"/>
              </w:rPr>
              <w:t>2.1 External analysis: PESTEL</w:t>
            </w:r>
            <w:r>
              <w:rPr>
                <w:webHidden/>
              </w:rPr>
              <w:fldChar w:fldCharType="begin"/>
            </w:r>
            <w:r>
              <w:rPr>
                <w:webHidden/>
              </w:rPr>
              <w:instrText xml:space="preserve">PAGEREF _Toc236501935 \h</w:instrText>
            </w:r>
            <w:r>
              <w:rPr>
                <w:webHidden/>
              </w:rPr>
              <w:fldChar w:fldCharType="separate"/>
            </w:r>
            <w:r>
              <w:rPr>
                <w:rStyle w:val="IndexLink"/>
                <w:vanish w:val="false"/>
              </w:rPr>
              <w:tab/>
              <w:t>5</w:t>
            </w:r>
            <w:r>
              <w:rPr>
                <w:webHidden/>
              </w:rPr>
              <w:fldChar w:fldCharType="end"/>
            </w:r>
          </w:hyperlink>
        </w:p>
        <w:p>
          <w:pPr>
            <w:pStyle w:val="TOC2"/>
            <w:tabs>
              <w:tab w:val="clear" w:pos="720"/>
              <w:tab w:val="right" w:pos="9019" w:leader="dot"/>
            </w:tabs>
            <w:rPr>
              <w:rFonts w:ascii="Cambria" w:hAnsi="Cambria" w:eastAsia="Liberation Sans" w:cs="Liberation Sans" w:asciiTheme="minorHAnsi" w:hAnsiTheme="minorHAnsi"/>
              <w:kern w:val="2"/>
              <w:lang w:eastAsia="zh-CN"/>
              <w14:ligatures w14:val="standardContextual"/>
            </w:rPr>
          </w:pPr>
          <w:hyperlink w:anchor="_Toc236501936">
            <w:r>
              <w:rPr>
                <w:webHidden/>
                <w:rStyle w:val="IndexLink"/>
                <w:rFonts w:cs="Arial" w:ascii="Arial" w:hAnsi="Arial"/>
                <w:vanish w:val="false"/>
              </w:rPr>
              <w:t>2.2. Internal Analysis: VRIO Framework</w:t>
            </w:r>
            <w:r>
              <w:rPr>
                <w:webHidden/>
              </w:rPr>
              <w:fldChar w:fldCharType="begin"/>
            </w:r>
            <w:r>
              <w:rPr>
                <w:webHidden/>
              </w:rPr>
              <w:instrText xml:space="preserve">PAGEREF _Toc236501936 \h</w:instrText>
            </w:r>
            <w:r>
              <w:rPr>
                <w:webHidden/>
              </w:rPr>
              <w:fldChar w:fldCharType="separate"/>
            </w:r>
            <w:r>
              <w:rPr>
                <w:rStyle w:val="IndexLink"/>
                <w:vanish w:val="false"/>
              </w:rPr>
              <w:tab/>
              <w:t>8</w:t>
            </w:r>
            <w:r>
              <w:rPr>
                <w:webHidden/>
              </w:rPr>
              <w:fldChar w:fldCharType="end"/>
            </w:r>
          </w:hyperlink>
        </w:p>
        <w:p>
          <w:pPr>
            <w:pStyle w:val="TOC2"/>
            <w:tabs>
              <w:tab w:val="clear" w:pos="720"/>
              <w:tab w:val="right" w:pos="9019" w:leader="dot"/>
            </w:tabs>
            <w:rPr>
              <w:rFonts w:ascii="Cambria" w:hAnsi="Cambria" w:eastAsia="Liberation Sans" w:cs="Liberation Sans" w:asciiTheme="minorHAnsi" w:hAnsiTheme="minorHAnsi"/>
              <w:kern w:val="2"/>
              <w:lang w:eastAsia="zh-CN"/>
              <w14:ligatures w14:val="standardContextual"/>
            </w:rPr>
          </w:pPr>
          <w:hyperlink w:anchor="_Toc236501937">
            <w:r>
              <w:rPr>
                <w:webHidden/>
                <w:rStyle w:val="IndexLink"/>
                <w:rFonts w:cs="Arial" w:ascii="Arial" w:hAnsi="Arial"/>
                <w:vanish w:val="false"/>
              </w:rPr>
              <w:t>2.3. SWOT Analysis</w:t>
            </w:r>
            <w:r>
              <w:rPr>
                <w:webHidden/>
              </w:rPr>
              <w:fldChar w:fldCharType="begin"/>
            </w:r>
            <w:r>
              <w:rPr>
                <w:webHidden/>
              </w:rPr>
              <w:instrText xml:space="preserve">PAGEREF _Toc236501937 \h</w:instrText>
            </w:r>
            <w:r>
              <w:rPr>
                <w:webHidden/>
              </w:rPr>
              <w:fldChar w:fldCharType="separate"/>
            </w:r>
            <w:r>
              <w:rPr>
                <w:rStyle w:val="IndexLink"/>
                <w:vanish w:val="false"/>
              </w:rPr>
              <w:tab/>
              <w:t>11</w:t>
            </w:r>
            <w:r>
              <w:rPr>
                <w:webHidden/>
              </w:rPr>
              <w:fldChar w:fldCharType="end"/>
            </w:r>
          </w:hyperlink>
        </w:p>
        <w:p>
          <w:pPr>
            <w:pStyle w:val="TOC1"/>
            <w:tabs>
              <w:tab w:val="clear" w:pos="720"/>
              <w:tab w:val="right" w:pos="9019" w:leader="dot"/>
            </w:tabs>
            <w:rPr>
              <w:rFonts w:ascii="Cambria" w:hAnsi="Cambria" w:eastAsia="Liberation Sans" w:cs="Liberation Sans" w:asciiTheme="minorHAnsi" w:hAnsiTheme="minorHAnsi"/>
              <w:kern w:val="2"/>
              <w:lang w:eastAsia="zh-CN"/>
              <w14:ligatures w14:val="standardContextual"/>
            </w:rPr>
          </w:pPr>
          <w:hyperlink w:anchor="_Toc236501938">
            <w:r>
              <w:rPr>
                <w:webHidden/>
                <w:rStyle w:val="IndexLink"/>
                <w:rFonts w:cs="Arial" w:ascii="Arial" w:hAnsi="Arial"/>
                <w:vanish w:val="false"/>
              </w:rPr>
              <w:t>3. Comprehensive and Holistic View of the Organisation</w:t>
            </w:r>
            <w:r>
              <w:rPr>
                <w:webHidden/>
              </w:rPr>
              <w:fldChar w:fldCharType="begin"/>
            </w:r>
            <w:r>
              <w:rPr>
                <w:webHidden/>
              </w:rPr>
              <w:instrText xml:space="preserve">PAGEREF _Toc236501938 \h</w:instrText>
            </w:r>
            <w:r>
              <w:rPr>
                <w:webHidden/>
              </w:rPr>
              <w:fldChar w:fldCharType="separate"/>
            </w:r>
            <w:r>
              <w:rPr>
                <w:rStyle w:val="IndexLink"/>
                <w:vanish w:val="false"/>
              </w:rPr>
              <w:tab/>
              <w:t>14</w:t>
            </w:r>
            <w:r>
              <w:rPr>
                <w:webHidden/>
              </w:rPr>
              <w:fldChar w:fldCharType="end"/>
            </w:r>
          </w:hyperlink>
        </w:p>
        <w:p>
          <w:pPr>
            <w:pStyle w:val="TOC2"/>
            <w:tabs>
              <w:tab w:val="clear" w:pos="720"/>
              <w:tab w:val="right" w:pos="9019" w:leader="dot"/>
            </w:tabs>
            <w:rPr>
              <w:rFonts w:ascii="Cambria" w:hAnsi="Cambria" w:eastAsia="Liberation Sans" w:cs="Liberation Sans" w:asciiTheme="minorHAnsi" w:hAnsiTheme="minorHAnsi"/>
              <w:kern w:val="2"/>
              <w:lang w:eastAsia="zh-CN"/>
              <w14:ligatures w14:val="standardContextual"/>
            </w:rPr>
          </w:pPr>
          <w:hyperlink w:anchor="_Toc236501939">
            <w:r>
              <w:rPr>
                <w:webHidden/>
                <w:rStyle w:val="IndexLink"/>
                <w:rFonts w:cs="Arial" w:ascii="Arial" w:hAnsi="Arial"/>
                <w:vanish w:val="false"/>
              </w:rPr>
              <w:t>3.1 Corporate Social Responsibility (CSR) Strategy</w:t>
            </w:r>
            <w:r>
              <w:rPr>
                <w:webHidden/>
              </w:rPr>
              <w:fldChar w:fldCharType="begin"/>
            </w:r>
            <w:r>
              <w:rPr>
                <w:webHidden/>
              </w:rPr>
              <w:instrText xml:space="preserve">PAGEREF _Toc236501939 \h</w:instrText>
            </w:r>
            <w:r>
              <w:rPr>
                <w:webHidden/>
              </w:rPr>
              <w:fldChar w:fldCharType="separate"/>
            </w:r>
            <w:r>
              <w:rPr>
                <w:rStyle w:val="IndexLink"/>
                <w:vanish w:val="false"/>
              </w:rPr>
              <w:tab/>
              <w:t>14</w:t>
            </w:r>
            <w:r>
              <w:rPr>
                <w:webHidden/>
              </w:rPr>
              <w:fldChar w:fldCharType="end"/>
            </w:r>
          </w:hyperlink>
        </w:p>
        <w:p>
          <w:pPr>
            <w:pStyle w:val="TOC2"/>
            <w:tabs>
              <w:tab w:val="clear" w:pos="720"/>
              <w:tab w:val="right" w:pos="9019" w:leader="dot"/>
            </w:tabs>
            <w:rPr>
              <w:rFonts w:ascii="Cambria" w:hAnsi="Cambria" w:eastAsia="Liberation Sans" w:cs="Liberation Sans" w:asciiTheme="minorHAnsi" w:hAnsiTheme="minorHAnsi"/>
              <w:kern w:val="2"/>
              <w:lang w:eastAsia="zh-CN"/>
              <w14:ligatures w14:val="standardContextual"/>
            </w:rPr>
          </w:pPr>
          <w:hyperlink w:anchor="_Toc236501940">
            <w:r>
              <w:rPr>
                <w:webHidden/>
                <w:rStyle w:val="IndexLink"/>
                <w:rFonts w:cs="Arial" w:ascii="Arial" w:hAnsi="Arial"/>
                <w:vanish w:val="false"/>
              </w:rPr>
              <w:t>3.2 Balanced Scorecard (BSC)</w:t>
            </w:r>
            <w:r>
              <w:rPr>
                <w:webHidden/>
              </w:rPr>
              <w:fldChar w:fldCharType="begin"/>
            </w:r>
            <w:r>
              <w:rPr>
                <w:webHidden/>
              </w:rPr>
              <w:instrText xml:space="preserve">PAGEREF _Toc236501940 \h</w:instrText>
            </w:r>
            <w:r>
              <w:rPr>
                <w:webHidden/>
              </w:rPr>
              <w:fldChar w:fldCharType="separate"/>
            </w:r>
            <w:r>
              <w:rPr>
                <w:rStyle w:val="IndexLink"/>
                <w:vanish w:val="false"/>
              </w:rPr>
              <w:tab/>
              <w:t>16</w:t>
            </w:r>
            <w:r>
              <w:rPr>
                <w:webHidden/>
              </w:rPr>
              <w:fldChar w:fldCharType="end"/>
            </w:r>
          </w:hyperlink>
        </w:p>
        <w:p>
          <w:pPr>
            <w:pStyle w:val="TOC1"/>
            <w:tabs>
              <w:tab w:val="clear" w:pos="720"/>
              <w:tab w:val="right" w:pos="9019" w:leader="dot"/>
            </w:tabs>
            <w:rPr>
              <w:rFonts w:ascii="Cambria" w:hAnsi="Cambria" w:eastAsia="Liberation Sans" w:cs="Liberation Sans" w:asciiTheme="minorHAnsi" w:hAnsiTheme="minorHAnsi"/>
              <w:kern w:val="2"/>
              <w:lang w:eastAsia="zh-CN"/>
              <w14:ligatures w14:val="standardContextual"/>
            </w:rPr>
          </w:pPr>
          <w:hyperlink w:anchor="_Toc236501941">
            <w:r>
              <w:rPr>
                <w:webHidden/>
                <w:rStyle w:val="IndexLink"/>
                <w:rFonts w:cs="Arial" w:ascii="Arial" w:hAnsi="Arial"/>
                <w:vanish w:val="false"/>
              </w:rPr>
              <w:t>4. Strategic Choices and Implementation</w:t>
            </w:r>
            <w:r>
              <w:rPr>
                <w:webHidden/>
              </w:rPr>
              <w:fldChar w:fldCharType="begin"/>
            </w:r>
            <w:r>
              <w:rPr>
                <w:webHidden/>
              </w:rPr>
              <w:instrText xml:space="preserve">PAGEREF _Toc236501941 \h</w:instrText>
            </w:r>
            <w:r>
              <w:rPr>
                <w:webHidden/>
              </w:rPr>
              <w:fldChar w:fldCharType="separate"/>
            </w:r>
            <w:r>
              <w:rPr>
                <w:rStyle w:val="IndexLink"/>
                <w:vanish w:val="false"/>
              </w:rPr>
              <w:tab/>
              <w:t>19</w:t>
            </w:r>
            <w:r>
              <w:rPr>
                <w:webHidden/>
              </w:rPr>
              <w:fldChar w:fldCharType="end"/>
            </w:r>
          </w:hyperlink>
        </w:p>
        <w:p>
          <w:pPr>
            <w:pStyle w:val="TOC2"/>
            <w:tabs>
              <w:tab w:val="clear" w:pos="720"/>
              <w:tab w:val="right" w:pos="9019" w:leader="dot"/>
            </w:tabs>
            <w:rPr>
              <w:rFonts w:ascii="Cambria" w:hAnsi="Cambria" w:eastAsia="Liberation Sans" w:cs="Liberation Sans" w:asciiTheme="minorHAnsi" w:hAnsiTheme="minorHAnsi"/>
              <w:kern w:val="2"/>
              <w:lang w:eastAsia="zh-CN"/>
              <w14:ligatures w14:val="standardContextual"/>
            </w:rPr>
          </w:pPr>
          <w:hyperlink w:anchor="_Toc236501942">
            <w:r>
              <w:rPr>
                <w:webHidden/>
                <w:rStyle w:val="IndexLink"/>
                <w:rFonts w:cs="Arial" w:ascii="Arial" w:hAnsi="Arial"/>
                <w:vanish w:val="false"/>
              </w:rPr>
              <w:t>4.1 Evaluation of strategic choices</w:t>
            </w:r>
            <w:r>
              <w:rPr>
                <w:webHidden/>
              </w:rPr>
              <w:fldChar w:fldCharType="begin"/>
            </w:r>
            <w:r>
              <w:rPr>
                <w:webHidden/>
              </w:rPr>
              <w:instrText xml:space="preserve">PAGEREF _Toc236501942 \h</w:instrText>
            </w:r>
            <w:r>
              <w:rPr>
                <w:webHidden/>
              </w:rPr>
              <w:fldChar w:fldCharType="separate"/>
            </w:r>
            <w:r>
              <w:rPr>
                <w:rStyle w:val="IndexLink"/>
                <w:vanish w:val="false"/>
              </w:rPr>
              <w:tab/>
              <w:t>19</w:t>
            </w:r>
            <w:r>
              <w:rPr>
                <w:webHidden/>
              </w:rPr>
              <w:fldChar w:fldCharType="end"/>
            </w:r>
          </w:hyperlink>
        </w:p>
        <w:p>
          <w:pPr>
            <w:pStyle w:val="TOC2"/>
            <w:tabs>
              <w:tab w:val="clear" w:pos="720"/>
              <w:tab w:val="right" w:pos="9019" w:leader="dot"/>
            </w:tabs>
            <w:rPr>
              <w:rFonts w:ascii="Cambria" w:hAnsi="Cambria" w:eastAsia="Liberation Sans" w:cs="Liberation Sans" w:asciiTheme="minorHAnsi" w:hAnsiTheme="minorHAnsi"/>
              <w:kern w:val="2"/>
              <w:lang w:eastAsia="zh-CN"/>
              <w14:ligatures w14:val="standardContextual"/>
            </w:rPr>
          </w:pPr>
          <w:hyperlink w:anchor="_Toc236501943">
            <w:r>
              <w:rPr>
                <w:webHidden/>
                <w:rStyle w:val="IndexLink"/>
                <w:rFonts w:cs="Arial" w:ascii="Arial" w:hAnsi="Arial"/>
                <w:vanish w:val="false"/>
              </w:rPr>
              <w:t>4.2 Recommended strategy, validation and implementation</w:t>
            </w:r>
            <w:r>
              <w:rPr>
                <w:webHidden/>
              </w:rPr>
              <w:fldChar w:fldCharType="begin"/>
            </w:r>
            <w:r>
              <w:rPr>
                <w:webHidden/>
              </w:rPr>
              <w:instrText xml:space="preserve">PAGEREF _Toc236501943 \h</w:instrText>
            </w:r>
            <w:r>
              <w:rPr>
                <w:webHidden/>
              </w:rPr>
              <w:fldChar w:fldCharType="separate"/>
            </w:r>
            <w:r>
              <w:rPr>
                <w:rStyle w:val="IndexLink"/>
                <w:vanish w:val="false"/>
              </w:rPr>
              <w:tab/>
              <w:t>20</w:t>
            </w:r>
            <w:r>
              <w:rPr>
                <w:webHidden/>
              </w:rPr>
              <w:fldChar w:fldCharType="end"/>
            </w:r>
          </w:hyperlink>
        </w:p>
        <w:p>
          <w:pPr>
            <w:pStyle w:val="TOC2"/>
            <w:tabs>
              <w:tab w:val="clear" w:pos="720"/>
              <w:tab w:val="right" w:pos="9019" w:leader="dot"/>
            </w:tabs>
            <w:rPr>
              <w:rFonts w:ascii="Cambria" w:hAnsi="Cambria" w:eastAsia="Liberation Sans" w:cs="Liberation Sans" w:asciiTheme="minorHAnsi" w:hAnsiTheme="minorHAnsi"/>
              <w:kern w:val="2"/>
              <w:lang w:eastAsia="zh-CN"/>
              <w14:ligatures w14:val="standardContextual"/>
            </w:rPr>
          </w:pPr>
          <w:hyperlink w:anchor="_Toc236501944">
            <w:r>
              <w:rPr>
                <w:webHidden/>
                <w:rStyle w:val="IndexLink"/>
                <w:rFonts w:cs="Arial" w:ascii="Arial" w:hAnsi="Arial"/>
                <w:vanish w:val="false"/>
              </w:rPr>
              <w:t>4.3. Implementation &amp; Performance</w:t>
            </w:r>
            <w:r>
              <w:rPr>
                <w:webHidden/>
              </w:rPr>
              <w:fldChar w:fldCharType="begin"/>
            </w:r>
            <w:r>
              <w:rPr>
                <w:webHidden/>
              </w:rPr>
              <w:instrText xml:space="preserve">PAGEREF _Toc236501944 \h</w:instrText>
            </w:r>
            <w:r>
              <w:rPr>
                <w:webHidden/>
              </w:rPr>
              <w:fldChar w:fldCharType="separate"/>
            </w:r>
            <w:r>
              <w:rPr>
                <w:rStyle w:val="IndexLink"/>
                <w:vanish w:val="false"/>
              </w:rPr>
              <w:tab/>
              <w:t>20</w:t>
            </w:r>
            <w:r>
              <w:rPr>
                <w:webHidden/>
              </w:rPr>
              <w:fldChar w:fldCharType="end"/>
            </w:r>
          </w:hyperlink>
        </w:p>
        <w:p>
          <w:pPr>
            <w:pStyle w:val="TOC1"/>
            <w:tabs>
              <w:tab w:val="clear" w:pos="720"/>
              <w:tab w:val="right" w:pos="9019" w:leader="dot"/>
            </w:tabs>
            <w:rPr>
              <w:rFonts w:ascii="Cambria" w:hAnsi="Cambria" w:eastAsia="Liberation Sans" w:cs="Liberation Sans" w:asciiTheme="minorHAnsi" w:hAnsiTheme="minorHAnsi"/>
              <w:kern w:val="2"/>
              <w:lang w:eastAsia="zh-CN"/>
              <w14:ligatures w14:val="standardContextual"/>
            </w:rPr>
          </w:pPr>
          <w:hyperlink w:anchor="_Toc236501945">
            <w:r>
              <w:rPr>
                <w:webHidden/>
                <w:rStyle w:val="IndexLink"/>
                <w:rFonts w:cs="Arial" w:ascii="Arial" w:hAnsi="Arial"/>
                <w:vanish w:val="false"/>
              </w:rPr>
              <w:t>Section 2: Reflective Account</w:t>
            </w:r>
            <w:r>
              <w:rPr>
                <w:webHidden/>
              </w:rPr>
              <w:fldChar w:fldCharType="begin"/>
            </w:r>
            <w:r>
              <w:rPr>
                <w:webHidden/>
              </w:rPr>
              <w:instrText xml:space="preserve">PAGEREF _Toc236501945 \h</w:instrText>
            </w:r>
            <w:r>
              <w:rPr>
                <w:webHidden/>
              </w:rPr>
              <w:fldChar w:fldCharType="separate"/>
            </w:r>
            <w:r>
              <w:rPr>
                <w:rStyle w:val="IndexLink"/>
                <w:vanish w:val="false"/>
              </w:rPr>
              <w:tab/>
              <w:t>22</w:t>
            </w:r>
            <w:r>
              <w:rPr>
                <w:webHidden/>
              </w:rPr>
              <w:fldChar w:fldCharType="end"/>
            </w:r>
          </w:hyperlink>
        </w:p>
        <w:p>
          <w:pPr>
            <w:pStyle w:val="TOC2"/>
            <w:tabs>
              <w:tab w:val="clear" w:pos="720"/>
              <w:tab w:val="right" w:pos="9019" w:leader="dot"/>
            </w:tabs>
            <w:rPr>
              <w:rFonts w:ascii="Cambria" w:hAnsi="Cambria" w:eastAsia="Liberation Sans" w:cs="Liberation Sans" w:asciiTheme="minorHAnsi" w:hAnsiTheme="minorHAnsi"/>
              <w:kern w:val="2"/>
              <w:lang w:eastAsia="zh-CN"/>
              <w14:ligatures w14:val="standardContextual"/>
            </w:rPr>
          </w:pPr>
          <w:hyperlink w:anchor="_Toc236501946">
            <w:r>
              <w:rPr>
                <w:webHidden/>
                <w:rStyle w:val="IndexLink"/>
                <w:rFonts w:cs="Arial" w:ascii="Arial" w:hAnsi="Arial"/>
                <w:vanish w:val="false"/>
              </w:rPr>
              <w:t>Description</w:t>
            </w:r>
            <w:r>
              <w:rPr>
                <w:webHidden/>
              </w:rPr>
              <w:fldChar w:fldCharType="begin"/>
            </w:r>
            <w:r>
              <w:rPr>
                <w:webHidden/>
              </w:rPr>
              <w:instrText xml:space="preserve">PAGEREF _Toc236501946 \h</w:instrText>
            </w:r>
            <w:r>
              <w:rPr>
                <w:webHidden/>
              </w:rPr>
              <w:fldChar w:fldCharType="separate"/>
            </w:r>
            <w:r>
              <w:rPr>
                <w:rStyle w:val="IndexLink"/>
                <w:vanish w:val="false"/>
              </w:rPr>
              <w:tab/>
              <w:t>22</w:t>
            </w:r>
            <w:r>
              <w:rPr>
                <w:webHidden/>
              </w:rPr>
              <w:fldChar w:fldCharType="end"/>
            </w:r>
          </w:hyperlink>
        </w:p>
        <w:p>
          <w:pPr>
            <w:pStyle w:val="TOC2"/>
            <w:tabs>
              <w:tab w:val="clear" w:pos="720"/>
              <w:tab w:val="right" w:pos="9019" w:leader="dot"/>
            </w:tabs>
            <w:rPr>
              <w:rFonts w:ascii="Cambria" w:hAnsi="Cambria" w:eastAsia="Liberation Sans" w:cs="Liberation Sans" w:asciiTheme="minorHAnsi" w:hAnsiTheme="minorHAnsi"/>
              <w:kern w:val="2"/>
              <w:lang w:eastAsia="zh-CN"/>
              <w14:ligatures w14:val="standardContextual"/>
            </w:rPr>
          </w:pPr>
          <w:hyperlink w:anchor="_Toc236501947">
            <w:r>
              <w:rPr>
                <w:webHidden/>
                <w:rStyle w:val="IndexLink"/>
                <w:rFonts w:cs="Arial" w:ascii="Arial" w:hAnsi="Arial"/>
                <w:vanish w:val="false"/>
              </w:rPr>
              <w:t>Feelings</w:t>
            </w:r>
            <w:r>
              <w:rPr>
                <w:webHidden/>
              </w:rPr>
              <w:fldChar w:fldCharType="begin"/>
            </w:r>
            <w:r>
              <w:rPr>
                <w:webHidden/>
              </w:rPr>
              <w:instrText xml:space="preserve">PAGEREF _Toc236501947 \h</w:instrText>
            </w:r>
            <w:r>
              <w:rPr>
                <w:webHidden/>
              </w:rPr>
              <w:fldChar w:fldCharType="separate"/>
            </w:r>
            <w:r>
              <w:rPr>
                <w:rStyle w:val="IndexLink"/>
                <w:vanish w:val="false"/>
              </w:rPr>
              <w:tab/>
              <w:t>23</w:t>
            </w:r>
            <w:r>
              <w:rPr>
                <w:webHidden/>
              </w:rPr>
              <w:fldChar w:fldCharType="end"/>
            </w:r>
          </w:hyperlink>
        </w:p>
        <w:p>
          <w:pPr>
            <w:pStyle w:val="TOC2"/>
            <w:tabs>
              <w:tab w:val="clear" w:pos="720"/>
              <w:tab w:val="right" w:pos="9019" w:leader="dot"/>
            </w:tabs>
            <w:rPr>
              <w:rFonts w:ascii="Cambria" w:hAnsi="Cambria" w:eastAsia="Liberation Sans" w:cs="Liberation Sans" w:asciiTheme="minorHAnsi" w:hAnsiTheme="minorHAnsi"/>
              <w:kern w:val="2"/>
              <w:lang w:eastAsia="zh-CN"/>
              <w14:ligatures w14:val="standardContextual"/>
            </w:rPr>
          </w:pPr>
          <w:hyperlink w:anchor="_Toc236501948">
            <w:r>
              <w:rPr>
                <w:webHidden/>
                <w:rStyle w:val="IndexLink"/>
                <w:rFonts w:cs="Arial" w:ascii="Arial" w:hAnsi="Arial"/>
                <w:vanish w:val="false"/>
              </w:rPr>
              <w:t>Evaluation</w:t>
            </w:r>
            <w:r>
              <w:rPr>
                <w:webHidden/>
              </w:rPr>
              <w:fldChar w:fldCharType="begin"/>
            </w:r>
            <w:r>
              <w:rPr>
                <w:webHidden/>
              </w:rPr>
              <w:instrText xml:space="preserve">PAGEREF _Toc236501948 \h</w:instrText>
            </w:r>
            <w:r>
              <w:rPr>
                <w:webHidden/>
              </w:rPr>
              <w:fldChar w:fldCharType="separate"/>
            </w:r>
            <w:r>
              <w:rPr>
                <w:rStyle w:val="IndexLink"/>
                <w:vanish w:val="false"/>
              </w:rPr>
              <w:tab/>
              <w:t>23</w:t>
            </w:r>
            <w:r>
              <w:rPr>
                <w:webHidden/>
              </w:rPr>
              <w:fldChar w:fldCharType="end"/>
            </w:r>
          </w:hyperlink>
        </w:p>
        <w:p>
          <w:pPr>
            <w:pStyle w:val="TOC2"/>
            <w:tabs>
              <w:tab w:val="clear" w:pos="720"/>
              <w:tab w:val="right" w:pos="9019" w:leader="dot"/>
            </w:tabs>
            <w:rPr>
              <w:rFonts w:ascii="Cambria" w:hAnsi="Cambria" w:eastAsia="Liberation Sans" w:cs="Liberation Sans" w:asciiTheme="minorHAnsi" w:hAnsiTheme="minorHAnsi"/>
              <w:kern w:val="2"/>
              <w:lang w:eastAsia="zh-CN"/>
              <w14:ligatures w14:val="standardContextual"/>
            </w:rPr>
          </w:pPr>
          <w:hyperlink w:anchor="_Toc236501949">
            <w:r>
              <w:rPr>
                <w:webHidden/>
                <w:rStyle w:val="IndexLink"/>
                <w:rFonts w:cs="Arial" w:ascii="Arial" w:hAnsi="Arial"/>
                <w:vanish w:val="false"/>
              </w:rPr>
              <w:t>Analysis</w:t>
            </w:r>
            <w:r>
              <w:rPr>
                <w:webHidden/>
              </w:rPr>
              <w:fldChar w:fldCharType="begin"/>
            </w:r>
            <w:r>
              <w:rPr>
                <w:webHidden/>
              </w:rPr>
              <w:instrText xml:space="preserve">PAGEREF _Toc236501949 \h</w:instrText>
            </w:r>
            <w:r>
              <w:rPr>
                <w:webHidden/>
              </w:rPr>
              <w:fldChar w:fldCharType="separate"/>
            </w:r>
            <w:r>
              <w:rPr>
                <w:rStyle w:val="IndexLink"/>
                <w:vanish w:val="false"/>
              </w:rPr>
              <w:tab/>
              <w:t>24</w:t>
            </w:r>
            <w:r>
              <w:rPr>
                <w:webHidden/>
              </w:rPr>
              <w:fldChar w:fldCharType="end"/>
            </w:r>
          </w:hyperlink>
        </w:p>
        <w:p>
          <w:pPr>
            <w:pStyle w:val="TOC2"/>
            <w:tabs>
              <w:tab w:val="clear" w:pos="720"/>
              <w:tab w:val="right" w:pos="9019" w:leader="dot"/>
            </w:tabs>
            <w:rPr>
              <w:rFonts w:ascii="Cambria" w:hAnsi="Cambria" w:eastAsia="Liberation Sans" w:cs="Liberation Sans" w:asciiTheme="minorHAnsi" w:hAnsiTheme="minorHAnsi"/>
              <w:kern w:val="2"/>
              <w:lang w:eastAsia="zh-CN"/>
              <w14:ligatures w14:val="standardContextual"/>
            </w:rPr>
          </w:pPr>
          <w:hyperlink w:anchor="_Toc236501950">
            <w:r>
              <w:rPr>
                <w:webHidden/>
                <w:rStyle w:val="IndexLink"/>
                <w:rFonts w:cs="Arial" w:ascii="Arial" w:hAnsi="Arial"/>
                <w:vanish w:val="false"/>
              </w:rPr>
              <w:t>Conclusion</w:t>
            </w:r>
            <w:r>
              <w:rPr>
                <w:webHidden/>
              </w:rPr>
              <w:fldChar w:fldCharType="begin"/>
            </w:r>
            <w:r>
              <w:rPr>
                <w:webHidden/>
              </w:rPr>
              <w:instrText xml:space="preserve">PAGEREF _Toc236501950 \h</w:instrText>
            </w:r>
            <w:r>
              <w:rPr>
                <w:webHidden/>
              </w:rPr>
              <w:fldChar w:fldCharType="separate"/>
            </w:r>
            <w:r>
              <w:rPr>
                <w:rStyle w:val="IndexLink"/>
                <w:vanish w:val="false"/>
              </w:rPr>
              <w:tab/>
              <w:t>24</w:t>
            </w:r>
            <w:r>
              <w:rPr>
                <w:webHidden/>
              </w:rPr>
              <w:fldChar w:fldCharType="end"/>
            </w:r>
          </w:hyperlink>
        </w:p>
        <w:p>
          <w:pPr>
            <w:pStyle w:val="TOC2"/>
            <w:tabs>
              <w:tab w:val="clear" w:pos="720"/>
              <w:tab w:val="right" w:pos="9019" w:leader="dot"/>
            </w:tabs>
            <w:rPr>
              <w:rFonts w:ascii="Cambria" w:hAnsi="Cambria" w:eastAsia="Liberation Sans" w:cs="Liberation Sans" w:asciiTheme="minorHAnsi" w:hAnsiTheme="minorHAnsi"/>
              <w:kern w:val="2"/>
              <w:lang w:eastAsia="zh-CN"/>
              <w14:ligatures w14:val="standardContextual"/>
            </w:rPr>
          </w:pPr>
          <w:hyperlink w:anchor="_Toc236501951">
            <w:r>
              <w:rPr>
                <w:webHidden/>
                <w:rStyle w:val="IndexLink"/>
                <w:rFonts w:cs="Arial" w:ascii="Arial" w:hAnsi="Arial"/>
                <w:vanish w:val="false"/>
              </w:rPr>
              <w:t>Action plan</w:t>
            </w:r>
            <w:r>
              <w:rPr>
                <w:webHidden/>
              </w:rPr>
              <w:fldChar w:fldCharType="begin"/>
            </w:r>
            <w:r>
              <w:rPr>
                <w:webHidden/>
              </w:rPr>
              <w:instrText xml:space="preserve">PAGEREF _Toc236501951 \h</w:instrText>
            </w:r>
            <w:r>
              <w:rPr>
                <w:webHidden/>
              </w:rPr>
              <w:fldChar w:fldCharType="separate"/>
            </w:r>
            <w:r>
              <w:rPr>
                <w:rStyle w:val="IndexLink"/>
                <w:vanish w:val="false"/>
              </w:rPr>
              <w:tab/>
              <w:t>24</w:t>
            </w:r>
            <w:r>
              <w:rPr>
                <w:webHidden/>
              </w:rPr>
              <w:fldChar w:fldCharType="end"/>
            </w:r>
          </w:hyperlink>
        </w:p>
        <w:p>
          <w:pPr>
            <w:pStyle w:val="TOC1"/>
            <w:tabs>
              <w:tab w:val="clear" w:pos="720"/>
              <w:tab w:val="right" w:pos="9019" w:leader="dot"/>
            </w:tabs>
            <w:rPr>
              <w:rFonts w:ascii="Cambria" w:hAnsi="Cambria" w:eastAsia="Liberation Sans" w:cs="Liberation Sans" w:asciiTheme="minorHAnsi" w:hAnsiTheme="minorHAnsi"/>
              <w:kern w:val="2"/>
              <w:lang w:eastAsia="zh-CN"/>
              <w14:ligatures w14:val="standardContextual"/>
            </w:rPr>
          </w:pPr>
          <w:hyperlink w:anchor="_Toc236501952">
            <w:r>
              <w:rPr>
                <w:webHidden/>
                <w:rStyle w:val="IndexLink"/>
                <w:rFonts w:cs="Arial" w:ascii="Arial" w:hAnsi="Arial"/>
                <w:vanish w:val="false"/>
              </w:rPr>
              <w:t>References</w:t>
            </w:r>
            <w:r>
              <w:rPr>
                <w:webHidden/>
              </w:rPr>
              <w:fldChar w:fldCharType="begin"/>
            </w:r>
            <w:r>
              <w:rPr>
                <w:webHidden/>
              </w:rPr>
              <w:instrText xml:space="preserve">PAGEREF _Toc236501952 \h</w:instrText>
            </w:r>
            <w:r>
              <w:rPr>
                <w:webHidden/>
              </w:rPr>
              <w:fldChar w:fldCharType="separate"/>
            </w:r>
            <w:r>
              <w:rPr>
                <w:rStyle w:val="IndexLink"/>
                <w:vanish w:val="false"/>
              </w:rPr>
              <w:tab/>
              <w:t>26</w:t>
            </w:r>
            <w:r>
              <w:rPr>
                <w:webHidden/>
              </w:rPr>
              <w:fldChar w:fldCharType="end"/>
            </w:r>
          </w:hyperlink>
        </w:p>
        <w:p>
          <w:pPr>
            <w:pStyle w:val="TOC1"/>
            <w:tabs>
              <w:tab w:val="clear" w:pos="720"/>
              <w:tab w:val="right" w:pos="9019" w:leader="dot"/>
            </w:tabs>
            <w:rPr>
              <w:rFonts w:ascii="Cambria" w:hAnsi="Cambria" w:eastAsia="Liberation Sans" w:cs="Liberation Sans" w:asciiTheme="minorHAnsi" w:hAnsiTheme="minorHAnsi"/>
              <w:kern w:val="2"/>
              <w:lang w:eastAsia="zh-CN"/>
              <w14:ligatures w14:val="standardContextual"/>
            </w:rPr>
          </w:pPr>
          <w:hyperlink w:anchor="_Toc236501953">
            <w:r>
              <w:rPr>
                <w:webHidden/>
                <w:rStyle w:val="IndexLink"/>
                <w:rFonts w:cs="Arial" w:ascii="Arial" w:hAnsi="Arial"/>
                <w:vanish w:val="false"/>
              </w:rPr>
              <w:t>Bibliography</w:t>
            </w:r>
            <w:r>
              <w:rPr>
                <w:webHidden/>
              </w:rPr>
              <w:fldChar w:fldCharType="begin"/>
            </w:r>
            <w:r>
              <w:rPr>
                <w:webHidden/>
              </w:rPr>
              <w:instrText xml:space="preserve">PAGEREF _Toc236501953 \h</w:instrText>
            </w:r>
            <w:r>
              <w:rPr>
                <w:webHidden/>
              </w:rPr>
              <w:fldChar w:fldCharType="separate"/>
            </w:r>
            <w:r>
              <w:rPr>
                <w:rStyle w:val="IndexLink"/>
                <w:vanish w:val="false"/>
              </w:rPr>
              <w:tab/>
              <w:t>31</w:t>
            </w:r>
            <w:r>
              <w:rPr>
                <w:webHidden/>
              </w:rPr>
              <w:fldChar w:fldCharType="end"/>
            </w:r>
          </w:hyperlink>
          <w:r>
            <w:rPr>
              <w:rStyle w:val="IndexLink"/>
              <w:vanish w:val="false"/>
            </w:rPr>
            <w:fldChar w:fldCharType="end"/>
          </w:r>
        </w:p>
      </w:sdtContent>
    </w:sdt>
    <w:p>
      <w:pPr>
        <w:pStyle w:val="Normal"/>
        <w:widowControl w:val="false"/>
        <w:tabs>
          <w:tab w:val="clear" w:pos="720"/>
          <w:tab w:val="right" w:pos="9025" w:leader="dot"/>
        </w:tabs>
        <w:spacing w:lineRule="auto" w:line="240" w:before="60" w:after="0"/>
        <w:jc w:val="left"/>
        <w:rPr>
          <w:rFonts w:ascii="Arial" w:hAnsi="Arial" w:cs="Arial"/>
          <w:color w:val="000000"/>
        </w:rPr>
      </w:pPr>
      <w:r>
        <w:rPr>
          <w:rFonts w:cs="Arial" w:ascii="Arial" w:hAnsi="Arial"/>
          <w:color w:val="000000"/>
        </w:rPr>
      </w:r>
    </w:p>
    <w:p>
      <w:pPr>
        <w:pStyle w:val="Normal"/>
        <w:rPr>
          <w:rFonts w:ascii="Arial" w:hAnsi="Arial" w:cs="Arial"/>
        </w:rPr>
      </w:pPr>
      <w:r>
        <w:rPr>
          <w:rFonts w:cs="Arial" w:ascii="Arial" w:hAnsi="Arial"/>
        </w:rPr>
      </w:r>
    </w:p>
    <w:p>
      <w:pPr>
        <w:pStyle w:val="Heading1"/>
        <w:rPr/>
      </w:pPr>
      <w:r>
        <w:rPr/>
      </w:r>
      <w:bookmarkStart w:id="1" w:name="_jus9zxn8elt3"/>
      <w:bookmarkStart w:id="2" w:name="_jus9zxn8elt3"/>
      <w:bookmarkEnd w:id="2"/>
      <w:r>
        <w:br w:type="page"/>
      </w:r>
    </w:p>
    <w:p>
      <w:pPr>
        <w:pStyle w:val="Heading1"/>
        <w:spacing w:before="0" w:after="0"/>
        <w:rPr>
          <w:rFonts w:ascii="Arial" w:hAnsi="Arial" w:cs="Arial"/>
        </w:rPr>
      </w:pPr>
      <w:bookmarkStart w:id="3" w:name="_Toc236501931"/>
      <w:r>
        <w:rPr>
          <w:rFonts w:cs="Arial" w:ascii="Arial" w:hAnsi="Arial"/>
        </w:rPr>
        <w:t>1. Organisational Context and Overview</w:t>
      </w:r>
      <w:bookmarkEnd w:id="3"/>
    </w:p>
    <w:p>
      <w:pPr>
        <w:pStyle w:val="Heading2"/>
        <w:rPr>
          <w:rFonts w:ascii="Arial" w:hAnsi="Arial" w:cs="Arial"/>
        </w:rPr>
      </w:pPr>
      <w:bookmarkStart w:id="4" w:name="_Toc236501932"/>
      <w:r>
        <w:rPr>
          <w:rFonts w:cs="Arial" w:ascii="Arial" w:hAnsi="Arial"/>
        </w:rPr>
        <w:t>1.1. Company Profile</w:t>
      </w:r>
      <w:bookmarkEnd w:id="4"/>
      <w:r>
        <w:rPr>
          <w:rFonts w:cs="Arial" w:ascii="Arial" w:hAnsi="Arial"/>
        </w:rPr>
        <w:t xml:space="preserve"> </w:t>
      </w:r>
    </w:p>
    <w:p>
      <w:pPr>
        <w:pStyle w:val="Normal"/>
        <w:rPr>
          <w:rFonts w:ascii="Arial" w:hAnsi="Arial" w:cs="Arial"/>
        </w:rPr>
      </w:pPr>
      <w:r>
        <w:rPr>
          <w:rFonts w:cs="Arial" w:ascii="Arial" w:hAnsi="Arial"/>
        </w:rPr>
        <w:t>The Coca-Cola Company was founded in the year 1892 by Asa Griggs Candler after getting the formula for Coca-Cola that was originally created in 1886 by John Stith Pemberton in Atlanta, Georgia, United States (The Coca-Cola Company, 2025). From a single carbonated soft drink, the company expanded into one of the largest beverage organisations all across the globe through continuous innovation and international growth. Major milestones of Coca-Cola include its expansion into Canada and Mexico in the early twentieth century then into Asia-Pacific, Latin America, the Middle East as well as Africa with operations established in more than 200 countries worldwide (Coca-Cola, 2025). Over time, Coca-Cola strategically diversified its product portfolio beyond Coca-Cola, Diet Coke as well as Coca-Cola Zero Sugar to include Sprite, Fanta, Minute Maid juices, Dasani bottled water, Powerade sports drinks, Costa Coffee and Smart water with the help of product development and strategic acquisitions (Coca-Cola Company, 2025) (</w:t>
      </w:r>
      <w:r>
        <w:rPr>
          <w:rFonts w:cs="Arial" w:ascii="Arial" w:hAnsi="Arial"/>
          <w:b/>
          <w:bCs/>
          <w:i/>
          <w:iCs/>
        </w:rPr>
        <w:t>Figure 1</w:t>
      </w:r>
      <w:r>
        <mc:AlternateContent>
          <mc:Choice Requires="wps">
            <w:drawing>
              <wp:anchor behindDoc="0" distT="114300" distB="114300" distL="114300" distR="114300" simplePos="0" locked="0" layoutInCell="0" allowOverlap="1" relativeHeight="11" wp14:anchorId="05740904">
                <wp:simplePos x="0" y="0"/>
                <wp:positionH relativeFrom="column">
                  <wp:posOffset>114300</wp:posOffset>
                </wp:positionH>
                <wp:positionV relativeFrom="paragraph">
                  <wp:posOffset>114300</wp:posOffset>
                </wp:positionV>
                <wp:extent cx="1771650" cy="1771650"/>
                <wp:effectExtent l="0" t="0" r="0" b="0"/>
                <wp:wrapSquare wrapText="bothSides"/>
                <wp:docPr id="3" name="image2.png"/>
                <a:graphic xmlns:a="http://schemas.openxmlformats.org/drawingml/2006/main">
                  <a:graphicData uri="http://schemas.openxmlformats.org/drawingml/2006/picture">
                    <pic:pic xmlns:pic="http://schemas.openxmlformats.org/drawingml/2006/picture">
                      <pic:nvPicPr>
                        <pic:cNvPr id="4" name="image2.png" descr=""/>
                        <pic:cNvPicPr/>
                      </pic:nvPicPr>
                      <pic:blipFill>
                        <a:blip r:embed="rId3"/>
                        <a:stretch/>
                      </pic:blipFill>
                      <pic:spPr>
                        <a:xfrm>
                          <a:off x="0" y="0"/>
                          <a:ext cx="1771560" cy="1771560"/>
                        </a:xfrm>
                        <a:prstGeom prst="rect">
                          <a:avLst/>
                        </a:prstGeom>
                        <a:noFill/>
                        <a:ln w="0">
                          <a:noFill/>
                        </a:ln>
                      </pic:spPr>
                    </pic:pic>
                  </a:graphicData>
                </a:graphic>
              </wp:anchor>
            </w:drawing>
          </mc:Choice>
        </mc:AlternateContent>
      </w:r>
      <w:r>
        <w:rPr>
          <w:rFonts w:cs="Arial" w:ascii="Arial" w:hAnsi="Arial"/>
        </w:rPr>
        <w:t xml:space="preserve">). </w:t>
      </w:r>
    </w:p>
    <w:p>
      <w:pPr>
        <w:pStyle w:val="Normal"/>
        <w:jc w:val="center"/>
        <w:rPr>
          <w:rFonts w:ascii="Arial" w:hAnsi="Arial" w:cs="Arial"/>
        </w:rPr>
      </w:pPr>
      <w:r>
        <w:rPr/>
        <mc:AlternateContent>
          <mc:Choice Requires="wps">
            <w:drawing>
              <wp:inline distT="0" distB="0" distL="0" distR="0" wp14:anchorId="14858CAF">
                <wp:extent cx="4248150" cy="2547620"/>
                <wp:effectExtent l="0" t="0" r="0" b="0"/>
                <wp:docPr id="5" name="image3.png"/>
                <a:graphic xmlns:a="http://schemas.openxmlformats.org/drawingml/2006/main">
                  <a:graphicData uri="http://schemas.openxmlformats.org/drawingml/2006/picture">
                    <pic:pic xmlns:pic="http://schemas.openxmlformats.org/drawingml/2006/picture">
                      <pic:nvPicPr>
                        <pic:cNvPr id="6" name="image3.png" descr=""/>
                        <pic:cNvPicPr/>
                      </pic:nvPicPr>
                      <pic:blipFill>
                        <a:blip r:embed="rId4"/>
                        <a:stretch/>
                      </pic:blipFill>
                      <pic:spPr>
                        <a:xfrm>
                          <a:off x="0" y="0"/>
                          <a:ext cx="4248000" cy="2547720"/>
                        </a:xfrm>
                        <a:prstGeom prst="rect">
                          <a:avLst/>
                        </a:prstGeom>
                        <a:noFill/>
                        <a:ln w="0">
                          <a:noFill/>
                        </a:ln>
                      </pic:spPr>
                    </pic:pic>
                  </a:graphicData>
                </a:graphic>
              </wp:inline>
            </w:drawing>
          </mc:Choice>
        </mc:AlternateContent>
      </w:r>
    </w:p>
    <w:p>
      <w:pPr>
        <w:pStyle w:val="Normal"/>
        <w:jc w:val="center"/>
        <w:rPr>
          <w:rFonts w:ascii="Arial" w:hAnsi="Arial" w:cs="Arial"/>
          <w:b/>
          <w:bCs/>
          <w:i/>
          <w:i/>
          <w:iCs/>
        </w:rPr>
      </w:pPr>
      <w:r>
        <w:rPr>
          <w:rFonts w:cs="Arial" w:ascii="Arial" w:hAnsi="Arial"/>
          <w:b/>
          <w:bCs/>
          <w:i/>
          <w:iCs/>
        </w:rPr>
        <w:t>Figure 1: Products by Coca-Cola</w:t>
      </w:r>
    </w:p>
    <w:p>
      <w:pPr>
        <w:pStyle w:val="Normal"/>
        <w:jc w:val="center"/>
        <w:rPr>
          <w:rFonts w:ascii="Arial" w:hAnsi="Arial" w:cs="Arial"/>
        </w:rPr>
      </w:pPr>
      <w:r>
        <w:rPr>
          <w:rFonts w:cs="Arial" w:ascii="Arial" w:hAnsi="Arial"/>
        </w:rPr>
        <w:t>(Source: Coca-Cola Company, 2025)</w:t>
      </w:r>
    </w:p>
    <w:p>
      <w:pPr>
        <w:pStyle w:val="Normal"/>
        <w:rPr>
          <w:rFonts w:ascii="Arial" w:hAnsi="Arial" w:cs="Arial"/>
        </w:rPr>
      </w:pPr>
      <w:r>
        <w:rPr>
          <w:rFonts w:cs="Arial" w:ascii="Arial" w:hAnsi="Arial"/>
        </w:rPr>
        <w:t>The primary mission of the company is to refresh the world, make a difference along with inspiring moments of optimism with the help of its beverages and business practices while the vision of Coca-Cola is to create a more sustainable future while generating long-term value for consumers, employees, communities as well as shareholders (The Coca-Cola Company, 2024). The business model of Coca-Cola is based on producing beverage concentrates and syrups that are supplied to a wide-ranging network of independent bottling partners which manufacture, package, distribute along with marketing finished products (Coca-Cola, 2025). Such an inclusive business model works towards enabling efficient global distribution, strong brand equity, operational scalability as well as sustainable revenue generation with accurate internationalisation practices.</w:t>
      </w:r>
    </w:p>
    <w:p>
      <w:pPr>
        <w:pStyle w:val="Heading2"/>
        <w:rPr>
          <w:rFonts w:ascii="Arial" w:hAnsi="Arial" w:cs="Arial"/>
        </w:rPr>
      </w:pPr>
      <w:bookmarkStart w:id="5" w:name="_Toc236501933"/>
      <w:r>
        <w:rPr>
          <w:rFonts w:cs="Arial" w:ascii="Arial" w:hAnsi="Arial"/>
        </w:rPr>
        <w:t>1.2 Industry and market position</w:t>
      </w:r>
      <w:bookmarkEnd w:id="5"/>
    </w:p>
    <w:p>
      <w:pPr>
        <w:pStyle w:val="Normal"/>
        <w:rPr>
          <w:rFonts w:ascii="Arial" w:hAnsi="Arial" w:cs="Arial"/>
        </w:rPr>
      </w:pPr>
      <w:r>
        <w:rPr>
          <w:rFonts w:cs="Arial" w:ascii="Arial" w:hAnsi="Arial"/>
        </w:rPr>
        <w:t>Coca-Cola has an aim to operate in the global non-alcoholic ready-to-drink (NARTD) beverage industry which includes carbonated soft drinks, bottled water, juices, sports drinks, tea, coffee as well as energy beverages (The Coca-Cola Company, 2026). The chosen industry constantly expands due to increasing urbanisation, premiumisation, healthier beverage demand as well as digital retail channels while companies invest in sustainable product packaging and low-sugar or zero-sugar product innovation (The Coca-Cola Company, 2026). In 2023, the size of the soft drink market across the UK was estimated around USD 12.7 billion (Spherical Insight, 2024) (</w:t>
      </w:r>
      <w:r>
        <w:rPr>
          <w:rFonts w:cs="Arial" w:ascii="Arial" w:hAnsi="Arial"/>
          <w:b/>
          <w:bCs/>
          <w:i/>
          <w:iCs/>
        </w:rPr>
        <w:t>Table 1</w:t>
      </w:r>
      <w:r>
        <w:rPr>
          <w:rFonts w:cs="Arial" w:ascii="Arial" w:hAnsi="Arial"/>
        </w:rPr>
        <w:t xml:space="preserve">). The major competitors of Coca-Cola in the UK include PepsiCo (distributed by Carlsberg Britvic), Carlsberg Britvic as well as AG Barr and these companies compete across carbonated soft drinks, juices, bottled water and energy beverages with a focus on strong brand portfolios and wide distribution networks (The Grocer, 2025; Marrow and Tabassum, 2026). Hence, the study has a purpose to evaluate the current strategic position of Coca-Cola in the UK along with recommending strategies to strengthen the overall competitive advantage of the company. </w:t>
      </w:r>
    </w:p>
    <w:p>
      <w:pPr>
        <w:pStyle w:val="Normal"/>
        <w:jc w:val="center"/>
        <w:rPr>
          <w:rFonts w:ascii="Arial" w:hAnsi="Arial" w:cs="Arial"/>
        </w:rPr>
      </w:pPr>
      <w:r>
        <w:rPr/>
        <mc:AlternateContent>
          <mc:Choice Requires="wps">
            <w:drawing>
              <wp:inline distT="0" distB="0" distL="0" distR="0" wp14:anchorId="6AA2F1DB">
                <wp:extent cx="4843780" cy="2759710"/>
                <wp:effectExtent l="0" t="0" r="0" b="0"/>
                <wp:docPr id="7" name="image8.png"/>
                <a:graphic xmlns:a="http://schemas.openxmlformats.org/drawingml/2006/main">
                  <a:graphicData uri="http://schemas.openxmlformats.org/drawingml/2006/picture">
                    <pic:pic xmlns:pic="http://schemas.openxmlformats.org/drawingml/2006/picture">
                      <pic:nvPicPr>
                        <pic:cNvPr id="8" name="image8.png" descr=""/>
                        <pic:cNvPicPr/>
                      </pic:nvPicPr>
                      <pic:blipFill>
                        <a:blip r:embed="rId5"/>
                        <a:stretch/>
                      </pic:blipFill>
                      <pic:spPr>
                        <a:xfrm>
                          <a:off x="0" y="0"/>
                          <a:ext cx="4843800" cy="2759760"/>
                        </a:xfrm>
                        <a:prstGeom prst="rect">
                          <a:avLst/>
                        </a:prstGeom>
                        <a:noFill/>
                        <a:ln w="0">
                          <a:noFill/>
                        </a:ln>
                      </pic:spPr>
                    </pic:pic>
                  </a:graphicData>
                </a:graphic>
              </wp:inline>
            </w:drawing>
          </mc:Choice>
        </mc:AlternateContent>
      </w:r>
    </w:p>
    <w:p>
      <w:pPr>
        <w:pStyle w:val="Normal"/>
        <w:jc w:val="center"/>
        <w:rPr>
          <w:rFonts w:ascii="Arial" w:hAnsi="Arial" w:cs="Arial"/>
          <w:b/>
          <w:bCs/>
          <w:i/>
          <w:i/>
          <w:iCs/>
        </w:rPr>
      </w:pPr>
      <w:r>
        <w:rPr>
          <w:rFonts w:cs="Arial" w:ascii="Arial" w:hAnsi="Arial"/>
          <w:b/>
          <w:bCs/>
          <w:i/>
          <w:iCs/>
        </w:rPr>
        <w:t>Table 1: Soft drink market of the UK</w:t>
      </w:r>
    </w:p>
    <w:p>
      <w:pPr>
        <w:pStyle w:val="Normal"/>
        <w:jc w:val="center"/>
        <w:rPr>
          <w:rFonts w:ascii="Arial" w:hAnsi="Arial" w:cs="Arial"/>
        </w:rPr>
      </w:pPr>
      <w:r>
        <w:rPr>
          <w:rFonts w:cs="Arial" w:ascii="Arial" w:hAnsi="Arial"/>
        </w:rPr>
        <w:t>(Source: Spherical Insight, 2024)</w:t>
      </w:r>
    </w:p>
    <w:p>
      <w:pPr>
        <w:pStyle w:val="Heading1"/>
        <w:rPr>
          <w:rFonts w:ascii="Arial" w:hAnsi="Arial" w:cs="Arial"/>
        </w:rPr>
      </w:pPr>
      <w:bookmarkStart w:id="6" w:name="_Toc236501934"/>
      <w:r>
        <w:rPr>
          <w:rFonts w:cs="Arial" w:ascii="Arial" w:hAnsi="Arial"/>
        </w:rPr>
        <w:t>2. External and internal analysis</w:t>
      </w:r>
      <w:bookmarkEnd w:id="6"/>
    </w:p>
    <w:p>
      <w:pPr>
        <w:pStyle w:val="Heading2"/>
        <w:rPr>
          <w:rFonts w:ascii="Arial" w:hAnsi="Arial" w:cs="Arial"/>
        </w:rPr>
      </w:pPr>
      <w:bookmarkStart w:id="7" w:name="_Toc236501935"/>
      <w:r>
        <w:rPr>
          <w:rFonts w:cs="Arial" w:ascii="Arial" w:hAnsi="Arial"/>
        </w:rPr>
        <w:t>2.1 External analysis: PESTEL</w:t>
      </w:r>
      <w:bookmarkEnd w:id="7"/>
      <w:r>
        <w:rPr>
          <w:rFonts w:cs="Arial" w:ascii="Arial" w:hAnsi="Arial"/>
        </w:rPr>
        <w:t xml:space="preserve"> </w:t>
      </w:r>
    </w:p>
    <w:tbl>
      <w:tblPr>
        <w:tblStyle w:val="a"/>
        <w:tblW w:w="9000" w:type="dxa"/>
        <w:jc w:val="left"/>
        <w:tblInd w:w="0" w:type="dxa"/>
        <w:tblLayout w:type="fixed"/>
        <w:tblCellMar>
          <w:top w:w="100" w:type="dxa"/>
          <w:left w:w="100" w:type="dxa"/>
          <w:bottom w:w="100" w:type="dxa"/>
          <w:right w:w="100" w:type="dxa"/>
        </w:tblCellMar>
        <w:tblLook w:val="0600" w:noVBand="1" w:noHBand="1" w:lastColumn="0" w:firstColumn="0" w:lastRow="0" w:firstRow="0"/>
      </w:tblPr>
      <w:tblGrid>
        <w:gridCol w:w="1530"/>
        <w:gridCol w:w="5895"/>
        <w:gridCol w:w="1575"/>
      </w:tblGrid>
      <w:tr>
        <w:trPr/>
        <w:tc>
          <w:tcPr>
            <w:tcW w:w="1530" w:type="dxa"/>
            <w:tcBorders>
              <w:top w:val="single" w:sz="8" w:space="0" w:color="000000"/>
              <w:left w:val="single" w:sz="8" w:space="0" w:color="000000"/>
              <w:bottom w:val="single" w:sz="8" w:space="0" w:color="000000"/>
              <w:right w:val="single" w:sz="8" w:space="0" w:color="000000"/>
            </w:tcBorders>
            <w:shd w:color="auto" w:fill="B6D7A8" w:val="clear"/>
          </w:tcPr>
          <w:p>
            <w:pPr>
              <w:pStyle w:val="Normal"/>
              <w:widowControl w:val="false"/>
              <w:jc w:val="center"/>
              <w:rPr>
                <w:rFonts w:ascii="Arial" w:hAnsi="Arial" w:cs="Arial"/>
                <w:b/>
                <w:bCs/>
                <w:sz w:val="20"/>
                <w:szCs w:val="20"/>
              </w:rPr>
            </w:pPr>
            <w:r>
              <w:rPr>
                <w:rFonts w:cs="Arial" w:ascii="Arial" w:hAnsi="Arial"/>
                <w:b/>
                <w:bCs/>
                <w:sz w:val="20"/>
                <w:szCs w:val="20"/>
              </w:rPr>
              <w:t>PESTEL</w:t>
            </w:r>
          </w:p>
        </w:tc>
        <w:tc>
          <w:tcPr>
            <w:tcW w:w="5895" w:type="dxa"/>
            <w:tcBorders>
              <w:top w:val="single" w:sz="8" w:space="0" w:color="000000"/>
              <w:left w:val="single" w:sz="8" w:space="0" w:color="000000"/>
              <w:bottom w:val="single" w:sz="8" w:space="0" w:color="000000"/>
              <w:right w:val="single" w:sz="8" w:space="0" w:color="000000"/>
            </w:tcBorders>
            <w:shd w:color="auto" w:fill="B6D7A8" w:val="clear"/>
          </w:tcPr>
          <w:p>
            <w:pPr>
              <w:pStyle w:val="Normal"/>
              <w:widowControl w:val="false"/>
              <w:jc w:val="center"/>
              <w:rPr>
                <w:rFonts w:ascii="Arial" w:hAnsi="Arial" w:cs="Arial"/>
                <w:b/>
                <w:bCs/>
                <w:sz w:val="20"/>
                <w:szCs w:val="20"/>
              </w:rPr>
            </w:pPr>
            <w:r>
              <w:rPr>
                <w:rFonts w:cs="Arial" w:ascii="Arial" w:hAnsi="Arial"/>
                <w:b/>
                <w:bCs/>
                <w:sz w:val="20"/>
                <w:szCs w:val="20"/>
              </w:rPr>
              <w:t>Analysis</w:t>
            </w:r>
          </w:p>
        </w:tc>
        <w:tc>
          <w:tcPr>
            <w:tcW w:w="1575" w:type="dxa"/>
            <w:tcBorders>
              <w:top w:val="single" w:sz="8" w:space="0" w:color="000000"/>
              <w:left w:val="single" w:sz="8" w:space="0" w:color="000000"/>
              <w:bottom w:val="single" w:sz="8" w:space="0" w:color="000000"/>
              <w:right w:val="single" w:sz="8" w:space="0" w:color="000000"/>
            </w:tcBorders>
            <w:shd w:color="auto" w:fill="B6D7A8" w:val="clear"/>
          </w:tcPr>
          <w:p>
            <w:pPr>
              <w:pStyle w:val="Normal"/>
              <w:widowControl w:val="false"/>
              <w:jc w:val="center"/>
              <w:rPr>
                <w:rFonts w:ascii="Arial" w:hAnsi="Arial" w:cs="Arial"/>
                <w:b/>
                <w:bCs/>
                <w:sz w:val="20"/>
                <w:szCs w:val="20"/>
              </w:rPr>
            </w:pPr>
            <w:r>
              <w:rPr>
                <w:rFonts w:cs="Arial" w:ascii="Arial" w:hAnsi="Arial"/>
                <w:b/>
                <w:bCs/>
                <w:sz w:val="20"/>
                <w:szCs w:val="20"/>
              </w:rPr>
              <w:t>Opportunity or threat</w:t>
            </w:r>
          </w:p>
        </w:tc>
      </w:tr>
      <w:tr>
        <w:trPr>
          <w:trHeight w:val="400" w:hRule="atLeast"/>
        </w:trPr>
        <w:tc>
          <w:tcPr>
            <w:tcW w:w="1530" w:type="dxa"/>
            <w:vMerge w:val="restart"/>
            <w:tcBorders>
              <w:top w:val="single" w:sz="8" w:space="0" w:color="000000"/>
              <w:left w:val="single" w:sz="8" w:space="0" w:color="000000"/>
              <w:bottom w:val="single" w:sz="8" w:space="0" w:color="000000"/>
              <w:right w:val="single" w:sz="8" w:space="0" w:color="000000"/>
            </w:tcBorders>
            <w:shd w:color="auto" w:fill="D9D2E9" w:val="clear"/>
          </w:tcPr>
          <w:p>
            <w:pPr>
              <w:pStyle w:val="Normal"/>
              <w:widowControl w:val="false"/>
              <w:jc w:val="left"/>
              <w:rPr>
                <w:rFonts w:ascii="Arial" w:hAnsi="Arial" w:cs="Arial"/>
                <w:b/>
                <w:bCs/>
                <w:sz w:val="20"/>
                <w:szCs w:val="20"/>
              </w:rPr>
            </w:pPr>
            <w:r>
              <w:rPr>
                <w:rFonts w:cs="Arial" w:ascii="Arial" w:hAnsi="Arial"/>
                <w:b/>
                <w:bCs/>
                <w:sz w:val="20"/>
                <w:szCs w:val="20"/>
              </w:rPr>
              <w:t>Political</w:t>
            </w:r>
          </w:p>
        </w:tc>
        <w:tc>
          <w:tcPr>
            <w:tcW w:w="5895" w:type="dxa"/>
            <w:tcBorders>
              <w:top w:val="single" w:sz="8" w:space="0" w:color="000000"/>
              <w:left w:val="single" w:sz="8" w:space="0" w:color="000000"/>
              <w:bottom w:val="single" w:sz="8" w:space="0" w:color="000000"/>
              <w:right w:val="single" w:sz="8" w:space="0" w:color="000000"/>
            </w:tcBorders>
          </w:tcPr>
          <w:p>
            <w:pPr>
              <w:pStyle w:val="Normal"/>
              <w:widowControl w:val="false"/>
              <w:rPr>
                <w:rFonts w:ascii="Arial" w:hAnsi="Arial" w:cs="Arial"/>
                <w:sz w:val="20"/>
                <w:szCs w:val="20"/>
              </w:rPr>
            </w:pPr>
            <w:r>
              <w:rPr>
                <w:rFonts w:cs="Arial" w:ascii="Arial" w:hAnsi="Arial"/>
                <w:sz w:val="20"/>
                <w:szCs w:val="20"/>
              </w:rPr>
              <w:t xml:space="preserve">Incorporation of </w:t>
            </w:r>
            <w:r>
              <w:rPr>
                <w:rFonts w:cs="Arial" w:ascii="Arial" w:hAnsi="Arial"/>
                <w:b/>
                <w:bCs/>
                <w:i/>
                <w:iCs/>
                <w:sz w:val="20"/>
                <w:szCs w:val="20"/>
              </w:rPr>
              <w:t>post-Brexit</w:t>
            </w:r>
            <w:r>
              <w:rPr>
                <w:rFonts w:cs="Arial" w:ascii="Arial" w:hAnsi="Arial"/>
                <w:sz w:val="20"/>
                <w:szCs w:val="20"/>
              </w:rPr>
              <w:t xml:space="preserve"> customs procedures increases import documentation as well as logistics complexity which works towards raising operational costs along with creating supply chain issues (Bailey </w:t>
            </w:r>
            <w:r>
              <w:rPr>
                <w:rFonts w:cs="Arial" w:ascii="Arial" w:hAnsi="Arial"/>
                <w:i/>
                <w:iCs/>
                <w:sz w:val="20"/>
                <w:szCs w:val="20"/>
              </w:rPr>
              <w:t>et al.</w:t>
            </w:r>
            <w:r>
              <w:rPr>
                <w:rFonts w:cs="Arial" w:ascii="Arial" w:hAnsi="Arial"/>
                <w:sz w:val="20"/>
                <w:szCs w:val="20"/>
              </w:rPr>
              <w:t>, 2023)</w:t>
            </w:r>
          </w:p>
        </w:tc>
        <w:tc>
          <w:tcPr>
            <w:tcW w:w="1575" w:type="dxa"/>
            <w:tcBorders>
              <w:top w:val="single" w:sz="8" w:space="0" w:color="000000"/>
              <w:left w:val="single" w:sz="8" w:space="0" w:color="000000"/>
              <w:bottom w:val="single" w:sz="8" w:space="0" w:color="000000"/>
              <w:right w:val="single" w:sz="8" w:space="0" w:color="000000"/>
            </w:tcBorders>
            <w:shd w:color="auto" w:fill="E06666" w:val="clear"/>
          </w:tcPr>
          <w:p>
            <w:pPr>
              <w:pStyle w:val="Normal"/>
              <w:widowControl w:val="false"/>
              <w:rPr>
                <w:rFonts w:ascii="Arial" w:hAnsi="Arial" w:cs="Arial"/>
                <w:b/>
                <w:bCs/>
                <w:sz w:val="20"/>
                <w:szCs w:val="20"/>
              </w:rPr>
            </w:pPr>
            <w:r>
              <w:rPr>
                <w:rFonts w:cs="Arial" w:ascii="Arial" w:hAnsi="Arial"/>
                <w:b/>
                <w:bCs/>
                <w:sz w:val="20"/>
                <w:szCs w:val="20"/>
              </w:rPr>
              <w:t>Threat</w:t>
            </w:r>
          </w:p>
        </w:tc>
      </w:tr>
      <w:tr>
        <w:trPr>
          <w:trHeight w:val="400" w:hRule="atLeast"/>
        </w:trPr>
        <w:tc>
          <w:tcPr>
            <w:tcW w:w="1530" w:type="dxa"/>
            <w:vMerge w:val="continue"/>
            <w:tcBorders>
              <w:top w:val="single" w:sz="8" w:space="0" w:color="000000"/>
              <w:left w:val="single" w:sz="8" w:space="0" w:color="000000"/>
              <w:bottom w:val="single" w:sz="8" w:space="0" w:color="000000"/>
              <w:right w:val="single" w:sz="8" w:space="0" w:color="000000"/>
            </w:tcBorders>
            <w:shd w:color="auto" w:fill="D9D2E9" w:val="clear"/>
          </w:tcPr>
          <w:p>
            <w:pPr>
              <w:pStyle w:val="Normal"/>
              <w:widowControl w:val="false"/>
              <w:jc w:val="left"/>
              <w:rPr>
                <w:rFonts w:ascii="Arial" w:hAnsi="Arial" w:cs="Arial"/>
                <w:b/>
                <w:bCs/>
                <w:sz w:val="20"/>
                <w:szCs w:val="20"/>
              </w:rPr>
            </w:pPr>
            <w:r>
              <w:rPr>
                <w:rFonts w:cs="Arial" w:ascii="Arial" w:hAnsi="Arial"/>
                <w:b/>
                <w:bCs/>
                <w:sz w:val="20"/>
                <w:szCs w:val="20"/>
              </w:rPr>
            </w:r>
          </w:p>
        </w:tc>
        <w:tc>
          <w:tcPr>
            <w:tcW w:w="5895" w:type="dxa"/>
            <w:tcBorders>
              <w:top w:val="single" w:sz="8" w:space="0" w:color="000000"/>
              <w:left w:val="single" w:sz="8" w:space="0" w:color="000000"/>
              <w:bottom w:val="single" w:sz="8" w:space="0" w:color="000000"/>
              <w:right w:val="single" w:sz="8" w:space="0" w:color="000000"/>
            </w:tcBorders>
          </w:tcPr>
          <w:p>
            <w:pPr>
              <w:pStyle w:val="Normal"/>
              <w:widowControl w:val="false"/>
              <w:rPr>
                <w:rFonts w:ascii="Arial" w:hAnsi="Arial" w:cs="Arial"/>
                <w:sz w:val="20"/>
                <w:szCs w:val="20"/>
              </w:rPr>
            </w:pPr>
            <w:r>
              <w:rPr>
                <w:rFonts w:cs="Arial" w:ascii="Arial" w:hAnsi="Arial"/>
                <w:sz w:val="20"/>
                <w:szCs w:val="20"/>
              </w:rPr>
              <w:t>Stable UK political institutions aim to support predictable business regulations that directly encourage long-term investments, manufacturing expansion as well as strategic planning for companies (Government of UK, 2024)</w:t>
            </w:r>
          </w:p>
        </w:tc>
        <w:tc>
          <w:tcPr>
            <w:tcW w:w="1575" w:type="dxa"/>
            <w:tcBorders>
              <w:top w:val="single" w:sz="8" w:space="0" w:color="000000"/>
              <w:left w:val="single" w:sz="8" w:space="0" w:color="000000"/>
              <w:bottom w:val="single" w:sz="8" w:space="0" w:color="000000"/>
              <w:right w:val="single" w:sz="8" w:space="0" w:color="000000"/>
            </w:tcBorders>
            <w:shd w:color="auto" w:fill="6AA84F" w:val="clear"/>
          </w:tcPr>
          <w:p>
            <w:pPr>
              <w:pStyle w:val="Normal"/>
              <w:widowControl w:val="false"/>
              <w:rPr>
                <w:rFonts w:ascii="Arial" w:hAnsi="Arial" w:cs="Arial"/>
                <w:b/>
                <w:bCs/>
                <w:sz w:val="20"/>
                <w:szCs w:val="20"/>
              </w:rPr>
            </w:pPr>
            <w:r>
              <w:rPr>
                <w:rFonts w:cs="Arial" w:ascii="Arial" w:hAnsi="Arial"/>
                <w:b/>
                <w:bCs/>
                <w:sz w:val="20"/>
                <w:szCs w:val="20"/>
              </w:rPr>
              <w:t>Opportunity</w:t>
            </w:r>
          </w:p>
        </w:tc>
      </w:tr>
      <w:tr>
        <w:trPr>
          <w:trHeight w:val="440" w:hRule="atLeast"/>
        </w:trPr>
        <w:tc>
          <w:tcPr>
            <w:tcW w:w="1530" w:type="dxa"/>
            <w:vMerge w:val="restart"/>
            <w:tcBorders>
              <w:top w:val="single" w:sz="8" w:space="0" w:color="000000"/>
              <w:left w:val="single" w:sz="8" w:space="0" w:color="000000"/>
              <w:bottom w:val="single" w:sz="8" w:space="0" w:color="000000"/>
              <w:right w:val="single" w:sz="8" w:space="0" w:color="000000"/>
            </w:tcBorders>
            <w:shd w:color="auto" w:fill="D9D2E9" w:val="clear"/>
          </w:tcPr>
          <w:p>
            <w:pPr>
              <w:pStyle w:val="Normal"/>
              <w:widowControl w:val="false"/>
              <w:jc w:val="left"/>
              <w:rPr>
                <w:rFonts w:ascii="Arial" w:hAnsi="Arial" w:cs="Arial"/>
                <w:b/>
                <w:bCs/>
                <w:sz w:val="20"/>
                <w:szCs w:val="20"/>
              </w:rPr>
            </w:pPr>
            <w:r>
              <w:rPr>
                <w:rFonts w:cs="Arial" w:ascii="Arial" w:hAnsi="Arial"/>
                <w:b/>
                <w:bCs/>
                <w:sz w:val="20"/>
                <w:szCs w:val="20"/>
              </w:rPr>
              <w:t>Economic</w:t>
            </w:r>
          </w:p>
        </w:tc>
        <w:tc>
          <w:tcPr>
            <w:tcW w:w="5895" w:type="dxa"/>
            <w:tcBorders>
              <w:top w:val="single" w:sz="8" w:space="0" w:color="000000"/>
              <w:left w:val="single" w:sz="8" w:space="0" w:color="000000"/>
              <w:bottom w:val="single" w:sz="8" w:space="0" w:color="000000"/>
              <w:right w:val="single" w:sz="8" w:space="0" w:color="000000"/>
            </w:tcBorders>
          </w:tcPr>
          <w:p>
            <w:pPr>
              <w:pStyle w:val="Normal"/>
              <w:widowControl w:val="false"/>
              <w:rPr>
                <w:rFonts w:ascii="Arial" w:hAnsi="Arial" w:cs="Arial"/>
                <w:sz w:val="20"/>
                <w:szCs w:val="20"/>
              </w:rPr>
            </w:pPr>
            <w:r>
              <w:rPr>
                <w:rFonts w:cs="Arial" w:ascii="Arial" w:hAnsi="Arial"/>
                <w:sz w:val="20"/>
                <w:szCs w:val="20"/>
              </w:rPr>
              <w:t>The overall income of household across the UK significantly decreased almost 0.8% in 2025 because of different factors that include rising taxes, decreased savings and poor financial condition (Almeida, 2025)</w:t>
            </w:r>
          </w:p>
        </w:tc>
        <w:tc>
          <w:tcPr>
            <w:tcW w:w="1575" w:type="dxa"/>
            <w:vMerge w:val="restart"/>
            <w:tcBorders>
              <w:top w:val="single" w:sz="8" w:space="0" w:color="000000"/>
              <w:left w:val="single" w:sz="8" w:space="0" w:color="000000"/>
              <w:bottom w:val="single" w:sz="8" w:space="0" w:color="000000"/>
              <w:right w:val="single" w:sz="8" w:space="0" w:color="000000"/>
            </w:tcBorders>
            <w:shd w:color="auto" w:fill="E06666" w:val="clear"/>
          </w:tcPr>
          <w:p>
            <w:pPr>
              <w:pStyle w:val="Normal"/>
              <w:widowControl w:val="false"/>
              <w:rPr>
                <w:rFonts w:ascii="Arial" w:hAnsi="Arial" w:cs="Arial"/>
                <w:b/>
                <w:bCs/>
                <w:sz w:val="20"/>
                <w:szCs w:val="20"/>
              </w:rPr>
            </w:pPr>
            <w:r>
              <w:rPr>
                <w:rFonts w:cs="Arial" w:ascii="Arial" w:hAnsi="Arial"/>
                <w:b/>
                <w:bCs/>
                <w:sz w:val="20"/>
                <w:szCs w:val="20"/>
              </w:rPr>
              <w:t>Threat</w:t>
            </w:r>
          </w:p>
        </w:tc>
      </w:tr>
      <w:tr>
        <w:trPr>
          <w:trHeight w:val="440" w:hRule="atLeast"/>
        </w:trPr>
        <w:tc>
          <w:tcPr>
            <w:tcW w:w="1530" w:type="dxa"/>
            <w:vMerge w:val="continue"/>
            <w:tcBorders>
              <w:top w:val="single" w:sz="8" w:space="0" w:color="000000"/>
              <w:left w:val="single" w:sz="8" w:space="0" w:color="000000"/>
              <w:bottom w:val="single" w:sz="8" w:space="0" w:color="000000"/>
              <w:right w:val="single" w:sz="8" w:space="0" w:color="000000"/>
            </w:tcBorders>
            <w:shd w:color="auto" w:fill="D9D2E9" w:val="clear"/>
          </w:tcPr>
          <w:p>
            <w:pPr>
              <w:pStyle w:val="Normal"/>
              <w:widowControl w:val="false"/>
              <w:jc w:val="left"/>
              <w:rPr>
                <w:rFonts w:ascii="Arial" w:hAnsi="Arial" w:cs="Arial"/>
                <w:b/>
                <w:bCs/>
                <w:sz w:val="20"/>
                <w:szCs w:val="20"/>
              </w:rPr>
            </w:pPr>
            <w:r>
              <w:rPr>
                <w:rFonts w:cs="Arial" w:ascii="Arial" w:hAnsi="Arial"/>
                <w:b/>
                <w:bCs/>
                <w:sz w:val="20"/>
                <w:szCs w:val="20"/>
              </w:rPr>
            </w:r>
          </w:p>
        </w:tc>
        <w:tc>
          <w:tcPr>
            <w:tcW w:w="5895" w:type="dxa"/>
            <w:tcBorders>
              <w:top w:val="single" w:sz="8" w:space="0" w:color="000000"/>
              <w:left w:val="single" w:sz="8" w:space="0" w:color="000000"/>
              <w:bottom w:val="single" w:sz="8" w:space="0" w:color="000000"/>
              <w:right w:val="single" w:sz="8" w:space="0" w:color="000000"/>
            </w:tcBorders>
          </w:tcPr>
          <w:p>
            <w:pPr>
              <w:pStyle w:val="Normal"/>
              <w:widowControl w:val="false"/>
              <w:rPr>
                <w:rFonts w:ascii="Arial" w:hAnsi="Arial" w:cs="Arial"/>
                <w:sz w:val="20"/>
                <w:szCs w:val="20"/>
              </w:rPr>
            </w:pPr>
            <w:r>
              <w:rPr>
                <w:rFonts w:cs="Arial" w:ascii="Arial" w:hAnsi="Arial"/>
                <w:sz w:val="20"/>
                <w:szCs w:val="20"/>
              </w:rPr>
              <w:t>The overall living costs in the UK have been witnessing a noticeable growth as the inflation rate has increased almost 3.4% in 2025 (BBC, 2025)  (</w:t>
            </w:r>
            <w:r>
              <w:rPr>
                <w:rFonts w:cs="Arial" w:ascii="Arial" w:hAnsi="Arial"/>
                <w:b/>
                <w:bCs/>
                <w:i/>
                <w:iCs/>
                <w:sz w:val="20"/>
                <w:szCs w:val="20"/>
              </w:rPr>
              <w:t>Figure 2</w:t>
            </w:r>
            <w:r>
              <w:rPr>
                <w:rFonts w:cs="Arial" w:ascii="Arial" w:hAnsi="Arial"/>
                <w:sz w:val="20"/>
                <w:szCs w:val="20"/>
              </w:rPr>
              <w:t>)</w:t>
            </w:r>
          </w:p>
        </w:tc>
        <w:tc>
          <w:tcPr>
            <w:tcW w:w="1575" w:type="dxa"/>
            <w:vMerge w:val="continue"/>
            <w:tcBorders>
              <w:top w:val="single" w:sz="8" w:space="0" w:color="000000"/>
              <w:left w:val="single" w:sz="8" w:space="0" w:color="000000"/>
              <w:bottom w:val="single" w:sz="8" w:space="0" w:color="000000"/>
              <w:right w:val="single" w:sz="8" w:space="0" w:color="000000"/>
            </w:tcBorders>
            <w:shd w:color="auto" w:fill="E06666" w:val="clear"/>
          </w:tcPr>
          <w:p>
            <w:pPr>
              <w:pStyle w:val="Normal"/>
              <w:widowControl w:val="false"/>
              <w:jc w:val="left"/>
              <w:rPr>
                <w:rFonts w:ascii="Arial" w:hAnsi="Arial" w:cs="Arial"/>
              </w:rPr>
            </w:pPr>
            <w:r>
              <w:rPr>
                <w:rFonts w:cs="Arial" w:ascii="Arial" w:hAnsi="Arial"/>
              </w:rPr>
            </w:r>
          </w:p>
        </w:tc>
      </w:tr>
      <w:tr>
        <w:trPr/>
        <w:tc>
          <w:tcPr>
            <w:tcW w:w="1530" w:type="dxa"/>
            <w:tcBorders>
              <w:top w:val="single" w:sz="8" w:space="0" w:color="000000"/>
              <w:left w:val="single" w:sz="8" w:space="0" w:color="000000"/>
              <w:bottom w:val="single" w:sz="8" w:space="0" w:color="000000"/>
              <w:right w:val="single" w:sz="8" w:space="0" w:color="000000"/>
            </w:tcBorders>
            <w:shd w:color="auto" w:fill="D9D2E9" w:val="clear"/>
          </w:tcPr>
          <w:p>
            <w:pPr>
              <w:pStyle w:val="Normal"/>
              <w:widowControl w:val="false"/>
              <w:jc w:val="left"/>
              <w:rPr>
                <w:rFonts w:ascii="Arial" w:hAnsi="Arial" w:cs="Arial"/>
                <w:b/>
                <w:bCs/>
                <w:sz w:val="20"/>
                <w:szCs w:val="20"/>
              </w:rPr>
            </w:pPr>
            <w:r>
              <w:rPr>
                <w:rFonts w:cs="Arial" w:ascii="Arial" w:hAnsi="Arial"/>
                <w:b/>
                <w:bCs/>
                <w:sz w:val="20"/>
                <w:szCs w:val="20"/>
              </w:rPr>
              <w:t>Social</w:t>
            </w:r>
          </w:p>
        </w:tc>
        <w:tc>
          <w:tcPr>
            <w:tcW w:w="5895" w:type="dxa"/>
            <w:tcBorders>
              <w:top w:val="single" w:sz="8" w:space="0" w:color="000000"/>
              <w:left w:val="single" w:sz="8" w:space="0" w:color="000000"/>
              <w:bottom w:val="single" w:sz="8" w:space="0" w:color="000000"/>
              <w:right w:val="single" w:sz="8" w:space="0" w:color="000000"/>
            </w:tcBorders>
          </w:tcPr>
          <w:p>
            <w:pPr>
              <w:pStyle w:val="Normal"/>
              <w:widowControl w:val="false"/>
              <w:rPr>
                <w:rFonts w:ascii="Arial" w:hAnsi="Arial" w:cs="Arial"/>
                <w:sz w:val="20"/>
                <w:szCs w:val="20"/>
              </w:rPr>
            </w:pPr>
            <w:r>
              <w:rPr>
                <w:rFonts w:cs="Arial" w:ascii="Arial" w:hAnsi="Arial"/>
                <w:sz w:val="20"/>
                <w:szCs w:val="20"/>
              </w:rPr>
              <w:t xml:space="preserve">Customers across the UK demonstrate their preference for healthier food habits, environmentally sustainable products as well as zero-sugar beverages which motivates businesses to incorporate and make use of healthy food innovation and sustainability practices (Kapoor </w:t>
            </w:r>
            <w:r>
              <w:rPr>
                <w:rFonts w:cs="Arial" w:ascii="Arial" w:hAnsi="Arial"/>
                <w:i/>
                <w:iCs/>
                <w:sz w:val="20"/>
                <w:szCs w:val="20"/>
              </w:rPr>
              <w:t>et al.</w:t>
            </w:r>
            <w:r>
              <w:rPr>
                <w:rFonts w:cs="Arial" w:ascii="Arial" w:hAnsi="Arial"/>
                <w:sz w:val="20"/>
                <w:szCs w:val="20"/>
              </w:rPr>
              <w:t>, 2025)</w:t>
            </w:r>
          </w:p>
        </w:tc>
        <w:tc>
          <w:tcPr>
            <w:tcW w:w="1575" w:type="dxa"/>
            <w:tcBorders>
              <w:top w:val="single" w:sz="8" w:space="0" w:color="000000"/>
              <w:left w:val="single" w:sz="8" w:space="0" w:color="000000"/>
              <w:bottom w:val="single" w:sz="8" w:space="0" w:color="000000"/>
              <w:right w:val="single" w:sz="8" w:space="0" w:color="000000"/>
            </w:tcBorders>
            <w:shd w:color="auto" w:fill="6AA84F" w:val="clear"/>
          </w:tcPr>
          <w:p>
            <w:pPr>
              <w:pStyle w:val="Normal"/>
              <w:widowControl w:val="false"/>
              <w:rPr>
                <w:rFonts w:ascii="Arial" w:hAnsi="Arial" w:cs="Arial"/>
                <w:b/>
                <w:bCs/>
                <w:sz w:val="20"/>
                <w:szCs w:val="20"/>
              </w:rPr>
            </w:pPr>
            <w:r>
              <w:rPr>
                <w:rFonts w:cs="Arial" w:ascii="Arial" w:hAnsi="Arial"/>
                <w:b/>
                <w:bCs/>
                <w:sz w:val="20"/>
                <w:szCs w:val="20"/>
              </w:rPr>
              <w:t>Opportunity</w:t>
            </w:r>
          </w:p>
        </w:tc>
      </w:tr>
      <w:tr>
        <w:trPr>
          <w:trHeight w:val="400" w:hRule="atLeast"/>
        </w:trPr>
        <w:tc>
          <w:tcPr>
            <w:tcW w:w="1530" w:type="dxa"/>
            <w:vMerge w:val="restart"/>
            <w:tcBorders>
              <w:top w:val="single" w:sz="8" w:space="0" w:color="000000"/>
              <w:left w:val="single" w:sz="8" w:space="0" w:color="000000"/>
              <w:bottom w:val="single" w:sz="8" w:space="0" w:color="000000"/>
              <w:right w:val="single" w:sz="8" w:space="0" w:color="000000"/>
            </w:tcBorders>
            <w:shd w:color="auto" w:fill="D9D2E9" w:val="clear"/>
          </w:tcPr>
          <w:p>
            <w:pPr>
              <w:pStyle w:val="Normal"/>
              <w:widowControl w:val="false"/>
              <w:jc w:val="left"/>
              <w:rPr>
                <w:rFonts w:ascii="Arial" w:hAnsi="Arial" w:cs="Arial"/>
                <w:b/>
                <w:bCs/>
                <w:sz w:val="20"/>
                <w:szCs w:val="20"/>
              </w:rPr>
            </w:pPr>
            <w:r>
              <w:rPr>
                <w:rFonts w:cs="Arial" w:ascii="Arial" w:hAnsi="Arial"/>
                <w:b/>
                <w:bCs/>
                <w:sz w:val="20"/>
                <w:szCs w:val="20"/>
              </w:rPr>
              <w:t>Technological</w:t>
            </w:r>
          </w:p>
        </w:tc>
        <w:tc>
          <w:tcPr>
            <w:tcW w:w="5895" w:type="dxa"/>
            <w:tcBorders>
              <w:top w:val="single" w:sz="8" w:space="0" w:color="000000"/>
              <w:left w:val="single" w:sz="8" w:space="0" w:color="000000"/>
              <w:bottom w:val="single" w:sz="8" w:space="0" w:color="000000"/>
              <w:right w:val="single" w:sz="8" w:space="0" w:color="000000"/>
            </w:tcBorders>
          </w:tcPr>
          <w:p>
            <w:pPr>
              <w:pStyle w:val="Normal"/>
              <w:widowControl w:val="false"/>
              <w:rPr>
                <w:rFonts w:ascii="Arial" w:hAnsi="Arial" w:cs="Arial"/>
                <w:sz w:val="20"/>
                <w:szCs w:val="20"/>
              </w:rPr>
            </w:pPr>
            <w:r>
              <w:rPr>
                <w:rFonts w:cs="Arial" w:ascii="Arial" w:hAnsi="Arial"/>
                <w:sz w:val="20"/>
                <w:szCs w:val="20"/>
              </w:rPr>
              <w:t>Significant utilisation of artificial intelligence works towards enhancing workforce ability, demand forecasting, inventory management and production efficiency which eliminates operational costs while improving customer satisfaction across the UK market (Government of UK, 2026; Mohammed, 2025)</w:t>
            </w:r>
          </w:p>
        </w:tc>
        <w:tc>
          <w:tcPr>
            <w:tcW w:w="1575" w:type="dxa"/>
            <w:vMerge w:val="restart"/>
            <w:tcBorders>
              <w:top w:val="single" w:sz="8" w:space="0" w:color="000000"/>
              <w:left w:val="single" w:sz="8" w:space="0" w:color="000000"/>
              <w:bottom w:val="single" w:sz="8" w:space="0" w:color="000000"/>
              <w:right w:val="single" w:sz="8" w:space="0" w:color="000000"/>
            </w:tcBorders>
            <w:shd w:color="auto" w:fill="6AA84F" w:val="clear"/>
          </w:tcPr>
          <w:p>
            <w:pPr>
              <w:pStyle w:val="Normal"/>
              <w:widowControl w:val="false"/>
              <w:rPr>
                <w:rFonts w:ascii="Arial" w:hAnsi="Arial" w:cs="Arial"/>
                <w:b/>
                <w:bCs/>
                <w:sz w:val="20"/>
                <w:szCs w:val="20"/>
              </w:rPr>
            </w:pPr>
            <w:r>
              <w:rPr>
                <w:rFonts w:cs="Arial" w:ascii="Arial" w:hAnsi="Arial"/>
                <w:b/>
                <w:bCs/>
                <w:sz w:val="20"/>
                <w:szCs w:val="20"/>
              </w:rPr>
              <w:t>Opportunity</w:t>
            </w:r>
          </w:p>
        </w:tc>
      </w:tr>
      <w:tr>
        <w:trPr>
          <w:trHeight w:val="400" w:hRule="atLeast"/>
        </w:trPr>
        <w:tc>
          <w:tcPr>
            <w:tcW w:w="1530" w:type="dxa"/>
            <w:vMerge w:val="continue"/>
            <w:tcBorders>
              <w:top w:val="single" w:sz="8" w:space="0" w:color="000000"/>
              <w:left w:val="single" w:sz="8" w:space="0" w:color="000000"/>
              <w:bottom w:val="single" w:sz="8" w:space="0" w:color="000000"/>
              <w:right w:val="single" w:sz="8" w:space="0" w:color="000000"/>
            </w:tcBorders>
            <w:shd w:color="auto" w:fill="D9D2E9" w:val="clear"/>
          </w:tcPr>
          <w:p>
            <w:pPr>
              <w:pStyle w:val="Normal"/>
              <w:widowControl w:val="false"/>
              <w:jc w:val="left"/>
              <w:rPr>
                <w:rFonts w:ascii="Arial" w:hAnsi="Arial" w:cs="Arial"/>
                <w:b/>
                <w:bCs/>
                <w:sz w:val="20"/>
                <w:szCs w:val="20"/>
              </w:rPr>
            </w:pPr>
            <w:r>
              <w:rPr>
                <w:rFonts w:cs="Arial" w:ascii="Arial" w:hAnsi="Arial"/>
                <w:b/>
                <w:bCs/>
                <w:sz w:val="20"/>
                <w:szCs w:val="20"/>
              </w:rPr>
            </w:r>
          </w:p>
        </w:tc>
        <w:tc>
          <w:tcPr>
            <w:tcW w:w="5895" w:type="dxa"/>
            <w:tcBorders>
              <w:top w:val="single" w:sz="8" w:space="0" w:color="000000"/>
              <w:left w:val="single" w:sz="8" w:space="0" w:color="000000"/>
              <w:bottom w:val="single" w:sz="8" w:space="0" w:color="000000"/>
              <w:right w:val="single" w:sz="8" w:space="0" w:color="000000"/>
            </w:tcBorders>
          </w:tcPr>
          <w:p>
            <w:pPr>
              <w:pStyle w:val="Normal"/>
              <w:widowControl w:val="false"/>
              <w:rPr>
                <w:rFonts w:ascii="Arial" w:hAnsi="Arial" w:cs="Arial"/>
                <w:sz w:val="20"/>
                <w:szCs w:val="20"/>
              </w:rPr>
            </w:pPr>
            <w:r>
              <w:rPr>
                <w:rFonts w:cs="Arial" w:ascii="Arial" w:hAnsi="Arial"/>
                <w:sz w:val="20"/>
                <w:szCs w:val="20"/>
              </w:rPr>
              <w:t>National Crime Agency of UK is committed to strengthen the overall resilience of UK businesses to address the issues related to cyber-attacks which works towards improving the businesses to improve data privacy and data security in a strategic way (National Crime Agency, 2019)</w:t>
            </w:r>
          </w:p>
        </w:tc>
        <w:tc>
          <w:tcPr>
            <w:tcW w:w="1575" w:type="dxa"/>
            <w:vMerge w:val="continue"/>
            <w:tcBorders>
              <w:top w:val="single" w:sz="8" w:space="0" w:color="000000"/>
              <w:left w:val="single" w:sz="8" w:space="0" w:color="000000"/>
              <w:bottom w:val="single" w:sz="8" w:space="0" w:color="000000"/>
              <w:right w:val="single" w:sz="8" w:space="0" w:color="000000"/>
            </w:tcBorders>
            <w:shd w:color="auto" w:fill="6AA84F" w:val="clear"/>
          </w:tcPr>
          <w:p>
            <w:pPr>
              <w:pStyle w:val="Normal"/>
              <w:widowControl w:val="false"/>
              <w:rPr>
                <w:rFonts w:ascii="Arial" w:hAnsi="Arial" w:cs="Arial"/>
                <w:sz w:val="20"/>
                <w:szCs w:val="20"/>
              </w:rPr>
            </w:pPr>
            <w:r>
              <w:rPr>
                <w:rFonts w:cs="Arial" w:ascii="Arial" w:hAnsi="Arial"/>
                <w:sz w:val="20"/>
                <w:szCs w:val="20"/>
              </w:rPr>
            </w:r>
          </w:p>
        </w:tc>
      </w:tr>
      <w:tr>
        <w:trPr>
          <w:trHeight w:val="400" w:hRule="atLeast"/>
        </w:trPr>
        <w:tc>
          <w:tcPr>
            <w:tcW w:w="1530" w:type="dxa"/>
            <w:vMerge w:val="restart"/>
            <w:tcBorders>
              <w:top w:val="single" w:sz="8" w:space="0" w:color="000000"/>
              <w:left w:val="single" w:sz="8" w:space="0" w:color="000000"/>
              <w:bottom w:val="single" w:sz="8" w:space="0" w:color="000000"/>
              <w:right w:val="single" w:sz="8" w:space="0" w:color="000000"/>
            </w:tcBorders>
            <w:shd w:color="auto" w:fill="D9D2E9" w:val="clear"/>
          </w:tcPr>
          <w:p>
            <w:pPr>
              <w:pStyle w:val="Normal"/>
              <w:widowControl w:val="false"/>
              <w:jc w:val="left"/>
              <w:rPr>
                <w:rFonts w:ascii="Arial" w:hAnsi="Arial" w:cs="Arial"/>
                <w:b/>
                <w:bCs/>
                <w:sz w:val="20"/>
                <w:szCs w:val="20"/>
              </w:rPr>
            </w:pPr>
            <w:r>
              <w:rPr>
                <w:rFonts w:cs="Arial" w:ascii="Arial" w:hAnsi="Arial"/>
                <w:b/>
                <w:bCs/>
                <w:sz w:val="20"/>
                <w:szCs w:val="20"/>
              </w:rPr>
              <w:t>Legal</w:t>
            </w:r>
          </w:p>
        </w:tc>
        <w:tc>
          <w:tcPr>
            <w:tcW w:w="5895" w:type="dxa"/>
            <w:tcBorders>
              <w:top w:val="single" w:sz="8" w:space="0" w:color="000000"/>
              <w:left w:val="single" w:sz="8" w:space="0" w:color="000000"/>
              <w:bottom w:val="single" w:sz="8" w:space="0" w:color="000000"/>
              <w:right w:val="single" w:sz="8" w:space="0" w:color="000000"/>
            </w:tcBorders>
          </w:tcPr>
          <w:p>
            <w:pPr>
              <w:pStyle w:val="Normal"/>
              <w:widowControl w:val="false"/>
              <w:rPr>
                <w:rFonts w:ascii="Arial" w:hAnsi="Arial" w:cs="Arial"/>
                <w:sz w:val="20"/>
                <w:szCs w:val="20"/>
              </w:rPr>
            </w:pPr>
            <w:r>
              <w:rPr>
                <w:rFonts w:cs="Arial" w:ascii="Arial" w:hAnsi="Arial"/>
                <w:b/>
                <w:bCs/>
                <w:i/>
                <w:iCs/>
                <w:sz w:val="20"/>
                <w:szCs w:val="20"/>
              </w:rPr>
              <w:t>“</w:t>
            </w:r>
            <w:r>
              <w:rPr>
                <w:rFonts w:cs="Arial" w:ascii="Arial" w:hAnsi="Arial"/>
                <w:b/>
                <w:bCs/>
                <w:i/>
                <w:iCs/>
                <w:sz w:val="20"/>
                <w:szCs w:val="20"/>
              </w:rPr>
              <w:t>Soft Drinks Industry Levy Regulations 2018”</w:t>
            </w:r>
            <w:r>
              <w:rPr>
                <w:rFonts w:cs="Arial" w:ascii="Arial" w:hAnsi="Arial"/>
                <w:sz w:val="20"/>
                <w:szCs w:val="20"/>
              </w:rPr>
              <w:t xml:space="preserve"> necessitate higher taxes on sugary beverages and the regulations act towards encouraging businesses to reformulate products along with expanding zero-sugar alternatives (UK Government, 2018)</w:t>
            </w:r>
          </w:p>
        </w:tc>
        <w:tc>
          <w:tcPr>
            <w:tcW w:w="1575" w:type="dxa"/>
            <w:tcBorders>
              <w:top w:val="single" w:sz="8" w:space="0" w:color="000000"/>
              <w:left w:val="single" w:sz="8" w:space="0" w:color="000000"/>
              <w:bottom w:val="single" w:sz="8" w:space="0" w:color="000000"/>
              <w:right w:val="single" w:sz="8" w:space="0" w:color="000000"/>
            </w:tcBorders>
            <w:shd w:color="auto" w:fill="6AA84F" w:val="clear"/>
          </w:tcPr>
          <w:p>
            <w:pPr>
              <w:pStyle w:val="Normal"/>
              <w:widowControl w:val="false"/>
              <w:rPr>
                <w:rFonts w:ascii="Arial" w:hAnsi="Arial" w:cs="Arial"/>
                <w:b/>
                <w:bCs/>
                <w:sz w:val="20"/>
                <w:szCs w:val="20"/>
              </w:rPr>
            </w:pPr>
            <w:r>
              <w:rPr>
                <w:rFonts w:cs="Arial" w:ascii="Arial" w:hAnsi="Arial"/>
                <w:b/>
                <w:bCs/>
                <w:sz w:val="20"/>
                <w:szCs w:val="20"/>
              </w:rPr>
              <w:t>Opportunity</w:t>
            </w:r>
          </w:p>
        </w:tc>
      </w:tr>
      <w:tr>
        <w:trPr>
          <w:trHeight w:val="400" w:hRule="atLeast"/>
        </w:trPr>
        <w:tc>
          <w:tcPr>
            <w:tcW w:w="1530" w:type="dxa"/>
            <w:vMerge w:val="continue"/>
            <w:tcBorders>
              <w:top w:val="single" w:sz="8" w:space="0" w:color="000000"/>
              <w:left w:val="single" w:sz="8" w:space="0" w:color="000000"/>
              <w:bottom w:val="single" w:sz="8" w:space="0" w:color="000000"/>
              <w:right w:val="single" w:sz="8" w:space="0" w:color="000000"/>
            </w:tcBorders>
            <w:shd w:color="auto" w:fill="D9D2E9" w:val="clear"/>
          </w:tcPr>
          <w:p>
            <w:pPr>
              <w:pStyle w:val="Normal"/>
              <w:widowControl w:val="false"/>
              <w:jc w:val="left"/>
              <w:rPr>
                <w:rFonts w:ascii="Arial" w:hAnsi="Arial" w:cs="Arial"/>
                <w:b/>
                <w:bCs/>
                <w:sz w:val="20"/>
                <w:szCs w:val="20"/>
              </w:rPr>
            </w:pPr>
            <w:r>
              <w:rPr>
                <w:rFonts w:cs="Arial" w:ascii="Arial" w:hAnsi="Arial"/>
                <w:b/>
                <w:bCs/>
                <w:sz w:val="20"/>
                <w:szCs w:val="20"/>
              </w:rPr>
            </w:r>
          </w:p>
        </w:tc>
        <w:tc>
          <w:tcPr>
            <w:tcW w:w="5895" w:type="dxa"/>
            <w:tcBorders>
              <w:top w:val="single" w:sz="8" w:space="0" w:color="000000"/>
              <w:left w:val="single" w:sz="8" w:space="0" w:color="000000"/>
              <w:bottom w:val="single" w:sz="8" w:space="0" w:color="000000"/>
              <w:right w:val="single" w:sz="8" w:space="0" w:color="000000"/>
            </w:tcBorders>
          </w:tcPr>
          <w:p>
            <w:pPr>
              <w:pStyle w:val="Normal"/>
              <w:widowControl w:val="false"/>
              <w:rPr>
                <w:rFonts w:ascii="Arial" w:hAnsi="Arial" w:cs="Arial"/>
                <w:sz w:val="20"/>
                <w:szCs w:val="20"/>
              </w:rPr>
            </w:pPr>
            <w:r>
              <w:rPr>
                <w:rFonts w:cs="Arial" w:ascii="Arial" w:hAnsi="Arial"/>
                <w:b/>
                <w:bCs/>
                <w:i/>
                <w:iCs/>
                <w:sz w:val="20"/>
                <w:szCs w:val="20"/>
              </w:rPr>
              <w:t>“</w:t>
            </w:r>
            <w:r>
              <w:rPr>
                <w:rFonts w:cs="Arial" w:ascii="Arial" w:hAnsi="Arial"/>
                <w:b/>
                <w:bCs/>
                <w:i/>
                <w:iCs/>
                <w:sz w:val="20"/>
                <w:szCs w:val="20"/>
              </w:rPr>
              <w:t>Producer Responsibility Obligations (Packaging Waste) Regulations 2007”</w:t>
            </w:r>
            <w:r>
              <w:rPr>
                <w:rFonts w:cs="Arial" w:ascii="Arial" w:hAnsi="Arial"/>
                <w:b/>
                <w:bCs/>
                <w:sz w:val="20"/>
                <w:szCs w:val="20"/>
              </w:rPr>
              <w:t xml:space="preserve"> </w:t>
            </w:r>
            <w:r>
              <w:rPr>
                <w:rFonts w:cs="Arial" w:ascii="Arial" w:hAnsi="Arial"/>
                <w:sz w:val="20"/>
                <w:szCs w:val="20"/>
              </w:rPr>
              <w:t>were designed to require businesses to recover and recycle packaging waste which directly increases sustainability investments as well as compliance costs (UK Government, 2011)</w:t>
            </w:r>
          </w:p>
        </w:tc>
        <w:tc>
          <w:tcPr>
            <w:tcW w:w="1575" w:type="dxa"/>
            <w:tcBorders>
              <w:top w:val="single" w:sz="8" w:space="0" w:color="000000"/>
              <w:left w:val="single" w:sz="8" w:space="0" w:color="000000"/>
              <w:bottom w:val="single" w:sz="8" w:space="0" w:color="000000"/>
              <w:right w:val="single" w:sz="8" w:space="0" w:color="000000"/>
            </w:tcBorders>
            <w:shd w:color="auto" w:fill="E06666" w:val="clear"/>
          </w:tcPr>
          <w:p>
            <w:pPr>
              <w:pStyle w:val="Normal"/>
              <w:widowControl w:val="false"/>
              <w:rPr>
                <w:rFonts w:ascii="Arial" w:hAnsi="Arial" w:cs="Arial"/>
                <w:b/>
                <w:bCs/>
                <w:sz w:val="20"/>
                <w:szCs w:val="20"/>
              </w:rPr>
            </w:pPr>
            <w:r>
              <w:rPr>
                <w:rFonts w:cs="Arial" w:ascii="Arial" w:hAnsi="Arial"/>
                <w:b/>
                <w:bCs/>
                <w:sz w:val="20"/>
                <w:szCs w:val="20"/>
              </w:rPr>
              <w:t>Threat</w:t>
            </w:r>
          </w:p>
        </w:tc>
      </w:tr>
      <w:tr>
        <w:trPr>
          <w:trHeight w:val="400" w:hRule="atLeast"/>
        </w:trPr>
        <w:tc>
          <w:tcPr>
            <w:tcW w:w="1530" w:type="dxa"/>
            <w:vMerge w:val="restart"/>
            <w:tcBorders>
              <w:top w:val="single" w:sz="8" w:space="0" w:color="000000"/>
              <w:left w:val="single" w:sz="8" w:space="0" w:color="000000"/>
              <w:bottom w:val="single" w:sz="8" w:space="0" w:color="000000"/>
              <w:right w:val="single" w:sz="8" w:space="0" w:color="000000"/>
            </w:tcBorders>
            <w:shd w:color="auto" w:fill="D9D2E9" w:val="clear"/>
          </w:tcPr>
          <w:p>
            <w:pPr>
              <w:pStyle w:val="Normal"/>
              <w:widowControl w:val="false"/>
              <w:jc w:val="left"/>
              <w:rPr>
                <w:rFonts w:ascii="Arial" w:hAnsi="Arial" w:cs="Arial"/>
                <w:b/>
                <w:bCs/>
                <w:sz w:val="20"/>
                <w:szCs w:val="20"/>
              </w:rPr>
            </w:pPr>
            <w:r>
              <w:rPr>
                <w:rFonts w:cs="Arial" w:ascii="Arial" w:hAnsi="Arial"/>
                <w:b/>
                <w:bCs/>
                <w:sz w:val="20"/>
                <w:szCs w:val="20"/>
              </w:rPr>
              <w:t>Environmental</w:t>
            </w:r>
          </w:p>
        </w:tc>
        <w:tc>
          <w:tcPr>
            <w:tcW w:w="5895" w:type="dxa"/>
            <w:tcBorders>
              <w:top w:val="single" w:sz="8" w:space="0" w:color="000000"/>
              <w:left w:val="single" w:sz="8" w:space="0" w:color="000000"/>
              <w:bottom w:val="single" w:sz="8" w:space="0" w:color="000000"/>
              <w:right w:val="single" w:sz="8" w:space="0" w:color="000000"/>
            </w:tcBorders>
          </w:tcPr>
          <w:p>
            <w:pPr>
              <w:pStyle w:val="Normal"/>
              <w:widowControl w:val="false"/>
              <w:rPr>
                <w:rFonts w:ascii="Arial" w:hAnsi="Arial" w:cs="Arial"/>
                <w:sz w:val="20"/>
                <w:szCs w:val="20"/>
              </w:rPr>
            </w:pPr>
            <w:r>
              <w:rPr>
                <w:rFonts w:cs="Arial" w:ascii="Arial" w:hAnsi="Arial"/>
                <w:sz w:val="20"/>
                <w:szCs w:val="20"/>
              </w:rPr>
              <w:t>Climate change across the UK works towards threatening water availability as well as agricultural production which directly increases raw material supply risks along with operational challenges for businesses across the country (DEFRA, 2024)</w:t>
            </w:r>
          </w:p>
        </w:tc>
        <w:tc>
          <w:tcPr>
            <w:tcW w:w="1575" w:type="dxa"/>
            <w:tcBorders>
              <w:top w:val="single" w:sz="8" w:space="0" w:color="000000"/>
              <w:left w:val="single" w:sz="8" w:space="0" w:color="000000"/>
              <w:bottom w:val="single" w:sz="8" w:space="0" w:color="000000"/>
              <w:right w:val="single" w:sz="8" w:space="0" w:color="000000"/>
            </w:tcBorders>
            <w:shd w:color="auto" w:fill="E06666" w:val="clear"/>
          </w:tcPr>
          <w:p>
            <w:pPr>
              <w:pStyle w:val="Normal"/>
              <w:widowControl w:val="false"/>
              <w:rPr>
                <w:rFonts w:ascii="Arial" w:hAnsi="Arial" w:cs="Arial"/>
                <w:b/>
                <w:bCs/>
                <w:sz w:val="20"/>
                <w:szCs w:val="20"/>
              </w:rPr>
            </w:pPr>
            <w:r>
              <w:rPr>
                <w:rFonts w:cs="Arial" w:ascii="Arial" w:hAnsi="Arial"/>
                <w:b/>
                <w:bCs/>
                <w:sz w:val="20"/>
                <w:szCs w:val="20"/>
              </w:rPr>
              <w:t>Threat</w:t>
            </w:r>
          </w:p>
        </w:tc>
      </w:tr>
      <w:tr>
        <w:trPr>
          <w:trHeight w:val="400" w:hRule="atLeast"/>
        </w:trPr>
        <w:tc>
          <w:tcPr>
            <w:tcW w:w="1530" w:type="dxa"/>
            <w:vMerge w:val="continue"/>
            <w:tcBorders>
              <w:top w:val="single" w:sz="8" w:space="0" w:color="000000"/>
              <w:left w:val="single" w:sz="8" w:space="0" w:color="000000"/>
              <w:bottom w:val="single" w:sz="8" w:space="0" w:color="000000"/>
              <w:right w:val="single" w:sz="8" w:space="0" w:color="000000"/>
            </w:tcBorders>
            <w:shd w:color="auto" w:fill="D9D2E9" w:val="clear"/>
          </w:tcPr>
          <w:p>
            <w:pPr>
              <w:pStyle w:val="Normal"/>
              <w:widowControl w:val="false"/>
              <w:jc w:val="left"/>
              <w:rPr>
                <w:rFonts w:ascii="Arial" w:hAnsi="Arial" w:cs="Arial"/>
                <w:b/>
                <w:bCs/>
                <w:sz w:val="20"/>
                <w:szCs w:val="20"/>
              </w:rPr>
            </w:pPr>
            <w:r>
              <w:rPr>
                <w:rFonts w:cs="Arial" w:ascii="Arial" w:hAnsi="Arial"/>
                <w:b/>
                <w:bCs/>
                <w:sz w:val="20"/>
                <w:szCs w:val="20"/>
              </w:rPr>
            </w:r>
          </w:p>
        </w:tc>
        <w:tc>
          <w:tcPr>
            <w:tcW w:w="5895" w:type="dxa"/>
            <w:tcBorders>
              <w:top w:val="single" w:sz="8" w:space="0" w:color="000000"/>
              <w:left w:val="single" w:sz="8" w:space="0" w:color="000000"/>
              <w:bottom w:val="single" w:sz="8" w:space="0" w:color="000000"/>
              <w:right w:val="single" w:sz="8" w:space="0" w:color="000000"/>
            </w:tcBorders>
          </w:tcPr>
          <w:p>
            <w:pPr>
              <w:pStyle w:val="Normal"/>
              <w:widowControl w:val="false"/>
              <w:rPr>
                <w:rFonts w:ascii="Arial" w:hAnsi="Arial" w:cs="Arial"/>
                <w:sz w:val="20"/>
                <w:szCs w:val="20"/>
              </w:rPr>
            </w:pPr>
            <w:r>
              <w:rPr>
                <w:rFonts w:cs="Arial" w:ascii="Arial" w:hAnsi="Arial"/>
                <w:sz w:val="20"/>
                <w:szCs w:val="20"/>
              </w:rPr>
              <w:t>The demand among the UK customers for sustainable packaging is  growing over the years which motivates the businesses to incorporate and make use of sustainable packaging operations that include compostable plastic, biodegradable plastics, multi-material packaging and more to strengthen their marketing position across the country (Ken Research, 2019) (</w:t>
            </w:r>
            <w:r>
              <w:rPr>
                <w:rFonts w:cs="Arial" w:ascii="Arial" w:hAnsi="Arial"/>
                <w:b/>
                <w:bCs/>
                <w:i/>
                <w:iCs/>
                <w:sz w:val="20"/>
                <w:szCs w:val="20"/>
              </w:rPr>
              <w:t>Figure 3</w:t>
            </w:r>
            <w:r>
              <w:rPr>
                <w:rFonts w:cs="Arial" w:ascii="Arial" w:hAnsi="Arial"/>
                <w:sz w:val="20"/>
                <w:szCs w:val="20"/>
              </w:rPr>
              <w:t>)</w:t>
            </w:r>
          </w:p>
        </w:tc>
        <w:tc>
          <w:tcPr>
            <w:tcW w:w="1575" w:type="dxa"/>
            <w:tcBorders>
              <w:top w:val="single" w:sz="8" w:space="0" w:color="000000"/>
              <w:left w:val="single" w:sz="8" w:space="0" w:color="000000"/>
              <w:bottom w:val="single" w:sz="8" w:space="0" w:color="000000"/>
              <w:right w:val="single" w:sz="8" w:space="0" w:color="000000"/>
            </w:tcBorders>
          </w:tcPr>
          <w:p>
            <w:pPr>
              <w:pStyle w:val="Normal"/>
              <w:widowControl w:val="false"/>
              <w:rPr>
                <w:rFonts w:ascii="Arial" w:hAnsi="Arial" w:cs="Arial"/>
                <w:b/>
                <w:bCs/>
                <w:sz w:val="20"/>
                <w:szCs w:val="20"/>
              </w:rPr>
            </w:pPr>
            <w:r>
              <w:rPr>
                <w:rFonts w:cs="Arial" w:ascii="Arial" w:hAnsi="Arial"/>
                <w:b/>
                <w:bCs/>
                <w:sz w:val="20"/>
                <w:szCs w:val="20"/>
              </w:rPr>
            </w:r>
          </w:p>
        </w:tc>
      </w:tr>
    </w:tbl>
    <w:p>
      <w:pPr>
        <w:pStyle w:val="Normal"/>
        <w:jc w:val="center"/>
        <w:rPr>
          <w:rFonts w:ascii="Arial" w:hAnsi="Arial" w:cs="Arial"/>
          <w:b/>
          <w:bCs/>
          <w:i/>
          <w:i/>
          <w:iCs/>
        </w:rPr>
      </w:pPr>
      <w:r>
        <w:rPr>
          <w:rFonts w:cs="Arial" w:ascii="Arial" w:hAnsi="Arial"/>
          <w:b/>
          <w:bCs/>
          <w:i/>
          <w:iCs/>
        </w:rPr>
        <w:t>Table 2: PESTLE analysis of UK market</w:t>
      </w:r>
    </w:p>
    <w:p>
      <w:pPr>
        <w:pStyle w:val="Normal"/>
        <w:rPr>
          <w:rFonts w:ascii="Arial" w:hAnsi="Arial" w:cs="Arial"/>
        </w:rPr>
      </w:pPr>
      <w:r>
        <w:rPr>
          <w:rFonts w:cs="Arial" w:ascii="Arial" w:hAnsi="Arial"/>
        </w:rPr>
      </w:r>
    </w:p>
    <w:p>
      <w:pPr>
        <w:pStyle w:val="Normal"/>
        <w:jc w:val="center"/>
        <w:rPr>
          <w:rFonts w:ascii="Arial" w:hAnsi="Arial" w:cs="Arial"/>
        </w:rPr>
      </w:pPr>
      <w:r>
        <w:rPr/>
        <mc:AlternateContent>
          <mc:Choice Requires="wps">
            <w:drawing>
              <wp:inline distT="0" distB="0" distL="0" distR="0" wp14:anchorId="197555C3">
                <wp:extent cx="3257550" cy="2877185"/>
                <wp:effectExtent l="0" t="0" r="0" b="0"/>
                <wp:docPr id="9" name="image1.png"/>
                <a:graphic xmlns:a="http://schemas.openxmlformats.org/drawingml/2006/main">
                  <a:graphicData uri="http://schemas.openxmlformats.org/drawingml/2006/picture">
                    <pic:pic xmlns:pic="http://schemas.openxmlformats.org/drawingml/2006/picture">
                      <pic:nvPicPr>
                        <pic:cNvPr id="10" name="image1.png" descr=""/>
                        <pic:cNvPicPr/>
                      </pic:nvPicPr>
                      <pic:blipFill>
                        <a:blip r:embed="rId6"/>
                        <a:stretch/>
                      </pic:blipFill>
                      <pic:spPr>
                        <a:xfrm>
                          <a:off x="0" y="0"/>
                          <a:ext cx="3257640" cy="2877120"/>
                        </a:xfrm>
                        <a:prstGeom prst="rect">
                          <a:avLst/>
                        </a:prstGeom>
                        <a:noFill/>
                        <a:ln w="0">
                          <a:noFill/>
                        </a:ln>
                      </pic:spPr>
                    </pic:pic>
                  </a:graphicData>
                </a:graphic>
              </wp:inline>
            </w:drawing>
          </mc:Choice>
        </mc:AlternateContent>
      </w:r>
    </w:p>
    <w:p>
      <w:pPr>
        <w:pStyle w:val="Normal"/>
        <w:jc w:val="center"/>
        <w:rPr>
          <w:rFonts w:ascii="Arial" w:hAnsi="Arial" w:cs="Arial"/>
          <w:b/>
          <w:bCs/>
          <w:i/>
          <w:i/>
          <w:iCs/>
        </w:rPr>
      </w:pPr>
      <w:r>
        <w:rPr>
          <w:rFonts w:cs="Arial" w:ascii="Arial" w:hAnsi="Arial"/>
          <w:b/>
          <w:bCs/>
          <w:i/>
          <w:iCs/>
        </w:rPr>
        <w:t>Figure 2: Inflation rate in UK</w:t>
      </w:r>
    </w:p>
    <w:p>
      <w:pPr>
        <w:pStyle w:val="Normal"/>
        <w:jc w:val="center"/>
        <w:rPr>
          <w:rFonts w:ascii="Arial" w:hAnsi="Arial" w:cs="Arial"/>
        </w:rPr>
      </w:pPr>
      <w:r>
        <w:rPr>
          <w:rFonts w:cs="Arial" w:ascii="Arial" w:hAnsi="Arial"/>
        </w:rPr>
        <w:t>(Source: BBC, 2025)</w:t>
      </w:r>
    </w:p>
    <w:p>
      <w:pPr>
        <w:pStyle w:val="Normal"/>
        <w:rPr>
          <w:rFonts w:ascii="Arial" w:hAnsi="Arial" w:cs="Arial"/>
        </w:rPr>
      </w:pPr>
      <w:r>
        <w:rPr>
          <w:rFonts w:cs="Arial" w:ascii="Arial" w:hAnsi="Arial"/>
        </w:rPr>
        <w:t xml:space="preserve">According to the PESTEL analysis, it is understood that politically, </w:t>
      </w:r>
      <w:r>
        <w:rPr>
          <w:rFonts w:cs="Arial" w:ascii="Arial" w:hAnsi="Arial"/>
          <w:b/>
          <w:bCs/>
          <w:i/>
          <w:iCs/>
        </w:rPr>
        <w:t>post-Brexit</w:t>
      </w:r>
      <w:r>
        <w:rPr>
          <w:rFonts w:cs="Arial" w:ascii="Arial" w:hAnsi="Arial"/>
        </w:rPr>
        <w:t xml:space="preserve"> customs procedures can generate a significant threat for Coca-Cola through the constant necessity of conducting import documentation which leads to transportation delays and increased supply chain costs, reduced operational efficiency and poor profit margins. However, the stable UK political environment can provide regulatory certainty that supports long-term investment, manufacturing expansion as well as strategic business planning that enable Coca-Cola to strengthen its market presence. From an economic perspective, declining household incomes and rising inflation reduce the overall purchasing power of consumers which can create a threat for the company as customers may shift towards lower-priced beverages along with reduced discretionary spending. Socially, increasing consumer preference for healthier lifestyles, sustainable products as well as zero-sugar beverages presents a major opportunity for Coca-Cola to expand products such as Coca-Cola Zero Sugar which strengthen its health-focused portfolio and improve brand loyalty.</w:t>
      </w:r>
    </w:p>
    <w:p>
      <w:pPr>
        <w:pStyle w:val="Normal"/>
        <w:rPr>
          <w:rFonts w:ascii="Arial" w:hAnsi="Arial" w:cs="Arial"/>
        </w:rPr>
      </w:pPr>
      <w:r>
        <w:rPr>
          <w:rFonts w:cs="Arial" w:ascii="Arial" w:hAnsi="Arial"/>
        </w:rPr>
        <w:t xml:space="preserve">Technological advancements like the adoption of artificial intelligence can provide opportunities to Coca-Cola to improve different business areas that include demand forecasting, inventory management, production efficiency as well as customer engagement while reducing operating costs. Furthermore, improved cyber resilience would protect digital operations, supply chain data and customer information of </w:t>
      </w:r>
      <w:r>
        <w:rPr>
          <w:rFonts w:cs="Arial" w:ascii="Arial" w:hAnsi="Arial"/>
          <w:b/>
          <w:bCs/>
        </w:rPr>
        <w:t xml:space="preserve">Coca-Cola UK </w:t>
      </w:r>
      <w:r>
        <w:rPr>
          <w:rFonts w:cs="Arial" w:ascii="Arial" w:hAnsi="Arial"/>
        </w:rPr>
        <w:t xml:space="preserve">from cyber threats which ensure operational continuity, strengthen consumer trust, minimise financial losses along with supporting long-term competitive advantage through secure business operations. Legally, the Soft Drinks Industry Levy Regulations 2018 can also encourage Coca-Cola to reformulate beverages with lower sugar content and accelerate innovation in healthier product categories. On the other hand, compliance with packaging waste regulations requires Coca-Cola UK to invest in recyclable materials, collection systems as well as recycling infrastructure which may lead to increased operational costs while strengthening regulatory compliance, environmental reputation as well as long-term sustainability competitiveness. Environmentally, climate change threatens water availability and agricultural productivity which increases risks of raw material supply for Coca-Cola. Furthermore, growing consumer demand for sustainable packaging creates an opportunity to invest in recyclable and eco-friendly packaging. Therefore, investment in sustainable packaging would enhance environmental reputation of Coca-Cola, meets evolving UK regulatory expectations, satisfies environmentally conscious consumers along with differentiating the brand which strengthen customer loyalty and market competitiveness. </w:t>
      </w:r>
    </w:p>
    <w:p>
      <w:pPr>
        <w:pStyle w:val="Normal"/>
        <w:jc w:val="center"/>
        <w:rPr>
          <w:rFonts w:ascii="Arial" w:hAnsi="Arial" w:cs="Arial"/>
        </w:rPr>
      </w:pPr>
      <w:r>
        <w:rPr/>
        <mc:AlternateContent>
          <mc:Choice Requires="wps">
            <w:drawing>
              <wp:inline distT="0" distB="0" distL="0" distR="0" wp14:anchorId="39CF3303">
                <wp:extent cx="4274820" cy="3103245"/>
                <wp:effectExtent l="0" t="0" r="0" b="0"/>
                <wp:docPr id="11" name="image9.png"/>
                <a:graphic xmlns:a="http://schemas.openxmlformats.org/drawingml/2006/main">
                  <a:graphicData uri="http://schemas.openxmlformats.org/drawingml/2006/picture">
                    <pic:pic xmlns:pic="http://schemas.openxmlformats.org/drawingml/2006/picture">
                      <pic:nvPicPr>
                        <pic:cNvPr id="12" name="image9.png" descr=""/>
                        <pic:cNvPicPr/>
                      </pic:nvPicPr>
                      <pic:blipFill>
                        <a:blip r:embed="rId7"/>
                        <a:stretch/>
                      </pic:blipFill>
                      <pic:spPr>
                        <a:xfrm>
                          <a:off x="0" y="0"/>
                          <a:ext cx="4275000" cy="3103200"/>
                        </a:xfrm>
                        <a:prstGeom prst="rect">
                          <a:avLst/>
                        </a:prstGeom>
                        <a:noFill/>
                        <a:ln w="0">
                          <a:noFill/>
                        </a:ln>
                      </pic:spPr>
                    </pic:pic>
                  </a:graphicData>
                </a:graphic>
              </wp:inline>
            </w:drawing>
          </mc:Choice>
        </mc:AlternateContent>
      </w:r>
    </w:p>
    <w:p>
      <w:pPr>
        <w:pStyle w:val="Normal"/>
        <w:jc w:val="center"/>
        <w:rPr>
          <w:rFonts w:ascii="Arial" w:hAnsi="Arial" w:cs="Arial"/>
          <w:b/>
          <w:bCs/>
          <w:i/>
          <w:i/>
          <w:iCs/>
        </w:rPr>
      </w:pPr>
      <w:r>
        <w:rPr>
          <w:rFonts w:cs="Arial" w:ascii="Arial" w:hAnsi="Arial"/>
          <w:b/>
          <w:bCs/>
          <w:i/>
          <w:iCs/>
        </w:rPr>
        <w:t>Figure 3: Sustainable packaging options incorporated in the UK</w:t>
      </w:r>
    </w:p>
    <w:p>
      <w:pPr>
        <w:pStyle w:val="Normal"/>
        <w:jc w:val="center"/>
        <w:rPr>
          <w:rFonts w:ascii="Arial" w:hAnsi="Arial" w:cs="Arial"/>
        </w:rPr>
      </w:pPr>
      <w:r>
        <w:rPr>
          <w:rFonts w:cs="Arial" w:ascii="Arial" w:hAnsi="Arial"/>
        </w:rPr>
        <w:t>(Source: Ken Research, 2019)</w:t>
      </w:r>
    </w:p>
    <w:p>
      <w:pPr>
        <w:pStyle w:val="Heading2"/>
        <w:rPr>
          <w:rFonts w:ascii="Arial" w:hAnsi="Arial" w:cs="Arial"/>
        </w:rPr>
      </w:pPr>
      <w:bookmarkStart w:id="8" w:name="_Toc236501936"/>
      <w:r>
        <w:rPr>
          <w:rFonts w:cs="Arial" w:ascii="Arial" w:hAnsi="Arial"/>
        </w:rPr>
        <w:t>2.2. Internal Analysis: VRIO Framework</w:t>
      </w:r>
      <w:bookmarkEnd w:id="8"/>
    </w:p>
    <w:p>
      <w:pPr>
        <w:pStyle w:val="Normal"/>
        <w:rPr>
          <w:rFonts w:ascii="Arial" w:hAnsi="Arial" w:cs="Arial"/>
        </w:rPr>
      </w:pPr>
      <w:r>
        <w:rPr>
          <w:rFonts w:cs="Arial" w:ascii="Arial" w:hAnsi="Arial"/>
        </w:rPr>
        <w:t xml:space="preserve">The VRIO framework is used to evaluate the internal resources and capabilities associated with Coca Cola within the UK soft drinks market. As per Barney (1991), VRIO model helps assess whether organisational resources are valuable, rare, inimitable and organised </w:t>
      </w:r>
      <w:r>
        <w:rPr>
          <w:rFonts w:cs="Arial" w:ascii="Arial" w:hAnsi="Arial"/>
          <w:b/>
          <w:bCs/>
          <w:i/>
          <w:iCs/>
        </w:rPr>
        <w:t>(Figure 4)</w:t>
      </w:r>
      <w:r>
        <w:rPr>
          <w:rFonts w:cs="Arial" w:ascii="Arial" w:hAnsi="Arial"/>
        </w:rPr>
        <w:t xml:space="preserve">. Coca Cola operates in a highly competitive market where consumers are constantly shifting towards healthier and sustainable products. Therefore, this framework is going to analyse its strengths and limitations for better future growth. </w:t>
      </w:r>
    </w:p>
    <w:p>
      <w:pPr>
        <w:pStyle w:val="Normal"/>
        <w:jc w:val="center"/>
        <w:rPr>
          <w:rFonts w:ascii="Arial" w:hAnsi="Arial" w:cs="Arial"/>
        </w:rPr>
      </w:pPr>
      <w:r>
        <w:rPr/>
        <mc:AlternateContent>
          <mc:Choice Requires="wps">
            <w:drawing>
              <wp:inline distT="0" distB="0" distL="0" distR="0" wp14:anchorId="520A9E7A">
                <wp:extent cx="3262630" cy="2444115"/>
                <wp:effectExtent l="0" t="0" r="0" b="0"/>
                <wp:docPr id="13" name="image5.png"/>
                <a:graphic xmlns:a="http://schemas.openxmlformats.org/drawingml/2006/main">
                  <a:graphicData uri="http://schemas.openxmlformats.org/drawingml/2006/picture">
                    <pic:pic xmlns:pic="http://schemas.openxmlformats.org/drawingml/2006/picture">
                      <pic:nvPicPr>
                        <pic:cNvPr id="14" name="image5.png" descr=""/>
                        <pic:cNvPicPr/>
                      </pic:nvPicPr>
                      <pic:blipFill>
                        <a:blip r:embed="rId8"/>
                        <a:stretch/>
                      </pic:blipFill>
                      <pic:spPr>
                        <a:xfrm>
                          <a:off x="0" y="0"/>
                          <a:ext cx="3262680" cy="2444040"/>
                        </a:xfrm>
                        <a:prstGeom prst="rect">
                          <a:avLst/>
                        </a:prstGeom>
                        <a:noFill/>
                        <a:ln w="0">
                          <a:noFill/>
                        </a:ln>
                      </pic:spPr>
                    </pic:pic>
                  </a:graphicData>
                </a:graphic>
              </wp:inline>
            </w:drawing>
          </mc:Choice>
        </mc:AlternateContent>
      </w:r>
    </w:p>
    <w:p>
      <w:pPr>
        <w:pStyle w:val="Normal"/>
        <w:jc w:val="center"/>
        <w:rPr>
          <w:rFonts w:ascii="Arial" w:hAnsi="Arial" w:cs="Arial"/>
          <w:b/>
          <w:bCs/>
          <w:i/>
          <w:i/>
          <w:iCs/>
        </w:rPr>
      </w:pPr>
      <w:r>
        <w:rPr>
          <w:rFonts w:cs="Arial" w:ascii="Arial" w:hAnsi="Arial"/>
          <w:b/>
          <w:bCs/>
          <w:i/>
          <w:iCs/>
        </w:rPr>
        <w:t xml:space="preserve">Figure 4: VRIO framework </w:t>
      </w:r>
    </w:p>
    <w:p>
      <w:pPr>
        <w:pStyle w:val="Normal"/>
        <w:jc w:val="center"/>
        <w:rPr>
          <w:rFonts w:ascii="Arial" w:hAnsi="Arial" w:cs="Arial"/>
        </w:rPr>
      </w:pPr>
      <w:r>
        <w:rPr>
          <w:rFonts w:cs="Arial" w:ascii="Arial" w:hAnsi="Arial"/>
        </w:rPr>
        <w:t>(Source: Barney, 1991)</w:t>
      </w:r>
    </w:p>
    <w:tbl>
      <w:tblPr>
        <w:tblStyle w:val="a0"/>
        <w:tblW w:w="9000" w:type="dxa"/>
        <w:jc w:val="left"/>
        <w:tblInd w:w="0" w:type="dxa"/>
        <w:tblLayout w:type="fixed"/>
        <w:tblCellMar>
          <w:top w:w="100" w:type="dxa"/>
          <w:left w:w="100" w:type="dxa"/>
          <w:bottom w:w="100" w:type="dxa"/>
          <w:right w:w="100" w:type="dxa"/>
        </w:tblCellMar>
        <w:tblLook w:val="0600" w:noVBand="1" w:noHBand="1" w:lastColumn="0" w:firstColumn="0" w:lastRow="0" w:firstRow="0"/>
      </w:tblPr>
      <w:tblGrid>
        <w:gridCol w:w="2846"/>
        <w:gridCol w:w="1024"/>
        <w:gridCol w:w="911"/>
        <w:gridCol w:w="979"/>
        <w:gridCol w:w="990"/>
        <w:gridCol w:w="2249"/>
      </w:tblGrid>
      <w:tr>
        <w:trPr/>
        <w:tc>
          <w:tcPr>
            <w:tcW w:w="2846" w:type="dxa"/>
            <w:tcBorders>
              <w:top w:val="single" w:sz="8" w:space="0" w:color="000000"/>
              <w:left w:val="single" w:sz="8" w:space="0" w:color="000000"/>
              <w:bottom w:val="single" w:sz="8" w:space="0" w:color="000000"/>
              <w:right w:val="single" w:sz="8" w:space="0" w:color="000000"/>
            </w:tcBorders>
            <w:shd w:color="auto" w:fill="D9D2E9" w:val="clear"/>
          </w:tcPr>
          <w:p>
            <w:pPr>
              <w:pStyle w:val="Normal"/>
              <w:widowControl w:val="false"/>
              <w:jc w:val="center"/>
              <w:rPr>
                <w:rFonts w:ascii="Arial" w:hAnsi="Arial" w:cs="Arial"/>
                <w:b/>
                <w:bCs/>
              </w:rPr>
            </w:pPr>
            <w:r>
              <w:rPr>
                <w:rFonts w:cs="Arial" w:ascii="Arial" w:hAnsi="Arial"/>
                <w:b/>
                <w:bCs/>
              </w:rPr>
              <w:t>Key resources/capabilities</w:t>
            </w:r>
          </w:p>
        </w:tc>
        <w:tc>
          <w:tcPr>
            <w:tcW w:w="1024" w:type="dxa"/>
            <w:tcBorders>
              <w:top w:val="single" w:sz="8" w:space="0" w:color="000000"/>
              <w:left w:val="single" w:sz="8" w:space="0" w:color="000000"/>
              <w:bottom w:val="single" w:sz="8" w:space="0" w:color="000000"/>
              <w:right w:val="single" w:sz="8" w:space="0" w:color="000000"/>
            </w:tcBorders>
            <w:shd w:color="auto" w:fill="D9D2E9" w:val="clear"/>
          </w:tcPr>
          <w:p>
            <w:pPr>
              <w:pStyle w:val="Normal"/>
              <w:widowControl w:val="false"/>
              <w:jc w:val="center"/>
              <w:rPr>
                <w:rFonts w:ascii="Arial" w:hAnsi="Arial" w:cs="Arial"/>
                <w:b/>
                <w:bCs/>
              </w:rPr>
            </w:pPr>
            <w:r>
              <w:rPr>
                <w:rFonts w:cs="Arial" w:ascii="Arial" w:hAnsi="Arial"/>
                <w:b/>
                <w:bCs/>
              </w:rPr>
              <w:t>Valuable</w:t>
            </w:r>
          </w:p>
        </w:tc>
        <w:tc>
          <w:tcPr>
            <w:tcW w:w="911" w:type="dxa"/>
            <w:tcBorders>
              <w:top w:val="single" w:sz="8" w:space="0" w:color="000000"/>
              <w:left w:val="single" w:sz="8" w:space="0" w:color="000000"/>
              <w:bottom w:val="single" w:sz="8" w:space="0" w:color="000000"/>
              <w:right w:val="single" w:sz="8" w:space="0" w:color="000000"/>
            </w:tcBorders>
            <w:shd w:color="auto" w:fill="D9D2E9" w:val="clear"/>
          </w:tcPr>
          <w:p>
            <w:pPr>
              <w:pStyle w:val="Normal"/>
              <w:widowControl w:val="false"/>
              <w:jc w:val="center"/>
              <w:rPr>
                <w:rFonts w:ascii="Arial" w:hAnsi="Arial" w:cs="Arial"/>
                <w:b/>
                <w:bCs/>
              </w:rPr>
            </w:pPr>
            <w:r>
              <w:rPr>
                <w:rFonts w:cs="Arial" w:ascii="Arial" w:hAnsi="Arial"/>
                <w:b/>
                <w:bCs/>
              </w:rPr>
              <w:t>Rare</w:t>
            </w:r>
          </w:p>
        </w:tc>
        <w:tc>
          <w:tcPr>
            <w:tcW w:w="979" w:type="dxa"/>
            <w:tcBorders>
              <w:top w:val="single" w:sz="8" w:space="0" w:color="000000"/>
              <w:left w:val="single" w:sz="8" w:space="0" w:color="000000"/>
              <w:bottom w:val="single" w:sz="8" w:space="0" w:color="000000"/>
              <w:right w:val="single" w:sz="8" w:space="0" w:color="000000"/>
            </w:tcBorders>
            <w:shd w:color="auto" w:fill="D9D2E9" w:val="clear"/>
          </w:tcPr>
          <w:p>
            <w:pPr>
              <w:pStyle w:val="Normal"/>
              <w:widowControl w:val="false"/>
              <w:jc w:val="center"/>
              <w:rPr>
                <w:rFonts w:ascii="Arial" w:hAnsi="Arial" w:cs="Arial"/>
                <w:b/>
                <w:bCs/>
              </w:rPr>
            </w:pPr>
            <w:r>
              <w:rPr>
                <w:rFonts w:cs="Arial" w:ascii="Arial" w:hAnsi="Arial"/>
                <w:b/>
                <w:bCs/>
              </w:rPr>
              <w:t>Inimitable</w:t>
            </w:r>
          </w:p>
        </w:tc>
        <w:tc>
          <w:tcPr>
            <w:tcW w:w="990" w:type="dxa"/>
            <w:tcBorders>
              <w:top w:val="single" w:sz="8" w:space="0" w:color="000000"/>
              <w:left w:val="single" w:sz="8" w:space="0" w:color="000000"/>
              <w:bottom w:val="single" w:sz="8" w:space="0" w:color="000000"/>
              <w:right w:val="single" w:sz="8" w:space="0" w:color="000000"/>
            </w:tcBorders>
            <w:shd w:color="auto" w:fill="D9D2E9" w:val="clear"/>
          </w:tcPr>
          <w:p>
            <w:pPr>
              <w:pStyle w:val="Normal"/>
              <w:widowControl w:val="false"/>
              <w:jc w:val="center"/>
              <w:rPr>
                <w:rFonts w:ascii="Arial" w:hAnsi="Arial" w:cs="Arial"/>
                <w:b/>
                <w:bCs/>
              </w:rPr>
            </w:pPr>
            <w:r>
              <w:rPr>
                <w:rFonts w:cs="Arial" w:ascii="Arial" w:hAnsi="Arial"/>
                <w:b/>
                <w:bCs/>
              </w:rPr>
              <w:t>Organised</w:t>
            </w:r>
          </w:p>
        </w:tc>
        <w:tc>
          <w:tcPr>
            <w:tcW w:w="2249" w:type="dxa"/>
            <w:tcBorders>
              <w:top w:val="single" w:sz="8" w:space="0" w:color="000000"/>
              <w:left w:val="single" w:sz="8" w:space="0" w:color="000000"/>
              <w:bottom w:val="single" w:sz="8" w:space="0" w:color="000000"/>
              <w:right w:val="single" w:sz="8" w:space="0" w:color="000000"/>
            </w:tcBorders>
            <w:shd w:color="auto" w:fill="D9D2E9" w:val="clear"/>
          </w:tcPr>
          <w:p>
            <w:pPr>
              <w:pStyle w:val="Normal"/>
              <w:widowControl w:val="false"/>
              <w:jc w:val="center"/>
              <w:rPr>
                <w:rFonts w:ascii="Arial" w:hAnsi="Arial" w:cs="Arial"/>
                <w:b/>
                <w:bCs/>
              </w:rPr>
            </w:pPr>
            <w:r>
              <w:rPr>
                <w:rFonts w:cs="Arial" w:ascii="Arial" w:hAnsi="Arial"/>
                <w:b/>
                <w:bCs/>
              </w:rPr>
              <w:t>Competitive implication</w:t>
            </w:r>
          </w:p>
        </w:tc>
      </w:tr>
      <w:tr>
        <w:trPr/>
        <w:tc>
          <w:tcPr>
            <w:tcW w:w="2846" w:type="dxa"/>
            <w:tcBorders>
              <w:top w:val="single" w:sz="8" w:space="0" w:color="000000"/>
              <w:left w:val="single" w:sz="8" w:space="0" w:color="000000"/>
              <w:bottom w:val="single" w:sz="8" w:space="0" w:color="000000"/>
              <w:right w:val="single" w:sz="8" w:space="0" w:color="000000"/>
            </w:tcBorders>
          </w:tcPr>
          <w:p>
            <w:pPr>
              <w:pStyle w:val="Normal"/>
              <w:widowControl w:val="false"/>
              <w:jc w:val="left"/>
              <w:rPr>
                <w:rFonts w:ascii="Arial" w:hAnsi="Arial" w:cs="Arial"/>
              </w:rPr>
            </w:pPr>
            <w:r>
              <w:rPr>
                <w:rFonts w:cs="Arial" w:ascii="Arial" w:hAnsi="Arial"/>
              </w:rPr>
              <w:t>Global reputation and customer loyalty</w:t>
            </w:r>
          </w:p>
        </w:tc>
        <w:tc>
          <w:tcPr>
            <w:tcW w:w="1024" w:type="dxa"/>
            <w:tcBorders>
              <w:top w:val="single" w:sz="8" w:space="0" w:color="000000"/>
              <w:left w:val="single" w:sz="8" w:space="0" w:color="000000"/>
              <w:bottom w:val="single" w:sz="8" w:space="0" w:color="000000"/>
              <w:right w:val="single" w:sz="8" w:space="0" w:color="000000"/>
            </w:tcBorders>
          </w:tcPr>
          <w:p>
            <w:pPr>
              <w:pStyle w:val="Normal"/>
              <w:widowControl w:val="false"/>
              <w:jc w:val="center"/>
              <w:rPr>
                <w:rFonts w:ascii="Arial" w:hAnsi="Arial" w:cs="Arial"/>
              </w:rPr>
            </w:pPr>
            <w:r>
              <w:rPr>
                <w:rFonts w:cs="Arial" w:ascii="Arial" w:hAnsi="Arial"/>
              </w:rPr>
              <w:t>Yes</w:t>
            </w:r>
          </w:p>
        </w:tc>
        <w:tc>
          <w:tcPr>
            <w:tcW w:w="911" w:type="dxa"/>
            <w:tcBorders>
              <w:top w:val="single" w:sz="8" w:space="0" w:color="000000"/>
              <w:left w:val="single" w:sz="8" w:space="0" w:color="000000"/>
              <w:bottom w:val="single" w:sz="8" w:space="0" w:color="000000"/>
              <w:right w:val="single" w:sz="8" w:space="0" w:color="000000"/>
            </w:tcBorders>
          </w:tcPr>
          <w:p>
            <w:pPr>
              <w:pStyle w:val="Normal"/>
              <w:widowControl w:val="false"/>
              <w:jc w:val="center"/>
              <w:rPr>
                <w:rFonts w:ascii="Arial" w:hAnsi="Arial" w:cs="Arial"/>
              </w:rPr>
            </w:pPr>
            <w:r>
              <w:rPr>
                <w:rFonts w:cs="Arial" w:ascii="Arial" w:hAnsi="Arial"/>
              </w:rPr>
              <w:t>Yes</w:t>
            </w:r>
          </w:p>
        </w:tc>
        <w:tc>
          <w:tcPr>
            <w:tcW w:w="979" w:type="dxa"/>
            <w:tcBorders>
              <w:top w:val="single" w:sz="8" w:space="0" w:color="000000"/>
              <w:left w:val="single" w:sz="8" w:space="0" w:color="000000"/>
              <w:bottom w:val="single" w:sz="8" w:space="0" w:color="000000"/>
              <w:right w:val="single" w:sz="8" w:space="0" w:color="000000"/>
            </w:tcBorders>
          </w:tcPr>
          <w:p>
            <w:pPr>
              <w:pStyle w:val="Normal"/>
              <w:widowControl w:val="false"/>
              <w:jc w:val="center"/>
              <w:rPr>
                <w:rFonts w:ascii="Arial" w:hAnsi="Arial" w:cs="Arial"/>
              </w:rPr>
            </w:pPr>
            <w:r>
              <w:rPr>
                <w:rFonts w:cs="Arial" w:ascii="Arial" w:hAnsi="Arial"/>
              </w:rPr>
              <w:t>Yes</w:t>
            </w:r>
          </w:p>
        </w:tc>
        <w:tc>
          <w:tcPr>
            <w:tcW w:w="990" w:type="dxa"/>
            <w:tcBorders>
              <w:top w:val="single" w:sz="8" w:space="0" w:color="000000"/>
              <w:left w:val="single" w:sz="8" w:space="0" w:color="000000"/>
              <w:bottom w:val="single" w:sz="8" w:space="0" w:color="000000"/>
              <w:right w:val="single" w:sz="8" w:space="0" w:color="000000"/>
            </w:tcBorders>
          </w:tcPr>
          <w:p>
            <w:pPr>
              <w:pStyle w:val="Normal"/>
              <w:widowControl w:val="false"/>
              <w:jc w:val="center"/>
              <w:rPr>
                <w:rFonts w:ascii="Arial" w:hAnsi="Arial" w:cs="Arial"/>
              </w:rPr>
            </w:pPr>
            <w:r>
              <w:rPr>
                <w:rFonts w:cs="Arial" w:ascii="Arial" w:hAnsi="Arial"/>
              </w:rPr>
              <w:t>Yes</w:t>
            </w:r>
          </w:p>
        </w:tc>
        <w:tc>
          <w:tcPr>
            <w:tcW w:w="2249" w:type="dxa"/>
            <w:tcBorders>
              <w:top w:val="single" w:sz="8" w:space="0" w:color="000000"/>
              <w:left w:val="single" w:sz="8" w:space="0" w:color="000000"/>
              <w:bottom w:val="single" w:sz="8" w:space="0" w:color="000000"/>
              <w:right w:val="single" w:sz="8" w:space="0" w:color="000000"/>
            </w:tcBorders>
          </w:tcPr>
          <w:p>
            <w:pPr>
              <w:pStyle w:val="Normal"/>
              <w:widowControl w:val="false"/>
              <w:jc w:val="center"/>
              <w:rPr>
                <w:rFonts w:ascii="Arial" w:hAnsi="Arial" w:cs="Arial"/>
              </w:rPr>
            </w:pPr>
            <w:r>
              <w:rPr>
                <w:rFonts w:cs="Arial" w:ascii="Arial" w:hAnsi="Arial"/>
              </w:rPr>
              <w:t>Sustained competitive advantage</w:t>
            </w:r>
          </w:p>
        </w:tc>
      </w:tr>
      <w:tr>
        <w:trPr/>
        <w:tc>
          <w:tcPr>
            <w:tcW w:w="2846" w:type="dxa"/>
            <w:tcBorders>
              <w:top w:val="single" w:sz="8" w:space="0" w:color="000000"/>
              <w:left w:val="single" w:sz="8" w:space="0" w:color="000000"/>
              <w:bottom w:val="single" w:sz="8" w:space="0" w:color="000000"/>
              <w:right w:val="single" w:sz="8" w:space="0" w:color="000000"/>
            </w:tcBorders>
          </w:tcPr>
          <w:p>
            <w:pPr>
              <w:pStyle w:val="Normal"/>
              <w:widowControl w:val="false"/>
              <w:jc w:val="left"/>
              <w:rPr>
                <w:rFonts w:ascii="Arial" w:hAnsi="Arial" w:cs="Arial"/>
              </w:rPr>
            </w:pPr>
            <w:r>
              <w:rPr>
                <w:rFonts w:cs="Arial" w:ascii="Arial" w:hAnsi="Arial"/>
              </w:rPr>
              <w:t>Extensive UK distribution and retail network</w:t>
            </w:r>
          </w:p>
        </w:tc>
        <w:tc>
          <w:tcPr>
            <w:tcW w:w="1024" w:type="dxa"/>
            <w:tcBorders>
              <w:top w:val="single" w:sz="8" w:space="0" w:color="000000"/>
              <w:left w:val="single" w:sz="8" w:space="0" w:color="000000"/>
              <w:bottom w:val="single" w:sz="8" w:space="0" w:color="000000"/>
              <w:right w:val="single" w:sz="8" w:space="0" w:color="000000"/>
            </w:tcBorders>
          </w:tcPr>
          <w:p>
            <w:pPr>
              <w:pStyle w:val="Normal"/>
              <w:widowControl w:val="false"/>
              <w:jc w:val="center"/>
              <w:rPr>
                <w:rFonts w:ascii="Arial" w:hAnsi="Arial" w:cs="Arial"/>
              </w:rPr>
            </w:pPr>
            <w:r>
              <w:rPr>
                <w:rFonts w:cs="Arial" w:ascii="Arial" w:hAnsi="Arial"/>
              </w:rPr>
              <w:t>Yes</w:t>
            </w:r>
          </w:p>
        </w:tc>
        <w:tc>
          <w:tcPr>
            <w:tcW w:w="911" w:type="dxa"/>
            <w:tcBorders>
              <w:top w:val="single" w:sz="8" w:space="0" w:color="000000"/>
              <w:left w:val="single" w:sz="8" w:space="0" w:color="000000"/>
              <w:bottom w:val="single" w:sz="8" w:space="0" w:color="000000"/>
              <w:right w:val="single" w:sz="8" w:space="0" w:color="000000"/>
            </w:tcBorders>
          </w:tcPr>
          <w:p>
            <w:pPr>
              <w:pStyle w:val="Normal"/>
              <w:widowControl w:val="false"/>
              <w:jc w:val="center"/>
              <w:rPr>
                <w:rFonts w:ascii="Arial" w:hAnsi="Arial" w:cs="Arial"/>
              </w:rPr>
            </w:pPr>
            <w:r>
              <w:rPr>
                <w:rFonts w:cs="Arial" w:ascii="Arial" w:hAnsi="Arial"/>
              </w:rPr>
              <w:t>No</w:t>
            </w:r>
          </w:p>
        </w:tc>
        <w:tc>
          <w:tcPr>
            <w:tcW w:w="979" w:type="dxa"/>
            <w:tcBorders>
              <w:top w:val="single" w:sz="8" w:space="0" w:color="000000"/>
              <w:left w:val="single" w:sz="8" w:space="0" w:color="000000"/>
              <w:bottom w:val="single" w:sz="8" w:space="0" w:color="000000"/>
              <w:right w:val="single" w:sz="8" w:space="0" w:color="000000"/>
            </w:tcBorders>
          </w:tcPr>
          <w:p>
            <w:pPr>
              <w:pStyle w:val="Normal"/>
              <w:widowControl w:val="false"/>
              <w:jc w:val="center"/>
              <w:rPr>
                <w:rFonts w:ascii="Arial" w:hAnsi="Arial" w:cs="Arial"/>
              </w:rPr>
            </w:pPr>
            <w:r>
              <w:rPr>
                <w:rFonts w:cs="Arial" w:ascii="Arial" w:hAnsi="Arial"/>
              </w:rPr>
              <w:t>No</w:t>
            </w:r>
          </w:p>
        </w:tc>
        <w:tc>
          <w:tcPr>
            <w:tcW w:w="990" w:type="dxa"/>
            <w:tcBorders>
              <w:top w:val="single" w:sz="8" w:space="0" w:color="000000"/>
              <w:left w:val="single" w:sz="8" w:space="0" w:color="000000"/>
              <w:bottom w:val="single" w:sz="8" w:space="0" w:color="000000"/>
              <w:right w:val="single" w:sz="8" w:space="0" w:color="000000"/>
            </w:tcBorders>
          </w:tcPr>
          <w:p>
            <w:pPr>
              <w:pStyle w:val="Normal"/>
              <w:widowControl w:val="false"/>
              <w:jc w:val="center"/>
              <w:rPr>
                <w:rFonts w:ascii="Arial" w:hAnsi="Arial" w:cs="Arial"/>
              </w:rPr>
            </w:pPr>
            <w:r>
              <w:rPr>
                <w:rFonts w:cs="Arial" w:ascii="Arial" w:hAnsi="Arial"/>
              </w:rPr>
              <w:t>Yes</w:t>
            </w:r>
          </w:p>
        </w:tc>
        <w:tc>
          <w:tcPr>
            <w:tcW w:w="2249" w:type="dxa"/>
            <w:tcBorders>
              <w:top w:val="single" w:sz="8" w:space="0" w:color="000000"/>
              <w:left w:val="single" w:sz="8" w:space="0" w:color="000000"/>
              <w:bottom w:val="single" w:sz="8" w:space="0" w:color="000000"/>
              <w:right w:val="single" w:sz="8" w:space="0" w:color="000000"/>
            </w:tcBorders>
          </w:tcPr>
          <w:p>
            <w:pPr>
              <w:pStyle w:val="Normal"/>
              <w:widowControl w:val="false"/>
              <w:jc w:val="center"/>
              <w:rPr>
                <w:rFonts w:ascii="Arial" w:hAnsi="Arial" w:cs="Arial"/>
              </w:rPr>
            </w:pPr>
            <w:r>
              <w:rPr>
                <w:rFonts w:cs="Arial" w:ascii="Arial" w:hAnsi="Arial"/>
              </w:rPr>
              <w:t>Competitive parity</w:t>
            </w:r>
          </w:p>
        </w:tc>
      </w:tr>
      <w:tr>
        <w:trPr/>
        <w:tc>
          <w:tcPr>
            <w:tcW w:w="2846" w:type="dxa"/>
            <w:tcBorders>
              <w:top w:val="single" w:sz="8" w:space="0" w:color="000000"/>
              <w:left w:val="single" w:sz="8" w:space="0" w:color="000000"/>
              <w:bottom w:val="single" w:sz="8" w:space="0" w:color="000000"/>
              <w:right w:val="single" w:sz="8" w:space="0" w:color="000000"/>
            </w:tcBorders>
          </w:tcPr>
          <w:p>
            <w:pPr>
              <w:pStyle w:val="Normal"/>
              <w:widowControl w:val="false"/>
              <w:jc w:val="left"/>
              <w:rPr>
                <w:rFonts w:ascii="Arial" w:hAnsi="Arial" w:cs="Arial"/>
              </w:rPr>
            </w:pPr>
            <w:r>
              <w:rPr>
                <w:rFonts w:cs="Arial" w:ascii="Arial" w:hAnsi="Arial"/>
              </w:rPr>
              <w:t>R&amp;D and product innovation capability</w:t>
            </w:r>
          </w:p>
        </w:tc>
        <w:tc>
          <w:tcPr>
            <w:tcW w:w="1024" w:type="dxa"/>
            <w:tcBorders>
              <w:top w:val="single" w:sz="8" w:space="0" w:color="000000"/>
              <w:left w:val="single" w:sz="8" w:space="0" w:color="000000"/>
              <w:bottom w:val="single" w:sz="8" w:space="0" w:color="000000"/>
              <w:right w:val="single" w:sz="8" w:space="0" w:color="000000"/>
            </w:tcBorders>
          </w:tcPr>
          <w:p>
            <w:pPr>
              <w:pStyle w:val="Normal"/>
              <w:widowControl w:val="false"/>
              <w:jc w:val="center"/>
              <w:rPr>
                <w:rFonts w:ascii="Arial" w:hAnsi="Arial" w:cs="Arial"/>
              </w:rPr>
            </w:pPr>
            <w:r>
              <w:rPr>
                <w:rFonts w:cs="Arial" w:ascii="Arial" w:hAnsi="Arial"/>
              </w:rPr>
              <w:t>Yes</w:t>
            </w:r>
          </w:p>
        </w:tc>
        <w:tc>
          <w:tcPr>
            <w:tcW w:w="911" w:type="dxa"/>
            <w:tcBorders>
              <w:top w:val="single" w:sz="8" w:space="0" w:color="000000"/>
              <w:left w:val="single" w:sz="8" w:space="0" w:color="000000"/>
              <w:bottom w:val="single" w:sz="8" w:space="0" w:color="000000"/>
              <w:right w:val="single" w:sz="8" w:space="0" w:color="000000"/>
            </w:tcBorders>
          </w:tcPr>
          <w:p>
            <w:pPr>
              <w:pStyle w:val="Normal"/>
              <w:widowControl w:val="false"/>
              <w:jc w:val="center"/>
              <w:rPr>
                <w:rFonts w:ascii="Arial" w:hAnsi="Arial" w:cs="Arial"/>
              </w:rPr>
            </w:pPr>
            <w:r>
              <w:rPr>
                <w:rFonts w:cs="Arial" w:ascii="Arial" w:hAnsi="Arial"/>
              </w:rPr>
              <w:t>Yes</w:t>
            </w:r>
          </w:p>
        </w:tc>
        <w:tc>
          <w:tcPr>
            <w:tcW w:w="979" w:type="dxa"/>
            <w:tcBorders>
              <w:top w:val="single" w:sz="8" w:space="0" w:color="000000"/>
              <w:left w:val="single" w:sz="8" w:space="0" w:color="000000"/>
              <w:bottom w:val="single" w:sz="8" w:space="0" w:color="000000"/>
              <w:right w:val="single" w:sz="8" w:space="0" w:color="000000"/>
            </w:tcBorders>
          </w:tcPr>
          <w:p>
            <w:pPr>
              <w:pStyle w:val="Normal"/>
              <w:widowControl w:val="false"/>
              <w:jc w:val="center"/>
              <w:rPr>
                <w:rFonts w:ascii="Arial" w:hAnsi="Arial" w:cs="Arial"/>
              </w:rPr>
            </w:pPr>
            <w:r>
              <w:rPr>
                <w:rFonts w:cs="Arial" w:ascii="Arial" w:hAnsi="Arial"/>
              </w:rPr>
              <w:t>No</w:t>
            </w:r>
          </w:p>
        </w:tc>
        <w:tc>
          <w:tcPr>
            <w:tcW w:w="990" w:type="dxa"/>
            <w:tcBorders>
              <w:top w:val="single" w:sz="8" w:space="0" w:color="000000"/>
              <w:left w:val="single" w:sz="8" w:space="0" w:color="000000"/>
              <w:bottom w:val="single" w:sz="8" w:space="0" w:color="000000"/>
              <w:right w:val="single" w:sz="8" w:space="0" w:color="000000"/>
            </w:tcBorders>
          </w:tcPr>
          <w:p>
            <w:pPr>
              <w:pStyle w:val="Normal"/>
              <w:widowControl w:val="false"/>
              <w:jc w:val="center"/>
              <w:rPr>
                <w:rFonts w:ascii="Arial" w:hAnsi="Arial" w:cs="Arial"/>
              </w:rPr>
            </w:pPr>
            <w:r>
              <w:rPr>
                <w:rFonts w:cs="Arial" w:ascii="Arial" w:hAnsi="Arial"/>
              </w:rPr>
              <w:t>Yes</w:t>
            </w:r>
          </w:p>
        </w:tc>
        <w:tc>
          <w:tcPr>
            <w:tcW w:w="2249" w:type="dxa"/>
            <w:tcBorders>
              <w:top w:val="single" w:sz="8" w:space="0" w:color="000000"/>
              <w:left w:val="single" w:sz="8" w:space="0" w:color="000000"/>
              <w:bottom w:val="single" w:sz="8" w:space="0" w:color="000000"/>
              <w:right w:val="single" w:sz="8" w:space="0" w:color="000000"/>
            </w:tcBorders>
          </w:tcPr>
          <w:p>
            <w:pPr>
              <w:pStyle w:val="Normal"/>
              <w:widowControl w:val="false"/>
              <w:jc w:val="center"/>
              <w:rPr>
                <w:rFonts w:ascii="Arial" w:hAnsi="Arial" w:cs="Arial"/>
              </w:rPr>
            </w:pPr>
            <w:r>
              <w:rPr>
                <w:rFonts w:cs="Arial" w:ascii="Arial" w:hAnsi="Arial"/>
              </w:rPr>
              <w:t>Temporary Competitive Advantage</w:t>
            </w:r>
          </w:p>
        </w:tc>
      </w:tr>
      <w:tr>
        <w:trPr/>
        <w:tc>
          <w:tcPr>
            <w:tcW w:w="2846" w:type="dxa"/>
            <w:tcBorders>
              <w:top w:val="single" w:sz="8" w:space="0" w:color="000000"/>
              <w:left w:val="single" w:sz="8" w:space="0" w:color="000000"/>
              <w:bottom w:val="single" w:sz="8" w:space="0" w:color="000000"/>
              <w:right w:val="single" w:sz="8" w:space="0" w:color="000000"/>
            </w:tcBorders>
          </w:tcPr>
          <w:p>
            <w:pPr>
              <w:pStyle w:val="Normal"/>
              <w:widowControl w:val="false"/>
              <w:jc w:val="left"/>
              <w:rPr>
                <w:rFonts w:ascii="Arial" w:hAnsi="Arial" w:cs="Arial"/>
              </w:rPr>
            </w:pPr>
            <w:r>
              <w:rPr>
                <w:rFonts w:cs="Arial" w:ascii="Arial" w:hAnsi="Arial"/>
              </w:rPr>
              <w:t>Sustainability and ESG initiatives</w:t>
            </w:r>
          </w:p>
        </w:tc>
        <w:tc>
          <w:tcPr>
            <w:tcW w:w="1024" w:type="dxa"/>
            <w:tcBorders>
              <w:top w:val="single" w:sz="8" w:space="0" w:color="000000"/>
              <w:left w:val="single" w:sz="8" w:space="0" w:color="000000"/>
              <w:bottom w:val="single" w:sz="8" w:space="0" w:color="000000"/>
              <w:right w:val="single" w:sz="8" w:space="0" w:color="000000"/>
            </w:tcBorders>
          </w:tcPr>
          <w:p>
            <w:pPr>
              <w:pStyle w:val="Normal"/>
              <w:widowControl w:val="false"/>
              <w:jc w:val="center"/>
              <w:rPr>
                <w:rFonts w:ascii="Arial" w:hAnsi="Arial" w:cs="Arial"/>
              </w:rPr>
            </w:pPr>
            <w:r>
              <w:rPr>
                <w:rFonts w:cs="Arial" w:ascii="Arial" w:hAnsi="Arial"/>
              </w:rPr>
              <w:t>Yes</w:t>
            </w:r>
          </w:p>
        </w:tc>
        <w:tc>
          <w:tcPr>
            <w:tcW w:w="911" w:type="dxa"/>
            <w:tcBorders>
              <w:top w:val="single" w:sz="8" w:space="0" w:color="000000"/>
              <w:left w:val="single" w:sz="8" w:space="0" w:color="000000"/>
              <w:bottom w:val="single" w:sz="8" w:space="0" w:color="000000"/>
              <w:right w:val="single" w:sz="8" w:space="0" w:color="000000"/>
            </w:tcBorders>
          </w:tcPr>
          <w:p>
            <w:pPr>
              <w:pStyle w:val="Normal"/>
              <w:widowControl w:val="false"/>
              <w:jc w:val="center"/>
              <w:rPr>
                <w:rFonts w:ascii="Arial" w:hAnsi="Arial" w:cs="Arial"/>
              </w:rPr>
            </w:pPr>
            <w:r>
              <w:rPr>
                <w:rFonts w:cs="Arial" w:ascii="Arial" w:hAnsi="Arial"/>
              </w:rPr>
              <w:t>No</w:t>
            </w:r>
          </w:p>
        </w:tc>
        <w:tc>
          <w:tcPr>
            <w:tcW w:w="979" w:type="dxa"/>
            <w:tcBorders>
              <w:top w:val="single" w:sz="8" w:space="0" w:color="000000"/>
              <w:left w:val="single" w:sz="8" w:space="0" w:color="000000"/>
              <w:bottom w:val="single" w:sz="8" w:space="0" w:color="000000"/>
              <w:right w:val="single" w:sz="8" w:space="0" w:color="000000"/>
            </w:tcBorders>
          </w:tcPr>
          <w:p>
            <w:pPr>
              <w:pStyle w:val="Normal"/>
              <w:widowControl w:val="false"/>
              <w:jc w:val="center"/>
              <w:rPr>
                <w:rFonts w:ascii="Arial" w:hAnsi="Arial" w:cs="Arial"/>
              </w:rPr>
            </w:pPr>
            <w:r>
              <w:rPr>
                <w:rFonts w:cs="Arial" w:ascii="Arial" w:hAnsi="Arial"/>
              </w:rPr>
              <w:t>No</w:t>
            </w:r>
          </w:p>
        </w:tc>
        <w:tc>
          <w:tcPr>
            <w:tcW w:w="990" w:type="dxa"/>
            <w:tcBorders>
              <w:top w:val="single" w:sz="8" w:space="0" w:color="000000"/>
              <w:left w:val="single" w:sz="8" w:space="0" w:color="000000"/>
              <w:bottom w:val="single" w:sz="8" w:space="0" w:color="000000"/>
              <w:right w:val="single" w:sz="8" w:space="0" w:color="000000"/>
            </w:tcBorders>
          </w:tcPr>
          <w:p>
            <w:pPr>
              <w:pStyle w:val="Normal"/>
              <w:widowControl w:val="false"/>
              <w:jc w:val="center"/>
              <w:rPr>
                <w:rFonts w:ascii="Arial" w:hAnsi="Arial" w:cs="Arial"/>
              </w:rPr>
            </w:pPr>
            <w:r>
              <w:rPr>
                <w:rFonts w:cs="Arial" w:ascii="Arial" w:hAnsi="Arial"/>
              </w:rPr>
              <w:t>Yes</w:t>
            </w:r>
          </w:p>
        </w:tc>
        <w:tc>
          <w:tcPr>
            <w:tcW w:w="2249" w:type="dxa"/>
            <w:tcBorders>
              <w:top w:val="single" w:sz="8" w:space="0" w:color="000000"/>
              <w:left w:val="single" w:sz="8" w:space="0" w:color="000000"/>
              <w:bottom w:val="single" w:sz="8" w:space="0" w:color="000000"/>
              <w:right w:val="single" w:sz="8" w:space="0" w:color="000000"/>
            </w:tcBorders>
          </w:tcPr>
          <w:p>
            <w:pPr>
              <w:pStyle w:val="Normal"/>
              <w:widowControl w:val="false"/>
              <w:jc w:val="center"/>
              <w:rPr>
                <w:rFonts w:ascii="Arial" w:hAnsi="Arial" w:cs="Arial"/>
              </w:rPr>
            </w:pPr>
            <w:r>
              <w:rPr>
                <w:rFonts w:cs="Arial" w:ascii="Arial" w:hAnsi="Arial"/>
              </w:rPr>
              <w:t>Competitive parity</w:t>
            </w:r>
          </w:p>
        </w:tc>
      </w:tr>
      <w:tr>
        <w:trPr/>
        <w:tc>
          <w:tcPr>
            <w:tcW w:w="2846" w:type="dxa"/>
            <w:tcBorders>
              <w:top w:val="single" w:sz="8" w:space="0" w:color="000000"/>
              <w:left w:val="single" w:sz="8" w:space="0" w:color="000000"/>
              <w:bottom w:val="single" w:sz="8" w:space="0" w:color="000000"/>
              <w:right w:val="single" w:sz="8" w:space="0" w:color="000000"/>
            </w:tcBorders>
          </w:tcPr>
          <w:p>
            <w:pPr>
              <w:pStyle w:val="Normal"/>
              <w:widowControl w:val="false"/>
              <w:jc w:val="left"/>
              <w:rPr>
                <w:rFonts w:ascii="Arial" w:hAnsi="Arial" w:cs="Arial"/>
              </w:rPr>
            </w:pPr>
            <w:r>
              <w:rPr>
                <w:rFonts w:cs="Arial" w:ascii="Arial" w:hAnsi="Arial"/>
              </w:rPr>
              <w:t>Financial strength and investment capability</w:t>
            </w:r>
          </w:p>
        </w:tc>
        <w:tc>
          <w:tcPr>
            <w:tcW w:w="1024" w:type="dxa"/>
            <w:tcBorders>
              <w:top w:val="single" w:sz="8" w:space="0" w:color="000000"/>
              <w:left w:val="single" w:sz="8" w:space="0" w:color="000000"/>
              <w:bottom w:val="single" w:sz="8" w:space="0" w:color="000000"/>
              <w:right w:val="single" w:sz="8" w:space="0" w:color="000000"/>
            </w:tcBorders>
          </w:tcPr>
          <w:p>
            <w:pPr>
              <w:pStyle w:val="Normal"/>
              <w:widowControl w:val="false"/>
              <w:jc w:val="center"/>
              <w:rPr>
                <w:rFonts w:ascii="Arial" w:hAnsi="Arial" w:cs="Arial"/>
              </w:rPr>
            </w:pPr>
            <w:r>
              <w:rPr>
                <w:rFonts w:cs="Arial" w:ascii="Arial" w:hAnsi="Arial"/>
              </w:rPr>
              <w:t>Yes</w:t>
            </w:r>
          </w:p>
        </w:tc>
        <w:tc>
          <w:tcPr>
            <w:tcW w:w="911" w:type="dxa"/>
            <w:tcBorders>
              <w:top w:val="single" w:sz="8" w:space="0" w:color="000000"/>
              <w:left w:val="single" w:sz="8" w:space="0" w:color="000000"/>
              <w:bottom w:val="single" w:sz="8" w:space="0" w:color="000000"/>
              <w:right w:val="single" w:sz="8" w:space="0" w:color="000000"/>
            </w:tcBorders>
          </w:tcPr>
          <w:p>
            <w:pPr>
              <w:pStyle w:val="Normal"/>
              <w:widowControl w:val="false"/>
              <w:jc w:val="center"/>
              <w:rPr>
                <w:rFonts w:ascii="Arial" w:hAnsi="Arial" w:cs="Arial"/>
              </w:rPr>
            </w:pPr>
            <w:r>
              <w:rPr>
                <w:rFonts w:cs="Arial" w:ascii="Arial" w:hAnsi="Arial"/>
              </w:rPr>
              <w:t>Yes</w:t>
            </w:r>
          </w:p>
        </w:tc>
        <w:tc>
          <w:tcPr>
            <w:tcW w:w="979" w:type="dxa"/>
            <w:tcBorders>
              <w:top w:val="single" w:sz="8" w:space="0" w:color="000000"/>
              <w:left w:val="single" w:sz="8" w:space="0" w:color="000000"/>
              <w:bottom w:val="single" w:sz="8" w:space="0" w:color="000000"/>
              <w:right w:val="single" w:sz="8" w:space="0" w:color="000000"/>
            </w:tcBorders>
          </w:tcPr>
          <w:p>
            <w:pPr>
              <w:pStyle w:val="Normal"/>
              <w:widowControl w:val="false"/>
              <w:jc w:val="center"/>
              <w:rPr>
                <w:rFonts w:ascii="Arial" w:hAnsi="Arial" w:cs="Arial"/>
              </w:rPr>
            </w:pPr>
            <w:r>
              <w:rPr>
                <w:rFonts w:cs="Arial" w:ascii="Arial" w:hAnsi="Arial"/>
              </w:rPr>
              <w:t>No</w:t>
            </w:r>
          </w:p>
        </w:tc>
        <w:tc>
          <w:tcPr>
            <w:tcW w:w="990" w:type="dxa"/>
            <w:tcBorders>
              <w:top w:val="single" w:sz="8" w:space="0" w:color="000000"/>
              <w:left w:val="single" w:sz="8" w:space="0" w:color="000000"/>
              <w:bottom w:val="single" w:sz="8" w:space="0" w:color="000000"/>
              <w:right w:val="single" w:sz="8" w:space="0" w:color="000000"/>
            </w:tcBorders>
          </w:tcPr>
          <w:p>
            <w:pPr>
              <w:pStyle w:val="Normal"/>
              <w:widowControl w:val="false"/>
              <w:jc w:val="center"/>
              <w:rPr>
                <w:rFonts w:ascii="Arial" w:hAnsi="Arial" w:cs="Arial"/>
              </w:rPr>
            </w:pPr>
            <w:r>
              <w:rPr>
                <w:rFonts w:cs="Arial" w:ascii="Arial" w:hAnsi="Arial"/>
              </w:rPr>
              <w:t>Yes</w:t>
            </w:r>
          </w:p>
        </w:tc>
        <w:tc>
          <w:tcPr>
            <w:tcW w:w="2249" w:type="dxa"/>
            <w:tcBorders>
              <w:top w:val="single" w:sz="8" w:space="0" w:color="000000"/>
              <w:left w:val="single" w:sz="8" w:space="0" w:color="000000"/>
              <w:bottom w:val="single" w:sz="8" w:space="0" w:color="000000"/>
              <w:right w:val="single" w:sz="8" w:space="0" w:color="000000"/>
            </w:tcBorders>
          </w:tcPr>
          <w:p>
            <w:pPr>
              <w:pStyle w:val="Normal"/>
              <w:widowControl w:val="false"/>
              <w:jc w:val="center"/>
              <w:rPr>
                <w:rFonts w:ascii="Arial" w:hAnsi="Arial" w:cs="Arial"/>
              </w:rPr>
            </w:pPr>
            <w:r>
              <w:rPr>
                <w:rFonts w:cs="Arial" w:ascii="Arial" w:hAnsi="Arial"/>
              </w:rPr>
              <w:t>Temporary Competitive Advantage</w:t>
            </w:r>
          </w:p>
        </w:tc>
      </w:tr>
    </w:tbl>
    <w:p>
      <w:pPr>
        <w:pStyle w:val="Normal"/>
        <w:jc w:val="center"/>
        <w:rPr>
          <w:rFonts w:ascii="Arial" w:hAnsi="Arial" w:cs="Arial"/>
          <w:b/>
          <w:bCs/>
          <w:i/>
          <w:i/>
          <w:iCs/>
        </w:rPr>
      </w:pPr>
      <w:r>
        <w:rPr>
          <w:rFonts w:cs="Arial" w:ascii="Arial" w:hAnsi="Arial"/>
          <w:b/>
          <w:bCs/>
          <w:i/>
          <w:iCs/>
        </w:rPr>
        <w:t>Table 3: VRIO Analysis</w:t>
      </w:r>
    </w:p>
    <w:p>
      <w:pPr>
        <w:pStyle w:val="Normal"/>
        <w:rPr>
          <w:rFonts w:ascii="Arial" w:hAnsi="Arial" w:cs="Arial"/>
          <w:b/>
          <w:bCs/>
        </w:rPr>
      </w:pPr>
      <w:r>
        <w:rPr>
          <w:rFonts w:cs="Arial" w:ascii="Arial" w:hAnsi="Arial"/>
          <w:b/>
          <w:bCs/>
        </w:rPr>
        <w:t>Analysis</w:t>
      </w:r>
    </w:p>
    <w:p>
      <w:pPr>
        <w:pStyle w:val="Normal"/>
        <w:rPr>
          <w:rFonts w:ascii="Arial" w:hAnsi="Arial" w:cs="Arial"/>
        </w:rPr>
      </w:pPr>
      <w:r>
        <w:rPr>
          <w:rFonts w:cs="Arial" w:ascii="Arial" w:hAnsi="Arial"/>
        </w:rPr>
        <w:t xml:space="preserve">Based on the above VRIO analysis, it has been understood that Coca Cola possesses a strong portfolio of internal resources. One of the greatest strengths of this company is its brand image in the UK soft drinks market. The brand has been operating now for more than 130 years through persistent product quality and emotional consumer engagement (Coca-Cola, 2023). As per Adebola (2021), Coca Cola is considered one of the most valuable brands that demonstrates exceptional customer loyalty and brand equity. In the UK marketplace, such leadership enables Coca Cola to attract customers despite increased competition for healthier beverage options. Thus, a recognised brand image satisfies all four VRIO dimensions thereby providing a sustained competitive advantage. </w:t>
      </w:r>
    </w:p>
    <w:p>
      <w:pPr>
        <w:pStyle w:val="Normal"/>
        <w:rPr>
          <w:rFonts w:ascii="Arial" w:hAnsi="Arial" w:cs="Arial"/>
        </w:rPr>
      </w:pPr>
      <w:r>
        <w:rPr>
          <w:rFonts w:cs="Arial" w:ascii="Arial" w:hAnsi="Arial"/>
        </w:rPr>
        <w:t xml:space="preserve">Another major strength lies in its extensive distribution and retail network. This organisation makes sure to collaborate with UK supermarkets, convenience stores to ensure all time product availability. One of the biggest rivals of Coca Cola in the UK market is PepsiCo that uses a direct store delivery (DSD) network structure (OFC, 2026). Whereas on the other hand, Coca Cola relies heavily on an independent network to distribute the drinks. Therefore, it can be understood that this capability does not contribute to sustained competitive advantage as the distribution system of Coca Cola is not considered completely unique when compared to its competitor. </w:t>
      </w:r>
    </w:p>
    <w:p>
      <w:pPr>
        <w:pStyle w:val="Normal"/>
        <w:rPr>
          <w:rFonts w:ascii="Arial" w:hAnsi="Arial" w:cs="Arial"/>
        </w:rPr>
      </w:pPr>
      <w:r>
        <w:rPr>
          <w:rFonts w:cs="Arial" w:ascii="Arial" w:hAnsi="Arial"/>
        </w:rPr>
        <w:t xml:space="preserve">Innovation is another aspect of Coca Cola's business model that decides its competitive positioning. In the UK, a tiered tax system named SDIL has been launched to reduce childhood obesity especially on sugary drinks (BBC, 2025). Responding to this regulation, the company has successfully introduced Coca Cola Zero Sugar and reformulation of existing beverages into bottled water and energy drinks (Coca-Cola, 2026) </w:t>
      </w:r>
      <w:r>
        <w:rPr>
          <w:rFonts w:cs="Arial" w:ascii="Arial" w:hAnsi="Arial"/>
          <w:b/>
          <w:bCs/>
          <w:i/>
          <w:iCs/>
        </w:rPr>
        <w:t>(Figure 5)</w:t>
      </w:r>
      <w:r>
        <w:rPr>
          <w:rFonts w:cs="Arial" w:ascii="Arial" w:hAnsi="Arial"/>
        </w:rPr>
        <w:t xml:space="preserve">. Coca Cola makes sure to invest in product innovation in order to surpass the expectations of its consumers. Despite these efforts, the R&amp;D capabilities remain relatively imitable hence it can be said that product innovation provides only temporary competitive advantage. </w:t>
      </w:r>
    </w:p>
    <w:p>
      <w:pPr>
        <w:pStyle w:val="Normal"/>
        <w:jc w:val="center"/>
        <w:rPr>
          <w:rFonts w:ascii="Arial" w:hAnsi="Arial" w:cs="Arial"/>
        </w:rPr>
      </w:pPr>
      <w:r>
        <w:rPr/>
        <mc:AlternateContent>
          <mc:Choice Requires="wps">
            <w:drawing>
              <wp:inline distT="0" distB="0" distL="0" distR="0" wp14:anchorId="381C968D">
                <wp:extent cx="4928870" cy="2325370"/>
                <wp:effectExtent l="0" t="0" r="0" b="0"/>
                <wp:docPr id="15" name="image4.png"/>
                <a:graphic xmlns:a="http://schemas.openxmlformats.org/drawingml/2006/main">
                  <a:graphicData uri="http://schemas.openxmlformats.org/drawingml/2006/picture">
                    <pic:pic xmlns:pic="http://schemas.openxmlformats.org/drawingml/2006/picture">
                      <pic:nvPicPr>
                        <pic:cNvPr id="16" name="image4.png" descr=""/>
                        <pic:cNvPicPr/>
                      </pic:nvPicPr>
                      <pic:blipFill>
                        <a:blip r:embed="rId9"/>
                        <a:stretch/>
                      </pic:blipFill>
                      <pic:spPr>
                        <a:xfrm>
                          <a:off x="0" y="0"/>
                          <a:ext cx="4928760" cy="2325240"/>
                        </a:xfrm>
                        <a:prstGeom prst="rect">
                          <a:avLst/>
                        </a:prstGeom>
                        <a:noFill/>
                        <a:ln w="0">
                          <a:noFill/>
                        </a:ln>
                      </pic:spPr>
                    </pic:pic>
                  </a:graphicData>
                </a:graphic>
              </wp:inline>
            </w:drawing>
          </mc:Choice>
        </mc:AlternateContent>
      </w:r>
    </w:p>
    <w:p>
      <w:pPr>
        <w:pStyle w:val="Normal"/>
        <w:jc w:val="center"/>
        <w:rPr>
          <w:rFonts w:ascii="Arial" w:hAnsi="Arial" w:cs="Arial"/>
          <w:b/>
          <w:bCs/>
          <w:i/>
          <w:i/>
          <w:iCs/>
        </w:rPr>
      </w:pPr>
      <w:r>
        <w:rPr>
          <w:rFonts w:cs="Arial" w:ascii="Arial" w:hAnsi="Arial"/>
          <w:b/>
          <w:bCs/>
          <w:i/>
          <w:iCs/>
        </w:rPr>
        <w:t>Figure 5: Coca Cola Zero Sugar innovation</w:t>
      </w:r>
    </w:p>
    <w:p>
      <w:pPr>
        <w:pStyle w:val="Normal"/>
        <w:jc w:val="center"/>
        <w:rPr>
          <w:rFonts w:ascii="Arial" w:hAnsi="Arial" w:cs="Arial"/>
        </w:rPr>
      </w:pPr>
      <w:r>
        <w:rPr>
          <w:rFonts w:cs="Arial" w:ascii="Arial" w:hAnsi="Arial"/>
        </w:rPr>
        <w:t>(Source: Coca-Cola, 2026)</w:t>
      </w:r>
    </w:p>
    <w:p>
      <w:pPr>
        <w:pStyle w:val="Normal"/>
        <w:rPr>
          <w:rFonts w:ascii="Arial" w:hAnsi="Arial" w:cs="Arial"/>
        </w:rPr>
      </w:pPr>
      <w:r>
        <w:rPr>
          <w:rFonts w:cs="Arial" w:ascii="Arial" w:hAnsi="Arial"/>
        </w:rPr>
        <w:t xml:space="preserve">The company has a strong financial power that supports its competitive capabilities. Coca Cola generates around €3.3 to €3.5 billion annually that allows continuous investment in advertising, sustainability, digital technologies and operational improvements (CCEP, 2023). Such financial flexibility allows the organisation to respond to market changes and maintain strong promotional activities in the UK. However, competitors of Coca Cola also possess financial resources thereby limiting the rarity of this capability. </w:t>
      </w:r>
    </w:p>
    <w:p>
      <w:pPr>
        <w:pStyle w:val="Normal"/>
        <w:rPr>
          <w:rFonts w:ascii="Arial" w:hAnsi="Arial" w:cs="Arial"/>
          <w:b/>
          <w:bCs/>
        </w:rPr>
      </w:pPr>
      <w:r>
        <w:rPr>
          <w:rFonts w:cs="Arial" w:ascii="Arial" w:hAnsi="Arial"/>
          <w:b/>
          <w:bCs/>
        </w:rPr>
        <w:t>Outcome</w:t>
      </w:r>
    </w:p>
    <w:p>
      <w:pPr>
        <w:pStyle w:val="Normal"/>
        <w:rPr>
          <w:rFonts w:ascii="Arial" w:hAnsi="Arial" w:cs="Arial"/>
        </w:rPr>
      </w:pPr>
      <w:r>
        <w:rPr>
          <w:rFonts w:cs="Arial" w:ascii="Arial" w:hAnsi="Arial"/>
        </w:rPr>
        <w:t xml:space="preserve">Based on the analysis above, it has been inferred that Coca Cola depends heavily on promotional expenditure in order to preserve its brand image. However, continuous investment towards product development and reformulation as per consumer preferences require constant investment thereby placing pressure on organisational resources. Even though the brand has strengthened its sustainability initiatives through recyclable packaging, carbon reduction, these practices are becoming industry standards instead of a unique capability. Competitors like PepsiCo have implemented similar strategies that reduces rarity and inimitability of Coca Cola. Overall, the enduring competitive strength of Coca Cola in the UK comes from customer loyalty and brand recognition. Resources like finance, innovation and network distribution helps the organisation to maintain its market leadership in the UK. </w:t>
      </w:r>
    </w:p>
    <w:p>
      <w:pPr>
        <w:pStyle w:val="Heading2"/>
        <w:rPr>
          <w:rFonts w:ascii="Arial" w:hAnsi="Arial" w:cs="Arial"/>
        </w:rPr>
      </w:pPr>
      <w:bookmarkStart w:id="9" w:name="_Toc236501937"/>
      <w:r>
        <w:rPr>
          <w:rFonts w:cs="Arial" w:ascii="Arial" w:hAnsi="Arial"/>
        </w:rPr>
        <w:t>2.3. SWOT Analysis</w:t>
      </w:r>
      <w:bookmarkEnd w:id="9"/>
    </w:p>
    <w:p>
      <w:pPr>
        <w:pStyle w:val="Normal"/>
        <w:rPr>
          <w:rFonts w:ascii="Arial" w:hAnsi="Arial" w:cs="Arial"/>
        </w:rPr>
      </w:pPr>
      <w:r>
        <w:rPr>
          <w:rFonts w:cs="Arial" w:ascii="Arial" w:hAnsi="Arial"/>
        </w:rPr>
        <w:t xml:space="preserve">The SWOT analysis has been used to analyse the key internal strengths and weaknesses prevalent within Coca Cola. Based on strengths and weaknesses, external opportunities and threats have been determined to understand the competitive position of Coca Cola in the UK market. </w:t>
      </w:r>
    </w:p>
    <w:tbl>
      <w:tblPr>
        <w:tblStyle w:val="a1"/>
        <w:tblW w:w="9029" w:type="dxa"/>
        <w:jc w:val="left"/>
        <w:tblInd w:w="0" w:type="dxa"/>
        <w:tblLayout w:type="fixed"/>
        <w:tblCellMar>
          <w:top w:w="100" w:type="dxa"/>
          <w:left w:w="100" w:type="dxa"/>
          <w:bottom w:w="100" w:type="dxa"/>
          <w:right w:w="100" w:type="dxa"/>
        </w:tblCellMar>
        <w:tblLook w:val="0600" w:noVBand="1" w:noHBand="1" w:lastColumn="0" w:firstColumn="0" w:lastRow="0" w:firstRow="0"/>
      </w:tblPr>
      <w:tblGrid>
        <w:gridCol w:w="4514"/>
        <w:gridCol w:w="4514"/>
      </w:tblGrid>
      <w:tr>
        <w:trPr/>
        <w:tc>
          <w:tcPr>
            <w:tcW w:w="4514" w:type="dxa"/>
            <w:tcBorders>
              <w:top w:val="single" w:sz="8" w:space="0" w:color="000000"/>
              <w:left w:val="single" w:sz="8" w:space="0" w:color="000000"/>
              <w:bottom w:val="single" w:sz="8" w:space="0" w:color="000000"/>
              <w:right w:val="single" w:sz="8" w:space="0" w:color="000000"/>
            </w:tcBorders>
            <w:shd w:color="auto" w:fill="EAD1DC" w:val="clear"/>
          </w:tcPr>
          <w:p>
            <w:pPr>
              <w:pStyle w:val="Normal"/>
              <w:widowControl w:val="false"/>
              <w:jc w:val="center"/>
              <w:rPr>
                <w:rFonts w:ascii="Arial" w:hAnsi="Arial" w:cs="Arial"/>
                <w:b/>
                <w:bCs/>
              </w:rPr>
            </w:pPr>
            <w:r>
              <w:rPr>
                <w:rFonts w:cs="Arial" w:ascii="Arial" w:hAnsi="Arial"/>
                <w:b/>
                <w:bCs/>
              </w:rPr>
              <w:t>Strengths</w:t>
            </w:r>
          </w:p>
          <w:p>
            <w:pPr>
              <w:pStyle w:val="Normal"/>
              <w:widowControl w:val="false"/>
              <w:numPr>
                <w:ilvl w:val="0"/>
                <w:numId w:val="1"/>
              </w:numPr>
              <w:rPr>
                <w:rFonts w:ascii="Arial" w:hAnsi="Arial" w:cs="Arial"/>
              </w:rPr>
            </w:pPr>
            <w:r>
              <w:rPr>
                <w:rFonts w:cs="Arial" w:ascii="Arial" w:hAnsi="Arial"/>
              </w:rPr>
              <w:t>Coca Cola has a strong brand reputation worldwide and customer loyalty (Coca-Cola, 2023).</w:t>
            </w:r>
          </w:p>
          <w:p>
            <w:pPr>
              <w:pStyle w:val="Normal"/>
              <w:widowControl w:val="false"/>
              <w:numPr>
                <w:ilvl w:val="0"/>
                <w:numId w:val="1"/>
              </w:numPr>
              <w:rPr>
                <w:rFonts w:ascii="Arial" w:hAnsi="Arial" w:cs="Arial"/>
              </w:rPr>
            </w:pPr>
            <w:r>
              <w:rPr>
                <w:rFonts w:cs="Arial" w:ascii="Arial" w:hAnsi="Arial"/>
              </w:rPr>
              <w:t>The Coca Cola Euro pacific Partners supplies drinks across supermarkets, convenience stores and hospitality outlets (CCEP, 2023).</w:t>
            </w:r>
          </w:p>
        </w:tc>
        <w:tc>
          <w:tcPr>
            <w:tcW w:w="4514" w:type="dxa"/>
            <w:tcBorders>
              <w:top w:val="single" w:sz="8" w:space="0" w:color="000000"/>
              <w:left w:val="single" w:sz="8" w:space="0" w:color="000000"/>
              <w:bottom w:val="single" w:sz="8" w:space="0" w:color="000000"/>
              <w:right w:val="single" w:sz="8" w:space="0" w:color="000000"/>
            </w:tcBorders>
            <w:shd w:color="auto" w:fill="FFF2CC" w:val="clear"/>
          </w:tcPr>
          <w:p>
            <w:pPr>
              <w:pStyle w:val="Normal"/>
              <w:widowControl w:val="false"/>
              <w:jc w:val="center"/>
              <w:rPr>
                <w:rFonts w:ascii="Arial" w:hAnsi="Arial" w:cs="Arial"/>
                <w:b/>
                <w:bCs/>
              </w:rPr>
            </w:pPr>
            <w:r>
              <w:rPr>
                <w:rFonts w:cs="Arial" w:ascii="Arial" w:hAnsi="Arial"/>
                <w:b/>
                <w:bCs/>
              </w:rPr>
              <w:t>Weaknesses</w:t>
            </w:r>
          </w:p>
          <w:p>
            <w:pPr>
              <w:pStyle w:val="Normal"/>
              <w:widowControl w:val="false"/>
              <w:numPr>
                <w:ilvl w:val="0"/>
                <w:numId w:val="8"/>
              </w:numPr>
              <w:rPr>
                <w:rFonts w:ascii="Arial" w:hAnsi="Arial" w:cs="Arial"/>
              </w:rPr>
            </w:pPr>
            <w:r>
              <w:rPr>
                <w:rFonts w:cs="Arial" w:ascii="Arial" w:hAnsi="Arial"/>
              </w:rPr>
              <w:t>The brand heavily depends on carbonated beverages making it vulnerable to changing consumer health preferences (Adebola, 2021).</w:t>
            </w:r>
          </w:p>
          <w:p>
            <w:pPr>
              <w:pStyle w:val="Normal"/>
              <w:widowControl w:val="false"/>
              <w:numPr>
                <w:ilvl w:val="0"/>
                <w:numId w:val="8"/>
              </w:numPr>
              <w:rPr>
                <w:rFonts w:ascii="Arial" w:hAnsi="Arial" w:cs="Arial"/>
              </w:rPr>
            </w:pPr>
            <w:r>
              <w:rPr>
                <w:rFonts w:cs="Arial" w:ascii="Arial" w:hAnsi="Arial"/>
              </w:rPr>
              <w:t>Continuous requirement of investment in promotional campaigns to maintain brand leadership (Coca-Cola, 2026).</w:t>
            </w:r>
          </w:p>
        </w:tc>
      </w:tr>
      <w:tr>
        <w:trPr/>
        <w:tc>
          <w:tcPr>
            <w:tcW w:w="4514" w:type="dxa"/>
            <w:tcBorders>
              <w:top w:val="single" w:sz="8" w:space="0" w:color="000000"/>
              <w:left w:val="single" w:sz="8" w:space="0" w:color="000000"/>
              <w:bottom w:val="single" w:sz="8" w:space="0" w:color="000000"/>
              <w:right w:val="single" w:sz="8" w:space="0" w:color="000000"/>
            </w:tcBorders>
            <w:shd w:color="auto" w:fill="D0E0E3" w:val="clear"/>
          </w:tcPr>
          <w:p>
            <w:pPr>
              <w:pStyle w:val="Normal"/>
              <w:widowControl w:val="false"/>
              <w:jc w:val="center"/>
              <w:rPr>
                <w:rFonts w:ascii="Arial" w:hAnsi="Arial" w:cs="Arial"/>
                <w:b/>
                <w:bCs/>
              </w:rPr>
            </w:pPr>
            <w:r>
              <w:rPr>
                <w:rFonts w:cs="Arial" w:ascii="Arial" w:hAnsi="Arial"/>
                <w:b/>
                <w:bCs/>
              </w:rPr>
              <w:t>Opportunities</w:t>
            </w:r>
          </w:p>
          <w:p>
            <w:pPr>
              <w:pStyle w:val="Normal"/>
              <w:widowControl w:val="false"/>
              <w:numPr>
                <w:ilvl w:val="0"/>
                <w:numId w:val="9"/>
              </w:numPr>
              <w:rPr>
                <w:rFonts w:ascii="Arial" w:hAnsi="Arial" w:cs="Arial"/>
              </w:rPr>
            </w:pPr>
            <w:r>
              <w:rPr>
                <w:rFonts w:cs="Arial" w:ascii="Arial" w:hAnsi="Arial"/>
              </w:rPr>
              <w:t>Growing demand for healthier beverages</w:t>
            </w:r>
          </w:p>
          <w:p>
            <w:pPr>
              <w:pStyle w:val="Normal"/>
              <w:widowControl w:val="false"/>
              <w:numPr>
                <w:ilvl w:val="0"/>
                <w:numId w:val="9"/>
              </w:numPr>
              <w:rPr>
                <w:rFonts w:ascii="Arial" w:hAnsi="Arial" w:cs="Arial"/>
              </w:rPr>
            </w:pPr>
            <w:r>
              <w:rPr>
                <w:rFonts w:cs="Arial" w:ascii="Arial" w:hAnsi="Arial"/>
              </w:rPr>
              <w:t>Expansion of sustainable packaging initiatives</w:t>
            </w:r>
          </w:p>
        </w:tc>
        <w:tc>
          <w:tcPr>
            <w:tcW w:w="4514" w:type="dxa"/>
            <w:tcBorders>
              <w:top w:val="single" w:sz="8" w:space="0" w:color="000000"/>
              <w:left w:val="single" w:sz="8" w:space="0" w:color="000000"/>
              <w:bottom w:val="single" w:sz="8" w:space="0" w:color="000000"/>
              <w:right w:val="single" w:sz="8" w:space="0" w:color="000000"/>
            </w:tcBorders>
            <w:shd w:color="auto" w:fill="D9EAD3" w:val="clear"/>
          </w:tcPr>
          <w:p>
            <w:pPr>
              <w:pStyle w:val="Normal"/>
              <w:widowControl w:val="false"/>
              <w:jc w:val="center"/>
              <w:rPr>
                <w:rFonts w:ascii="Arial" w:hAnsi="Arial" w:cs="Arial"/>
                <w:b/>
                <w:bCs/>
              </w:rPr>
            </w:pPr>
            <w:r>
              <w:rPr>
                <w:rFonts w:cs="Arial" w:ascii="Arial" w:hAnsi="Arial"/>
                <w:b/>
                <w:bCs/>
              </w:rPr>
              <w:t>Threats</w:t>
            </w:r>
          </w:p>
          <w:p>
            <w:pPr>
              <w:pStyle w:val="Normal"/>
              <w:widowControl w:val="false"/>
              <w:numPr>
                <w:ilvl w:val="0"/>
                <w:numId w:val="7"/>
              </w:numPr>
              <w:rPr>
                <w:rFonts w:ascii="Arial" w:hAnsi="Arial" w:cs="Arial"/>
              </w:rPr>
            </w:pPr>
            <w:r>
              <w:rPr>
                <w:rFonts w:cs="Arial" w:ascii="Arial" w:hAnsi="Arial"/>
              </w:rPr>
              <w:t>Increased government regulation</w:t>
            </w:r>
          </w:p>
          <w:p>
            <w:pPr>
              <w:pStyle w:val="Normal"/>
              <w:widowControl w:val="false"/>
              <w:numPr>
                <w:ilvl w:val="0"/>
                <w:numId w:val="7"/>
              </w:numPr>
              <w:rPr>
                <w:rFonts w:ascii="Arial" w:hAnsi="Arial" w:cs="Arial"/>
              </w:rPr>
            </w:pPr>
            <w:r>
              <w:rPr>
                <w:rFonts w:cs="Arial" w:ascii="Arial" w:hAnsi="Arial"/>
              </w:rPr>
              <w:t>Intense competition from PepsiCo</w:t>
            </w:r>
          </w:p>
        </w:tc>
      </w:tr>
    </w:tbl>
    <w:p>
      <w:pPr>
        <w:pStyle w:val="Normal"/>
        <w:jc w:val="center"/>
        <w:rPr>
          <w:rFonts w:ascii="Arial" w:hAnsi="Arial" w:cs="Arial"/>
          <w:b/>
          <w:bCs/>
          <w:i/>
          <w:i/>
          <w:iCs/>
        </w:rPr>
      </w:pPr>
      <w:r>
        <w:rPr>
          <w:rFonts w:cs="Arial" w:ascii="Arial" w:hAnsi="Arial"/>
          <w:b/>
          <w:bCs/>
          <w:i/>
          <w:iCs/>
        </w:rPr>
        <w:t xml:space="preserve">Table 4: SWOT analysis </w:t>
      </w:r>
    </w:p>
    <w:p>
      <w:pPr>
        <w:pStyle w:val="Normal"/>
        <w:rPr>
          <w:rFonts w:ascii="Arial" w:hAnsi="Arial" w:cs="Arial"/>
          <w:b/>
          <w:bCs/>
        </w:rPr>
      </w:pPr>
      <w:r>
        <w:rPr>
          <w:rFonts w:cs="Arial" w:ascii="Arial" w:hAnsi="Arial"/>
          <w:b/>
          <w:bCs/>
        </w:rPr>
        <w:t xml:space="preserve">Analysis </w:t>
      </w:r>
    </w:p>
    <w:p>
      <w:pPr>
        <w:pStyle w:val="Normal"/>
        <w:rPr>
          <w:rFonts w:ascii="Arial" w:hAnsi="Arial" w:cs="Arial"/>
          <w:color w:val="0000FF"/>
        </w:rPr>
      </w:pPr>
      <w:r>
        <w:rPr>
          <w:rFonts w:cs="Arial" w:ascii="Arial" w:hAnsi="Arial"/>
        </w:rPr>
        <w:t xml:space="preserve">According to the SWOT matrix above, it has been understood that Coca Cola needs to leverage its strong brand reputation to capitalise on the 85% growing demand for healthy beverage options (Fernandes, 2025). This indicates growth in healthier beverage demand among customers of Coca Cola Zero Sugar product. The nationwide retail presence of this organisation enables the widespread availability of products like Coca Cola Zero Sugar. In this way, the company is able to respond effectively to changing consumer preferences. Additionally, the financial position of Coca Cola helps it to invest in product development and reformulation. CCEP allocated €500 million towards digital marketing and eco-friendly packaging initiatives, thereby giving a boost to its competitive positioning. These capabilities also enable the organisation to address threats coming from one of its rivals, PepsiCo and UK government policies. The financial strength to fund reformulation and existing distribution network helps address the regulatory threat of SDIL and the growing competition from PepsiCo. Overall, the company needs to reduce dependency on carbonated soft drinks as a part of its sustainability approaches. As a result of these initiatives, Coca Cola can enhance long term resilience and create a sustainable competitive advantage within the UK beverage sector as the majority of consumers demand healthier recyclable alternatives. </w:t>
      </w:r>
    </w:p>
    <w:p>
      <w:pPr>
        <w:pStyle w:val="Normal"/>
        <w:rPr>
          <w:rFonts w:ascii="Arial" w:hAnsi="Arial" w:cs="Arial"/>
        </w:rPr>
      </w:pPr>
      <w:r>
        <w:rPr>
          <w:rFonts w:cs="Arial" w:ascii="Arial" w:hAnsi="Arial"/>
        </w:rPr>
      </w:r>
      <w:r>
        <w:br w:type="page"/>
      </w:r>
    </w:p>
    <w:p>
      <w:pPr>
        <w:pStyle w:val="Heading1"/>
        <w:spacing w:before="0" w:after="0"/>
        <w:rPr>
          <w:rFonts w:ascii="Arial" w:hAnsi="Arial" w:cs="Arial"/>
        </w:rPr>
      </w:pPr>
      <w:bookmarkStart w:id="10" w:name="_Toc236501938"/>
      <w:r>
        <w:rPr>
          <w:rFonts w:cs="Arial" w:ascii="Arial" w:hAnsi="Arial"/>
        </w:rPr>
        <w:t>3. Comprehensive and Holistic View of the Organisation</w:t>
      </w:r>
      <w:bookmarkEnd w:id="10"/>
    </w:p>
    <w:p>
      <w:pPr>
        <w:pStyle w:val="Heading2"/>
        <w:rPr>
          <w:rFonts w:ascii="Arial" w:hAnsi="Arial" w:cs="Arial"/>
        </w:rPr>
      </w:pPr>
      <w:bookmarkStart w:id="11" w:name="_Toc236501939"/>
      <w:r>
        <w:rPr>
          <w:rFonts w:cs="Arial" w:ascii="Arial" w:hAnsi="Arial"/>
        </w:rPr>
        <w:t>3.1 Corporate Social Responsibility (CSR) Strategy</w:t>
      </w:r>
      <w:bookmarkEnd w:id="11"/>
    </w:p>
    <w:p>
      <w:pPr>
        <w:pStyle w:val="Normal"/>
        <w:rPr>
          <w:rFonts w:ascii="Arial" w:hAnsi="Arial" w:cs="Arial"/>
        </w:rPr>
      </w:pPr>
      <w:r>
        <w:rPr>
          <w:rFonts w:cs="Arial" w:ascii="Arial" w:hAnsi="Arial"/>
          <w:b/>
          <w:bCs/>
          <w:i/>
          <w:iCs/>
        </w:rPr>
        <w:t>Coca-Cola Euro pacific Partners (CCEP)</w:t>
      </w:r>
      <w:r>
        <w:rPr>
          <w:rFonts w:cs="Arial" w:ascii="Arial" w:hAnsi="Arial"/>
        </w:rPr>
        <w:t xml:space="preserve">, known as the manufacturer and distributor of Coca-Cola products in Great Britain which was planned to embed corporate social responsibility (CSR) within its long-term sustainability strategy (Coca-Cola Great Britain, 2025). The key focus of the strategy is on six major priorities that include drinks, packaging, climate, water, people, communities as well as supply chain sustainability. The major CSR initiatives of Coca-Cola include incorporation of low-and zero-sugar beverage options, reduction of carbon emissions, implementation of recycled content in plastic packaging, promotion of circular packaging systems with the help of collection and recycling programmes along with improving water stewardship (Coca-Cola Great Britain, 2025). In addition to that, CCEP is designed to promote ethical sourcing with the help of its Supplier Guiding Principles while investing in employee wellbeing, diversity, inclusion as well as community partnerships (Coca-Cola Great Britain, 2025). Together, all these initiatives demonstrate that CSR is integrated into operational decision-making rather than preserved as a standalone philanthropic activity which enables the company to balance environmental responsibility with long-term commercial resilience in the UK market. </w:t>
      </w:r>
    </w:p>
    <w:p>
      <w:pPr>
        <w:pStyle w:val="Normal"/>
        <w:rPr>
          <w:rFonts w:ascii="Arial" w:hAnsi="Arial" w:cs="Arial"/>
        </w:rPr>
      </w:pPr>
      <w:r>
        <w:rPr>
          <w:rFonts w:cs="Arial" w:ascii="Arial" w:hAnsi="Arial"/>
        </w:rPr>
        <w:t>The CSR strategy strongly supports the mission of Coca-Cola UK to refresh consumers while making a positive difference along with aligning with its vision of generating a more sustainable beverage business. Investments in sugar reduction, healthier product innovation as well as transparent nutritional labelling initiated by Coca-Cola directly address growing consumer demand for healthier lifestyles while strengthening regulatory compliance (Coca-Cola, 2026). At the same time, sustainable packaging initiatives of Coca-Cola include increased recycled PET and deposit return systems which reinforce the objective of the company to reduce environmental impact without compromising product availability (Coca-Cola, 2026). All these activities enhance brand reputation, customer trust as well as stakeholder relationships which create competitive differentiation in a market where sustainability increasingly influences purchasing behaviours. Moreover, CSR strengthens strategic positioning through the integration of social and environmental value creation with long-term business growth.</w:t>
      </w:r>
    </w:p>
    <w:p>
      <w:pPr>
        <w:pStyle w:val="Normal"/>
        <w:jc w:val="center"/>
        <w:rPr>
          <w:rFonts w:ascii="Arial" w:hAnsi="Arial" w:cs="Arial"/>
        </w:rPr>
      </w:pPr>
      <w:r>
        <w:rPr/>
        <mc:AlternateContent>
          <mc:Choice Requires="wps">
            <w:drawing>
              <wp:inline distT="0" distB="0" distL="0" distR="0" wp14:anchorId="10FC58FA">
                <wp:extent cx="3265805" cy="3260090"/>
                <wp:effectExtent l="0" t="0" r="0" b="0"/>
                <wp:docPr id="17" name="image7.png"/>
                <a:graphic xmlns:a="http://schemas.openxmlformats.org/drawingml/2006/main">
                  <a:graphicData uri="http://schemas.openxmlformats.org/drawingml/2006/picture">
                    <pic:pic xmlns:pic="http://schemas.openxmlformats.org/drawingml/2006/picture">
                      <pic:nvPicPr>
                        <pic:cNvPr id="18" name="image7.png" descr=""/>
                        <pic:cNvPicPr/>
                      </pic:nvPicPr>
                      <pic:blipFill>
                        <a:blip r:embed="rId10"/>
                        <a:stretch/>
                      </pic:blipFill>
                      <pic:spPr>
                        <a:xfrm>
                          <a:off x="0" y="0"/>
                          <a:ext cx="3265920" cy="3260160"/>
                        </a:xfrm>
                        <a:prstGeom prst="rect">
                          <a:avLst/>
                        </a:prstGeom>
                        <a:noFill/>
                        <a:ln w="0">
                          <a:noFill/>
                        </a:ln>
                      </pic:spPr>
                    </pic:pic>
                  </a:graphicData>
                </a:graphic>
              </wp:inline>
            </w:drawing>
          </mc:Choice>
        </mc:AlternateContent>
      </w:r>
    </w:p>
    <w:p>
      <w:pPr>
        <w:pStyle w:val="Normal"/>
        <w:jc w:val="center"/>
        <w:rPr>
          <w:rFonts w:ascii="Arial" w:hAnsi="Arial" w:cs="Arial"/>
          <w:b/>
          <w:bCs/>
          <w:i/>
          <w:i/>
          <w:iCs/>
        </w:rPr>
      </w:pPr>
      <w:r>
        <w:rPr>
          <w:rFonts w:cs="Arial" w:ascii="Arial" w:hAnsi="Arial"/>
          <w:b/>
          <w:bCs/>
          <w:i/>
          <w:iCs/>
        </w:rPr>
        <w:t>Figure 6: CSR measures initiated by Coca-Cola</w:t>
      </w:r>
    </w:p>
    <w:p>
      <w:pPr>
        <w:pStyle w:val="Normal"/>
        <w:jc w:val="center"/>
        <w:rPr>
          <w:rFonts w:ascii="Arial" w:hAnsi="Arial" w:cs="Arial"/>
        </w:rPr>
      </w:pPr>
      <w:r>
        <w:rPr>
          <w:rFonts w:cs="Arial" w:ascii="Arial" w:hAnsi="Arial"/>
        </w:rPr>
        <w:t>(Source: Coca-Cola Femsa, 2024)</w:t>
      </w:r>
    </w:p>
    <w:p>
      <w:pPr>
        <w:pStyle w:val="Normal"/>
        <w:rPr>
          <w:rFonts w:ascii="Arial" w:hAnsi="Arial" w:cs="Arial"/>
        </w:rPr>
      </w:pPr>
      <w:r>
        <w:rPr>
          <w:rFonts w:cs="Arial" w:ascii="Arial" w:hAnsi="Arial"/>
        </w:rPr>
        <w:t>In the context of a financial perspective, CSR initiatives of Coca-Cola UK contribute to long-term profitability through the constant improvement of operational competence along with reducing business risks. In this aspect, investments in different areas that include renewable electricity, energy-efficient manufacturing, community development, sustainable sourcing, water conservation as well as supply chain resilience lower resource consumption along with mitigating exposure to future environmental regulations and rising input costs (Coca-Cola, 2026; Coca-Cola Femsa, 2024) (</w:t>
      </w:r>
      <w:r>
        <w:rPr>
          <w:rFonts w:cs="Arial" w:ascii="Arial" w:hAnsi="Arial"/>
          <w:b/>
          <w:bCs/>
          <w:i/>
          <w:iCs/>
        </w:rPr>
        <w:t>Figure 6</w:t>
      </w:r>
      <w:r>
        <w:rPr>
          <w:rFonts w:cs="Arial" w:ascii="Arial" w:hAnsi="Arial"/>
        </w:rPr>
        <w:t xml:space="preserve">). Ethical sourcing programmes are designed to reduce supplier-related risks while climate adaptation initiatives are advantageous to improve supply continuity (Coca-Cola, 2026). In addition to that, sustainable business practices initiated by Coca-Cola enhance investor confidence as </w:t>
      </w:r>
      <w:r>
        <w:rPr>
          <w:rFonts w:cs="Arial" w:ascii="Arial" w:hAnsi="Arial"/>
          <w:b/>
          <w:bCs/>
          <w:i/>
          <w:iCs/>
        </w:rPr>
        <w:t>environmental, social and governance (ESG) performance</w:t>
      </w:r>
      <w:r>
        <w:rPr>
          <w:rFonts w:cs="Arial" w:ascii="Arial" w:hAnsi="Arial"/>
        </w:rPr>
        <w:t xml:space="preserve"> in investment decisions (Coca-Cola, 2026). Successful accomplishment of ambitious sustainability targets requires substantial capital expenditure in recycling infrastructure, low-carbon technologies as well as packaging innovation which temporarily increase operational costs along with reducing short-term profit margins.</w:t>
      </w:r>
    </w:p>
    <w:p>
      <w:pPr>
        <w:pStyle w:val="Normal"/>
        <w:rPr>
          <w:rFonts w:ascii="Arial" w:hAnsi="Arial" w:cs="Arial"/>
        </w:rPr>
      </w:pPr>
      <w:r>
        <w:rPr>
          <w:rFonts w:cs="Arial" w:ascii="Arial" w:hAnsi="Arial"/>
        </w:rPr>
        <w:t>Besides all significant progress, certain pressures remain between CSR commitments of Coca-Cola UK and its commercial objectives. Environmental organisations continue to scrutinise the company because of plastic packaging waste, water usage as well as the health implications associated with sugary beverages which suggests that reputational risks persist even as sustainability investments increase (Coca-Cola Europacific Partners, 2025). Furthermore, the approach of balancing affordability with increased expenditure on sustainable materials and decarbonisation remains a strategic challenge within an extremely competitive UK beverage market (Coca-Cola Europacific Partners, 2025). On the other hand, continuous innovation in healthier products, circular packaging as well as emissions reduction demonstrates that CSR increasingly functions as a strategic business driver rather than a compliance obligation (Coca-Cola Europacific Partners, 2025). Overall, the CSR strategy of Coca-Cola UK is closely aligned with its mission, strengthens long-term competitiveness along with supporting sustainable financial performance despite ongoing implementation challenges.</w:t>
      </w:r>
    </w:p>
    <w:p>
      <w:pPr>
        <w:pStyle w:val="Heading2"/>
        <w:rPr>
          <w:rFonts w:ascii="Arial" w:hAnsi="Arial" w:cs="Arial"/>
        </w:rPr>
      </w:pPr>
      <w:bookmarkStart w:id="12" w:name="_Toc236501940"/>
      <w:r>
        <w:rPr>
          <w:rFonts w:cs="Arial" w:ascii="Arial" w:hAnsi="Arial"/>
        </w:rPr>
        <w:t>3.2 Balanced Scorecard (BSC)</w:t>
      </w:r>
      <w:bookmarkEnd w:id="12"/>
      <w:r>
        <w:rPr>
          <w:rFonts w:cs="Arial" w:ascii="Arial" w:hAnsi="Arial"/>
        </w:rPr>
        <w:t xml:space="preserve"> </w:t>
      </w:r>
    </w:p>
    <w:tbl>
      <w:tblPr>
        <w:tblStyle w:val="a2"/>
        <w:tblW w:w="8880" w:type="dxa"/>
        <w:jc w:val="left"/>
        <w:tblInd w:w="0" w:type="dxa"/>
        <w:tblLayout w:type="fixed"/>
        <w:tblCellMar>
          <w:top w:w="0" w:type="dxa"/>
          <w:left w:w="100" w:type="dxa"/>
          <w:bottom w:w="0" w:type="dxa"/>
          <w:right w:w="100" w:type="dxa"/>
        </w:tblCellMar>
        <w:tblLook w:val="0600" w:noVBand="1" w:noHBand="1" w:lastColumn="0" w:firstColumn="0" w:lastRow="0" w:firstRow="0"/>
      </w:tblPr>
      <w:tblGrid>
        <w:gridCol w:w="1256"/>
        <w:gridCol w:w="1770"/>
        <w:gridCol w:w="1530"/>
        <w:gridCol w:w="1555"/>
        <w:gridCol w:w="2769"/>
      </w:tblGrid>
      <w:tr>
        <w:trPr>
          <w:trHeight w:val="885" w:hRule="atLeast"/>
        </w:trPr>
        <w:tc>
          <w:tcPr>
            <w:tcW w:w="1256" w:type="dxa"/>
            <w:tcBorders>
              <w:top w:val="single" w:sz="4" w:space="0" w:color="000000"/>
              <w:left w:val="single" w:sz="4" w:space="0" w:color="000000"/>
              <w:bottom w:val="single" w:sz="4" w:space="0" w:color="000000"/>
              <w:right w:val="single" w:sz="4" w:space="0" w:color="000000"/>
            </w:tcBorders>
            <w:shd w:color="auto" w:fill="D9D9D9" w:val="clear"/>
          </w:tcPr>
          <w:p>
            <w:pPr>
              <w:pStyle w:val="Normal"/>
              <w:jc w:val="center"/>
              <w:rPr>
                <w:rFonts w:ascii="Arial" w:hAnsi="Arial" w:cs="Arial"/>
                <w:b/>
                <w:bCs/>
                <w:sz w:val="20"/>
                <w:szCs w:val="20"/>
              </w:rPr>
            </w:pPr>
            <w:r>
              <w:rPr>
                <w:rFonts w:cs="Arial" w:ascii="Arial" w:hAnsi="Arial"/>
                <w:b/>
                <w:bCs/>
                <w:sz w:val="20"/>
                <w:szCs w:val="20"/>
              </w:rPr>
              <w:t>Balanced Scorecard Perspective</w:t>
            </w:r>
          </w:p>
        </w:tc>
        <w:tc>
          <w:tcPr>
            <w:tcW w:w="1770" w:type="dxa"/>
            <w:tcBorders>
              <w:top w:val="single" w:sz="4" w:space="0" w:color="000000"/>
              <w:bottom w:val="single" w:sz="4" w:space="0" w:color="000000"/>
              <w:right w:val="single" w:sz="4" w:space="0" w:color="000000"/>
            </w:tcBorders>
            <w:shd w:color="auto" w:fill="D9D9D9" w:val="clear"/>
          </w:tcPr>
          <w:p>
            <w:pPr>
              <w:pStyle w:val="Normal"/>
              <w:jc w:val="center"/>
              <w:rPr>
                <w:rFonts w:ascii="Arial" w:hAnsi="Arial" w:cs="Arial"/>
                <w:b/>
                <w:bCs/>
                <w:sz w:val="20"/>
                <w:szCs w:val="20"/>
              </w:rPr>
            </w:pPr>
            <w:r>
              <w:rPr>
                <w:rFonts w:cs="Arial" w:ascii="Arial" w:hAnsi="Arial"/>
                <w:b/>
                <w:bCs/>
                <w:sz w:val="20"/>
                <w:szCs w:val="20"/>
              </w:rPr>
              <w:t>Objectives</w:t>
            </w:r>
          </w:p>
        </w:tc>
        <w:tc>
          <w:tcPr>
            <w:tcW w:w="1530" w:type="dxa"/>
            <w:tcBorders>
              <w:top w:val="single" w:sz="4" w:space="0" w:color="000000"/>
              <w:bottom w:val="single" w:sz="4" w:space="0" w:color="000000"/>
              <w:right w:val="single" w:sz="4" w:space="0" w:color="000000"/>
            </w:tcBorders>
            <w:shd w:color="auto" w:fill="D9D9D9" w:val="clear"/>
          </w:tcPr>
          <w:p>
            <w:pPr>
              <w:pStyle w:val="Normal"/>
              <w:jc w:val="center"/>
              <w:rPr>
                <w:rFonts w:ascii="Arial" w:hAnsi="Arial" w:cs="Arial"/>
                <w:b/>
                <w:bCs/>
                <w:sz w:val="20"/>
                <w:szCs w:val="20"/>
              </w:rPr>
            </w:pPr>
            <w:r>
              <w:rPr>
                <w:rFonts w:cs="Arial" w:ascii="Arial" w:hAnsi="Arial"/>
                <w:b/>
                <w:bCs/>
                <w:sz w:val="20"/>
                <w:szCs w:val="20"/>
              </w:rPr>
              <w:t>KPIs</w:t>
            </w:r>
          </w:p>
        </w:tc>
        <w:tc>
          <w:tcPr>
            <w:tcW w:w="1555" w:type="dxa"/>
            <w:tcBorders>
              <w:top w:val="single" w:sz="4" w:space="0" w:color="000000"/>
              <w:bottom w:val="single" w:sz="4" w:space="0" w:color="000000"/>
              <w:right w:val="single" w:sz="4" w:space="0" w:color="000000"/>
            </w:tcBorders>
            <w:shd w:color="auto" w:fill="D9D9D9" w:val="clear"/>
          </w:tcPr>
          <w:p>
            <w:pPr>
              <w:pStyle w:val="Normal"/>
              <w:jc w:val="center"/>
              <w:rPr>
                <w:rFonts w:ascii="Arial" w:hAnsi="Arial" w:cs="Arial"/>
                <w:b/>
                <w:bCs/>
                <w:sz w:val="20"/>
                <w:szCs w:val="20"/>
              </w:rPr>
            </w:pPr>
            <w:r>
              <w:rPr>
                <w:rFonts w:cs="Arial" w:ascii="Arial" w:hAnsi="Arial"/>
                <w:b/>
                <w:bCs/>
                <w:sz w:val="20"/>
                <w:szCs w:val="20"/>
              </w:rPr>
              <w:t>Targets</w:t>
            </w:r>
          </w:p>
        </w:tc>
        <w:tc>
          <w:tcPr>
            <w:tcW w:w="2769" w:type="dxa"/>
            <w:tcBorders>
              <w:top w:val="single" w:sz="4" w:space="0" w:color="000000"/>
              <w:bottom w:val="single" w:sz="4" w:space="0" w:color="000000"/>
              <w:right w:val="single" w:sz="4" w:space="0" w:color="000000"/>
            </w:tcBorders>
            <w:shd w:color="auto" w:fill="D9D9D9" w:val="clear"/>
          </w:tcPr>
          <w:p>
            <w:pPr>
              <w:pStyle w:val="Normal"/>
              <w:jc w:val="center"/>
              <w:rPr>
                <w:rFonts w:ascii="Arial" w:hAnsi="Arial" w:cs="Arial"/>
                <w:b/>
                <w:bCs/>
                <w:sz w:val="20"/>
                <w:szCs w:val="20"/>
              </w:rPr>
            </w:pPr>
            <w:r>
              <w:rPr>
                <w:rFonts w:cs="Arial" w:ascii="Arial" w:hAnsi="Arial"/>
                <w:b/>
                <w:bCs/>
                <w:sz w:val="20"/>
                <w:szCs w:val="20"/>
              </w:rPr>
              <w:t>Strategic Initiatives</w:t>
            </w:r>
          </w:p>
        </w:tc>
      </w:tr>
      <w:tr>
        <w:trPr>
          <w:trHeight w:val="3415" w:hRule="atLeast"/>
        </w:trPr>
        <w:tc>
          <w:tcPr>
            <w:tcW w:w="1256" w:type="dxa"/>
            <w:tcBorders>
              <w:left w:val="single" w:sz="4" w:space="0" w:color="000000"/>
              <w:bottom w:val="single" w:sz="4" w:space="0" w:color="000000"/>
              <w:right w:val="single" w:sz="4" w:space="0" w:color="000000"/>
            </w:tcBorders>
            <w:shd w:color="auto" w:fill="F3F3F3" w:val="clear"/>
          </w:tcPr>
          <w:p>
            <w:pPr>
              <w:pStyle w:val="Normal"/>
              <w:rPr>
                <w:rFonts w:ascii="Arial" w:hAnsi="Arial" w:cs="Arial"/>
                <w:sz w:val="20"/>
                <w:szCs w:val="20"/>
              </w:rPr>
            </w:pPr>
            <w:r>
              <w:rPr>
                <w:rFonts w:cs="Arial" w:ascii="Arial" w:hAnsi="Arial"/>
                <w:sz w:val="20"/>
                <w:szCs w:val="20"/>
              </w:rPr>
              <w:t>Financial</w:t>
            </w:r>
          </w:p>
        </w:tc>
        <w:tc>
          <w:tcPr>
            <w:tcW w:w="1770" w:type="dxa"/>
            <w:tcBorders>
              <w:bottom w:val="single" w:sz="4" w:space="0" w:color="000000"/>
              <w:right w:val="single" w:sz="4" w:space="0" w:color="000000"/>
            </w:tcBorders>
          </w:tcPr>
          <w:p>
            <w:pPr>
              <w:pStyle w:val="Normal"/>
              <w:rPr>
                <w:rFonts w:ascii="Arial" w:hAnsi="Arial" w:cs="Arial"/>
                <w:sz w:val="20"/>
                <w:szCs w:val="20"/>
              </w:rPr>
            </w:pPr>
            <w:r>
              <w:rPr>
                <w:rFonts w:cs="Arial" w:ascii="Arial" w:hAnsi="Arial"/>
                <w:sz w:val="20"/>
                <w:szCs w:val="20"/>
              </w:rPr>
              <w:t>To increase sustainable revenue growth while improving profitability with the help of healthier product sales, operational efficiency and sustainability-led cost reduction.</w:t>
            </w:r>
          </w:p>
        </w:tc>
        <w:tc>
          <w:tcPr>
            <w:tcW w:w="1530" w:type="dxa"/>
            <w:tcBorders>
              <w:bottom w:val="single" w:sz="4" w:space="0" w:color="000000"/>
              <w:right w:val="single" w:sz="4" w:space="0" w:color="000000"/>
            </w:tcBorders>
          </w:tcPr>
          <w:p>
            <w:pPr>
              <w:pStyle w:val="Normal"/>
              <w:rPr>
                <w:rFonts w:ascii="Arial" w:hAnsi="Arial" w:cs="Arial"/>
                <w:sz w:val="20"/>
                <w:szCs w:val="20"/>
              </w:rPr>
            </w:pPr>
            <w:r>
              <w:rPr>
                <w:rFonts w:cs="Arial" w:ascii="Arial" w:hAnsi="Arial"/>
                <w:sz w:val="20"/>
                <w:szCs w:val="20"/>
              </w:rPr>
              <w:t>Revenue growth (%)</w:t>
            </w:r>
          </w:p>
          <w:p>
            <w:pPr>
              <w:pStyle w:val="Normal"/>
              <w:rPr>
                <w:rFonts w:ascii="Arial" w:hAnsi="Arial" w:cs="Arial"/>
                <w:sz w:val="20"/>
                <w:szCs w:val="20"/>
              </w:rPr>
            </w:pPr>
            <w:r>
              <w:rPr>
                <w:rFonts w:cs="Arial" w:ascii="Arial" w:hAnsi="Arial"/>
                <w:sz w:val="20"/>
                <w:szCs w:val="20"/>
              </w:rPr>
              <w:t>Operating profit margin</w:t>
            </w:r>
          </w:p>
          <w:p>
            <w:pPr>
              <w:pStyle w:val="Normal"/>
              <w:rPr>
                <w:rFonts w:ascii="Arial" w:hAnsi="Arial" w:cs="Arial"/>
                <w:sz w:val="20"/>
                <w:szCs w:val="20"/>
              </w:rPr>
            </w:pPr>
            <w:r>
              <w:rPr>
                <w:rFonts w:cs="Arial" w:ascii="Arial" w:hAnsi="Arial"/>
                <w:sz w:val="20"/>
                <w:szCs w:val="20"/>
              </w:rPr>
              <w:t>Return on investment (ROI)</w:t>
            </w:r>
          </w:p>
          <w:p>
            <w:pPr>
              <w:pStyle w:val="Normal"/>
              <w:rPr>
                <w:rFonts w:ascii="Arial" w:hAnsi="Arial" w:cs="Arial"/>
                <w:sz w:val="20"/>
                <w:szCs w:val="20"/>
              </w:rPr>
            </w:pPr>
            <w:r>
              <w:rPr>
                <w:rFonts w:cs="Arial" w:ascii="Arial" w:hAnsi="Arial"/>
                <w:sz w:val="20"/>
                <w:szCs w:val="20"/>
              </w:rPr>
              <w:t>Sales of low- and zero-sugar beverages</w:t>
            </w:r>
          </w:p>
        </w:tc>
        <w:tc>
          <w:tcPr>
            <w:tcW w:w="1555" w:type="dxa"/>
            <w:tcBorders>
              <w:bottom w:val="single" w:sz="4" w:space="0" w:color="000000"/>
              <w:right w:val="single" w:sz="4" w:space="0" w:color="000000"/>
            </w:tcBorders>
          </w:tcPr>
          <w:p>
            <w:pPr>
              <w:pStyle w:val="Normal"/>
              <w:rPr>
                <w:rFonts w:ascii="Arial" w:hAnsi="Arial" w:cs="Arial"/>
                <w:sz w:val="20"/>
                <w:szCs w:val="20"/>
              </w:rPr>
            </w:pPr>
            <w:r>
              <w:rPr>
                <w:rFonts w:cs="Arial" w:ascii="Arial" w:hAnsi="Arial"/>
                <w:sz w:val="20"/>
                <w:szCs w:val="20"/>
              </w:rPr>
              <w:t>Achieve 5–7% annual revenue growth</w:t>
            </w:r>
          </w:p>
          <w:p>
            <w:pPr>
              <w:pStyle w:val="Normal"/>
              <w:rPr>
                <w:rFonts w:ascii="Arial" w:hAnsi="Arial" w:cs="Arial"/>
                <w:sz w:val="20"/>
                <w:szCs w:val="20"/>
              </w:rPr>
            </w:pPr>
            <w:r>
              <w:rPr>
                <w:rFonts w:cs="Arial" w:ascii="Arial" w:hAnsi="Arial"/>
                <w:sz w:val="20"/>
                <w:szCs w:val="20"/>
              </w:rPr>
              <w:t>Improve operating margin by 2%</w:t>
            </w:r>
          </w:p>
          <w:p>
            <w:pPr>
              <w:pStyle w:val="Normal"/>
              <w:rPr>
                <w:rFonts w:ascii="Arial" w:hAnsi="Arial" w:cs="Arial"/>
                <w:sz w:val="20"/>
                <w:szCs w:val="20"/>
              </w:rPr>
            </w:pPr>
            <w:r>
              <w:rPr>
                <w:rFonts w:cs="Arial" w:ascii="Arial" w:hAnsi="Arial"/>
                <w:sz w:val="20"/>
                <w:szCs w:val="20"/>
              </w:rPr>
              <w:t>Increase low- and zero-sugar product sales by 10% annually</w:t>
            </w:r>
          </w:p>
        </w:tc>
        <w:tc>
          <w:tcPr>
            <w:tcW w:w="2769" w:type="dxa"/>
            <w:tcBorders>
              <w:bottom w:val="single" w:sz="4" w:space="0" w:color="000000"/>
              <w:right w:val="single" w:sz="4" w:space="0" w:color="000000"/>
            </w:tcBorders>
          </w:tcPr>
          <w:p>
            <w:pPr>
              <w:pStyle w:val="Normal"/>
              <w:numPr>
                <w:ilvl w:val="0"/>
                <w:numId w:val="2"/>
              </w:numPr>
              <w:rPr>
                <w:rFonts w:ascii="Arial" w:hAnsi="Arial" w:cs="Arial"/>
                <w:sz w:val="20"/>
                <w:szCs w:val="20"/>
              </w:rPr>
            </w:pPr>
            <w:r>
              <w:rPr>
                <w:rFonts w:cs="Arial" w:ascii="Arial" w:hAnsi="Arial"/>
                <w:sz w:val="20"/>
                <w:szCs w:val="20"/>
              </w:rPr>
              <w:t>Expand premium and healthier beverage portfolios</w:t>
            </w:r>
          </w:p>
          <w:p>
            <w:pPr>
              <w:pStyle w:val="Normal"/>
              <w:numPr>
                <w:ilvl w:val="0"/>
                <w:numId w:val="2"/>
              </w:numPr>
              <w:rPr>
                <w:rFonts w:ascii="Arial" w:hAnsi="Arial" w:cs="Arial"/>
                <w:sz w:val="20"/>
                <w:szCs w:val="20"/>
              </w:rPr>
            </w:pPr>
            <w:r>
              <w:rPr>
                <w:rFonts w:cs="Arial" w:ascii="Arial" w:hAnsi="Arial"/>
                <w:sz w:val="20"/>
                <w:szCs w:val="20"/>
              </w:rPr>
              <w:t>Optimise manufacturing efficiency through digital technologies</w:t>
            </w:r>
          </w:p>
          <w:p>
            <w:pPr>
              <w:pStyle w:val="Normal"/>
              <w:numPr>
                <w:ilvl w:val="0"/>
                <w:numId w:val="2"/>
              </w:numPr>
              <w:rPr>
                <w:rFonts w:ascii="Arial" w:hAnsi="Arial" w:cs="Arial"/>
                <w:sz w:val="20"/>
                <w:szCs w:val="20"/>
              </w:rPr>
            </w:pPr>
            <w:r>
              <w:rPr>
                <w:rFonts w:cs="Arial" w:ascii="Arial" w:hAnsi="Arial"/>
                <w:sz w:val="20"/>
                <w:szCs w:val="20"/>
              </w:rPr>
              <w:t>Reduce production costs using renewable energy and lightweight packaging</w:t>
            </w:r>
          </w:p>
          <w:p>
            <w:pPr>
              <w:pStyle w:val="Normal"/>
              <w:numPr>
                <w:ilvl w:val="0"/>
                <w:numId w:val="2"/>
              </w:numPr>
              <w:rPr>
                <w:rFonts w:ascii="Arial" w:hAnsi="Arial" w:cs="Arial"/>
                <w:sz w:val="20"/>
                <w:szCs w:val="20"/>
              </w:rPr>
            </w:pPr>
            <w:r>
              <w:rPr>
                <w:rFonts w:cs="Arial" w:ascii="Arial" w:hAnsi="Arial"/>
                <w:sz w:val="20"/>
                <w:szCs w:val="20"/>
              </w:rPr>
              <w:t>Strengthen data-driven demand forecasting</w:t>
            </w:r>
          </w:p>
        </w:tc>
      </w:tr>
      <w:tr>
        <w:trPr>
          <w:trHeight w:val="3135" w:hRule="atLeast"/>
        </w:trPr>
        <w:tc>
          <w:tcPr>
            <w:tcW w:w="1256" w:type="dxa"/>
            <w:tcBorders>
              <w:left w:val="single" w:sz="4" w:space="0" w:color="000000"/>
              <w:bottom w:val="single" w:sz="4" w:space="0" w:color="000000"/>
              <w:right w:val="single" w:sz="4" w:space="0" w:color="000000"/>
            </w:tcBorders>
            <w:shd w:color="auto" w:fill="F3F3F3" w:val="clear"/>
          </w:tcPr>
          <w:p>
            <w:pPr>
              <w:pStyle w:val="Normal"/>
              <w:rPr>
                <w:rFonts w:ascii="Arial" w:hAnsi="Arial" w:cs="Arial"/>
                <w:sz w:val="20"/>
                <w:szCs w:val="20"/>
              </w:rPr>
            </w:pPr>
            <w:r>
              <w:rPr>
                <w:rFonts w:cs="Arial" w:ascii="Arial" w:hAnsi="Arial"/>
                <w:sz w:val="20"/>
                <w:szCs w:val="20"/>
              </w:rPr>
              <w:t>Customer</w:t>
            </w:r>
          </w:p>
        </w:tc>
        <w:tc>
          <w:tcPr>
            <w:tcW w:w="1770" w:type="dxa"/>
            <w:tcBorders>
              <w:bottom w:val="single" w:sz="4" w:space="0" w:color="000000"/>
              <w:right w:val="single" w:sz="4" w:space="0" w:color="000000"/>
            </w:tcBorders>
          </w:tcPr>
          <w:p>
            <w:pPr>
              <w:pStyle w:val="Normal"/>
              <w:rPr>
                <w:rFonts w:ascii="Arial" w:hAnsi="Arial" w:cs="Arial"/>
                <w:sz w:val="20"/>
                <w:szCs w:val="20"/>
              </w:rPr>
            </w:pPr>
            <w:r>
              <w:rPr>
                <w:rFonts w:cs="Arial" w:ascii="Arial" w:hAnsi="Arial"/>
                <w:sz w:val="20"/>
                <w:szCs w:val="20"/>
              </w:rPr>
              <w:t>To improve customer satisfaction, strengthen brand loyalty and expand market share with a focus on healthier and environmentally sustainable beverage choices.</w:t>
            </w:r>
          </w:p>
        </w:tc>
        <w:tc>
          <w:tcPr>
            <w:tcW w:w="1530" w:type="dxa"/>
            <w:tcBorders>
              <w:bottom w:val="single" w:sz="4" w:space="0" w:color="000000"/>
              <w:right w:val="single" w:sz="4" w:space="0" w:color="000000"/>
            </w:tcBorders>
          </w:tcPr>
          <w:p>
            <w:pPr>
              <w:pStyle w:val="Normal"/>
              <w:rPr>
                <w:rFonts w:ascii="Arial" w:hAnsi="Arial" w:cs="Arial"/>
                <w:sz w:val="20"/>
                <w:szCs w:val="20"/>
              </w:rPr>
            </w:pPr>
            <w:r>
              <w:rPr>
                <w:rFonts w:cs="Arial" w:ascii="Arial" w:hAnsi="Arial"/>
                <w:sz w:val="20"/>
                <w:szCs w:val="20"/>
              </w:rPr>
              <w:t>Customer satisfaction score (CSAT)</w:t>
            </w:r>
          </w:p>
          <w:p>
            <w:pPr>
              <w:pStyle w:val="Normal"/>
              <w:rPr>
                <w:rFonts w:ascii="Arial" w:hAnsi="Arial" w:cs="Arial"/>
                <w:sz w:val="20"/>
                <w:szCs w:val="20"/>
              </w:rPr>
            </w:pPr>
            <w:r>
              <w:rPr>
                <w:rFonts w:cs="Arial" w:ascii="Arial" w:hAnsi="Arial"/>
                <w:sz w:val="20"/>
                <w:szCs w:val="20"/>
              </w:rPr>
              <w:t>Net Promoter Score (NPS)</w:t>
            </w:r>
          </w:p>
          <w:p>
            <w:pPr>
              <w:pStyle w:val="Normal"/>
              <w:rPr>
                <w:rFonts w:ascii="Arial" w:hAnsi="Arial" w:cs="Arial"/>
                <w:sz w:val="20"/>
                <w:szCs w:val="20"/>
              </w:rPr>
            </w:pPr>
            <w:r>
              <w:rPr>
                <w:rFonts w:cs="Arial" w:ascii="Arial" w:hAnsi="Arial"/>
                <w:sz w:val="20"/>
                <w:szCs w:val="20"/>
              </w:rPr>
              <w:t>UK market share, repeat purchase rate</w:t>
            </w:r>
          </w:p>
        </w:tc>
        <w:tc>
          <w:tcPr>
            <w:tcW w:w="1555" w:type="dxa"/>
            <w:tcBorders>
              <w:bottom w:val="single" w:sz="4" w:space="0" w:color="000000"/>
              <w:right w:val="single" w:sz="4" w:space="0" w:color="000000"/>
            </w:tcBorders>
          </w:tcPr>
          <w:p>
            <w:pPr>
              <w:pStyle w:val="Normal"/>
              <w:rPr>
                <w:rFonts w:ascii="Arial" w:hAnsi="Arial" w:cs="Arial"/>
                <w:sz w:val="20"/>
                <w:szCs w:val="20"/>
              </w:rPr>
            </w:pPr>
            <w:r>
              <w:rPr>
                <w:rFonts w:cs="Arial" w:ascii="Arial" w:hAnsi="Arial"/>
                <w:sz w:val="20"/>
                <w:szCs w:val="20"/>
              </w:rPr>
              <w:t>Maintain customer satisfaction above 90%</w:t>
            </w:r>
          </w:p>
          <w:p>
            <w:pPr>
              <w:pStyle w:val="Normal"/>
              <w:rPr>
                <w:rFonts w:ascii="Arial" w:hAnsi="Arial" w:cs="Arial"/>
                <w:sz w:val="20"/>
                <w:szCs w:val="20"/>
              </w:rPr>
            </w:pPr>
            <w:r>
              <w:rPr>
                <w:rFonts w:cs="Arial" w:ascii="Arial" w:hAnsi="Arial"/>
                <w:sz w:val="20"/>
                <w:szCs w:val="20"/>
              </w:rPr>
              <w:t>Improve NPS by 5 points</w:t>
            </w:r>
          </w:p>
          <w:p>
            <w:pPr>
              <w:pStyle w:val="Normal"/>
              <w:rPr>
                <w:rFonts w:ascii="Arial" w:hAnsi="Arial" w:cs="Arial"/>
                <w:sz w:val="20"/>
                <w:szCs w:val="20"/>
              </w:rPr>
            </w:pPr>
            <w:r>
              <w:rPr>
                <w:rFonts w:cs="Arial" w:ascii="Arial" w:hAnsi="Arial"/>
                <w:sz w:val="20"/>
                <w:szCs w:val="20"/>
              </w:rPr>
              <w:t>Increase UK market share by 2% within three years</w:t>
            </w:r>
          </w:p>
        </w:tc>
        <w:tc>
          <w:tcPr>
            <w:tcW w:w="2769" w:type="dxa"/>
            <w:tcBorders>
              <w:bottom w:val="single" w:sz="4" w:space="0" w:color="000000"/>
              <w:right w:val="single" w:sz="4" w:space="0" w:color="000000"/>
            </w:tcBorders>
          </w:tcPr>
          <w:p>
            <w:pPr>
              <w:pStyle w:val="Normal"/>
              <w:numPr>
                <w:ilvl w:val="0"/>
                <w:numId w:val="5"/>
              </w:numPr>
              <w:rPr>
                <w:rFonts w:ascii="Arial" w:hAnsi="Arial" w:cs="Arial"/>
                <w:sz w:val="20"/>
                <w:szCs w:val="20"/>
              </w:rPr>
            </w:pPr>
            <w:r>
              <w:rPr>
                <w:rFonts w:cs="Arial" w:ascii="Arial" w:hAnsi="Arial"/>
                <w:sz w:val="20"/>
                <w:szCs w:val="20"/>
              </w:rPr>
              <w:t>Launch innovative low- and zero-sugar products</w:t>
            </w:r>
          </w:p>
          <w:p>
            <w:pPr>
              <w:pStyle w:val="Normal"/>
              <w:numPr>
                <w:ilvl w:val="0"/>
                <w:numId w:val="5"/>
              </w:numPr>
              <w:rPr>
                <w:rFonts w:ascii="Arial" w:hAnsi="Arial" w:cs="Arial"/>
                <w:sz w:val="20"/>
                <w:szCs w:val="20"/>
              </w:rPr>
            </w:pPr>
            <w:r>
              <w:rPr>
                <w:rFonts w:cs="Arial" w:ascii="Arial" w:hAnsi="Arial"/>
                <w:sz w:val="20"/>
                <w:szCs w:val="20"/>
              </w:rPr>
              <w:t>Expand personalised digital marketing campaigns</w:t>
            </w:r>
          </w:p>
          <w:p>
            <w:pPr>
              <w:pStyle w:val="Normal"/>
              <w:numPr>
                <w:ilvl w:val="0"/>
                <w:numId w:val="5"/>
              </w:numPr>
              <w:rPr>
                <w:rFonts w:ascii="Arial" w:hAnsi="Arial" w:cs="Arial"/>
                <w:sz w:val="20"/>
                <w:szCs w:val="20"/>
              </w:rPr>
            </w:pPr>
            <w:r>
              <w:rPr>
                <w:rFonts w:cs="Arial" w:ascii="Arial" w:hAnsi="Arial"/>
                <w:sz w:val="20"/>
                <w:szCs w:val="20"/>
              </w:rPr>
              <w:t>Improve product availability across retail channels</w:t>
            </w:r>
          </w:p>
          <w:p>
            <w:pPr>
              <w:pStyle w:val="Normal"/>
              <w:numPr>
                <w:ilvl w:val="0"/>
                <w:numId w:val="5"/>
              </w:numPr>
              <w:rPr>
                <w:rFonts w:ascii="Arial" w:hAnsi="Arial" w:cs="Arial"/>
                <w:sz w:val="20"/>
                <w:szCs w:val="20"/>
              </w:rPr>
            </w:pPr>
            <w:r>
              <w:rPr>
                <w:rFonts w:cs="Arial" w:ascii="Arial" w:hAnsi="Arial"/>
                <w:sz w:val="20"/>
                <w:szCs w:val="20"/>
              </w:rPr>
              <w:t>Promote sustainable packaging to strengthen consumer trust</w:t>
            </w:r>
          </w:p>
        </w:tc>
      </w:tr>
      <w:tr>
        <w:trPr>
          <w:trHeight w:val="4335" w:hRule="atLeast"/>
        </w:trPr>
        <w:tc>
          <w:tcPr>
            <w:tcW w:w="1256" w:type="dxa"/>
            <w:tcBorders>
              <w:left w:val="single" w:sz="4" w:space="0" w:color="000000"/>
              <w:bottom w:val="single" w:sz="4" w:space="0" w:color="000000"/>
              <w:right w:val="single" w:sz="4" w:space="0" w:color="000000"/>
            </w:tcBorders>
            <w:shd w:color="auto" w:fill="F3F3F3" w:val="clear"/>
          </w:tcPr>
          <w:p>
            <w:pPr>
              <w:pStyle w:val="Normal"/>
              <w:rPr>
                <w:rFonts w:ascii="Arial" w:hAnsi="Arial" w:cs="Arial"/>
                <w:sz w:val="20"/>
                <w:szCs w:val="20"/>
              </w:rPr>
            </w:pPr>
            <w:r>
              <w:rPr>
                <w:rFonts w:cs="Arial" w:ascii="Arial" w:hAnsi="Arial"/>
                <w:sz w:val="20"/>
                <w:szCs w:val="20"/>
              </w:rPr>
              <w:t>Internal Business Processes</w:t>
            </w:r>
          </w:p>
        </w:tc>
        <w:tc>
          <w:tcPr>
            <w:tcW w:w="1770" w:type="dxa"/>
            <w:tcBorders>
              <w:bottom w:val="single" w:sz="4" w:space="0" w:color="000000"/>
              <w:right w:val="single" w:sz="4" w:space="0" w:color="000000"/>
            </w:tcBorders>
          </w:tcPr>
          <w:p>
            <w:pPr>
              <w:pStyle w:val="Normal"/>
              <w:rPr>
                <w:rFonts w:ascii="Arial" w:hAnsi="Arial" w:cs="Arial"/>
                <w:sz w:val="20"/>
                <w:szCs w:val="20"/>
              </w:rPr>
            </w:pPr>
            <w:r>
              <w:rPr>
                <w:rFonts w:cs="Arial" w:ascii="Arial" w:hAnsi="Arial"/>
                <w:sz w:val="20"/>
                <w:szCs w:val="20"/>
              </w:rPr>
              <w:t>To enhance operational excellence through the improvement of manufacturing efficiency, supply chain resilience and circular packaging performance while reducing environmental impacts.</w:t>
            </w:r>
          </w:p>
        </w:tc>
        <w:tc>
          <w:tcPr>
            <w:tcW w:w="1530" w:type="dxa"/>
            <w:tcBorders>
              <w:bottom w:val="single" w:sz="4" w:space="0" w:color="000000"/>
              <w:right w:val="single" w:sz="4" w:space="0" w:color="000000"/>
            </w:tcBorders>
          </w:tcPr>
          <w:p>
            <w:pPr>
              <w:pStyle w:val="Normal"/>
              <w:rPr>
                <w:rFonts w:ascii="Arial" w:hAnsi="Arial" w:cs="Arial"/>
                <w:sz w:val="20"/>
                <w:szCs w:val="20"/>
              </w:rPr>
            </w:pPr>
            <w:r>
              <w:rPr>
                <w:rFonts w:cs="Arial" w:ascii="Arial" w:hAnsi="Arial"/>
                <w:sz w:val="20"/>
                <w:szCs w:val="20"/>
              </w:rPr>
              <w:t>Manufacturing efficiency</w:t>
            </w:r>
          </w:p>
          <w:p>
            <w:pPr>
              <w:pStyle w:val="Normal"/>
              <w:rPr>
                <w:rFonts w:ascii="Arial" w:hAnsi="Arial" w:cs="Arial"/>
                <w:sz w:val="20"/>
                <w:szCs w:val="20"/>
              </w:rPr>
            </w:pPr>
            <w:r>
              <w:rPr>
                <w:rFonts w:cs="Arial" w:ascii="Arial" w:hAnsi="Arial"/>
                <w:sz w:val="20"/>
                <w:szCs w:val="20"/>
              </w:rPr>
              <w:t>Recycling rate</w:t>
            </w:r>
          </w:p>
          <w:p>
            <w:pPr>
              <w:pStyle w:val="Normal"/>
              <w:rPr>
                <w:rFonts w:ascii="Arial" w:hAnsi="Arial" w:cs="Arial"/>
                <w:sz w:val="20"/>
                <w:szCs w:val="20"/>
              </w:rPr>
            </w:pPr>
            <w:r>
              <w:rPr>
                <w:rFonts w:cs="Arial" w:ascii="Arial" w:hAnsi="Arial"/>
                <w:sz w:val="20"/>
                <w:szCs w:val="20"/>
              </w:rPr>
              <w:t>Carbon emissions per litre produced</w:t>
            </w:r>
          </w:p>
          <w:p>
            <w:pPr>
              <w:pStyle w:val="Normal"/>
              <w:rPr>
                <w:rFonts w:ascii="Arial" w:hAnsi="Arial" w:cs="Arial"/>
                <w:sz w:val="20"/>
                <w:szCs w:val="20"/>
              </w:rPr>
            </w:pPr>
            <w:r>
              <w:rPr>
                <w:rFonts w:cs="Arial" w:ascii="Arial" w:hAnsi="Arial"/>
                <w:sz w:val="20"/>
                <w:szCs w:val="20"/>
              </w:rPr>
              <w:t>On-time delivery rate</w:t>
            </w:r>
          </w:p>
        </w:tc>
        <w:tc>
          <w:tcPr>
            <w:tcW w:w="1555" w:type="dxa"/>
            <w:tcBorders>
              <w:bottom w:val="single" w:sz="4" w:space="0" w:color="000000"/>
              <w:right w:val="single" w:sz="4" w:space="0" w:color="000000"/>
            </w:tcBorders>
          </w:tcPr>
          <w:p>
            <w:pPr>
              <w:pStyle w:val="Normal"/>
              <w:rPr>
                <w:rFonts w:ascii="Arial" w:hAnsi="Arial" w:cs="Arial"/>
                <w:sz w:val="20"/>
                <w:szCs w:val="20"/>
              </w:rPr>
            </w:pPr>
            <w:r>
              <w:rPr>
                <w:rFonts w:cs="Arial" w:ascii="Arial" w:hAnsi="Arial"/>
                <w:sz w:val="20"/>
                <w:szCs w:val="20"/>
              </w:rPr>
              <w:t>Reduce operational carbon emissions by 30%</w:t>
            </w:r>
          </w:p>
          <w:p>
            <w:pPr>
              <w:pStyle w:val="Normal"/>
              <w:rPr>
                <w:rFonts w:ascii="Arial" w:hAnsi="Arial" w:cs="Arial"/>
                <w:sz w:val="20"/>
                <w:szCs w:val="20"/>
              </w:rPr>
            </w:pPr>
            <w:r>
              <w:rPr>
                <w:rFonts w:cs="Arial" w:ascii="Arial" w:hAnsi="Arial"/>
                <w:sz w:val="20"/>
                <w:szCs w:val="20"/>
              </w:rPr>
              <w:t>Achieve 100% recyclable packaging, maintain 98% on-time delivery</w:t>
            </w:r>
          </w:p>
          <w:p>
            <w:pPr>
              <w:pStyle w:val="Normal"/>
              <w:rPr>
                <w:rFonts w:ascii="Arial" w:hAnsi="Arial" w:cs="Arial"/>
                <w:sz w:val="20"/>
                <w:szCs w:val="20"/>
              </w:rPr>
            </w:pPr>
            <w:r>
              <w:rPr>
                <w:rFonts w:cs="Arial" w:ascii="Arial" w:hAnsi="Arial"/>
                <w:sz w:val="20"/>
                <w:szCs w:val="20"/>
              </w:rPr>
              <w:t>Increase recycled PET content across packaging</w:t>
            </w:r>
          </w:p>
        </w:tc>
        <w:tc>
          <w:tcPr>
            <w:tcW w:w="2769" w:type="dxa"/>
            <w:tcBorders>
              <w:bottom w:val="single" w:sz="4" w:space="0" w:color="000000"/>
              <w:right w:val="single" w:sz="4" w:space="0" w:color="000000"/>
            </w:tcBorders>
          </w:tcPr>
          <w:p>
            <w:pPr>
              <w:pStyle w:val="Normal"/>
              <w:numPr>
                <w:ilvl w:val="0"/>
                <w:numId w:val="3"/>
              </w:numPr>
              <w:rPr>
                <w:rFonts w:ascii="Arial" w:hAnsi="Arial" w:cs="Arial"/>
                <w:sz w:val="20"/>
                <w:szCs w:val="20"/>
              </w:rPr>
            </w:pPr>
            <w:r>
              <w:rPr>
                <w:rFonts w:cs="Arial" w:ascii="Arial" w:hAnsi="Arial"/>
                <w:sz w:val="20"/>
                <w:szCs w:val="20"/>
              </w:rPr>
              <w:t>Invest in automation</w:t>
            </w:r>
          </w:p>
          <w:p>
            <w:pPr>
              <w:pStyle w:val="Normal"/>
              <w:numPr>
                <w:ilvl w:val="0"/>
                <w:numId w:val="3"/>
              </w:numPr>
              <w:rPr>
                <w:rFonts w:ascii="Arial" w:hAnsi="Arial" w:cs="Arial"/>
                <w:sz w:val="20"/>
                <w:szCs w:val="20"/>
              </w:rPr>
            </w:pPr>
            <w:r>
              <w:rPr>
                <w:rFonts w:cs="Arial" w:ascii="Arial" w:hAnsi="Arial"/>
                <w:sz w:val="20"/>
                <w:szCs w:val="20"/>
              </w:rPr>
              <w:t>AI-enabled inventory management</w:t>
            </w:r>
          </w:p>
          <w:p>
            <w:pPr>
              <w:pStyle w:val="Normal"/>
              <w:numPr>
                <w:ilvl w:val="0"/>
                <w:numId w:val="3"/>
              </w:numPr>
              <w:rPr>
                <w:rFonts w:ascii="Arial" w:hAnsi="Arial" w:cs="Arial"/>
                <w:sz w:val="20"/>
                <w:szCs w:val="20"/>
              </w:rPr>
            </w:pPr>
            <w:r>
              <w:rPr>
                <w:rFonts w:cs="Arial" w:ascii="Arial" w:hAnsi="Arial"/>
                <w:sz w:val="20"/>
                <w:szCs w:val="20"/>
              </w:rPr>
              <w:t>Renewable energy adoption</w:t>
            </w:r>
          </w:p>
          <w:p>
            <w:pPr>
              <w:pStyle w:val="Normal"/>
              <w:numPr>
                <w:ilvl w:val="0"/>
                <w:numId w:val="3"/>
              </w:numPr>
              <w:rPr>
                <w:rFonts w:ascii="Arial" w:hAnsi="Arial" w:cs="Arial"/>
                <w:sz w:val="20"/>
                <w:szCs w:val="20"/>
              </w:rPr>
            </w:pPr>
            <w:r>
              <w:rPr>
                <w:rFonts w:cs="Arial" w:ascii="Arial" w:hAnsi="Arial"/>
                <w:sz w:val="20"/>
                <w:szCs w:val="20"/>
              </w:rPr>
              <w:t>Water conservation technologies</w:t>
            </w:r>
          </w:p>
          <w:p>
            <w:pPr>
              <w:pStyle w:val="Normal"/>
              <w:numPr>
                <w:ilvl w:val="0"/>
                <w:numId w:val="3"/>
              </w:numPr>
              <w:rPr>
                <w:rFonts w:ascii="Arial" w:hAnsi="Arial" w:cs="Arial"/>
                <w:sz w:val="20"/>
                <w:szCs w:val="20"/>
              </w:rPr>
            </w:pPr>
            <w:r>
              <w:rPr>
                <w:rFonts w:cs="Arial" w:ascii="Arial" w:hAnsi="Arial"/>
                <w:sz w:val="20"/>
                <w:szCs w:val="20"/>
              </w:rPr>
              <w:t>Partnerships supporting bottle collection and recycling infrastructure</w:t>
            </w:r>
          </w:p>
        </w:tc>
      </w:tr>
      <w:tr>
        <w:trPr>
          <w:trHeight w:val="3765" w:hRule="atLeast"/>
        </w:trPr>
        <w:tc>
          <w:tcPr>
            <w:tcW w:w="1256" w:type="dxa"/>
            <w:tcBorders>
              <w:left w:val="single" w:sz="4" w:space="0" w:color="000000"/>
              <w:bottom w:val="single" w:sz="4" w:space="0" w:color="000000"/>
              <w:right w:val="single" w:sz="4" w:space="0" w:color="000000"/>
            </w:tcBorders>
            <w:shd w:color="auto" w:fill="F3F3F3" w:val="clear"/>
          </w:tcPr>
          <w:p>
            <w:pPr>
              <w:pStyle w:val="Normal"/>
              <w:rPr>
                <w:rFonts w:ascii="Arial" w:hAnsi="Arial" w:cs="Arial"/>
                <w:sz w:val="20"/>
                <w:szCs w:val="20"/>
              </w:rPr>
            </w:pPr>
            <w:r>
              <w:rPr>
                <w:rFonts w:cs="Arial" w:ascii="Arial" w:hAnsi="Arial"/>
                <w:sz w:val="20"/>
                <w:szCs w:val="20"/>
              </w:rPr>
              <w:t>Learning and Growth</w:t>
            </w:r>
          </w:p>
        </w:tc>
        <w:tc>
          <w:tcPr>
            <w:tcW w:w="1770" w:type="dxa"/>
            <w:tcBorders>
              <w:bottom w:val="single" w:sz="4" w:space="0" w:color="000000"/>
              <w:right w:val="single" w:sz="4" w:space="0" w:color="000000"/>
            </w:tcBorders>
          </w:tcPr>
          <w:p>
            <w:pPr>
              <w:pStyle w:val="Normal"/>
              <w:rPr>
                <w:rFonts w:ascii="Arial" w:hAnsi="Arial" w:cs="Arial"/>
                <w:sz w:val="20"/>
                <w:szCs w:val="20"/>
              </w:rPr>
            </w:pPr>
            <w:r>
              <w:rPr>
                <w:rFonts w:cs="Arial" w:ascii="Arial" w:hAnsi="Arial"/>
                <w:sz w:val="20"/>
                <w:szCs w:val="20"/>
              </w:rPr>
              <w:t>Develop workforce capabilities, encourage innovation and strengthen digital transformation to support long-term sustainable competitiveness</w:t>
            </w:r>
          </w:p>
        </w:tc>
        <w:tc>
          <w:tcPr>
            <w:tcW w:w="1530" w:type="dxa"/>
            <w:tcBorders>
              <w:bottom w:val="single" w:sz="4" w:space="0" w:color="000000"/>
              <w:right w:val="single" w:sz="4" w:space="0" w:color="000000"/>
            </w:tcBorders>
          </w:tcPr>
          <w:p>
            <w:pPr>
              <w:pStyle w:val="Normal"/>
              <w:rPr>
                <w:rFonts w:ascii="Arial" w:hAnsi="Arial" w:cs="Arial"/>
                <w:sz w:val="20"/>
                <w:szCs w:val="20"/>
              </w:rPr>
            </w:pPr>
            <w:r>
              <w:rPr>
                <w:rFonts w:cs="Arial" w:ascii="Arial" w:hAnsi="Arial"/>
                <w:sz w:val="20"/>
                <w:szCs w:val="20"/>
              </w:rPr>
              <w:t>Employee training hours</w:t>
            </w:r>
          </w:p>
          <w:p>
            <w:pPr>
              <w:pStyle w:val="Normal"/>
              <w:rPr>
                <w:rFonts w:ascii="Arial" w:hAnsi="Arial" w:cs="Arial"/>
                <w:sz w:val="20"/>
                <w:szCs w:val="20"/>
              </w:rPr>
            </w:pPr>
            <w:r>
              <w:rPr>
                <w:rFonts w:cs="Arial" w:ascii="Arial" w:hAnsi="Arial"/>
                <w:sz w:val="20"/>
                <w:szCs w:val="20"/>
              </w:rPr>
              <w:t>Employee engagement score</w:t>
            </w:r>
          </w:p>
          <w:p>
            <w:pPr>
              <w:pStyle w:val="Normal"/>
              <w:rPr>
                <w:rFonts w:ascii="Arial" w:hAnsi="Arial" w:cs="Arial"/>
                <w:sz w:val="20"/>
                <w:szCs w:val="20"/>
              </w:rPr>
            </w:pPr>
            <w:r>
              <w:rPr>
                <w:rFonts w:cs="Arial" w:ascii="Arial" w:hAnsi="Arial"/>
                <w:sz w:val="20"/>
                <w:szCs w:val="20"/>
              </w:rPr>
              <w:t>Innovation rate</w:t>
            </w:r>
          </w:p>
          <w:p>
            <w:pPr>
              <w:pStyle w:val="Normal"/>
              <w:rPr>
                <w:rFonts w:ascii="Arial" w:hAnsi="Arial" w:cs="Arial"/>
                <w:sz w:val="20"/>
                <w:szCs w:val="20"/>
              </w:rPr>
            </w:pPr>
            <w:r>
              <w:rPr>
                <w:rFonts w:cs="Arial" w:ascii="Arial" w:hAnsi="Arial"/>
                <w:sz w:val="20"/>
                <w:szCs w:val="20"/>
              </w:rPr>
              <w:t>Digital capability index</w:t>
            </w:r>
          </w:p>
        </w:tc>
        <w:tc>
          <w:tcPr>
            <w:tcW w:w="1555" w:type="dxa"/>
            <w:tcBorders>
              <w:bottom w:val="single" w:sz="4" w:space="0" w:color="000000"/>
              <w:right w:val="single" w:sz="4" w:space="0" w:color="000000"/>
            </w:tcBorders>
          </w:tcPr>
          <w:p>
            <w:pPr>
              <w:pStyle w:val="Normal"/>
              <w:rPr>
                <w:rFonts w:ascii="Arial" w:hAnsi="Arial" w:cs="Arial"/>
                <w:sz w:val="20"/>
                <w:szCs w:val="20"/>
              </w:rPr>
            </w:pPr>
            <w:r>
              <w:rPr>
                <w:rFonts w:cs="Arial" w:ascii="Arial" w:hAnsi="Arial"/>
                <w:sz w:val="20"/>
                <w:szCs w:val="20"/>
              </w:rPr>
              <w:t>Provide at least 25 training hours per employee annually</w:t>
            </w:r>
          </w:p>
          <w:p>
            <w:pPr>
              <w:pStyle w:val="Normal"/>
              <w:rPr>
                <w:rFonts w:ascii="Arial" w:hAnsi="Arial" w:cs="Arial"/>
                <w:sz w:val="20"/>
                <w:szCs w:val="20"/>
              </w:rPr>
            </w:pPr>
            <w:r>
              <w:rPr>
                <w:rFonts w:cs="Arial" w:ascii="Arial" w:hAnsi="Arial"/>
                <w:sz w:val="20"/>
                <w:szCs w:val="20"/>
              </w:rPr>
              <w:t>Achieve 85% employee engagement</w:t>
            </w:r>
          </w:p>
          <w:p>
            <w:pPr>
              <w:pStyle w:val="Normal"/>
              <w:rPr>
                <w:rFonts w:ascii="Arial" w:hAnsi="Arial" w:cs="Arial"/>
                <w:sz w:val="20"/>
                <w:szCs w:val="20"/>
              </w:rPr>
            </w:pPr>
            <w:r>
              <w:rPr>
                <w:rFonts w:cs="Arial" w:ascii="Arial" w:hAnsi="Arial"/>
                <w:sz w:val="20"/>
                <w:szCs w:val="20"/>
              </w:rPr>
              <w:t>Launch three major product innovations each year.</w:t>
            </w:r>
          </w:p>
        </w:tc>
        <w:tc>
          <w:tcPr>
            <w:tcW w:w="2769" w:type="dxa"/>
            <w:tcBorders>
              <w:bottom w:val="single" w:sz="4" w:space="0" w:color="000000"/>
              <w:right w:val="single" w:sz="4" w:space="0" w:color="000000"/>
            </w:tcBorders>
          </w:tcPr>
          <w:p>
            <w:pPr>
              <w:pStyle w:val="Normal"/>
              <w:numPr>
                <w:ilvl w:val="0"/>
                <w:numId w:val="6"/>
              </w:numPr>
              <w:rPr>
                <w:rFonts w:ascii="Arial" w:hAnsi="Arial" w:cs="Arial"/>
                <w:sz w:val="20"/>
                <w:szCs w:val="20"/>
              </w:rPr>
            </w:pPr>
            <w:r>
              <w:rPr>
                <w:rFonts w:cs="Arial" w:ascii="Arial" w:hAnsi="Arial"/>
                <w:sz w:val="20"/>
                <w:szCs w:val="20"/>
              </w:rPr>
              <w:t>Deliver sustainability and digital skills training</w:t>
            </w:r>
          </w:p>
          <w:p>
            <w:pPr>
              <w:pStyle w:val="Normal"/>
              <w:numPr>
                <w:ilvl w:val="0"/>
                <w:numId w:val="6"/>
              </w:numPr>
              <w:rPr>
                <w:rFonts w:ascii="Arial" w:hAnsi="Arial" w:cs="Arial"/>
                <w:sz w:val="20"/>
                <w:szCs w:val="20"/>
              </w:rPr>
            </w:pPr>
            <w:r>
              <w:rPr>
                <w:rFonts w:cs="Arial" w:ascii="Arial" w:hAnsi="Arial"/>
                <w:sz w:val="20"/>
                <w:szCs w:val="20"/>
              </w:rPr>
              <w:t>Expand leadership development programmes</w:t>
            </w:r>
          </w:p>
          <w:p>
            <w:pPr>
              <w:pStyle w:val="Normal"/>
              <w:numPr>
                <w:ilvl w:val="0"/>
                <w:numId w:val="6"/>
              </w:numPr>
              <w:rPr>
                <w:rFonts w:ascii="Arial" w:hAnsi="Arial" w:cs="Arial"/>
                <w:sz w:val="20"/>
                <w:szCs w:val="20"/>
              </w:rPr>
            </w:pPr>
            <w:r>
              <w:rPr>
                <w:rFonts w:cs="Arial" w:ascii="Arial" w:hAnsi="Arial"/>
                <w:sz w:val="20"/>
                <w:szCs w:val="20"/>
              </w:rPr>
              <w:t>Promote diversity and inclusion initiatives</w:t>
            </w:r>
          </w:p>
          <w:p>
            <w:pPr>
              <w:pStyle w:val="Normal"/>
              <w:numPr>
                <w:ilvl w:val="0"/>
                <w:numId w:val="6"/>
              </w:numPr>
              <w:rPr>
                <w:rFonts w:ascii="Arial" w:hAnsi="Arial" w:cs="Arial"/>
                <w:sz w:val="20"/>
                <w:szCs w:val="20"/>
              </w:rPr>
            </w:pPr>
            <w:r>
              <w:rPr>
                <w:rFonts w:cs="Arial" w:ascii="Arial" w:hAnsi="Arial"/>
                <w:sz w:val="20"/>
                <w:szCs w:val="20"/>
              </w:rPr>
              <w:t>Encourage employee innovation projects</w:t>
            </w:r>
          </w:p>
          <w:p>
            <w:pPr>
              <w:pStyle w:val="Normal"/>
              <w:numPr>
                <w:ilvl w:val="0"/>
                <w:numId w:val="6"/>
              </w:numPr>
              <w:rPr>
                <w:rFonts w:ascii="Arial" w:hAnsi="Arial" w:cs="Arial"/>
                <w:sz w:val="20"/>
                <w:szCs w:val="20"/>
              </w:rPr>
            </w:pPr>
            <w:r>
              <w:rPr>
                <w:rFonts w:cs="Arial" w:ascii="Arial" w:hAnsi="Arial"/>
                <w:sz w:val="20"/>
                <w:szCs w:val="20"/>
              </w:rPr>
              <w:t>Invest in advanced analytics and artificial intelligence for decision-making</w:t>
            </w:r>
          </w:p>
        </w:tc>
      </w:tr>
    </w:tbl>
    <w:p>
      <w:pPr>
        <w:pStyle w:val="Normal"/>
        <w:jc w:val="center"/>
        <w:rPr>
          <w:rFonts w:ascii="Arial" w:hAnsi="Arial" w:cs="Arial"/>
          <w:b/>
          <w:bCs/>
          <w:i/>
          <w:i/>
          <w:iCs/>
        </w:rPr>
      </w:pPr>
      <w:r>
        <w:rPr>
          <w:rFonts w:cs="Arial" w:ascii="Arial" w:hAnsi="Arial"/>
          <w:b/>
          <w:bCs/>
          <w:i/>
          <w:iCs/>
        </w:rPr>
        <w:t>Table 5: Balance scorecard</w:t>
      </w:r>
    </w:p>
    <w:p>
      <w:pPr>
        <w:pStyle w:val="Normal"/>
        <w:rPr>
          <w:rFonts w:ascii="Arial" w:hAnsi="Arial" w:cs="Arial"/>
        </w:rPr>
      </w:pPr>
      <w:r>
        <w:rPr>
          <w:rFonts w:cs="Arial" w:ascii="Arial" w:hAnsi="Arial"/>
        </w:rPr>
        <w:t xml:space="preserve">Kaplan and Norton (1992) stated that the Balanced Scorecard (BSC) has an aim to translate the vision and strategy of an organisation into a comprehensive set of performance measures across four perspectives that include financial, customer, internal business processes as well as learning and growth which strengthen long-term strategic objectives (Kaplan and Norton, 1992). Based on this particular aspect, a balanced Scorecard enables Coca-Cola UK to translate its sustainability strategy into measurable operational objectives across different perspectives. The framework helps ensure that financial performance is supported by customer satisfaction, efficient operations and continuous employee development, rather than depending solely on short-term profit strategies. Through the successful integration of sustainability indicators such as recycled packaging, carbon reduction, healthier products and workforce capability alongside traditional financial KPIs, Coca-Cola UK can monitor strategic performance comprehensively, improve organisational alignment, and achieve long-term competitive advantage while satisfying stakeholder expectations. </w:t>
      </w:r>
    </w:p>
    <w:p>
      <w:pPr>
        <w:pStyle w:val="Normal"/>
        <w:rPr>
          <w:rFonts w:ascii="Arial" w:hAnsi="Arial" w:cs="Arial"/>
          <w:b/>
          <w:bCs/>
          <w:sz w:val="28"/>
          <w:szCs w:val="28"/>
        </w:rPr>
      </w:pPr>
      <w:r>
        <w:rPr>
          <w:rFonts w:cs="Arial" w:ascii="Arial" w:hAnsi="Arial"/>
          <w:b/>
          <w:bCs/>
          <w:sz w:val="28"/>
          <w:szCs w:val="28"/>
        </w:rPr>
      </w:r>
      <w:r>
        <w:br w:type="page"/>
      </w:r>
    </w:p>
    <w:p>
      <w:pPr>
        <w:pStyle w:val="Heading1"/>
        <w:spacing w:before="0" w:after="0"/>
        <w:rPr>
          <w:rFonts w:ascii="Arial" w:hAnsi="Arial" w:cs="Arial"/>
        </w:rPr>
      </w:pPr>
      <w:bookmarkStart w:id="13" w:name="_Toc236501941"/>
      <w:r>
        <w:rPr>
          <w:rFonts w:cs="Arial" w:ascii="Arial" w:hAnsi="Arial"/>
        </w:rPr>
        <w:t>4. Strategic Choices and Implementation</w:t>
      </w:r>
      <w:bookmarkEnd w:id="13"/>
      <w:r>
        <w:rPr>
          <w:rFonts w:cs="Arial" w:ascii="Arial" w:hAnsi="Arial"/>
        </w:rPr>
        <w:t xml:space="preserve"> </w:t>
      </w:r>
    </w:p>
    <w:p>
      <w:pPr>
        <w:pStyle w:val="Heading2"/>
        <w:rPr>
          <w:rFonts w:ascii="Arial" w:hAnsi="Arial" w:cs="Arial"/>
        </w:rPr>
      </w:pPr>
      <w:bookmarkStart w:id="14" w:name="_Toc236501942"/>
      <w:r>
        <w:rPr>
          <w:rFonts w:cs="Arial" w:ascii="Arial" w:hAnsi="Arial"/>
        </w:rPr>
        <w:t>4.1 Evaluation of strategic choices</w:t>
      </w:r>
      <w:bookmarkEnd w:id="14"/>
    </w:p>
    <w:p>
      <w:pPr>
        <w:pStyle w:val="Normal"/>
        <w:rPr>
          <w:rFonts w:ascii="Arial" w:hAnsi="Arial" w:cs="Arial"/>
        </w:rPr>
      </w:pPr>
      <w:r>
        <w:rPr>
          <w:rFonts w:cs="Arial" w:ascii="Arial" w:hAnsi="Arial"/>
        </w:rPr>
        <w:t xml:space="preserve">According to Porter (1985), organisations are capable of achieving competitive advantage through three generic business-level strategies that include cost leadership, differentiation as well as focus. All these strategies enable firms to create superior value either by offering lower costs, unique products or targeting specific market segments (Porter, 1985). The UK soft drinks market is highly competitive and consumer purchasing decisions are strongly influenced by brand reputation, product innovation and sustainability rather than price (Penn-Jones et al., 2023). After comparing cost leadership, focus and differentiation, differentiation is judged the most suitable generic strategy for CCEP Great Britain. Though cost leadership provides operational advantages, it is less appropriate as Coca-Cola UK competes in a market where premium branding and marketing investments are essential. The UK soft drinks industry is competitive with strong branding providing producers a significant competitive advantage through customer loyalty and repeat purchases and sustained marketing investment supports differentiation more effectively than competing primarily on price (IBISWorld, 2015). The company improves cost efficiency with the help of economies of scale, digital manufacturing, supply chain optimisation as well as renewable energy investments (Coca-Cola, 2024). However, competing primarily on low prices could weaken its premium brand image along with reducing profitability while exposing the business to price competition from supermarket own-label beverages and low-cost rivals. </w:t>
      </w:r>
      <w:r>
        <w:rPr>
          <w:rFonts w:cs="Arial" w:ascii="Arial" w:hAnsi="Arial"/>
          <w:b/>
          <w:bCs/>
        </w:rPr>
        <w:t>PepsiCo</w:t>
      </w:r>
      <w:r>
        <w:rPr>
          <w:rFonts w:cs="Arial" w:ascii="Arial" w:hAnsi="Arial"/>
        </w:rPr>
        <w:t xml:space="preserve"> faced intense supermarket price competition in the UK, which indicates that differentiation better protects premium beverage brands than cost leadership to strengthen brand loyalty, market position and business competitiveness (Moreau, 2026). In this same aspect, Supermarket own-label beverages and retailer pricing pressure reduced pricing power of PepsiCo while stronger brand equity, diversified product portfolio as well as continuous innovation of Coca-Cola UK better sustain premium pricing, customer loyalty as well as long-term competitive advantage.</w:t>
      </w:r>
    </w:p>
    <w:p>
      <w:pPr>
        <w:pStyle w:val="Normal"/>
        <w:rPr>
          <w:rFonts w:ascii="Arial" w:hAnsi="Arial" w:cs="Arial"/>
        </w:rPr>
      </w:pPr>
      <w:r>
        <w:rPr>
          <w:rFonts w:cs="Arial" w:ascii="Arial" w:hAnsi="Arial"/>
        </w:rPr>
        <w:t xml:space="preserve">Therefore, cost leadership should function as an internal competence strategy rather than the primary source of competitive advantage. In addition to that, differentiation remains the strongest competitive strategy for Coca-Cola UK because the company continuously develops innovative beverages that include Coca-Cola Zero Sugar and functional drink options while investing in sustainable packaging, digital marketing and customer engagement. Strong global brand equity, extensive distribution networks as well as continuous product innovation allow Coca-Cola to command premium pricing and maintain customer loyalty despite increasing competition (Zhong, 2024). Furthermore, sustainability initiatives under the 'This is Forward' strategy work towards strengthening brand reputation along with meeting changing consumer expectations regarding environmental responsibility and healthier lifestyles (Coca-Cola Femsa, 2024). While Coca-Cola also applies a limited focus strategy by targeting health-conscious consumers with low- and zero-sugar beverages, this complements rather than replaces its broad differentiation approach. Therefore, differentiation through continuous product innovation, strong brand equity as well as sustainability alignment enables premium pricing, strengthens customer loyalty, enhances brand value along with supporting long-term profitability and sustainable competitive advantage of Coca-Cola UK within the UK beverage industry. </w:t>
      </w:r>
    </w:p>
    <w:p>
      <w:pPr>
        <w:pStyle w:val="Heading2"/>
        <w:rPr>
          <w:rFonts w:ascii="Arial" w:hAnsi="Arial" w:cs="Arial"/>
        </w:rPr>
      </w:pPr>
      <w:bookmarkStart w:id="15" w:name="_Toc236501943"/>
      <w:r>
        <w:rPr>
          <w:rFonts w:cs="Arial" w:ascii="Arial" w:hAnsi="Arial"/>
        </w:rPr>
        <w:t>4.2 Recommended strategy, validation and implementation</w:t>
      </w:r>
      <w:bookmarkEnd w:id="15"/>
    </w:p>
    <w:p>
      <w:pPr>
        <w:pStyle w:val="Normal"/>
        <w:rPr>
          <w:rFonts w:ascii="Arial" w:hAnsi="Arial" w:cs="Arial"/>
        </w:rPr>
      </w:pPr>
      <w:r>
        <w:rPr>
          <w:rFonts w:cs="Arial" w:ascii="Arial" w:hAnsi="Arial"/>
        </w:rPr>
        <w:t xml:space="preserve">Based on the evaluation, using the SAFe </w:t>
      </w:r>
      <w:r>
        <w:rPr>
          <w:rFonts w:cs="Arial" w:ascii="Arial" w:hAnsi="Arial"/>
          <w:b/>
          <w:bCs/>
        </w:rPr>
        <w:t>(Suitability, Acceptability and Feasibility) framework</w:t>
      </w:r>
      <w:r>
        <w:rPr>
          <w:rFonts w:cs="Arial" w:ascii="Arial" w:hAnsi="Arial"/>
        </w:rPr>
        <w:t>, differentiation is the most suitable business-level strategy for Coca-Cola Europacific Partners (CCEP) Great Britain.</w:t>
      </w:r>
    </w:p>
    <w:p>
      <w:pPr>
        <w:pStyle w:val="Normal"/>
        <w:numPr>
          <w:ilvl w:val="0"/>
          <w:numId w:val="4"/>
        </w:numPr>
        <w:rPr>
          <w:rFonts w:ascii="Arial" w:hAnsi="Arial" w:cs="Arial"/>
        </w:rPr>
      </w:pPr>
      <w:r>
        <w:rPr>
          <w:rFonts w:cs="Arial" w:ascii="Arial" w:hAnsi="Arial"/>
          <w:b/>
          <w:bCs/>
        </w:rPr>
        <w:t>Suitability:</w:t>
      </w:r>
      <w:r>
        <w:rPr>
          <w:rFonts w:cs="Arial" w:ascii="Arial" w:hAnsi="Arial"/>
        </w:rPr>
        <w:t xml:space="preserve"> Differentiation aligns with growing UK demand for healthier beverages, sustainability as well as premium brands through product innovation and strong brand equity.</w:t>
      </w:r>
    </w:p>
    <w:p>
      <w:pPr>
        <w:pStyle w:val="Normal"/>
        <w:numPr>
          <w:ilvl w:val="0"/>
          <w:numId w:val="4"/>
        </w:numPr>
        <w:rPr>
          <w:rFonts w:ascii="Arial" w:hAnsi="Arial" w:cs="Arial"/>
        </w:rPr>
      </w:pPr>
      <w:r>
        <w:rPr>
          <w:rFonts w:cs="Arial" w:ascii="Arial" w:hAnsi="Arial"/>
          <w:b/>
          <w:bCs/>
        </w:rPr>
        <w:t>Acceptability:</w:t>
      </w:r>
      <w:r>
        <w:rPr>
          <w:rFonts w:cs="Arial" w:ascii="Arial" w:hAnsi="Arial"/>
        </w:rPr>
        <w:t xml:space="preserve"> The strategy is expected to deliver premium pricing, customer loyalty, long-term profitability, along with enhanced shareholder value while meeting consumer and stakeholder expectations</w:t>
      </w:r>
    </w:p>
    <w:p>
      <w:pPr>
        <w:pStyle w:val="Normal"/>
        <w:numPr>
          <w:ilvl w:val="0"/>
          <w:numId w:val="4"/>
        </w:numPr>
        <w:rPr>
          <w:rFonts w:ascii="Arial" w:hAnsi="Arial" w:cs="Arial"/>
        </w:rPr>
      </w:pPr>
      <w:r>
        <w:rPr>
          <w:rFonts w:cs="Arial" w:ascii="Arial" w:hAnsi="Arial"/>
          <w:b/>
          <w:bCs/>
        </w:rPr>
        <w:t>Feasibility:</w:t>
      </w:r>
      <w:r>
        <w:rPr>
          <w:rFonts w:cs="Arial" w:ascii="Arial" w:hAnsi="Arial"/>
        </w:rPr>
        <w:t xml:space="preserve"> CCEP possesses the financial resources, global brand reputation, advanced manufacturing capabilities, extensive distribution network as well as innovation expertise required to implement differentiation successfully. Cost leadership should remain an operational competence strategy while a selective focus on health-conscious consumers complements the broader differentiation approach. </w:t>
      </w:r>
    </w:p>
    <w:p>
      <w:pPr>
        <w:pStyle w:val="Heading2"/>
        <w:rPr>
          <w:rFonts w:ascii="Arial" w:hAnsi="Arial" w:cs="Arial"/>
        </w:rPr>
      </w:pPr>
      <w:bookmarkStart w:id="16" w:name="_Toc236501944"/>
      <w:r>
        <w:rPr>
          <w:rFonts w:cs="Arial" w:ascii="Arial" w:hAnsi="Arial"/>
        </w:rPr>
        <w:t>4.3. Implementation &amp; Performance</w:t>
      </w:r>
      <w:bookmarkEnd w:id="16"/>
      <w:r>
        <w:rPr>
          <w:rFonts w:cs="Arial" w:ascii="Arial" w:hAnsi="Arial"/>
        </w:rPr>
        <w:t xml:space="preserve"> </w:t>
      </w:r>
    </w:p>
    <w:p>
      <w:pPr>
        <w:pStyle w:val="Normal"/>
        <w:rPr>
          <w:rFonts w:ascii="Arial" w:hAnsi="Arial" w:cs="Arial"/>
        </w:rPr>
      </w:pPr>
      <w:r>
        <w:rPr>
          <w:rFonts w:cs="Arial" w:ascii="Arial" w:hAnsi="Arial"/>
        </w:rPr>
        <w:t>Implementation of a differentiation strategy can enable the organisation to gain competitive advantage. According to the Resource Based View Theory, brand equity and innovation capabilities of a business supports sustained competitive advantage (Barney, 1991). For example, continued investment in low and zero sugar beverages can improve overall customer loyalty and support premium pricing. However, the implementation process comes with several challenges such as organisational resistance to new product development. It can be addressed through employee training and effective communication. Secondly,  substantial investment in sustainable packaging and digital technologies might increase short term costs. At the same time, Coca Cola can mitigate the financial issue through phased investments. Finally, increased competition from PepsiCo might reduce the impact of differentiation and it can be navigated through data driven marketing.</w:t>
      </w:r>
    </w:p>
    <w:p>
      <w:pPr>
        <w:pStyle w:val="Heading1"/>
        <w:rPr/>
      </w:pPr>
      <w:r>
        <w:rPr/>
      </w:r>
      <w:bookmarkStart w:id="17" w:name="_91zxapqmuob4"/>
      <w:bookmarkStart w:id="18" w:name="_91zxapqmuob4"/>
      <w:bookmarkEnd w:id="18"/>
      <w:r>
        <w:br w:type="page"/>
      </w:r>
    </w:p>
    <w:p>
      <w:pPr>
        <w:pStyle w:val="Heading1"/>
        <w:spacing w:before="0" w:after="0"/>
        <w:rPr>
          <w:rFonts w:ascii="Arial" w:hAnsi="Arial" w:cs="Arial"/>
        </w:rPr>
      </w:pPr>
      <w:bookmarkStart w:id="19" w:name="_Toc236501945"/>
      <w:r>
        <w:rPr>
          <w:rFonts w:cs="Arial" w:ascii="Arial" w:hAnsi="Arial"/>
        </w:rPr>
        <w:t>Section 2: Reflective Account</w:t>
      </w:r>
      <w:bookmarkEnd w:id="19"/>
    </w:p>
    <w:p>
      <w:pPr>
        <w:pStyle w:val="Normal"/>
        <w:rPr>
          <w:rFonts w:ascii="Arial" w:hAnsi="Arial" w:cs="Arial"/>
        </w:rPr>
      </w:pPr>
      <w:r>
        <w:rPr>
          <w:rFonts w:cs="Arial" w:ascii="Arial" w:hAnsi="Arial"/>
        </w:rPr>
        <w:t xml:space="preserve">The Gibbs’ Reflective Cycle has been used to reflect on the process of researching, analysing and preparing for section 1. As per Gibbs (1998), the entire experience of an individual  is evaluated to actively learn from it solely for future performance </w:t>
      </w:r>
      <w:r>
        <w:rPr>
          <w:rFonts w:cs="Arial" w:ascii="Arial" w:hAnsi="Arial"/>
          <w:b/>
          <w:bCs/>
          <w:i/>
          <w:iCs/>
        </w:rPr>
        <w:t>(Figure 7)</w:t>
      </w:r>
      <w:r>
        <w:rPr>
          <w:rFonts w:cs="Arial" w:ascii="Arial" w:hAnsi="Arial"/>
        </w:rPr>
        <w:t xml:space="preserve">. There are several stages within this reflective cycle that will help me to transform raw experiences into actionable learning. </w:t>
      </w:r>
    </w:p>
    <w:p>
      <w:pPr>
        <w:pStyle w:val="Normal"/>
        <w:jc w:val="center"/>
        <w:rPr>
          <w:rFonts w:ascii="Arial" w:hAnsi="Arial" w:cs="Arial"/>
        </w:rPr>
      </w:pPr>
      <w:r>
        <w:rPr/>
        <mc:AlternateContent>
          <mc:Choice Requires="wps">
            <w:drawing>
              <wp:inline distT="0" distB="0" distL="0" distR="0" wp14:anchorId="39505329">
                <wp:extent cx="2702560" cy="2689225"/>
                <wp:effectExtent l="0" t="0" r="0" b="0"/>
                <wp:docPr id="19" name="image6.png"/>
                <a:graphic xmlns:a="http://schemas.openxmlformats.org/drawingml/2006/main">
                  <a:graphicData uri="http://schemas.openxmlformats.org/drawingml/2006/picture">
                    <pic:pic xmlns:pic="http://schemas.openxmlformats.org/drawingml/2006/picture">
                      <pic:nvPicPr>
                        <pic:cNvPr id="20" name="image6.png" descr=""/>
                        <pic:cNvPicPr/>
                      </pic:nvPicPr>
                      <pic:blipFill>
                        <a:blip r:embed="rId11"/>
                        <a:stretch/>
                      </pic:blipFill>
                      <pic:spPr>
                        <a:xfrm>
                          <a:off x="0" y="0"/>
                          <a:ext cx="2702520" cy="2689200"/>
                        </a:xfrm>
                        <a:prstGeom prst="rect">
                          <a:avLst/>
                        </a:prstGeom>
                        <a:noFill/>
                        <a:ln w="0">
                          <a:noFill/>
                        </a:ln>
                      </pic:spPr>
                    </pic:pic>
                  </a:graphicData>
                </a:graphic>
              </wp:inline>
            </w:drawing>
          </mc:Choice>
        </mc:AlternateContent>
      </w:r>
    </w:p>
    <w:p>
      <w:pPr>
        <w:pStyle w:val="Normal"/>
        <w:jc w:val="center"/>
        <w:rPr>
          <w:rFonts w:ascii="Arial" w:hAnsi="Arial" w:cs="Arial"/>
          <w:b/>
          <w:bCs/>
          <w:i/>
          <w:i/>
          <w:iCs/>
        </w:rPr>
      </w:pPr>
      <w:r>
        <w:rPr>
          <w:rFonts w:cs="Arial" w:ascii="Arial" w:hAnsi="Arial"/>
          <w:b/>
          <w:bCs/>
          <w:i/>
          <w:iCs/>
        </w:rPr>
        <w:t xml:space="preserve">Figure 7: Gibbs’ Reflective Cycle </w:t>
      </w:r>
    </w:p>
    <w:p>
      <w:pPr>
        <w:pStyle w:val="Normal"/>
        <w:jc w:val="center"/>
        <w:rPr>
          <w:rFonts w:ascii="Arial" w:hAnsi="Arial" w:cs="Arial"/>
        </w:rPr>
      </w:pPr>
      <w:r>
        <w:rPr>
          <w:rFonts w:cs="Arial" w:ascii="Arial" w:hAnsi="Arial"/>
        </w:rPr>
        <w:t xml:space="preserve">(Source: Gibbs, 1998) </w:t>
      </w:r>
    </w:p>
    <w:p>
      <w:pPr>
        <w:pStyle w:val="Heading2"/>
        <w:rPr>
          <w:rFonts w:ascii="Arial" w:hAnsi="Arial" w:cs="Arial"/>
        </w:rPr>
      </w:pPr>
      <w:bookmarkStart w:id="20" w:name="_Toc236501946"/>
      <w:r>
        <w:rPr>
          <w:rFonts w:cs="Arial" w:ascii="Arial" w:hAnsi="Arial"/>
        </w:rPr>
        <w:t>Description</w:t>
      </w:r>
      <w:bookmarkEnd w:id="20"/>
    </w:p>
    <w:p>
      <w:pPr>
        <w:pStyle w:val="Normal"/>
        <w:rPr>
          <w:rFonts w:ascii="Arial" w:hAnsi="Arial" w:cs="Arial"/>
          <w:color w:val="0000FF"/>
        </w:rPr>
      </w:pPr>
      <w:r>
        <w:rPr>
          <w:rFonts w:cs="Arial" w:ascii="Arial" w:hAnsi="Arial"/>
        </w:rPr>
        <w:t xml:space="preserve">The preparation of section 1 began with strategic analysis of Coca Cola  CCEP within the UK marketplace. This process started through proper identification of strategic management frameworks like PESTLE, VRIO, SWOT, Porter’s Generic Strategies. I conducted external analysis with the help of PESTLE to analyse the macro environment and Porter’s Five Forces to examine the competitive environment of Coca Cola UK. Then internal capabilities were assessed using the VRIO framework to detect the resources that provide a competitive advantage. These findings were synthesised using the SWOT analysis that is ultimately helpful to understand the strategic position of the organisation. The SWOT demonstrated that Coca Cola has a wide distribution reach which is considered a strength however, the production of carbonated drinks remains a weakness. Finally, Porter’s Generic Strategies and SAFe framework were applied to evaluate strategic alternatives to identify the most appropriate strategy. Throughout the entire process, evidence from both academic and industry reports was integrated to ensure the analysis remains credible. For example, the CCEP annual report provided insights on the UK soft drinks market whereas on the other hand, Barney (1991) guided the VRIO analysis (Gazzola et al., 2024). Thus, it has been understood that real world organisational data can be analysed better through theoretical frameworks. </w:t>
      </w:r>
    </w:p>
    <w:p>
      <w:pPr>
        <w:pStyle w:val="Heading2"/>
        <w:rPr>
          <w:rFonts w:ascii="Arial" w:hAnsi="Arial" w:cs="Arial"/>
        </w:rPr>
      </w:pPr>
      <w:bookmarkStart w:id="21" w:name="_Toc236501947"/>
      <w:r>
        <w:rPr>
          <w:rFonts w:cs="Arial" w:ascii="Arial" w:hAnsi="Arial"/>
        </w:rPr>
        <w:t>Feelings</w:t>
      </w:r>
      <w:bookmarkEnd w:id="21"/>
    </w:p>
    <w:p>
      <w:pPr>
        <w:pStyle w:val="Normal"/>
        <w:rPr>
          <w:rFonts w:ascii="Arial" w:hAnsi="Arial" w:cs="Arial"/>
        </w:rPr>
      </w:pPr>
      <w:r>
        <w:rPr>
          <w:rFonts w:cs="Arial" w:ascii="Arial" w:hAnsi="Arial"/>
        </w:rPr>
        <w:t xml:space="preserve">Initially, I felt confident to use strategic management frameworks as I had previously studied models such as PESTLE, SWOT and Porter's Generic Strategies. However, as the work progressed, I came to the realisation that framework application requires immense critical thinking abilities. I faced immense difficulty in judging whether a Coca Cola organisational resource genuinely satisfies the rare criterion or not. During this process, I faced one challenge in identification of relevant evidence that reflected the UK soft drinks market. Meanwhile, I was also concerned about representation of repetitive findings as I started applying the frameworks.  I became more confident because the relationships between the external environment, internal capabilities and strategic recommendations became clearer. Overall, such an experience enhanced my understanding of various strategic models that can be integrated to support Coca Cola business decision-making. </w:t>
      </w:r>
    </w:p>
    <w:p>
      <w:pPr>
        <w:pStyle w:val="Heading2"/>
        <w:rPr>
          <w:rFonts w:ascii="Arial" w:hAnsi="Arial" w:cs="Arial"/>
        </w:rPr>
      </w:pPr>
      <w:bookmarkStart w:id="22" w:name="_Toc236501948"/>
      <w:r>
        <w:rPr>
          <w:rFonts w:cs="Arial" w:ascii="Arial" w:hAnsi="Arial"/>
        </w:rPr>
        <w:t>Evaluation</w:t>
      </w:r>
      <w:bookmarkEnd w:id="22"/>
    </w:p>
    <w:p>
      <w:pPr>
        <w:pStyle w:val="Normal"/>
        <w:rPr>
          <w:rFonts w:ascii="Arial" w:hAnsi="Arial" w:cs="Arial"/>
        </w:rPr>
      </w:pPr>
      <w:r>
        <w:rPr>
          <w:rFonts w:cs="Arial" w:ascii="Arial" w:hAnsi="Arial"/>
        </w:rPr>
        <w:t>According to my experience, this academic journey was positive and negative. I think the usage of recognised strategic frameworks provided a logical structure that made the entire analysis systematic. Combination of both academic theories and industry evidence enhanced the credibility of business recommendations. This as a result, provided a strong justification to select the particular differentiation strategy. Based on the VRIO analysis, I have understood that,  Coca Cola business is valuable due to its innovation capabilities. Therefore, it can be inferred that improvements made in sustainable packaging and other innovative initiatives can provide a competitive advantage. Apart from that, there were many limitations, for example, the reliance on secondary data meant overall analysis depended mainly on publicly available information. Another challenge encountered was to maintain a balance between descriptive information and critical analysis. At the initial stage, I focused heavily on explaining each framework; however, I later recognised that stronger evaluation and interpretation were necessary to demonstrate strategic understanding.</w:t>
      </w:r>
    </w:p>
    <w:p>
      <w:pPr>
        <w:pStyle w:val="Heading2"/>
        <w:rPr>
          <w:rFonts w:ascii="Arial" w:hAnsi="Arial" w:cs="Arial"/>
        </w:rPr>
      </w:pPr>
      <w:bookmarkStart w:id="23" w:name="_Toc236501949"/>
      <w:r>
        <w:rPr>
          <w:rFonts w:cs="Arial" w:ascii="Arial" w:hAnsi="Arial"/>
        </w:rPr>
        <w:t>Analysis</w:t>
      </w:r>
      <w:bookmarkEnd w:id="23"/>
    </w:p>
    <w:p>
      <w:pPr>
        <w:pStyle w:val="Normal"/>
        <w:rPr>
          <w:rFonts w:ascii="Arial" w:hAnsi="Arial" w:cs="Arial"/>
        </w:rPr>
      </w:pPr>
      <w:r>
        <w:rPr>
          <w:rFonts w:cs="Arial" w:ascii="Arial" w:hAnsi="Arial"/>
        </w:rPr>
        <w:t xml:space="preserve">Upon reflection of the overall process, I recognised that successful strategic analysis requires application of theoretical models in an integrated manner. For instance, one of the major opportunities identified through the PESTLE framework includes increasing demand for healthier beverages. Similarly, the VRIO analysis confirmed that Coca-Cola's brand reputation and innovation capabilities represent valuable organisational resources. Such an integration demonstrated that internal strengths can support strategic decisions in response to external market conditions rather than being analysed in isolation. Strategic recommendations become more persuasive when those are supported by reliable financial data, industry reports and academic research instead of personal opinion. I also recognised the importance of critical evaluation of organisational weaknesses rather than focusing only on strengths. Personally, I feel identification of Coca-Cola’s dependence on carbonated beverages enabled more balanced strategic recommendations. Overall, the process improved my ability to connect strategic theory with practical organisational challenges and strengthened my analytical thinking. </w:t>
      </w:r>
    </w:p>
    <w:p>
      <w:pPr>
        <w:pStyle w:val="Heading2"/>
        <w:rPr>
          <w:rFonts w:ascii="Arial" w:hAnsi="Arial" w:cs="Arial"/>
        </w:rPr>
      </w:pPr>
      <w:bookmarkStart w:id="24" w:name="_Toc236501950"/>
      <w:r>
        <w:rPr>
          <w:rFonts w:cs="Arial" w:ascii="Arial" w:hAnsi="Arial"/>
        </w:rPr>
        <w:t>Conclusion</w:t>
      </w:r>
      <w:bookmarkEnd w:id="24"/>
    </w:p>
    <w:p>
      <w:pPr>
        <w:pStyle w:val="Normal"/>
        <w:rPr>
          <w:rFonts w:ascii="Arial" w:hAnsi="Arial" w:cs="Arial"/>
          <w:color w:val="0000FF"/>
        </w:rPr>
      </w:pPr>
      <w:r>
        <w:rPr>
          <w:rFonts w:cs="Arial" w:ascii="Arial" w:hAnsi="Arial"/>
        </w:rPr>
        <w:t xml:space="preserve">Looking back, I feel that there are several areas where the analysis could have been strengthened further. Although the selected frameworks provided a comprehensive assessment, incorporation of additional tools such as the BCG Matrix for brand portfolio balance or Ansoff Matrix for growth direction could have provided deeper insight. Greater comparison dimensions like product portfolio, pricing distribution with competitors such as PepsiCo would also have strengthened the evaluation of competitive positioning within the UK soft drinks market. The competitive position of Coca Cola with PepsiCo is clarified through better market differentiation and product accessibility. These aspects help the company to meet the needs of customers more effectively than rival firms.  </w:t>
      </w:r>
    </w:p>
    <w:p>
      <w:pPr>
        <w:pStyle w:val="Heading2"/>
        <w:rPr>
          <w:rFonts w:ascii="Arial" w:hAnsi="Arial" w:cs="Arial"/>
        </w:rPr>
      </w:pPr>
      <w:bookmarkStart w:id="25" w:name="_Toc236501951"/>
      <w:r>
        <w:rPr>
          <w:rFonts w:cs="Arial" w:ascii="Arial" w:hAnsi="Arial"/>
        </w:rPr>
        <w:t>Action plan</w:t>
      </w:r>
      <w:bookmarkEnd w:id="25"/>
      <w:r>
        <w:rPr>
          <w:rFonts w:cs="Arial" w:ascii="Arial" w:hAnsi="Arial"/>
        </w:rPr>
        <w:t xml:space="preserve"> </w:t>
      </w:r>
    </w:p>
    <w:tbl>
      <w:tblPr>
        <w:tblStyle w:val="a3"/>
        <w:tblW w:w="8940" w:type="dxa"/>
        <w:jc w:val="left"/>
        <w:tblInd w:w="0" w:type="dxa"/>
        <w:tblLayout w:type="fixed"/>
        <w:tblCellMar>
          <w:top w:w="100" w:type="dxa"/>
          <w:left w:w="100" w:type="dxa"/>
          <w:bottom w:w="100" w:type="dxa"/>
          <w:right w:w="100" w:type="dxa"/>
        </w:tblCellMar>
        <w:tblLook w:val="0600" w:noVBand="1" w:noHBand="1" w:lastColumn="0" w:firstColumn="0" w:lastRow="0" w:firstRow="0"/>
      </w:tblPr>
      <w:tblGrid>
        <w:gridCol w:w="1901"/>
        <w:gridCol w:w="2775"/>
        <w:gridCol w:w="2835"/>
        <w:gridCol w:w="1428"/>
      </w:tblGrid>
      <w:tr>
        <w:trPr/>
        <w:tc>
          <w:tcPr>
            <w:tcW w:w="1901" w:type="dxa"/>
            <w:tcBorders>
              <w:top w:val="single" w:sz="8" w:space="0" w:color="000000"/>
              <w:left w:val="single" w:sz="8" w:space="0" w:color="000000"/>
              <w:bottom w:val="single" w:sz="8" w:space="0" w:color="000000"/>
              <w:right w:val="single" w:sz="8" w:space="0" w:color="000000"/>
            </w:tcBorders>
            <w:shd w:color="auto" w:fill="EAD1DC" w:val="clear"/>
          </w:tcPr>
          <w:p>
            <w:pPr>
              <w:pStyle w:val="Normal"/>
              <w:widowControl w:val="false"/>
              <w:jc w:val="center"/>
              <w:rPr>
                <w:rFonts w:ascii="Arial" w:hAnsi="Arial" w:cs="Arial"/>
                <w:b/>
                <w:bCs/>
              </w:rPr>
            </w:pPr>
            <w:r>
              <w:rPr>
                <w:rFonts w:cs="Arial" w:ascii="Arial" w:hAnsi="Arial"/>
                <w:b/>
                <w:bCs/>
              </w:rPr>
              <w:t>Skills for improvement</w:t>
            </w:r>
          </w:p>
        </w:tc>
        <w:tc>
          <w:tcPr>
            <w:tcW w:w="2775" w:type="dxa"/>
            <w:tcBorders>
              <w:top w:val="single" w:sz="8" w:space="0" w:color="000000"/>
              <w:left w:val="single" w:sz="8" w:space="0" w:color="000000"/>
              <w:bottom w:val="single" w:sz="8" w:space="0" w:color="000000"/>
              <w:right w:val="single" w:sz="8" w:space="0" w:color="000000"/>
            </w:tcBorders>
            <w:shd w:color="auto" w:fill="EAD1DC" w:val="clear"/>
          </w:tcPr>
          <w:p>
            <w:pPr>
              <w:pStyle w:val="Normal"/>
              <w:widowControl w:val="false"/>
              <w:jc w:val="center"/>
              <w:rPr>
                <w:rFonts w:ascii="Arial" w:hAnsi="Arial" w:cs="Arial"/>
                <w:b/>
                <w:bCs/>
              </w:rPr>
            </w:pPr>
            <w:r>
              <w:rPr>
                <w:rFonts w:cs="Arial" w:ascii="Arial" w:hAnsi="Arial"/>
                <w:b/>
                <w:bCs/>
              </w:rPr>
              <w:t>Action</w:t>
            </w:r>
          </w:p>
        </w:tc>
        <w:tc>
          <w:tcPr>
            <w:tcW w:w="2835" w:type="dxa"/>
            <w:tcBorders>
              <w:top w:val="single" w:sz="8" w:space="0" w:color="000000"/>
              <w:left w:val="single" w:sz="8" w:space="0" w:color="000000"/>
              <w:bottom w:val="single" w:sz="8" w:space="0" w:color="000000"/>
              <w:right w:val="single" w:sz="8" w:space="0" w:color="000000"/>
            </w:tcBorders>
            <w:shd w:color="auto" w:fill="EAD1DC" w:val="clear"/>
          </w:tcPr>
          <w:p>
            <w:pPr>
              <w:pStyle w:val="Normal"/>
              <w:widowControl w:val="false"/>
              <w:jc w:val="center"/>
              <w:rPr>
                <w:rFonts w:ascii="Arial" w:hAnsi="Arial" w:cs="Arial"/>
                <w:b/>
                <w:bCs/>
              </w:rPr>
            </w:pPr>
            <w:r>
              <w:rPr>
                <w:rFonts w:cs="Arial" w:ascii="Arial" w:hAnsi="Arial"/>
                <w:b/>
                <w:bCs/>
              </w:rPr>
              <w:t>Resources</w:t>
            </w:r>
          </w:p>
        </w:tc>
        <w:tc>
          <w:tcPr>
            <w:tcW w:w="1428" w:type="dxa"/>
            <w:tcBorders>
              <w:top w:val="single" w:sz="8" w:space="0" w:color="000000"/>
              <w:left w:val="single" w:sz="8" w:space="0" w:color="000000"/>
              <w:bottom w:val="single" w:sz="8" w:space="0" w:color="000000"/>
              <w:right w:val="single" w:sz="8" w:space="0" w:color="000000"/>
            </w:tcBorders>
            <w:shd w:color="auto" w:fill="EAD1DC" w:val="clear"/>
          </w:tcPr>
          <w:p>
            <w:pPr>
              <w:pStyle w:val="Normal"/>
              <w:widowControl w:val="false"/>
              <w:jc w:val="center"/>
              <w:rPr>
                <w:rFonts w:ascii="Arial" w:hAnsi="Arial" w:cs="Arial"/>
                <w:b/>
                <w:bCs/>
              </w:rPr>
            </w:pPr>
            <w:r>
              <w:rPr>
                <w:rFonts w:cs="Arial" w:ascii="Arial" w:hAnsi="Arial"/>
                <w:b/>
                <w:bCs/>
              </w:rPr>
              <w:t>Timebound</w:t>
            </w:r>
          </w:p>
        </w:tc>
      </w:tr>
      <w:tr>
        <w:trPr/>
        <w:tc>
          <w:tcPr>
            <w:tcW w:w="1901" w:type="dxa"/>
            <w:tcBorders>
              <w:top w:val="single" w:sz="8" w:space="0" w:color="000000"/>
              <w:left w:val="single" w:sz="8" w:space="0" w:color="000000"/>
              <w:bottom w:val="single" w:sz="8" w:space="0" w:color="000000"/>
              <w:right w:val="single" w:sz="8" w:space="0" w:color="000000"/>
            </w:tcBorders>
          </w:tcPr>
          <w:p>
            <w:pPr>
              <w:pStyle w:val="Normal"/>
              <w:widowControl w:val="false"/>
              <w:jc w:val="left"/>
              <w:rPr>
                <w:rFonts w:ascii="Arial" w:hAnsi="Arial" w:cs="Arial"/>
              </w:rPr>
            </w:pPr>
            <w:r>
              <w:rPr>
                <w:rFonts w:cs="Arial" w:ascii="Arial" w:hAnsi="Arial"/>
              </w:rPr>
              <w:t>Critical analysis</w:t>
            </w:r>
          </w:p>
        </w:tc>
        <w:tc>
          <w:tcPr>
            <w:tcW w:w="2775" w:type="dxa"/>
            <w:tcBorders>
              <w:top w:val="single" w:sz="8" w:space="0" w:color="000000"/>
              <w:left w:val="single" w:sz="8" w:space="0" w:color="000000"/>
              <w:bottom w:val="single" w:sz="8" w:space="0" w:color="000000"/>
              <w:right w:val="single" w:sz="8" w:space="0" w:color="000000"/>
            </w:tcBorders>
          </w:tcPr>
          <w:p>
            <w:pPr>
              <w:pStyle w:val="Normal"/>
              <w:widowControl w:val="false"/>
              <w:rPr>
                <w:rFonts w:ascii="Arial" w:hAnsi="Arial" w:cs="Arial"/>
              </w:rPr>
            </w:pPr>
            <w:r>
              <w:rPr>
                <w:rFonts w:cs="Arial" w:ascii="Arial" w:hAnsi="Arial"/>
              </w:rPr>
              <w:t>Practice application of strategic frameworks to real business case studies</w:t>
            </w:r>
          </w:p>
        </w:tc>
        <w:tc>
          <w:tcPr>
            <w:tcW w:w="2835" w:type="dxa"/>
            <w:tcBorders>
              <w:top w:val="single" w:sz="8" w:space="0" w:color="000000"/>
              <w:left w:val="single" w:sz="8" w:space="0" w:color="000000"/>
              <w:bottom w:val="single" w:sz="8" w:space="0" w:color="000000"/>
              <w:right w:val="single" w:sz="8" w:space="0" w:color="000000"/>
            </w:tcBorders>
          </w:tcPr>
          <w:p>
            <w:pPr>
              <w:pStyle w:val="Normal"/>
              <w:widowControl w:val="false"/>
              <w:rPr>
                <w:rFonts w:ascii="Arial" w:hAnsi="Arial" w:cs="Arial"/>
              </w:rPr>
            </w:pPr>
            <w:r>
              <w:rPr>
                <w:rFonts w:cs="Arial" w:ascii="Arial" w:hAnsi="Arial"/>
              </w:rPr>
              <w:t>Academic journals, strategic management textbooks</w:t>
            </w:r>
          </w:p>
        </w:tc>
        <w:tc>
          <w:tcPr>
            <w:tcW w:w="1428" w:type="dxa"/>
            <w:tcBorders>
              <w:top w:val="single" w:sz="8" w:space="0" w:color="000000"/>
              <w:left w:val="single" w:sz="8" w:space="0" w:color="000000"/>
              <w:bottom w:val="single" w:sz="8" w:space="0" w:color="000000"/>
              <w:right w:val="single" w:sz="8" w:space="0" w:color="000000"/>
            </w:tcBorders>
          </w:tcPr>
          <w:p>
            <w:pPr>
              <w:pStyle w:val="Normal"/>
              <w:widowControl w:val="false"/>
              <w:jc w:val="left"/>
              <w:rPr>
                <w:rFonts w:ascii="Arial" w:hAnsi="Arial" w:cs="Arial"/>
              </w:rPr>
            </w:pPr>
            <w:r>
              <w:rPr>
                <w:rFonts w:cs="Arial" w:ascii="Arial" w:hAnsi="Arial"/>
              </w:rPr>
              <w:t>3 months</w:t>
            </w:r>
          </w:p>
        </w:tc>
      </w:tr>
      <w:tr>
        <w:trPr/>
        <w:tc>
          <w:tcPr>
            <w:tcW w:w="1901" w:type="dxa"/>
            <w:tcBorders>
              <w:top w:val="single" w:sz="8" w:space="0" w:color="000000"/>
              <w:left w:val="single" w:sz="8" w:space="0" w:color="000000"/>
              <w:bottom w:val="single" w:sz="8" w:space="0" w:color="000000"/>
              <w:right w:val="single" w:sz="8" w:space="0" w:color="000000"/>
            </w:tcBorders>
          </w:tcPr>
          <w:p>
            <w:pPr>
              <w:pStyle w:val="Normal"/>
              <w:widowControl w:val="false"/>
              <w:jc w:val="left"/>
              <w:rPr>
                <w:rFonts w:ascii="Arial" w:hAnsi="Arial" w:cs="Arial"/>
              </w:rPr>
            </w:pPr>
            <w:r>
              <w:rPr>
                <w:rFonts w:cs="Arial" w:ascii="Arial" w:hAnsi="Arial"/>
              </w:rPr>
              <w:t>Industry research and data analysis</w:t>
            </w:r>
          </w:p>
        </w:tc>
        <w:tc>
          <w:tcPr>
            <w:tcW w:w="2775" w:type="dxa"/>
            <w:tcBorders>
              <w:top w:val="single" w:sz="8" w:space="0" w:color="000000"/>
              <w:left w:val="single" w:sz="8" w:space="0" w:color="000000"/>
              <w:bottom w:val="single" w:sz="8" w:space="0" w:color="000000"/>
              <w:right w:val="single" w:sz="8" w:space="0" w:color="000000"/>
            </w:tcBorders>
          </w:tcPr>
          <w:p>
            <w:pPr>
              <w:pStyle w:val="Normal"/>
              <w:widowControl w:val="false"/>
              <w:rPr>
                <w:rFonts w:ascii="Arial" w:hAnsi="Arial" w:cs="Arial"/>
              </w:rPr>
            </w:pPr>
            <w:r>
              <w:rPr>
                <w:rFonts w:cs="Arial" w:ascii="Arial" w:hAnsi="Arial"/>
              </w:rPr>
              <w:t>Develop skills in analysing annual reports, financial statements</w:t>
            </w:r>
          </w:p>
        </w:tc>
        <w:tc>
          <w:tcPr>
            <w:tcW w:w="2835" w:type="dxa"/>
            <w:tcBorders>
              <w:top w:val="single" w:sz="8" w:space="0" w:color="000000"/>
              <w:left w:val="single" w:sz="8" w:space="0" w:color="000000"/>
              <w:bottom w:val="single" w:sz="8" w:space="0" w:color="000000"/>
              <w:right w:val="single" w:sz="8" w:space="0" w:color="000000"/>
            </w:tcBorders>
          </w:tcPr>
          <w:p>
            <w:pPr>
              <w:pStyle w:val="Normal"/>
              <w:widowControl w:val="false"/>
              <w:rPr>
                <w:rFonts w:ascii="Arial" w:hAnsi="Arial" w:cs="Arial"/>
              </w:rPr>
            </w:pPr>
            <w:r>
              <w:rPr>
                <w:rFonts w:cs="Arial" w:ascii="Arial" w:hAnsi="Arial"/>
              </w:rPr>
              <w:t>Company annual reports, IBISWorld, Statista, Mintel</w:t>
            </w:r>
          </w:p>
        </w:tc>
        <w:tc>
          <w:tcPr>
            <w:tcW w:w="1428" w:type="dxa"/>
            <w:tcBorders>
              <w:top w:val="single" w:sz="8" w:space="0" w:color="000000"/>
              <w:left w:val="single" w:sz="8" w:space="0" w:color="000000"/>
              <w:bottom w:val="single" w:sz="8" w:space="0" w:color="000000"/>
              <w:right w:val="single" w:sz="8" w:space="0" w:color="000000"/>
            </w:tcBorders>
          </w:tcPr>
          <w:p>
            <w:pPr>
              <w:pStyle w:val="Normal"/>
              <w:widowControl w:val="false"/>
              <w:jc w:val="left"/>
              <w:rPr>
                <w:rFonts w:ascii="Arial" w:hAnsi="Arial" w:cs="Arial"/>
              </w:rPr>
            </w:pPr>
            <w:r>
              <w:rPr>
                <w:rFonts w:cs="Arial" w:ascii="Arial" w:hAnsi="Arial"/>
              </w:rPr>
              <w:t>2 months</w:t>
            </w:r>
          </w:p>
        </w:tc>
      </w:tr>
      <w:tr>
        <w:trPr/>
        <w:tc>
          <w:tcPr>
            <w:tcW w:w="1901" w:type="dxa"/>
            <w:tcBorders>
              <w:top w:val="single" w:sz="8" w:space="0" w:color="000000"/>
              <w:left w:val="single" w:sz="8" w:space="0" w:color="000000"/>
              <w:bottom w:val="single" w:sz="8" w:space="0" w:color="000000"/>
              <w:right w:val="single" w:sz="8" w:space="0" w:color="000000"/>
            </w:tcBorders>
          </w:tcPr>
          <w:p>
            <w:pPr>
              <w:pStyle w:val="Normal"/>
              <w:widowControl w:val="false"/>
              <w:jc w:val="left"/>
              <w:rPr>
                <w:rFonts w:ascii="Arial" w:hAnsi="Arial" w:cs="Arial"/>
              </w:rPr>
            </w:pPr>
            <w:r>
              <w:rPr>
                <w:rFonts w:cs="Arial" w:ascii="Arial" w:hAnsi="Arial"/>
              </w:rPr>
              <w:t>Digital research</w:t>
            </w:r>
          </w:p>
        </w:tc>
        <w:tc>
          <w:tcPr>
            <w:tcW w:w="2775" w:type="dxa"/>
            <w:tcBorders>
              <w:top w:val="single" w:sz="8" w:space="0" w:color="000000"/>
              <w:left w:val="single" w:sz="8" w:space="0" w:color="000000"/>
              <w:bottom w:val="single" w:sz="8" w:space="0" w:color="000000"/>
              <w:right w:val="single" w:sz="8" w:space="0" w:color="000000"/>
            </w:tcBorders>
          </w:tcPr>
          <w:p>
            <w:pPr>
              <w:pStyle w:val="Normal"/>
              <w:widowControl w:val="false"/>
              <w:rPr>
                <w:rFonts w:ascii="Arial" w:hAnsi="Arial" w:cs="Arial"/>
              </w:rPr>
            </w:pPr>
            <w:r>
              <w:rPr>
                <w:rFonts w:cs="Arial" w:ascii="Arial" w:hAnsi="Arial"/>
              </w:rPr>
              <w:t>Strengthen the ability to identify and evaluate credible academic and industry sources</w:t>
            </w:r>
          </w:p>
        </w:tc>
        <w:tc>
          <w:tcPr>
            <w:tcW w:w="2835" w:type="dxa"/>
            <w:tcBorders>
              <w:top w:val="single" w:sz="8" w:space="0" w:color="000000"/>
              <w:left w:val="single" w:sz="8" w:space="0" w:color="000000"/>
              <w:bottom w:val="single" w:sz="8" w:space="0" w:color="000000"/>
              <w:right w:val="single" w:sz="8" w:space="0" w:color="000000"/>
            </w:tcBorders>
          </w:tcPr>
          <w:p>
            <w:pPr>
              <w:pStyle w:val="Normal"/>
              <w:widowControl w:val="false"/>
              <w:rPr>
                <w:rFonts w:ascii="Arial" w:hAnsi="Arial" w:cs="Arial"/>
              </w:rPr>
            </w:pPr>
            <w:r>
              <w:rPr>
                <w:rFonts w:cs="Arial" w:ascii="Arial" w:hAnsi="Arial"/>
              </w:rPr>
              <w:t>Journal articles, university library databases</w:t>
            </w:r>
          </w:p>
        </w:tc>
        <w:tc>
          <w:tcPr>
            <w:tcW w:w="1428" w:type="dxa"/>
            <w:tcBorders>
              <w:top w:val="single" w:sz="8" w:space="0" w:color="000000"/>
              <w:left w:val="single" w:sz="8" w:space="0" w:color="000000"/>
              <w:bottom w:val="single" w:sz="8" w:space="0" w:color="000000"/>
              <w:right w:val="single" w:sz="8" w:space="0" w:color="000000"/>
            </w:tcBorders>
          </w:tcPr>
          <w:p>
            <w:pPr>
              <w:pStyle w:val="Normal"/>
              <w:widowControl w:val="false"/>
              <w:jc w:val="left"/>
              <w:rPr>
                <w:rFonts w:ascii="Arial" w:hAnsi="Arial" w:cs="Arial"/>
              </w:rPr>
            </w:pPr>
            <w:r>
              <w:rPr>
                <w:rFonts w:cs="Arial" w:ascii="Arial" w:hAnsi="Arial"/>
              </w:rPr>
              <w:t>6 weeks</w:t>
            </w:r>
          </w:p>
        </w:tc>
      </w:tr>
    </w:tbl>
    <w:p>
      <w:pPr>
        <w:pStyle w:val="Normal"/>
        <w:jc w:val="center"/>
        <w:rPr>
          <w:rFonts w:ascii="Arial" w:hAnsi="Arial" w:cs="Arial"/>
        </w:rPr>
      </w:pPr>
      <w:r>
        <w:rPr>
          <w:rFonts w:cs="Arial" w:ascii="Arial" w:hAnsi="Arial"/>
          <w:b/>
          <w:bCs/>
          <w:i/>
          <w:iCs/>
        </w:rPr>
        <w:t>Table 6: Reflective Action plan</w:t>
      </w:r>
      <w:r>
        <w:br w:type="page"/>
      </w:r>
    </w:p>
    <w:p>
      <w:pPr>
        <w:pStyle w:val="Heading1"/>
        <w:spacing w:before="0" w:after="0"/>
        <w:rPr>
          <w:rFonts w:ascii="Arial" w:hAnsi="Arial" w:cs="Arial"/>
        </w:rPr>
      </w:pPr>
      <w:bookmarkStart w:id="26" w:name="_Toc236501952"/>
      <w:r>
        <w:rPr>
          <w:rFonts w:cs="Arial" w:ascii="Arial" w:hAnsi="Arial"/>
        </w:rPr>
        <w:t>References</w:t>
      </w:r>
      <w:bookmarkEnd w:id="26"/>
    </w:p>
    <w:p>
      <w:pPr>
        <w:pStyle w:val="Normal"/>
        <w:spacing w:before="240" w:after="0"/>
        <w:rPr>
          <w:rFonts w:ascii="Arial" w:hAnsi="Arial" w:cs="Arial"/>
          <w:color w:themeColor="text1" w:val="000000"/>
        </w:rPr>
      </w:pPr>
      <w:r>
        <w:rPr>
          <w:rFonts w:cs="Arial" w:ascii="Arial" w:hAnsi="Arial"/>
          <w:color w:themeColor="text1" w:val="000000"/>
        </w:rPr>
        <w:t xml:space="preserve">Adebola, O. (2021) “Impact of Brand Positioning on Brand Equity - A Coca Cola Case Study,” </w:t>
      </w:r>
      <w:r>
        <w:rPr>
          <w:rFonts w:cs="Arial" w:ascii="Arial" w:hAnsi="Arial"/>
          <w:i/>
          <w:iCs/>
          <w:color w:themeColor="text1" w:val="000000"/>
        </w:rPr>
        <w:t>Marketing and Communications</w:t>
      </w:r>
      <w:r>
        <w:rPr>
          <w:rFonts w:cs="Arial" w:ascii="Arial" w:hAnsi="Arial"/>
          <w:color w:themeColor="text1" w:val="000000"/>
        </w:rPr>
        <w:t>. doi: 10.13140/RG.2.2.14393.85607 (Accessed: July 22, 2026).</w:t>
      </w:r>
    </w:p>
    <w:p>
      <w:pPr>
        <w:pStyle w:val="Normal"/>
        <w:spacing w:before="240" w:after="0"/>
        <w:rPr>
          <w:rFonts w:ascii="Arial" w:hAnsi="Arial" w:cs="Arial"/>
          <w:color w:themeColor="text1" w:val="000000"/>
        </w:rPr>
      </w:pPr>
      <w:r>
        <w:rPr>
          <w:rFonts w:cs="Arial" w:ascii="Arial" w:hAnsi="Arial"/>
          <w:color w:themeColor="text1" w:val="000000"/>
        </w:rPr>
        <w:t xml:space="preserve">Almeida, L. (2025) </w:t>
      </w:r>
      <w:r>
        <w:rPr>
          <w:rFonts w:cs="Arial" w:ascii="Arial" w:hAnsi="Arial"/>
          <w:i/>
          <w:iCs/>
          <w:color w:themeColor="text1" w:val="000000"/>
        </w:rPr>
        <w:t>UK Consumers Saving Less as Taxes Squeeze Incomes, Data Shows</w:t>
      </w:r>
      <w:r>
        <w:rPr>
          <w:rFonts w:cs="Arial" w:ascii="Arial" w:hAnsi="Arial"/>
          <w:color w:themeColor="text1" w:val="000000"/>
        </w:rPr>
        <w:t xml:space="preserve">, </w:t>
      </w:r>
      <w:r>
        <w:rPr>
          <w:rFonts w:cs="Arial" w:ascii="Arial" w:hAnsi="Arial"/>
          <w:i/>
          <w:iCs/>
          <w:color w:themeColor="text1" w:val="000000"/>
        </w:rPr>
        <w:t>the Guardian</w:t>
      </w:r>
      <w:r>
        <w:rPr>
          <w:rFonts w:cs="Arial" w:ascii="Arial" w:hAnsi="Arial"/>
          <w:color w:themeColor="text1" w:val="000000"/>
        </w:rPr>
        <w:t>. The Guardian. Available at: https://www.theguardian.com/business/2025/dec/22/uk-consumers-saving-less-as-taxes-squeeze-incomes-data-shows (Accessed: July 31, 2026).</w:t>
      </w:r>
    </w:p>
    <w:p>
      <w:pPr>
        <w:pStyle w:val="Normal"/>
        <w:spacing w:before="240" w:after="0"/>
        <w:rPr>
          <w:rFonts w:ascii="Arial" w:hAnsi="Arial" w:cs="Arial"/>
          <w:color w:themeColor="text1" w:val="000000"/>
        </w:rPr>
      </w:pPr>
      <w:r>
        <w:rPr>
          <w:rFonts w:cs="Arial" w:ascii="Arial" w:hAnsi="Arial"/>
          <w:color w:themeColor="text1" w:val="000000"/>
        </w:rPr>
        <w:t xml:space="preserve">Bailey, D. </w:t>
      </w:r>
      <w:r>
        <w:rPr>
          <w:rFonts w:cs="Arial" w:ascii="Arial" w:hAnsi="Arial"/>
          <w:i/>
          <w:iCs/>
          <w:color w:themeColor="text1" w:val="000000"/>
        </w:rPr>
        <w:t>et al.</w:t>
      </w:r>
      <w:r>
        <w:rPr>
          <w:rFonts w:cs="Arial" w:ascii="Arial" w:hAnsi="Arial"/>
          <w:color w:themeColor="text1" w:val="000000"/>
        </w:rPr>
        <w:t xml:space="preserve"> (2023) “Brexit, Trade and UK Advanced Manufacturing sectors: a Midlands’ Perspective,” </w:t>
      </w:r>
      <w:r>
        <w:rPr>
          <w:rFonts w:cs="Arial" w:ascii="Arial" w:hAnsi="Arial"/>
          <w:i/>
          <w:iCs/>
          <w:color w:themeColor="text1" w:val="000000"/>
        </w:rPr>
        <w:t>Contemporary Social Science</w:t>
      </w:r>
      <w:r>
        <w:rPr>
          <w:rFonts w:cs="Arial" w:ascii="Arial" w:hAnsi="Arial"/>
          <w:color w:themeColor="text1" w:val="000000"/>
        </w:rPr>
        <w:t>, 18(2), pp. 1–16 (Accessed: July 29, 2026).</w:t>
      </w:r>
    </w:p>
    <w:p>
      <w:pPr>
        <w:pStyle w:val="Normal"/>
        <w:spacing w:before="240" w:after="0"/>
        <w:rPr>
          <w:rFonts w:ascii="Arial" w:hAnsi="Arial" w:cs="Arial"/>
          <w:color w:themeColor="text1" w:val="000000"/>
        </w:rPr>
      </w:pPr>
      <w:r>
        <w:rPr>
          <w:rFonts w:cs="Arial" w:ascii="Arial" w:hAnsi="Arial"/>
          <w:color w:themeColor="text1" w:val="000000"/>
        </w:rPr>
        <w:t xml:space="preserve">Barney, J. (1991) “Firm Resources and Sustained Competitive Advantage,” </w:t>
      </w:r>
      <w:r>
        <w:rPr>
          <w:rFonts w:cs="Arial" w:ascii="Arial" w:hAnsi="Arial"/>
          <w:i/>
          <w:iCs/>
          <w:color w:themeColor="text1" w:val="000000"/>
        </w:rPr>
        <w:t>Journal of Management</w:t>
      </w:r>
      <w:r>
        <w:rPr>
          <w:rFonts w:cs="Arial" w:ascii="Arial" w:hAnsi="Arial"/>
          <w:color w:themeColor="text1" w:val="000000"/>
        </w:rPr>
        <w:t xml:space="preserve">, 17(1), pp. 99–120. doi: </w:t>
      </w:r>
      <w:hyperlink r:id="rId12">
        <w:r>
          <w:rPr>
            <w:rStyle w:val="Style3"/>
            <w:rFonts w:cs="Arial" w:ascii="Arial" w:hAnsi="Arial"/>
            <w:color w:themeColor="text1" w:val="000000"/>
          </w:rPr>
          <w:t>https://doi.org/10.1177/014920639101700108</w:t>
        </w:r>
      </w:hyperlink>
      <w:r>
        <w:rPr>
          <w:rFonts w:cs="Arial" w:ascii="Arial" w:hAnsi="Arial"/>
          <w:color w:themeColor="text1" w:val="000000"/>
        </w:rPr>
        <w:t xml:space="preserve"> (Accessed: July 30, 2026).</w:t>
      </w:r>
    </w:p>
    <w:p>
      <w:pPr>
        <w:pStyle w:val="Normal"/>
        <w:spacing w:before="240" w:after="0"/>
        <w:rPr>
          <w:rFonts w:ascii="Arial" w:hAnsi="Arial" w:cs="Arial"/>
          <w:color w:themeColor="text1" w:val="000000"/>
        </w:rPr>
      </w:pPr>
      <w:r>
        <w:rPr>
          <w:rFonts w:cs="Arial" w:ascii="Arial" w:hAnsi="Arial"/>
          <w:color w:themeColor="text1" w:val="000000"/>
        </w:rPr>
        <w:t xml:space="preserve">BBC (2025) “UK inflation rate: How quickly are prices rising?,” </w:t>
      </w:r>
      <w:r>
        <w:rPr>
          <w:rFonts w:cs="Arial" w:ascii="Arial" w:hAnsi="Arial"/>
          <w:i/>
          <w:iCs/>
          <w:color w:themeColor="text1" w:val="000000"/>
        </w:rPr>
        <w:t>BBC</w:t>
      </w:r>
      <w:r>
        <w:rPr>
          <w:rFonts w:cs="Arial" w:ascii="Arial" w:hAnsi="Arial"/>
          <w:color w:themeColor="text1" w:val="000000"/>
        </w:rPr>
        <w:t>. Available at: https://www.bbc.com/news/articles/c17rgd8e9gjo (Accessed: July 31, 2026).</w:t>
      </w:r>
    </w:p>
    <w:p>
      <w:pPr>
        <w:pStyle w:val="Normal"/>
        <w:spacing w:before="240" w:after="0"/>
        <w:rPr>
          <w:rFonts w:ascii="Arial" w:hAnsi="Arial" w:cs="Arial"/>
          <w:color w:themeColor="text1" w:val="000000"/>
        </w:rPr>
      </w:pPr>
      <w:r>
        <w:rPr>
          <w:rFonts w:cs="Arial" w:ascii="Arial" w:hAnsi="Arial"/>
          <w:color w:themeColor="text1" w:val="000000"/>
        </w:rPr>
        <w:t xml:space="preserve">BBC (2025) </w:t>
      </w:r>
      <w:r>
        <w:rPr>
          <w:rFonts w:cs="Arial" w:ascii="Arial" w:hAnsi="Arial"/>
          <w:i/>
          <w:iCs/>
          <w:color w:themeColor="text1" w:val="000000"/>
        </w:rPr>
        <w:t>Sugar Tax: What You Need to Know</w:t>
      </w:r>
      <w:r>
        <w:rPr>
          <w:rFonts w:cs="Arial" w:ascii="Arial" w:hAnsi="Arial"/>
          <w:color w:themeColor="text1" w:val="000000"/>
        </w:rPr>
        <w:t xml:space="preserve">, </w:t>
      </w:r>
      <w:r>
        <w:rPr>
          <w:rFonts w:cs="Arial" w:ascii="Arial" w:hAnsi="Arial"/>
          <w:i/>
          <w:iCs/>
          <w:color w:themeColor="text1" w:val="000000"/>
        </w:rPr>
        <w:t>BBC</w:t>
      </w:r>
      <w:r>
        <w:rPr>
          <w:rFonts w:cs="Arial" w:ascii="Arial" w:hAnsi="Arial"/>
          <w:color w:themeColor="text1" w:val="000000"/>
        </w:rPr>
        <w:t>. www.bbc.com. Available at: https://www.bbc.com/news/articles/c1w9jg89glro (Accessed: July 26, 2026).</w:t>
      </w:r>
    </w:p>
    <w:p>
      <w:pPr>
        <w:pStyle w:val="Normal"/>
        <w:spacing w:before="240" w:after="0"/>
        <w:rPr>
          <w:rFonts w:ascii="Arial" w:hAnsi="Arial" w:cs="Arial"/>
          <w:color w:themeColor="text1" w:val="000000"/>
        </w:rPr>
      </w:pPr>
      <w:r>
        <w:rPr>
          <w:rFonts w:cs="Arial" w:ascii="Arial" w:hAnsi="Arial"/>
          <w:color w:themeColor="text1" w:val="000000"/>
        </w:rPr>
        <w:t xml:space="preserve">CCEP (2023) </w:t>
      </w:r>
      <w:r>
        <w:rPr>
          <w:rFonts w:cs="Arial" w:ascii="Arial" w:hAnsi="Arial"/>
          <w:i/>
          <w:iCs/>
          <w:color w:themeColor="text1" w:val="000000"/>
        </w:rPr>
        <w:t>Who We Are</w:t>
      </w:r>
      <w:r>
        <w:rPr>
          <w:rFonts w:cs="Arial" w:ascii="Arial" w:hAnsi="Arial"/>
          <w:color w:themeColor="text1" w:val="000000"/>
        </w:rPr>
        <w:t xml:space="preserve">, </w:t>
      </w:r>
      <w:r>
        <w:rPr>
          <w:rFonts w:cs="Arial" w:ascii="Arial" w:hAnsi="Arial"/>
          <w:i/>
          <w:iCs/>
          <w:color w:themeColor="text1" w:val="000000"/>
        </w:rPr>
        <w:t>Coca-Cola Europacific Partners</w:t>
      </w:r>
      <w:r>
        <w:rPr>
          <w:rFonts w:cs="Arial" w:ascii="Arial" w:hAnsi="Arial"/>
          <w:color w:themeColor="text1" w:val="000000"/>
        </w:rPr>
        <w:t>. www.cocacolaep.com. Available at: https://www.cocacolaep.com/who-we-are/ (Accessed: July 28, 2026).</w:t>
      </w:r>
    </w:p>
    <w:p>
      <w:pPr>
        <w:pStyle w:val="Normal"/>
        <w:spacing w:before="240" w:after="0"/>
        <w:rPr>
          <w:rFonts w:ascii="Arial" w:hAnsi="Arial" w:cs="Arial"/>
          <w:color w:themeColor="text1" w:val="000000"/>
        </w:rPr>
      </w:pPr>
      <w:r>
        <w:rPr>
          <w:rFonts w:cs="Arial" w:ascii="Arial" w:hAnsi="Arial"/>
          <w:color w:themeColor="text1" w:val="000000"/>
        </w:rPr>
        <w:t xml:space="preserve">Coca-Cola (2023) </w:t>
      </w:r>
      <w:r>
        <w:rPr>
          <w:rFonts w:cs="Arial" w:ascii="Arial" w:hAnsi="Arial"/>
          <w:i/>
          <w:iCs/>
          <w:color w:themeColor="text1" w:val="000000"/>
        </w:rPr>
        <w:t xml:space="preserve">Our History - Coca-Cola Main Stories </w:t>
      </w:r>
      <w:r>
        <w:rPr>
          <w:rFonts w:cs="Arial" w:ascii="Arial" w:hAnsi="Arial"/>
          <w:color w:themeColor="text1" w:val="000000"/>
        </w:rPr>
        <w:t xml:space="preserve">, </w:t>
      </w:r>
      <w:r>
        <w:rPr>
          <w:rFonts w:cs="Arial" w:ascii="Arial" w:hAnsi="Arial"/>
          <w:i/>
          <w:iCs/>
          <w:color w:themeColor="text1" w:val="000000"/>
        </w:rPr>
        <w:t>Coca-Cola GB</w:t>
      </w:r>
      <w:r>
        <w:rPr>
          <w:rFonts w:cs="Arial" w:ascii="Arial" w:hAnsi="Arial"/>
          <w:color w:themeColor="text1" w:val="000000"/>
        </w:rPr>
        <w:t>. www.coca-cola.com. Available at: https://www.coca-cola.com/gb/en/about-us/history (Accessed: July 24, 2026).</w:t>
      </w:r>
    </w:p>
    <w:p>
      <w:pPr>
        <w:pStyle w:val="Normal"/>
        <w:spacing w:before="240" w:after="0"/>
        <w:rPr>
          <w:rFonts w:ascii="Arial" w:hAnsi="Arial" w:cs="Arial"/>
          <w:color w:themeColor="text1" w:val="000000"/>
        </w:rPr>
      </w:pPr>
      <w:r>
        <w:rPr>
          <w:rFonts w:cs="Arial" w:ascii="Arial" w:hAnsi="Arial"/>
          <w:color w:themeColor="text1" w:val="000000"/>
        </w:rPr>
        <w:t xml:space="preserve">Coca-Cola (2024) </w:t>
      </w:r>
      <w:r>
        <w:rPr>
          <w:rFonts w:cs="Arial" w:ascii="Arial" w:hAnsi="Arial"/>
          <w:i/>
          <w:iCs/>
          <w:color w:themeColor="text1" w:val="000000"/>
        </w:rPr>
        <w:t>How the Coca-Cola System Refreshes Local Economies and Communities in Markets Around the World</w:t>
      </w:r>
      <w:r>
        <w:rPr>
          <w:rFonts w:cs="Arial" w:ascii="Arial" w:hAnsi="Arial"/>
          <w:color w:themeColor="text1" w:val="000000"/>
        </w:rPr>
        <w:t xml:space="preserve">, </w:t>
      </w:r>
      <w:r>
        <w:rPr>
          <w:rFonts w:cs="Arial" w:ascii="Arial" w:hAnsi="Arial"/>
          <w:i/>
          <w:iCs/>
          <w:color w:themeColor="text1" w:val="000000"/>
        </w:rPr>
        <w:t>www.coca-colacompany.com</w:t>
      </w:r>
      <w:r>
        <w:rPr>
          <w:rFonts w:cs="Arial" w:ascii="Arial" w:hAnsi="Arial"/>
          <w:color w:themeColor="text1" w:val="000000"/>
        </w:rPr>
        <w:t>. Available at: https://www.coca-colacompany.com/media-center/how-the-coca-cola-system-refreshes-local-economies-and-communities-in-markets-around-the-world (Accessed: July 31, 2026).</w:t>
      </w:r>
    </w:p>
    <w:p>
      <w:pPr>
        <w:pStyle w:val="Normal"/>
        <w:spacing w:before="240" w:after="0"/>
        <w:rPr>
          <w:rFonts w:ascii="Arial" w:hAnsi="Arial" w:cs="Arial"/>
          <w:color w:themeColor="text1" w:val="000000"/>
        </w:rPr>
      </w:pPr>
      <w:r>
        <w:rPr>
          <w:rFonts w:cs="Arial" w:ascii="Arial" w:hAnsi="Arial"/>
          <w:color w:themeColor="text1" w:val="000000"/>
        </w:rPr>
        <w:t xml:space="preserve">Coca-Cola (2025) </w:t>
      </w:r>
      <w:r>
        <w:rPr>
          <w:rFonts w:cs="Arial" w:ascii="Arial" w:hAnsi="Arial"/>
          <w:i/>
          <w:iCs/>
          <w:color w:themeColor="text1" w:val="000000"/>
        </w:rPr>
        <w:t>How did Coca-Cola grow as an international business?</w:t>
      </w:r>
      <w:r>
        <w:rPr>
          <w:rFonts w:cs="Arial" w:ascii="Arial" w:hAnsi="Arial"/>
          <w:color w:themeColor="text1" w:val="000000"/>
        </w:rPr>
        <w:t xml:space="preserve">, </w:t>
      </w:r>
      <w:r>
        <w:rPr>
          <w:rFonts w:cs="Arial" w:ascii="Arial" w:hAnsi="Arial"/>
          <w:i/>
          <w:iCs/>
          <w:color w:themeColor="text1" w:val="000000"/>
        </w:rPr>
        <w:t>www.coca-cola.com</w:t>
      </w:r>
      <w:r>
        <w:rPr>
          <w:rFonts w:cs="Arial" w:ascii="Arial" w:hAnsi="Arial"/>
          <w:color w:themeColor="text1" w:val="000000"/>
        </w:rPr>
        <w:t>. Available at: https://www.coca-cola.com/us/en/about-us/faq/how-did-coca-cola-grow-as-an-international-business (Accessed: July 31, 2026).</w:t>
      </w:r>
    </w:p>
    <w:p>
      <w:pPr>
        <w:pStyle w:val="Normal"/>
        <w:spacing w:before="240" w:after="0"/>
        <w:rPr>
          <w:rFonts w:ascii="Arial" w:hAnsi="Arial" w:cs="Arial"/>
          <w:color w:themeColor="text1" w:val="000000"/>
        </w:rPr>
      </w:pPr>
      <w:r>
        <w:rPr>
          <w:rFonts w:cs="Arial" w:ascii="Arial" w:hAnsi="Arial"/>
          <w:color w:themeColor="text1" w:val="000000"/>
        </w:rPr>
        <w:t xml:space="preserve">Coca-Cola (2026) </w:t>
      </w:r>
      <w:r>
        <w:rPr>
          <w:rFonts w:cs="Arial" w:ascii="Arial" w:hAnsi="Arial"/>
          <w:i/>
          <w:iCs/>
          <w:color w:themeColor="text1" w:val="000000"/>
        </w:rPr>
        <w:t>Coca-Cola Zero Sugar - All Products &amp; Ingredients</w:t>
      </w:r>
      <w:r>
        <w:rPr>
          <w:rFonts w:cs="Arial" w:ascii="Arial" w:hAnsi="Arial"/>
          <w:color w:themeColor="text1" w:val="000000"/>
        </w:rPr>
        <w:t xml:space="preserve">, </w:t>
      </w:r>
      <w:r>
        <w:rPr>
          <w:rFonts w:cs="Arial" w:ascii="Arial" w:hAnsi="Arial"/>
          <w:i/>
          <w:iCs/>
          <w:color w:themeColor="text1" w:val="000000"/>
        </w:rPr>
        <w:t>Coca-Cola</w:t>
      </w:r>
      <w:r>
        <w:rPr>
          <w:rFonts w:cs="Arial" w:ascii="Arial" w:hAnsi="Arial"/>
          <w:color w:themeColor="text1" w:val="000000"/>
        </w:rPr>
        <w:t>. www.coca-cola.com . Available at: https://www.coca-cola.com/us/en/brands/coca-cola/products/zero (Accessed: July 22, 2026).</w:t>
      </w:r>
    </w:p>
    <w:p>
      <w:pPr>
        <w:pStyle w:val="Normal"/>
        <w:spacing w:before="240" w:after="0"/>
        <w:rPr>
          <w:rFonts w:ascii="Arial" w:hAnsi="Arial" w:cs="Arial"/>
          <w:color w:themeColor="text1" w:val="000000"/>
        </w:rPr>
      </w:pPr>
      <w:r>
        <w:rPr>
          <w:rFonts w:cs="Arial" w:ascii="Arial" w:hAnsi="Arial"/>
          <w:color w:themeColor="text1" w:val="000000"/>
        </w:rPr>
        <w:t xml:space="preserve">Coca-Cola (2026) </w:t>
      </w:r>
      <w:r>
        <w:rPr>
          <w:rFonts w:cs="Arial" w:ascii="Arial" w:hAnsi="Arial"/>
          <w:i/>
          <w:iCs/>
          <w:color w:themeColor="text1" w:val="000000"/>
        </w:rPr>
        <w:t>The Coca-Cola Company</w:t>
      </w:r>
      <w:r>
        <w:rPr>
          <w:rFonts w:cs="Arial" w:ascii="Arial" w:hAnsi="Arial"/>
          <w:color w:themeColor="text1" w:val="000000"/>
        </w:rPr>
        <w:t xml:space="preserve">, </w:t>
      </w:r>
      <w:r>
        <w:rPr>
          <w:rFonts w:cs="Arial" w:ascii="Arial" w:hAnsi="Arial"/>
          <w:i/>
          <w:iCs/>
          <w:color w:themeColor="text1" w:val="000000"/>
        </w:rPr>
        <w:t>Coca-colacompany.com</w:t>
      </w:r>
      <w:r>
        <w:rPr>
          <w:rFonts w:cs="Arial" w:ascii="Arial" w:hAnsi="Arial"/>
          <w:color w:themeColor="text1" w:val="000000"/>
        </w:rPr>
        <w:t>. Available at: https://www.coca-colacompany.com/about-us/people-and-communities/the-coca-cola-foundation (Accessed: July 31, 2026).</w:t>
      </w:r>
    </w:p>
    <w:p>
      <w:pPr>
        <w:pStyle w:val="Normal"/>
        <w:spacing w:before="240" w:after="0"/>
        <w:rPr>
          <w:rFonts w:ascii="Arial" w:hAnsi="Arial" w:cs="Arial"/>
          <w:color w:themeColor="text1" w:val="000000"/>
        </w:rPr>
      </w:pPr>
      <w:r>
        <w:rPr>
          <w:rFonts w:cs="Arial" w:ascii="Arial" w:hAnsi="Arial"/>
          <w:color w:themeColor="text1" w:val="000000"/>
        </w:rPr>
        <w:t xml:space="preserve">Coca-Cola Company (2025) </w:t>
      </w:r>
      <w:r>
        <w:rPr>
          <w:rFonts w:cs="Arial" w:ascii="Arial" w:hAnsi="Arial"/>
          <w:i/>
          <w:iCs/>
          <w:color w:themeColor="text1" w:val="000000"/>
        </w:rPr>
        <w:t>Brands &amp; Products</w:t>
      </w:r>
      <w:r>
        <w:rPr>
          <w:rFonts w:cs="Arial" w:ascii="Arial" w:hAnsi="Arial"/>
          <w:color w:themeColor="text1" w:val="000000"/>
        </w:rPr>
        <w:t xml:space="preserve">, </w:t>
      </w:r>
      <w:r>
        <w:rPr>
          <w:rFonts w:cs="Arial" w:ascii="Arial" w:hAnsi="Arial"/>
          <w:i/>
          <w:iCs/>
          <w:color w:themeColor="text1" w:val="000000"/>
        </w:rPr>
        <w:t>The Coca-Cola Company</w:t>
      </w:r>
      <w:r>
        <w:rPr>
          <w:rFonts w:cs="Arial" w:ascii="Arial" w:hAnsi="Arial"/>
          <w:color w:themeColor="text1" w:val="000000"/>
        </w:rPr>
        <w:t>. Available at: https://www.coca-colacompany.com/brands (Accessed: July 31, 2026).</w:t>
      </w:r>
    </w:p>
    <w:p>
      <w:pPr>
        <w:pStyle w:val="Normal"/>
        <w:spacing w:before="240" w:after="0"/>
        <w:rPr>
          <w:rFonts w:ascii="Arial" w:hAnsi="Arial" w:cs="Arial"/>
          <w:color w:themeColor="text1" w:val="000000"/>
        </w:rPr>
      </w:pPr>
      <w:r>
        <w:rPr>
          <w:rFonts w:cs="Arial" w:ascii="Arial" w:hAnsi="Arial"/>
          <w:color w:themeColor="text1" w:val="000000"/>
        </w:rPr>
        <w:t xml:space="preserve">Coca-Cola Europacific Partners (2025) </w:t>
      </w:r>
      <w:r>
        <w:rPr>
          <w:rFonts w:cs="Arial" w:ascii="Arial" w:hAnsi="Arial"/>
          <w:i/>
          <w:iCs/>
          <w:color w:themeColor="text1" w:val="000000"/>
        </w:rPr>
        <w:t>Sustainability</w:t>
      </w:r>
      <w:r>
        <w:rPr>
          <w:rFonts w:cs="Arial" w:ascii="Arial" w:hAnsi="Arial"/>
          <w:color w:themeColor="text1" w:val="000000"/>
        </w:rPr>
        <w:t xml:space="preserve">, </w:t>
      </w:r>
      <w:r>
        <w:rPr>
          <w:rFonts w:cs="Arial" w:ascii="Arial" w:hAnsi="Arial"/>
          <w:i/>
          <w:iCs/>
          <w:color w:themeColor="text1" w:val="000000"/>
        </w:rPr>
        <w:t>Coca-Cola European Partners</w:t>
      </w:r>
      <w:r>
        <w:rPr>
          <w:rFonts w:cs="Arial" w:ascii="Arial" w:hAnsi="Arial"/>
          <w:color w:themeColor="text1" w:val="000000"/>
        </w:rPr>
        <w:t>. Available at: https://www.cocacolaep.com/sustainability/ (Accessed: July 31, 2026).</w:t>
      </w:r>
    </w:p>
    <w:p>
      <w:pPr>
        <w:pStyle w:val="Normal"/>
        <w:spacing w:before="240" w:after="0"/>
        <w:rPr>
          <w:rFonts w:ascii="Arial" w:hAnsi="Arial" w:cs="Arial"/>
          <w:color w:themeColor="text1" w:val="000000"/>
        </w:rPr>
      </w:pPr>
      <w:r>
        <w:rPr>
          <w:rFonts w:cs="Arial" w:ascii="Arial" w:hAnsi="Arial"/>
          <w:color w:themeColor="text1" w:val="000000"/>
        </w:rPr>
        <w:t xml:space="preserve">Coca-Cola Femsa (2024) </w:t>
      </w:r>
      <w:r>
        <w:rPr>
          <w:rFonts w:cs="Arial" w:ascii="Arial" w:hAnsi="Arial"/>
          <w:i/>
          <w:iCs/>
          <w:color w:themeColor="text1" w:val="000000"/>
        </w:rPr>
        <w:t>General Sustainability Information - Coca-Cola FEMSA</w:t>
      </w:r>
      <w:r>
        <w:rPr>
          <w:rFonts w:cs="Arial" w:ascii="Arial" w:hAnsi="Arial"/>
          <w:color w:themeColor="text1" w:val="000000"/>
        </w:rPr>
        <w:t xml:space="preserve">, </w:t>
      </w:r>
      <w:r>
        <w:rPr>
          <w:rFonts w:cs="Arial" w:ascii="Arial" w:hAnsi="Arial"/>
          <w:i/>
          <w:iCs/>
          <w:color w:themeColor="text1" w:val="000000"/>
        </w:rPr>
        <w:t>Coca-colafemsa.com</w:t>
      </w:r>
      <w:r>
        <w:rPr>
          <w:rFonts w:cs="Arial" w:ascii="Arial" w:hAnsi="Arial"/>
          <w:color w:themeColor="text1" w:val="000000"/>
        </w:rPr>
        <w:t>. Available at: https://coca-colafemsa.com/en/sustainability/overview.html (Accessed: July 31, 2026).</w:t>
      </w:r>
    </w:p>
    <w:p>
      <w:pPr>
        <w:pStyle w:val="Normal"/>
        <w:spacing w:before="240" w:after="0"/>
        <w:rPr>
          <w:rFonts w:ascii="Arial" w:hAnsi="Arial" w:cs="Arial"/>
          <w:color w:themeColor="text1" w:val="000000"/>
        </w:rPr>
      </w:pPr>
      <w:r>
        <w:rPr>
          <w:rFonts w:cs="Arial" w:ascii="Arial" w:hAnsi="Arial"/>
          <w:color w:themeColor="text1" w:val="000000"/>
        </w:rPr>
        <w:t xml:space="preserve">Coca-Cola Great Britain (2025) </w:t>
      </w:r>
      <w:r>
        <w:rPr>
          <w:rFonts w:cs="Arial" w:ascii="Arial" w:hAnsi="Arial"/>
          <w:i/>
          <w:iCs/>
          <w:color w:themeColor="text1" w:val="000000"/>
        </w:rPr>
        <w:t>Great Britain</w:t>
      </w:r>
      <w:r>
        <w:rPr>
          <w:rFonts w:cs="Arial" w:ascii="Arial" w:hAnsi="Arial"/>
          <w:color w:themeColor="text1" w:val="000000"/>
        </w:rPr>
        <w:t xml:space="preserve">, </w:t>
      </w:r>
      <w:r>
        <w:rPr>
          <w:rFonts w:cs="Arial" w:ascii="Arial" w:hAnsi="Arial"/>
          <w:i/>
          <w:iCs/>
          <w:color w:themeColor="text1" w:val="000000"/>
        </w:rPr>
        <w:t>Great Britain</w:t>
      </w:r>
      <w:r>
        <w:rPr>
          <w:rFonts w:cs="Arial" w:ascii="Arial" w:hAnsi="Arial"/>
          <w:color w:themeColor="text1" w:val="000000"/>
        </w:rPr>
        <w:t>. Available at: https://www.cocacolaep.com/gb/ (Accessed: July 31, 2026).</w:t>
      </w:r>
    </w:p>
    <w:p>
      <w:pPr>
        <w:pStyle w:val="Normal"/>
        <w:spacing w:before="240" w:after="0"/>
        <w:rPr>
          <w:rFonts w:ascii="Arial" w:hAnsi="Arial" w:cs="Arial"/>
          <w:color w:themeColor="text1" w:val="000000"/>
        </w:rPr>
      </w:pPr>
      <w:r>
        <w:rPr>
          <w:rFonts w:cs="Arial" w:ascii="Arial" w:hAnsi="Arial"/>
          <w:color w:themeColor="text1" w:val="000000"/>
        </w:rPr>
        <w:t xml:space="preserve">Coca-Cola HBC (2025) </w:t>
      </w:r>
      <w:r>
        <w:rPr>
          <w:rFonts w:cs="Arial" w:ascii="Arial" w:hAnsi="Arial"/>
          <w:i/>
          <w:iCs/>
          <w:color w:themeColor="text1" w:val="000000"/>
        </w:rPr>
        <w:t>Our Business Model</w:t>
      </w:r>
      <w:r>
        <w:rPr>
          <w:rFonts w:cs="Arial" w:ascii="Arial" w:hAnsi="Arial"/>
          <w:color w:themeColor="text1" w:val="000000"/>
        </w:rPr>
        <w:t xml:space="preserve">, </w:t>
      </w:r>
      <w:r>
        <w:rPr>
          <w:rFonts w:cs="Arial" w:ascii="Arial" w:hAnsi="Arial"/>
          <w:i/>
          <w:iCs/>
          <w:color w:themeColor="text1" w:val="000000"/>
        </w:rPr>
        <w:t>cch Group Website</w:t>
      </w:r>
      <w:r>
        <w:rPr>
          <w:rFonts w:cs="Arial" w:ascii="Arial" w:hAnsi="Arial"/>
          <w:color w:themeColor="text1" w:val="000000"/>
        </w:rPr>
        <w:t>. Available at: https://www.coca-colahellenic.com/en/about-us/who-we-are/our-business-model (Accessed: July 31, 2026).</w:t>
      </w:r>
    </w:p>
    <w:p>
      <w:pPr>
        <w:pStyle w:val="Normal"/>
        <w:spacing w:before="240" w:after="0"/>
        <w:rPr>
          <w:rFonts w:ascii="Arial" w:hAnsi="Arial" w:cs="Arial"/>
          <w:color w:themeColor="text1" w:val="000000"/>
        </w:rPr>
      </w:pPr>
      <w:r>
        <w:rPr>
          <w:rFonts w:cs="Arial" w:ascii="Arial" w:hAnsi="Arial"/>
          <w:color w:themeColor="text1" w:val="000000"/>
        </w:rPr>
        <w:t xml:space="preserve">DEFRA (2024) </w:t>
      </w:r>
      <w:r>
        <w:rPr>
          <w:rFonts w:cs="Arial" w:ascii="Arial" w:hAnsi="Arial"/>
          <w:i/>
          <w:iCs/>
          <w:color w:themeColor="text1" w:val="000000"/>
        </w:rPr>
        <w:t>United Kingdom Food Security Report 2024: Theme 3: Food Supply Chain Resilience</w:t>
      </w:r>
      <w:r>
        <w:rPr>
          <w:rFonts w:cs="Arial" w:ascii="Arial" w:hAnsi="Arial"/>
          <w:color w:themeColor="text1" w:val="000000"/>
        </w:rPr>
        <w:t xml:space="preserve">, </w:t>
      </w:r>
      <w:r>
        <w:rPr>
          <w:rFonts w:cs="Arial" w:ascii="Arial" w:hAnsi="Arial"/>
          <w:i/>
          <w:iCs/>
          <w:color w:themeColor="text1" w:val="000000"/>
        </w:rPr>
        <w:t>GOV.UK</w:t>
      </w:r>
      <w:r>
        <w:rPr>
          <w:rFonts w:cs="Arial" w:ascii="Arial" w:hAnsi="Arial"/>
          <w:color w:themeColor="text1" w:val="000000"/>
        </w:rPr>
        <w:t>. Available at: https://www.gov.uk/government/statistics/united-kingdom-food-security-report-2024/united-kingdom-food-security-report-2024-theme-3-food-supply-chain-resilience (Accessed: July 31, 2026).</w:t>
      </w:r>
    </w:p>
    <w:p>
      <w:pPr>
        <w:pStyle w:val="Normal"/>
        <w:spacing w:before="240" w:after="0"/>
        <w:rPr>
          <w:rFonts w:ascii="Arial" w:hAnsi="Arial" w:cs="Arial"/>
          <w:color w:themeColor="text1" w:val="000000"/>
        </w:rPr>
      </w:pPr>
      <w:r>
        <w:rPr>
          <w:rFonts w:cs="Arial" w:ascii="Arial" w:hAnsi="Arial"/>
          <w:color w:themeColor="text1" w:val="000000"/>
        </w:rPr>
        <w:t xml:space="preserve">Fernandes, J. (2025) </w:t>
      </w:r>
      <w:r>
        <w:rPr>
          <w:rFonts w:cs="Arial" w:ascii="Arial" w:hAnsi="Arial"/>
          <w:i/>
          <w:iCs/>
          <w:color w:themeColor="text1" w:val="000000"/>
        </w:rPr>
        <w:t xml:space="preserve">How many Brits are consuming energy drinks, protein shakes, and probiotic beverages regularly? </w:t>
      </w:r>
      <w:r>
        <w:rPr>
          <w:rFonts w:cs="Arial" w:ascii="Arial" w:hAnsi="Arial"/>
          <w:color w:themeColor="text1" w:val="000000"/>
        </w:rPr>
        <w:t xml:space="preserve">, </w:t>
      </w:r>
      <w:r>
        <w:rPr>
          <w:rFonts w:cs="Arial" w:ascii="Arial" w:hAnsi="Arial"/>
          <w:i/>
          <w:iCs/>
          <w:color w:themeColor="text1" w:val="000000"/>
        </w:rPr>
        <w:t>yougov</w:t>
      </w:r>
      <w:r>
        <w:rPr>
          <w:rFonts w:cs="Arial" w:ascii="Arial" w:hAnsi="Arial"/>
          <w:color w:themeColor="text1" w:val="000000"/>
        </w:rPr>
        <w:t>. yougov.com. Available at: https://yougov.com/en-gb/articles/51615-how-many-brits-are-consuming-energy-drinks-protein-shakes-and-probiotic-beverages-regularly (Accessed: July 23, 2026).</w:t>
      </w:r>
    </w:p>
    <w:p>
      <w:pPr>
        <w:pStyle w:val="Normal"/>
        <w:spacing w:before="240" w:after="0"/>
        <w:rPr>
          <w:rFonts w:ascii="Arial" w:hAnsi="Arial" w:cs="Arial"/>
          <w:color w:themeColor="text1" w:val="000000"/>
        </w:rPr>
      </w:pPr>
      <w:r>
        <w:rPr>
          <w:rFonts w:cs="Arial" w:ascii="Arial" w:hAnsi="Arial"/>
          <w:color w:themeColor="text1" w:val="000000"/>
        </w:rPr>
        <w:t xml:space="preserve">Gazzola, P. </w:t>
      </w:r>
      <w:r>
        <w:rPr>
          <w:rFonts w:cs="Arial" w:ascii="Arial" w:hAnsi="Arial"/>
          <w:i/>
          <w:iCs/>
          <w:color w:themeColor="text1" w:val="000000"/>
        </w:rPr>
        <w:t>et al.</w:t>
      </w:r>
      <w:r>
        <w:rPr>
          <w:rFonts w:cs="Arial" w:ascii="Arial" w:hAnsi="Arial"/>
          <w:color w:themeColor="text1" w:val="000000"/>
        </w:rPr>
        <w:t xml:space="preserve"> (2024) “Sustainable strategies and value creation in the food and beverage sector: The case of large listed European companies,” </w:t>
      </w:r>
      <w:r>
        <w:rPr>
          <w:rFonts w:cs="Arial" w:ascii="Arial" w:hAnsi="Arial"/>
          <w:i/>
          <w:iCs/>
          <w:color w:themeColor="text1" w:val="000000"/>
        </w:rPr>
        <w:t>Sustainability</w:t>
      </w:r>
      <w:r>
        <w:rPr>
          <w:rFonts w:cs="Arial" w:ascii="Arial" w:hAnsi="Arial"/>
          <w:color w:themeColor="text1" w:val="000000"/>
        </w:rPr>
        <w:t>, 16(22). Available at: https://www.mdpi.com/2071-1050/16/22/9798 (Accessed: July 26, 2026).</w:t>
      </w:r>
    </w:p>
    <w:p>
      <w:pPr>
        <w:pStyle w:val="Normal"/>
        <w:spacing w:before="240" w:after="0"/>
        <w:rPr>
          <w:rFonts w:ascii="Arial" w:hAnsi="Arial" w:cs="Arial"/>
          <w:color w:themeColor="text1" w:val="000000"/>
        </w:rPr>
      </w:pPr>
      <w:r>
        <w:rPr>
          <w:rFonts w:cs="Arial" w:ascii="Arial" w:hAnsi="Arial"/>
          <w:color w:themeColor="text1" w:val="000000"/>
        </w:rPr>
        <w:t xml:space="preserve">Gibbs, G. (1998) </w:t>
      </w:r>
      <w:r>
        <w:rPr>
          <w:rFonts w:cs="Arial" w:ascii="Arial" w:hAnsi="Arial"/>
          <w:i/>
          <w:iCs/>
          <w:color w:themeColor="text1" w:val="000000"/>
        </w:rPr>
        <w:t>Learning by Doing: A Guide to Teaching and Learning Methods</w:t>
      </w:r>
      <w:r>
        <w:rPr>
          <w:rFonts w:cs="Arial" w:ascii="Arial" w:hAnsi="Arial"/>
          <w:color w:themeColor="text1" w:val="000000"/>
        </w:rPr>
        <w:t xml:space="preserve">, </w:t>
      </w:r>
      <w:r>
        <w:rPr>
          <w:rFonts w:cs="Arial" w:ascii="Arial" w:hAnsi="Arial"/>
          <w:i/>
          <w:iCs/>
          <w:color w:themeColor="text1" w:val="000000"/>
        </w:rPr>
        <w:t>Oxford Brooks University</w:t>
      </w:r>
      <w:r>
        <w:rPr>
          <w:rFonts w:cs="Arial" w:ascii="Arial" w:hAnsi="Arial"/>
          <w:color w:themeColor="text1" w:val="000000"/>
        </w:rPr>
        <w:t>. Oxford: Oxford Brooks University. Available at: https://www.scirp.org/reference/referencespapers?referenceid=2230149 (Accessed: July 25, 2026).</w:t>
      </w:r>
    </w:p>
    <w:p>
      <w:pPr>
        <w:pStyle w:val="Normal"/>
        <w:spacing w:before="240" w:after="0"/>
        <w:rPr>
          <w:rFonts w:ascii="Arial" w:hAnsi="Arial" w:cs="Arial"/>
          <w:color w:themeColor="text1" w:val="000000"/>
        </w:rPr>
      </w:pPr>
      <w:r>
        <w:rPr>
          <w:rFonts w:cs="Arial" w:ascii="Arial" w:hAnsi="Arial"/>
          <w:color w:themeColor="text1" w:val="000000"/>
        </w:rPr>
        <w:t xml:space="preserve">Government of UK (2024) </w:t>
      </w:r>
      <w:r>
        <w:rPr>
          <w:rFonts w:cs="Arial" w:ascii="Arial" w:hAnsi="Arial"/>
          <w:i/>
          <w:iCs/>
          <w:color w:themeColor="text1" w:val="000000"/>
        </w:rPr>
        <w:t>Invest 2035: The UK’s Modern Industrial Strategy</w:t>
      </w:r>
      <w:r>
        <w:rPr>
          <w:rFonts w:cs="Arial" w:ascii="Arial" w:hAnsi="Arial"/>
          <w:color w:themeColor="text1" w:val="000000"/>
        </w:rPr>
        <w:t xml:space="preserve">, </w:t>
      </w:r>
      <w:r>
        <w:rPr>
          <w:rFonts w:cs="Arial" w:ascii="Arial" w:hAnsi="Arial"/>
          <w:i/>
          <w:iCs/>
          <w:color w:themeColor="text1" w:val="000000"/>
        </w:rPr>
        <w:t>GOV.UK</w:t>
      </w:r>
      <w:r>
        <w:rPr>
          <w:rFonts w:cs="Arial" w:ascii="Arial" w:hAnsi="Arial"/>
          <w:color w:themeColor="text1" w:val="000000"/>
        </w:rPr>
        <w:t>. Available at: https://www.gov.uk/government/consultations/invest-2035-the-uks-modern-industrial-strategy/invest-2035-the-uks-modern-industrial-strategy (Accessed: July 31, 2026).</w:t>
      </w:r>
    </w:p>
    <w:p>
      <w:pPr>
        <w:pStyle w:val="Normal"/>
        <w:spacing w:before="240" w:after="0"/>
        <w:rPr>
          <w:rFonts w:ascii="Arial" w:hAnsi="Arial" w:cs="Arial"/>
          <w:color w:themeColor="text1" w:val="000000"/>
        </w:rPr>
      </w:pPr>
      <w:r>
        <w:rPr>
          <w:rFonts w:cs="Arial" w:ascii="Arial" w:hAnsi="Arial"/>
          <w:color w:themeColor="text1" w:val="000000"/>
        </w:rPr>
        <w:t xml:space="preserve">Government of UK (2026) </w:t>
      </w:r>
      <w:r>
        <w:rPr>
          <w:rFonts w:cs="Arial" w:ascii="Arial" w:hAnsi="Arial"/>
          <w:i/>
          <w:iCs/>
          <w:color w:themeColor="text1" w:val="000000"/>
        </w:rPr>
        <w:t>Executive Summary: What Works for AI Upskilling in the UK</w:t>
      </w:r>
      <w:r>
        <w:rPr>
          <w:rFonts w:cs="Arial" w:ascii="Arial" w:hAnsi="Arial"/>
          <w:color w:themeColor="text1" w:val="000000"/>
        </w:rPr>
        <w:t xml:space="preserve">, </w:t>
      </w:r>
      <w:r>
        <w:rPr>
          <w:rFonts w:cs="Arial" w:ascii="Arial" w:hAnsi="Arial"/>
          <w:i/>
          <w:iCs/>
          <w:color w:themeColor="text1" w:val="000000"/>
        </w:rPr>
        <w:t>GOV.UK</w:t>
      </w:r>
      <w:r>
        <w:rPr>
          <w:rFonts w:cs="Arial" w:ascii="Arial" w:hAnsi="Arial"/>
          <w:color w:themeColor="text1" w:val="000000"/>
        </w:rPr>
        <w:t>. Available at: https://www.gov.uk/government/publications/skills-for-ai-what-works-for-ai-upskilling-in-the-uk/executive-summary-what-works-for-ai-upskilling-in-the-uk (Accessed: July 31, 2026).</w:t>
      </w:r>
    </w:p>
    <w:p>
      <w:pPr>
        <w:pStyle w:val="Normal"/>
        <w:spacing w:before="240" w:after="0"/>
        <w:rPr>
          <w:rFonts w:ascii="Arial" w:hAnsi="Arial" w:cs="Arial"/>
          <w:color w:themeColor="text1" w:val="000000"/>
        </w:rPr>
      </w:pPr>
      <w:r>
        <w:rPr>
          <w:rFonts w:cs="Arial" w:ascii="Arial" w:hAnsi="Arial"/>
          <w:color w:themeColor="text1" w:val="000000"/>
        </w:rPr>
        <w:t xml:space="preserve">IBISWorld (2015) </w:t>
      </w:r>
      <w:r>
        <w:rPr>
          <w:rFonts w:cs="Arial" w:ascii="Arial" w:hAnsi="Arial"/>
          <w:i/>
          <w:iCs/>
          <w:color w:themeColor="text1" w:val="000000"/>
        </w:rPr>
        <w:t>Soft Drink Production in the UK - Market Research Report (2015-2030)</w:t>
      </w:r>
      <w:r>
        <w:rPr>
          <w:rFonts w:cs="Arial" w:ascii="Arial" w:hAnsi="Arial"/>
          <w:color w:themeColor="text1" w:val="000000"/>
        </w:rPr>
        <w:t xml:space="preserve">, </w:t>
      </w:r>
      <w:r>
        <w:rPr>
          <w:rFonts w:cs="Arial" w:ascii="Arial" w:hAnsi="Arial"/>
          <w:i/>
          <w:iCs/>
          <w:color w:themeColor="text1" w:val="000000"/>
        </w:rPr>
        <w:t>Ibisworld.com</w:t>
      </w:r>
      <w:r>
        <w:rPr>
          <w:rFonts w:cs="Arial" w:ascii="Arial" w:hAnsi="Arial"/>
          <w:color w:themeColor="text1" w:val="000000"/>
        </w:rPr>
        <w:t>. Available at: https://www.ibisworld.com/united-kingdom/industry/soft-drink-production/690/ (Accessed: July 31, 2026).</w:t>
      </w:r>
    </w:p>
    <w:p>
      <w:pPr>
        <w:pStyle w:val="Normal"/>
        <w:spacing w:before="240" w:after="0"/>
        <w:rPr>
          <w:rFonts w:ascii="Arial" w:hAnsi="Arial" w:cs="Arial"/>
          <w:color w:themeColor="text1" w:val="000000"/>
        </w:rPr>
      </w:pPr>
      <w:r>
        <w:rPr>
          <w:rFonts w:cs="Arial" w:ascii="Arial" w:hAnsi="Arial"/>
          <w:color w:themeColor="text1" w:val="000000"/>
        </w:rPr>
        <w:t xml:space="preserve">Kapoor, D. </w:t>
      </w:r>
      <w:r>
        <w:rPr>
          <w:rFonts w:cs="Arial" w:ascii="Arial" w:hAnsi="Arial"/>
          <w:i/>
          <w:iCs/>
          <w:color w:themeColor="text1" w:val="000000"/>
        </w:rPr>
        <w:t>et al.</w:t>
      </w:r>
      <w:r>
        <w:rPr>
          <w:rFonts w:cs="Arial" w:ascii="Arial" w:hAnsi="Arial"/>
          <w:color w:themeColor="text1" w:val="000000"/>
        </w:rPr>
        <w:t xml:space="preserve"> (2025) “The UK food environment: a systematic review of domains, methodologies and outcomes,” </w:t>
      </w:r>
      <w:r>
        <w:rPr>
          <w:rFonts w:cs="Arial" w:ascii="Arial" w:hAnsi="Arial"/>
          <w:i/>
          <w:iCs/>
          <w:color w:themeColor="text1" w:val="000000"/>
        </w:rPr>
        <w:t>Current Developments in Nutrition</w:t>
      </w:r>
      <w:r>
        <w:rPr>
          <w:rFonts w:cs="Arial" w:ascii="Arial" w:hAnsi="Arial"/>
          <w:color w:themeColor="text1" w:val="000000"/>
        </w:rPr>
        <w:t>, p. 107573. doi: 10.1016/j.cdnut.2025.107573 (Accessed: July 31, 2026).</w:t>
      </w:r>
    </w:p>
    <w:p>
      <w:pPr>
        <w:pStyle w:val="Normal"/>
        <w:spacing w:before="240" w:after="0"/>
        <w:rPr>
          <w:rFonts w:ascii="Arial" w:hAnsi="Arial" w:cs="Arial"/>
          <w:color w:themeColor="text1" w:val="000000"/>
        </w:rPr>
      </w:pPr>
      <w:r>
        <w:rPr>
          <w:rFonts w:cs="Arial" w:ascii="Arial" w:hAnsi="Arial"/>
          <w:color w:themeColor="text1" w:val="000000"/>
        </w:rPr>
        <w:t xml:space="preserve">Ken Research (2019) </w:t>
      </w:r>
      <w:r>
        <w:rPr>
          <w:rFonts w:cs="Arial" w:ascii="Arial" w:hAnsi="Arial"/>
          <w:i/>
          <w:iCs/>
          <w:color w:themeColor="text1" w:val="000000"/>
        </w:rPr>
        <w:t>UK Sustainable Packaging Market | 2019 – 2030 | Ken Research</w:t>
      </w:r>
      <w:r>
        <w:rPr>
          <w:rFonts w:cs="Arial" w:ascii="Arial" w:hAnsi="Arial"/>
          <w:color w:themeColor="text1" w:val="000000"/>
        </w:rPr>
        <w:t xml:space="preserve">, </w:t>
      </w:r>
      <w:r>
        <w:rPr>
          <w:rFonts w:cs="Arial" w:ascii="Arial" w:hAnsi="Arial"/>
          <w:i/>
          <w:iCs/>
          <w:color w:themeColor="text1" w:val="000000"/>
        </w:rPr>
        <w:t>Kenresearch.com</w:t>
      </w:r>
      <w:r>
        <w:rPr>
          <w:rFonts w:cs="Arial" w:ascii="Arial" w:hAnsi="Arial"/>
          <w:color w:themeColor="text1" w:val="000000"/>
        </w:rPr>
        <w:t>. Available at: https://www.kenresearch.com/uk-sustainable-packaging-and-bioplastics-market (Accessed: July 31, 2026).</w:t>
      </w:r>
    </w:p>
    <w:p>
      <w:pPr>
        <w:pStyle w:val="Normal"/>
        <w:spacing w:before="240" w:after="0"/>
        <w:rPr>
          <w:rFonts w:ascii="Arial" w:hAnsi="Arial" w:cs="Arial"/>
          <w:color w:themeColor="text1" w:val="000000"/>
        </w:rPr>
      </w:pPr>
      <w:r>
        <w:rPr>
          <w:rFonts w:cs="Arial" w:ascii="Arial" w:hAnsi="Arial"/>
          <w:color w:themeColor="text1" w:val="000000"/>
        </w:rPr>
        <w:t xml:space="preserve">Marrow, A. and Tabassum, J. (2026) “Coca-Cola Hails World Cup Hydration Breaks as It Lifts Annual Forecasts,” </w:t>
      </w:r>
      <w:r>
        <w:rPr>
          <w:rFonts w:cs="Arial" w:ascii="Arial" w:hAnsi="Arial"/>
          <w:i/>
          <w:iCs/>
          <w:color w:themeColor="text1" w:val="000000"/>
        </w:rPr>
        <w:t>Reuters</w:t>
      </w:r>
      <w:r>
        <w:rPr>
          <w:rFonts w:cs="Arial" w:ascii="Arial" w:hAnsi="Arial"/>
          <w:color w:themeColor="text1" w:val="000000"/>
        </w:rPr>
        <w:t>, 28 July. Available at: https://www.reuters.com/business/coca-cola-lifts-annual-forecasts-strong-demand-sodas-2026-07-28/ (Accessed: July 31, 2026).</w:t>
      </w:r>
    </w:p>
    <w:p>
      <w:pPr>
        <w:pStyle w:val="Normal"/>
        <w:spacing w:before="240" w:after="0"/>
        <w:rPr>
          <w:rFonts w:ascii="Arial" w:hAnsi="Arial" w:cs="Arial"/>
          <w:color w:themeColor="text1" w:val="000000"/>
        </w:rPr>
      </w:pPr>
      <w:r>
        <w:rPr>
          <w:rFonts w:cs="Arial" w:ascii="Arial" w:hAnsi="Arial"/>
          <w:color w:themeColor="text1" w:val="000000"/>
        </w:rPr>
        <w:t xml:space="preserve">Mohammed, I. A. (2025) “The role of artificial intelligence in enhancing business efficiency and supply chain management,” </w:t>
      </w:r>
      <w:r>
        <w:rPr>
          <w:rFonts w:cs="Arial" w:ascii="Arial" w:hAnsi="Arial"/>
          <w:i/>
          <w:iCs/>
          <w:color w:themeColor="text1" w:val="000000"/>
        </w:rPr>
        <w:t>Journal of Information Systems Engineering and Management</w:t>
      </w:r>
      <w:r>
        <w:rPr>
          <w:rFonts w:cs="Arial" w:ascii="Arial" w:hAnsi="Arial"/>
          <w:color w:themeColor="text1" w:val="000000"/>
        </w:rPr>
        <w:t>, 10(10s), pp. 509–518. doi: 10.52783/jisem.v10i10s.1413 (Accessed: July 31, 2026).</w:t>
      </w:r>
    </w:p>
    <w:p>
      <w:pPr>
        <w:pStyle w:val="Normal"/>
        <w:spacing w:before="240" w:after="0"/>
        <w:rPr>
          <w:rFonts w:ascii="Arial" w:hAnsi="Arial" w:cs="Arial"/>
          <w:color w:themeColor="text1" w:val="000000"/>
        </w:rPr>
      </w:pPr>
      <w:r>
        <w:rPr>
          <w:rFonts w:cs="Arial" w:ascii="Arial" w:hAnsi="Arial"/>
          <w:color w:themeColor="text1" w:val="000000"/>
        </w:rPr>
        <w:t xml:space="preserve">Moreau, E. (2026) “PepsiCo to Cut Prices of Some Snacks After Backlash,” </w:t>
      </w:r>
      <w:r>
        <w:rPr>
          <w:rFonts w:cs="Arial" w:ascii="Arial" w:hAnsi="Arial"/>
          <w:i/>
          <w:iCs/>
          <w:color w:themeColor="text1" w:val="000000"/>
        </w:rPr>
        <w:t>BBC</w:t>
      </w:r>
      <w:r>
        <w:rPr>
          <w:rFonts w:cs="Arial" w:ascii="Arial" w:hAnsi="Arial"/>
          <w:color w:themeColor="text1" w:val="000000"/>
        </w:rPr>
        <w:t>, 3 February. Available at: https://www.bbc.com/news/articles/cm2y38v4prvo (Accessed: July 31, 2026).</w:t>
      </w:r>
    </w:p>
    <w:p>
      <w:pPr>
        <w:pStyle w:val="Normal"/>
        <w:spacing w:before="240" w:after="0"/>
        <w:rPr>
          <w:rFonts w:ascii="Arial" w:hAnsi="Arial" w:cs="Arial"/>
          <w:color w:themeColor="text1" w:val="000000"/>
        </w:rPr>
      </w:pPr>
      <w:r>
        <w:rPr>
          <w:rFonts w:cs="Arial" w:ascii="Arial" w:hAnsi="Arial"/>
          <w:color w:themeColor="text1" w:val="000000"/>
        </w:rPr>
        <w:t xml:space="preserve">National Crime Agency (2019) </w:t>
      </w:r>
      <w:r>
        <w:rPr>
          <w:rFonts w:cs="Arial" w:ascii="Arial" w:hAnsi="Arial"/>
          <w:i/>
          <w:iCs/>
          <w:color w:themeColor="text1" w:val="000000"/>
        </w:rPr>
        <w:t>Cyber Crime</w:t>
      </w:r>
      <w:r>
        <w:rPr>
          <w:rFonts w:cs="Arial" w:ascii="Arial" w:hAnsi="Arial"/>
          <w:color w:themeColor="text1" w:val="000000"/>
        </w:rPr>
        <w:t xml:space="preserve">, </w:t>
      </w:r>
      <w:r>
        <w:rPr>
          <w:rFonts w:cs="Arial" w:ascii="Arial" w:hAnsi="Arial"/>
          <w:i/>
          <w:iCs/>
          <w:color w:themeColor="text1" w:val="000000"/>
        </w:rPr>
        <w:t>Nationalcrimeagency.gov.uk</w:t>
      </w:r>
      <w:r>
        <w:rPr>
          <w:rFonts w:cs="Arial" w:ascii="Arial" w:hAnsi="Arial"/>
          <w:color w:themeColor="text1" w:val="000000"/>
        </w:rPr>
        <w:t>. Available at: https://www.nationalcrimeagency.gov.uk/what-we-do/crime-threats/cyber-crime (Accessed: July 31, 2026).</w:t>
      </w:r>
    </w:p>
    <w:p>
      <w:pPr>
        <w:pStyle w:val="Normal"/>
        <w:spacing w:before="240" w:after="0"/>
        <w:rPr>
          <w:rFonts w:ascii="Arial" w:hAnsi="Arial" w:cs="Arial"/>
          <w:color w:themeColor="text1" w:val="000000"/>
        </w:rPr>
      </w:pPr>
      <w:r>
        <w:rPr>
          <w:rFonts w:cs="Arial" w:ascii="Arial" w:hAnsi="Arial"/>
          <w:color w:themeColor="text1" w:val="000000"/>
        </w:rPr>
        <w:t xml:space="preserve">OFC (2026) </w:t>
      </w:r>
      <w:r>
        <w:rPr>
          <w:rFonts w:cs="Arial" w:ascii="Arial" w:hAnsi="Arial"/>
          <w:i/>
          <w:iCs/>
          <w:color w:themeColor="text1" w:val="000000"/>
        </w:rPr>
        <w:t>PepsiCo: Precision DSD</w:t>
      </w:r>
      <w:r>
        <w:rPr>
          <w:rFonts w:cs="Arial" w:ascii="Arial" w:hAnsi="Arial"/>
          <w:color w:themeColor="text1" w:val="000000"/>
        </w:rPr>
        <w:t xml:space="preserve">, </w:t>
      </w:r>
      <w:r>
        <w:rPr>
          <w:rFonts w:cs="Arial" w:ascii="Arial" w:hAnsi="Arial"/>
          <w:i/>
          <w:iCs/>
          <w:color w:themeColor="text1" w:val="000000"/>
        </w:rPr>
        <w:t>ofc</w:t>
      </w:r>
      <w:r>
        <w:rPr>
          <w:rFonts w:cs="Arial" w:ascii="Arial" w:hAnsi="Arial"/>
          <w:color w:themeColor="text1" w:val="000000"/>
        </w:rPr>
        <w:t>. www.ofc.tv. Available at: https://www.ofc.tv/project/pepsico-precision-dsd/ (Accessed: July 28, 2026).</w:t>
      </w:r>
    </w:p>
    <w:p>
      <w:pPr>
        <w:pStyle w:val="Normal"/>
        <w:spacing w:before="240" w:after="0"/>
        <w:rPr>
          <w:rFonts w:ascii="Arial" w:hAnsi="Arial" w:cs="Arial"/>
          <w:color w:themeColor="text1" w:val="000000"/>
        </w:rPr>
      </w:pPr>
      <w:r>
        <w:rPr>
          <w:rFonts w:cs="Arial" w:ascii="Arial" w:hAnsi="Arial"/>
          <w:color w:themeColor="text1" w:val="000000"/>
        </w:rPr>
        <w:t xml:space="preserve">Penn-Jones, C. P. </w:t>
      </w:r>
      <w:r>
        <w:rPr>
          <w:rFonts w:cs="Arial" w:ascii="Arial" w:hAnsi="Arial"/>
          <w:i/>
          <w:iCs/>
          <w:color w:themeColor="text1" w:val="000000"/>
        </w:rPr>
        <w:t>et al.</w:t>
      </w:r>
      <w:r>
        <w:rPr>
          <w:rFonts w:cs="Arial" w:ascii="Arial" w:hAnsi="Arial"/>
          <w:color w:themeColor="text1" w:val="000000"/>
        </w:rPr>
        <w:t xml:space="preserve"> (2023) “Industry Views of the UK Soft Drinks Industry Levy: A Thematic Analysis of Elite Interviews with Food and Drink Industry Professionals, 2018–2020,” </w:t>
      </w:r>
      <w:r>
        <w:rPr>
          <w:rFonts w:cs="Arial" w:ascii="Arial" w:hAnsi="Arial"/>
          <w:i/>
          <w:iCs/>
          <w:color w:themeColor="text1" w:val="000000"/>
        </w:rPr>
        <w:t>BMJ Open</w:t>
      </w:r>
      <w:r>
        <w:rPr>
          <w:rFonts w:cs="Arial" w:ascii="Arial" w:hAnsi="Arial"/>
          <w:color w:themeColor="text1" w:val="000000"/>
        </w:rPr>
        <w:t>, 13(8), pp. e072223-e072223. doi: 10.1136/bmjopen-2023-072223 (Accessed: July 31, 2026).</w:t>
      </w:r>
    </w:p>
    <w:p>
      <w:pPr>
        <w:pStyle w:val="Normal"/>
        <w:spacing w:before="240" w:after="0"/>
        <w:rPr>
          <w:rFonts w:ascii="Arial" w:hAnsi="Arial" w:cs="Arial"/>
          <w:color w:themeColor="text1" w:val="000000"/>
        </w:rPr>
      </w:pPr>
      <w:r>
        <w:rPr>
          <w:rFonts w:cs="Arial" w:ascii="Arial" w:hAnsi="Arial"/>
          <w:color w:themeColor="text1" w:val="000000"/>
        </w:rPr>
        <w:t xml:space="preserve">Spherical Insight (2024) </w:t>
      </w:r>
      <w:r>
        <w:rPr>
          <w:rFonts w:cs="Arial" w:ascii="Arial" w:hAnsi="Arial"/>
          <w:i/>
          <w:iCs/>
          <w:color w:themeColor="text1" w:val="000000"/>
        </w:rPr>
        <w:t>United Kingdom Carbonated Soft Drinks Market Size, Forecasts to 2033</w:t>
      </w:r>
      <w:r>
        <w:rPr>
          <w:rFonts w:cs="Arial" w:ascii="Arial" w:hAnsi="Arial"/>
          <w:color w:themeColor="text1" w:val="000000"/>
        </w:rPr>
        <w:t xml:space="preserve">, </w:t>
      </w:r>
      <w:r>
        <w:rPr>
          <w:rFonts w:cs="Arial" w:ascii="Arial" w:hAnsi="Arial"/>
          <w:i/>
          <w:iCs/>
          <w:color w:themeColor="text1" w:val="000000"/>
        </w:rPr>
        <w:t>Spherical Insights</w:t>
      </w:r>
      <w:r>
        <w:rPr>
          <w:rFonts w:cs="Arial" w:ascii="Arial" w:hAnsi="Arial"/>
          <w:color w:themeColor="text1" w:val="000000"/>
        </w:rPr>
        <w:t>. Available at: https://www.sphericalinsights.com/reports/united-kingdom-carbonated-soft-drinks-market (Accessed: July 31, 2026).</w:t>
      </w:r>
    </w:p>
    <w:p>
      <w:pPr>
        <w:pStyle w:val="Normal"/>
        <w:spacing w:before="240" w:after="0"/>
        <w:rPr>
          <w:rFonts w:ascii="Arial" w:hAnsi="Arial" w:cs="Arial"/>
          <w:color w:themeColor="text1" w:val="000000"/>
        </w:rPr>
      </w:pPr>
      <w:r>
        <w:rPr>
          <w:rFonts w:cs="Arial" w:ascii="Arial" w:hAnsi="Arial"/>
          <w:color w:themeColor="text1" w:val="000000"/>
        </w:rPr>
        <w:t xml:space="preserve">The Coca-Cola Company (2024) </w:t>
      </w:r>
      <w:r>
        <w:rPr>
          <w:rFonts w:cs="Arial" w:ascii="Arial" w:hAnsi="Arial"/>
          <w:i/>
          <w:iCs/>
          <w:color w:themeColor="text1" w:val="000000"/>
        </w:rPr>
        <w:t>Purpose &amp; Company Vision</w:t>
      </w:r>
      <w:r>
        <w:rPr>
          <w:rFonts w:cs="Arial" w:ascii="Arial" w:hAnsi="Arial"/>
          <w:color w:themeColor="text1" w:val="000000"/>
        </w:rPr>
        <w:t xml:space="preserve">, </w:t>
      </w:r>
      <w:r>
        <w:rPr>
          <w:rFonts w:cs="Arial" w:ascii="Arial" w:hAnsi="Arial"/>
          <w:i/>
          <w:iCs/>
          <w:color w:themeColor="text1" w:val="000000"/>
        </w:rPr>
        <w:t>The Coca-Cola Company</w:t>
      </w:r>
      <w:r>
        <w:rPr>
          <w:rFonts w:cs="Arial" w:ascii="Arial" w:hAnsi="Arial"/>
          <w:color w:themeColor="text1" w:val="000000"/>
        </w:rPr>
        <w:t>. Available at: https://www.coca-colacompany.com/about-us/purpose-and-vision (Accessed: July 31, 2026).</w:t>
      </w:r>
    </w:p>
    <w:p>
      <w:pPr>
        <w:pStyle w:val="Normal"/>
        <w:spacing w:before="240" w:after="0"/>
        <w:rPr>
          <w:rFonts w:ascii="Arial" w:hAnsi="Arial" w:cs="Arial"/>
          <w:color w:themeColor="text1" w:val="000000"/>
        </w:rPr>
      </w:pPr>
      <w:r>
        <w:rPr>
          <w:rFonts w:cs="Arial" w:ascii="Arial" w:hAnsi="Arial"/>
          <w:color w:themeColor="text1" w:val="000000"/>
        </w:rPr>
        <w:t xml:space="preserve">The Coca-Cola Company (2025) </w:t>
      </w:r>
      <w:r>
        <w:rPr>
          <w:rFonts w:cs="Arial" w:ascii="Arial" w:hAnsi="Arial"/>
          <w:i/>
          <w:iCs/>
          <w:color w:themeColor="text1" w:val="000000"/>
        </w:rPr>
        <w:t>Coca-Cola History</w:t>
      </w:r>
      <w:r>
        <w:rPr>
          <w:rFonts w:cs="Arial" w:ascii="Arial" w:hAnsi="Arial"/>
          <w:color w:themeColor="text1" w:val="000000"/>
        </w:rPr>
        <w:t xml:space="preserve">, </w:t>
      </w:r>
      <w:r>
        <w:rPr>
          <w:rFonts w:cs="Arial" w:ascii="Arial" w:hAnsi="Arial"/>
          <w:i/>
          <w:iCs/>
          <w:color w:themeColor="text1" w:val="000000"/>
        </w:rPr>
        <w:t>www.coca-colacompany.com</w:t>
      </w:r>
      <w:r>
        <w:rPr>
          <w:rFonts w:cs="Arial" w:ascii="Arial" w:hAnsi="Arial"/>
          <w:color w:themeColor="text1" w:val="000000"/>
        </w:rPr>
        <w:t>. Available at: https://www.coca-colacompany.com/about-us/history (Accessed: July 31, 2026).</w:t>
      </w:r>
    </w:p>
    <w:p>
      <w:pPr>
        <w:pStyle w:val="Normal"/>
        <w:spacing w:before="240" w:after="0"/>
        <w:rPr>
          <w:rFonts w:ascii="Arial" w:hAnsi="Arial" w:cs="Arial"/>
          <w:color w:themeColor="text1" w:val="000000"/>
        </w:rPr>
      </w:pPr>
      <w:r>
        <w:rPr>
          <w:rFonts w:cs="Arial" w:ascii="Arial" w:hAnsi="Arial"/>
          <w:color w:themeColor="text1" w:val="000000"/>
        </w:rPr>
        <w:t xml:space="preserve">The Coca-Cola Company (2026) </w:t>
      </w:r>
      <w:r>
        <w:rPr>
          <w:rFonts w:cs="Arial" w:ascii="Arial" w:hAnsi="Arial"/>
          <w:i/>
          <w:iCs/>
          <w:color w:themeColor="text1" w:val="000000"/>
        </w:rPr>
        <w:t>The Coca-Cola Company</w:t>
      </w:r>
      <w:r>
        <w:rPr>
          <w:rFonts w:cs="Arial" w:ascii="Arial" w:hAnsi="Arial"/>
          <w:color w:themeColor="text1" w:val="000000"/>
        </w:rPr>
        <w:t xml:space="preserve">, </w:t>
      </w:r>
      <w:r>
        <w:rPr>
          <w:rFonts w:cs="Arial" w:ascii="Arial" w:hAnsi="Arial"/>
          <w:i/>
          <w:iCs/>
          <w:color w:themeColor="text1" w:val="000000"/>
        </w:rPr>
        <w:t>The Coca-Cola Company</w:t>
      </w:r>
      <w:r>
        <w:rPr>
          <w:rFonts w:cs="Arial" w:ascii="Arial" w:hAnsi="Arial"/>
          <w:color w:themeColor="text1" w:val="000000"/>
        </w:rPr>
        <w:t>. Available at: https://investors.coca-colacompany.com/filings-reports/all-sec-filings/content/0001628280-26-010047/ko-20251231.htm (Accessed: July 31, 2026).</w:t>
      </w:r>
    </w:p>
    <w:p>
      <w:pPr>
        <w:pStyle w:val="Normal"/>
        <w:spacing w:before="240" w:after="0"/>
        <w:rPr>
          <w:rFonts w:ascii="Arial" w:hAnsi="Arial" w:cs="Arial"/>
          <w:color w:themeColor="text1" w:val="000000"/>
        </w:rPr>
      </w:pPr>
      <w:r>
        <w:rPr>
          <w:rFonts w:cs="Arial" w:ascii="Arial" w:hAnsi="Arial"/>
          <w:color w:themeColor="text1" w:val="000000"/>
        </w:rPr>
        <w:t xml:space="preserve">The Grocer (2025) </w:t>
      </w:r>
      <w:r>
        <w:rPr>
          <w:rFonts w:cs="Arial" w:ascii="Arial" w:hAnsi="Arial"/>
          <w:i/>
          <w:iCs/>
          <w:color w:themeColor="text1" w:val="000000"/>
        </w:rPr>
        <w:t>Britain’s Biggest Brands 2025: The top 100</w:t>
      </w:r>
      <w:r>
        <w:rPr>
          <w:rFonts w:cs="Arial" w:ascii="Arial" w:hAnsi="Arial"/>
          <w:color w:themeColor="text1" w:val="000000"/>
        </w:rPr>
        <w:t xml:space="preserve">, </w:t>
      </w:r>
      <w:r>
        <w:rPr>
          <w:rFonts w:cs="Arial" w:ascii="Arial" w:hAnsi="Arial"/>
          <w:i/>
          <w:iCs/>
          <w:color w:themeColor="text1" w:val="000000"/>
        </w:rPr>
        <w:t>The Grocer</w:t>
      </w:r>
      <w:r>
        <w:rPr>
          <w:rFonts w:cs="Arial" w:ascii="Arial" w:hAnsi="Arial"/>
          <w:color w:themeColor="text1" w:val="000000"/>
        </w:rPr>
        <w:t>. Available at: https://www.thegrocer.co.uk/rankings/britains-biggest-brands-2025-the-top-100/702278.article (Accessed: July 31, 2026).</w:t>
      </w:r>
    </w:p>
    <w:p>
      <w:pPr>
        <w:pStyle w:val="Normal"/>
        <w:spacing w:before="240" w:after="0"/>
        <w:rPr>
          <w:rFonts w:ascii="Arial" w:hAnsi="Arial" w:cs="Arial"/>
          <w:color w:themeColor="text1" w:val="000000"/>
        </w:rPr>
      </w:pPr>
      <w:r>
        <w:rPr>
          <w:rFonts w:cs="Arial" w:ascii="Arial" w:hAnsi="Arial"/>
          <w:color w:themeColor="text1" w:val="000000"/>
        </w:rPr>
        <w:t xml:space="preserve">UK Government (2018) </w:t>
      </w:r>
      <w:r>
        <w:rPr>
          <w:rFonts w:cs="Arial" w:ascii="Arial" w:hAnsi="Arial"/>
          <w:i/>
          <w:iCs/>
          <w:color w:themeColor="text1" w:val="000000"/>
        </w:rPr>
        <w:t>The Soft Drinks Industry Levy Regulations 2018</w:t>
      </w:r>
      <w:r>
        <w:rPr>
          <w:rFonts w:cs="Arial" w:ascii="Arial" w:hAnsi="Arial"/>
          <w:color w:themeColor="text1" w:val="000000"/>
        </w:rPr>
        <w:t xml:space="preserve">, </w:t>
      </w:r>
      <w:r>
        <w:rPr>
          <w:rFonts w:cs="Arial" w:ascii="Arial" w:hAnsi="Arial"/>
          <w:i/>
          <w:iCs/>
          <w:color w:themeColor="text1" w:val="000000"/>
        </w:rPr>
        <w:t>Legislation.gov.uk</w:t>
      </w:r>
      <w:r>
        <w:rPr>
          <w:rFonts w:cs="Arial" w:ascii="Arial" w:hAnsi="Arial"/>
          <w:color w:themeColor="text1" w:val="000000"/>
        </w:rPr>
        <w:t>. Available at: https://www.legislation.gov.uk/uksi/2018/41/contents/made (Accessed: July 31, 2026).</w:t>
      </w:r>
    </w:p>
    <w:p>
      <w:pPr>
        <w:pStyle w:val="Normal"/>
        <w:spacing w:before="240" w:after="0"/>
        <w:rPr>
          <w:rFonts w:ascii="Arial" w:hAnsi="Arial" w:cs="Arial"/>
          <w:color w:themeColor="text1" w:val="000000"/>
        </w:rPr>
      </w:pPr>
      <w:r>
        <w:rPr>
          <w:rFonts w:cs="Arial" w:ascii="Arial" w:hAnsi="Arial"/>
          <w:color w:themeColor="text1" w:val="000000"/>
        </w:rPr>
        <w:t xml:space="preserve">UK Government (2011) </w:t>
      </w:r>
      <w:r>
        <w:rPr>
          <w:rFonts w:cs="Arial" w:ascii="Arial" w:hAnsi="Arial"/>
          <w:i/>
          <w:iCs/>
          <w:color w:themeColor="text1" w:val="000000"/>
        </w:rPr>
        <w:t>The Producer Responsibility Obligations (Packaging Waste) Regulations 2007</w:t>
      </w:r>
      <w:r>
        <w:rPr>
          <w:rFonts w:cs="Arial" w:ascii="Arial" w:hAnsi="Arial"/>
          <w:color w:themeColor="text1" w:val="000000"/>
        </w:rPr>
        <w:t xml:space="preserve">, </w:t>
      </w:r>
      <w:r>
        <w:rPr>
          <w:rFonts w:cs="Arial" w:ascii="Arial" w:hAnsi="Arial"/>
          <w:i/>
          <w:iCs/>
          <w:color w:themeColor="text1" w:val="000000"/>
        </w:rPr>
        <w:t>Legislation.gov.uk</w:t>
      </w:r>
      <w:r>
        <w:rPr>
          <w:rFonts w:cs="Arial" w:ascii="Arial" w:hAnsi="Arial"/>
          <w:color w:themeColor="text1" w:val="000000"/>
        </w:rPr>
        <w:t>. Available at: https://www.legislation.gov.uk/uksi/2007/871/contents (Accessed: July 31, 2026).</w:t>
      </w:r>
    </w:p>
    <w:p>
      <w:pPr>
        <w:pStyle w:val="Normal"/>
        <w:spacing w:before="240" w:after="0"/>
        <w:rPr>
          <w:rFonts w:ascii="Arial" w:hAnsi="Arial" w:cs="Arial"/>
          <w:color w:themeColor="text1" w:val="000000"/>
          <w:sz w:val="36"/>
          <w:szCs w:val="36"/>
        </w:rPr>
      </w:pPr>
      <w:r>
        <w:rPr>
          <w:rFonts w:cs="Arial" w:ascii="Arial" w:hAnsi="Arial"/>
          <w:color w:themeColor="text1" w:val="000000"/>
        </w:rPr>
        <w:t xml:space="preserve">Zhong, Z. (2024) “Analysis of Coca-Cola Company’s marketing strategies and business model,” </w:t>
      </w:r>
      <w:r>
        <w:rPr>
          <w:rFonts w:cs="Arial" w:ascii="Arial" w:hAnsi="Arial"/>
          <w:i/>
          <w:iCs/>
          <w:color w:themeColor="text1" w:val="000000"/>
        </w:rPr>
        <w:t>Journal of Education Humanities and Social Sciences</w:t>
      </w:r>
      <w:r>
        <w:rPr>
          <w:rFonts w:cs="Arial" w:ascii="Arial" w:hAnsi="Arial"/>
          <w:color w:themeColor="text1" w:val="000000"/>
        </w:rPr>
        <w:t>, 42, pp. 1035–1040. doi: 10.54097/xc8t2061 (Accessed: July 31, 2026).</w:t>
      </w:r>
    </w:p>
    <w:p>
      <w:pPr>
        <w:pStyle w:val="Normal"/>
        <w:rPr>
          <w:rFonts w:ascii="Arial" w:hAnsi="Arial" w:cs="Arial"/>
        </w:rPr>
      </w:pPr>
      <w:r>
        <w:rPr>
          <w:rFonts w:cs="Arial" w:ascii="Arial" w:hAnsi="Arial"/>
        </w:rPr>
      </w:r>
    </w:p>
    <w:p>
      <w:pPr>
        <w:pStyle w:val="Normal"/>
        <w:rPr>
          <w:rFonts w:ascii="Arial" w:hAnsi="Arial" w:cs="Arial"/>
        </w:rPr>
      </w:pPr>
      <w:r>
        <w:rPr>
          <w:rFonts w:cs="Arial" w:ascii="Arial" w:hAnsi="Arial"/>
        </w:rPr>
      </w:r>
      <w:r>
        <w:br w:type="page"/>
      </w:r>
    </w:p>
    <w:p>
      <w:pPr>
        <w:pStyle w:val="Heading1"/>
        <w:spacing w:before="0" w:after="0"/>
        <w:rPr>
          <w:rFonts w:ascii="Arial" w:hAnsi="Arial" w:cs="Arial"/>
        </w:rPr>
      </w:pPr>
      <w:bookmarkStart w:id="27" w:name="_Toc236501953"/>
      <w:r>
        <w:rPr>
          <w:rFonts w:cs="Arial" w:ascii="Arial" w:hAnsi="Arial"/>
        </w:rPr>
        <w:t>Bibliography</w:t>
      </w:r>
      <w:bookmarkEnd w:id="27"/>
      <w:r>
        <w:rPr>
          <w:rFonts w:cs="Arial" w:ascii="Arial" w:hAnsi="Arial"/>
        </w:rPr>
        <w:t xml:space="preserve"> </w:t>
      </w:r>
    </w:p>
    <w:p>
      <w:pPr>
        <w:pStyle w:val="Normal"/>
        <w:spacing w:before="240" w:after="0"/>
        <w:rPr>
          <w:rFonts w:ascii="Arial" w:hAnsi="Arial" w:cs="Arial"/>
          <w:color w:themeColor="text1" w:val="000000"/>
          <w:lang w:val="en-IN"/>
        </w:rPr>
      </w:pPr>
      <w:r>
        <w:rPr>
          <w:rFonts w:cs="Arial" w:ascii="Arial" w:hAnsi="Arial"/>
          <w:color w:themeColor="text1" w:val="000000"/>
          <w:lang w:val="en-IN"/>
        </w:rPr>
        <w:t xml:space="preserve">Follows, P. (2024) </w:t>
      </w:r>
      <w:r>
        <w:rPr>
          <w:rFonts w:cs="Arial" w:ascii="Arial" w:hAnsi="Arial"/>
          <w:i/>
          <w:iCs/>
          <w:color w:themeColor="text1" w:val="000000"/>
          <w:lang w:val="en-IN"/>
        </w:rPr>
        <w:t>Implementing Strategy: The Roles That Drive Organizational Resilience</w:t>
      </w:r>
      <w:r>
        <w:rPr>
          <w:rFonts w:cs="Arial" w:ascii="Arial" w:hAnsi="Arial"/>
          <w:color w:themeColor="text1" w:val="000000"/>
          <w:lang w:val="en-IN"/>
        </w:rPr>
        <w:t xml:space="preserve">, </w:t>
      </w:r>
      <w:r>
        <w:rPr>
          <w:rFonts w:cs="Arial" w:ascii="Arial" w:hAnsi="Arial"/>
          <w:i/>
          <w:iCs/>
          <w:color w:themeColor="text1" w:val="000000"/>
          <w:lang w:val="en-IN"/>
        </w:rPr>
        <w:t>Forbes</w:t>
      </w:r>
      <w:r>
        <w:rPr>
          <w:rFonts w:cs="Arial" w:ascii="Arial" w:hAnsi="Arial"/>
          <w:color w:themeColor="text1" w:val="000000"/>
          <w:lang w:val="en-IN"/>
        </w:rPr>
        <w:t>. www.forbes.com. Available at: https://www.forbes.com/sites/forbesbooksauthors/2024/11/04/implementing-strategy-the-roles-that-drive-organizational-resilience/ (Accessed: July 22, 2026).</w:t>
      </w:r>
    </w:p>
    <w:p>
      <w:pPr>
        <w:pStyle w:val="Normal"/>
        <w:spacing w:before="240" w:after="0"/>
        <w:rPr>
          <w:rFonts w:ascii="Arial" w:hAnsi="Arial" w:cs="Arial"/>
          <w:color w:themeColor="text1" w:val="000000"/>
          <w:lang w:val="en-IN"/>
        </w:rPr>
      </w:pPr>
      <w:r>
        <w:rPr>
          <w:rFonts w:cs="Arial" w:ascii="Arial" w:hAnsi="Arial"/>
          <w:color w:themeColor="text1" w:val="000000"/>
          <w:lang w:val="en-IN"/>
        </w:rPr>
        <w:t xml:space="preserve">Luis, J. (2024) </w:t>
      </w:r>
      <w:r>
        <w:rPr>
          <w:rFonts w:cs="Arial" w:ascii="Arial" w:hAnsi="Arial"/>
          <w:i/>
          <w:iCs/>
          <w:color w:themeColor="text1" w:val="000000"/>
          <w:lang w:val="en-IN"/>
        </w:rPr>
        <w:t>Council Post: The Importance of Strategic Planning for Business Success</w:t>
      </w:r>
      <w:r>
        <w:rPr>
          <w:rFonts w:cs="Arial" w:ascii="Arial" w:hAnsi="Arial"/>
          <w:color w:themeColor="text1" w:val="000000"/>
          <w:lang w:val="en-IN"/>
        </w:rPr>
        <w:t xml:space="preserve">, </w:t>
      </w:r>
      <w:r>
        <w:rPr>
          <w:rFonts w:cs="Arial" w:ascii="Arial" w:hAnsi="Arial"/>
          <w:i/>
          <w:iCs/>
          <w:color w:themeColor="text1" w:val="000000"/>
          <w:lang w:val="en-IN"/>
        </w:rPr>
        <w:t>Forbes</w:t>
      </w:r>
      <w:r>
        <w:rPr>
          <w:rFonts w:cs="Arial" w:ascii="Arial" w:hAnsi="Arial"/>
          <w:color w:themeColor="text1" w:val="000000"/>
          <w:lang w:val="en-IN"/>
        </w:rPr>
        <w:t>. www.forbes.com. Available at: https://www.forbes.com/councils/forbescoachescouncil/2024/04/30/the-importance-of-strategic-planning-for-business-success/ (Accessed: July 20, 2026).</w:t>
      </w:r>
    </w:p>
    <w:p>
      <w:pPr>
        <w:pStyle w:val="Normal"/>
        <w:spacing w:before="240" w:after="0"/>
        <w:rPr>
          <w:rFonts w:ascii="Arial" w:hAnsi="Arial" w:cs="Arial"/>
          <w:color w:themeColor="text1" w:val="000000"/>
          <w:lang w:val="en-IN"/>
        </w:rPr>
      </w:pPr>
      <w:r>
        <w:rPr>
          <w:rFonts w:cs="Arial" w:ascii="Arial" w:hAnsi="Arial"/>
          <w:color w:themeColor="text1" w:val="000000"/>
          <w:lang w:val="en-IN"/>
        </w:rPr>
        <w:t xml:space="preserve">Maylett, T. (2021) </w:t>
      </w:r>
      <w:r>
        <w:rPr>
          <w:rFonts w:cs="Arial" w:ascii="Arial" w:hAnsi="Arial"/>
          <w:i/>
          <w:iCs/>
          <w:color w:themeColor="text1" w:val="000000"/>
          <w:lang w:val="en-IN"/>
        </w:rPr>
        <w:t>Why a successful business strategy depends on listening to your employees</w:t>
      </w:r>
      <w:r>
        <w:rPr>
          <w:rFonts w:cs="Arial" w:ascii="Arial" w:hAnsi="Arial"/>
          <w:color w:themeColor="text1" w:val="000000"/>
          <w:lang w:val="en-IN"/>
        </w:rPr>
        <w:t xml:space="preserve">, </w:t>
      </w:r>
      <w:r>
        <w:rPr>
          <w:rFonts w:cs="Arial" w:ascii="Arial" w:hAnsi="Arial"/>
          <w:i/>
          <w:iCs/>
          <w:color w:themeColor="text1" w:val="000000"/>
          <w:lang w:val="en-IN"/>
        </w:rPr>
        <w:t>Forbes</w:t>
      </w:r>
      <w:r>
        <w:rPr>
          <w:rFonts w:cs="Arial" w:ascii="Arial" w:hAnsi="Arial"/>
          <w:color w:themeColor="text1" w:val="000000"/>
          <w:lang w:val="en-IN"/>
        </w:rPr>
        <w:t>. www.forbes.com. Available at: https://www.forbes.com/councils/forbeshumanresourcescouncil/2021/09/08/why-a-successful-business-strategy-depends-on-listening-to-your-employees/ (Accessed: July 21, 2026).</w:t>
      </w:r>
    </w:p>
    <w:p>
      <w:pPr>
        <w:pStyle w:val="Normal"/>
        <w:spacing w:before="240" w:after="0"/>
        <w:rPr>
          <w:rFonts w:ascii="Arial" w:hAnsi="Arial" w:cs="Arial"/>
          <w:color w:themeColor="text1" w:val="000000"/>
          <w:lang w:val="en-IN"/>
        </w:rPr>
      </w:pPr>
      <w:r>
        <w:rPr>
          <w:rFonts w:cs="Arial" w:ascii="Arial" w:hAnsi="Arial"/>
          <w:color w:themeColor="text1" w:val="000000"/>
          <w:lang w:val="en-IN"/>
        </w:rPr>
        <w:t xml:space="preserve">Nelson, A. (2025) </w:t>
      </w:r>
      <w:r>
        <w:rPr>
          <w:rFonts w:cs="Arial" w:ascii="Arial" w:hAnsi="Arial"/>
          <w:i/>
          <w:iCs/>
          <w:color w:themeColor="text1" w:val="000000"/>
          <w:lang w:val="en-IN"/>
        </w:rPr>
        <w:t>The importance of business strategy in unpredictable times</w:t>
      </w:r>
      <w:r>
        <w:rPr>
          <w:rFonts w:cs="Arial" w:ascii="Arial" w:hAnsi="Arial"/>
          <w:color w:themeColor="text1" w:val="000000"/>
          <w:lang w:val="en-IN"/>
        </w:rPr>
        <w:t xml:space="preserve">, </w:t>
      </w:r>
      <w:r>
        <w:rPr>
          <w:rFonts w:cs="Arial" w:ascii="Arial" w:hAnsi="Arial"/>
          <w:i/>
          <w:iCs/>
          <w:color w:themeColor="text1" w:val="000000"/>
          <w:lang w:val="en-IN"/>
        </w:rPr>
        <w:t>Forbes</w:t>
      </w:r>
      <w:r>
        <w:rPr>
          <w:rFonts w:cs="Arial" w:ascii="Arial" w:hAnsi="Arial"/>
          <w:color w:themeColor="text1" w:val="000000"/>
          <w:lang w:val="en-IN"/>
        </w:rPr>
        <w:t>. www.forbes.com. Available at: https://www.forbes.com/councils/forbesbusinessdevelopmentcouncil/2025/06/24/the-importance-of-business-strategy-in-unpredictable-times/ (Accessed: July 26, 2026).</w:t>
      </w:r>
    </w:p>
    <w:p>
      <w:pPr>
        <w:pStyle w:val="Normal"/>
        <w:spacing w:before="240" w:after="0"/>
        <w:rPr>
          <w:rFonts w:ascii="Arial" w:hAnsi="Arial" w:cs="Arial"/>
          <w:color w:themeColor="text1" w:val="000000"/>
          <w:lang w:val="en-IN"/>
        </w:rPr>
      </w:pPr>
      <w:r>
        <w:rPr>
          <w:rFonts w:cs="Arial" w:ascii="Arial" w:hAnsi="Arial"/>
          <w:color w:themeColor="text1" w:val="000000"/>
          <w:lang w:val="en-IN"/>
        </w:rPr>
        <w:t xml:space="preserve">Rumelt, R. (2022) </w:t>
      </w:r>
      <w:r>
        <w:rPr>
          <w:rFonts w:cs="Arial" w:ascii="Arial" w:hAnsi="Arial"/>
          <w:i/>
          <w:iCs/>
          <w:color w:themeColor="text1" w:val="000000"/>
          <w:lang w:val="en-IN"/>
        </w:rPr>
        <w:t>Getting strategy wrong--and how to do it right instead | McKinsey</w:t>
      </w:r>
      <w:r>
        <w:rPr>
          <w:rFonts w:cs="Arial" w:ascii="Arial" w:hAnsi="Arial"/>
          <w:color w:themeColor="text1" w:val="000000"/>
          <w:lang w:val="en-IN"/>
        </w:rPr>
        <w:t xml:space="preserve">, </w:t>
      </w:r>
      <w:r>
        <w:rPr>
          <w:rFonts w:cs="Arial" w:ascii="Arial" w:hAnsi="Arial"/>
          <w:i/>
          <w:iCs/>
          <w:color w:themeColor="text1" w:val="000000"/>
          <w:lang w:val="en-IN"/>
        </w:rPr>
        <w:t>McKinsey &amp; Company</w:t>
      </w:r>
      <w:r>
        <w:rPr>
          <w:rFonts w:cs="Arial" w:ascii="Arial" w:hAnsi="Arial"/>
          <w:color w:themeColor="text1" w:val="000000"/>
          <w:lang w:val="en-IN"/>
        </w:rPr>
        <w:t>. www.mckinsey.com. Available at: https://www.mckinsey.com/capabilities/strategy-and-corporate-finance/our-insights/getting-strategy-wrong-and-how-to-do-it-right-instead (Accessed: July 22, 2026).</w:t>
      </w:r>
    </w:p>
    <w:p>
      <w:pPr>
        <w:pStyle w:val="Normal"/>
        <w:spacing w:before="240" w:after="0"/>
        <w:rPr>
          <w:rFonts w:ascii="Arial" w:hAnsi="Arial" w:cs="Arial"/>
          <w:color w:themeColor="text1" w:val="000000"/>
          <w:lang w:val="en-IN"/>
        </w:rPr>
      </w:pPr>
      <w:r>
        <w:rPr>
          <w:rFonts w:cs="Arial" w:ascii="Arial" w:hAnsi="Arial"/>
          <w:color w:themeColor="text1" w:val="000000"/>
          <w:lang w:val="en-IN"/>
        </w:rPr>
        <w:t xml:space="preserve">Symes, M. (2026) </w:t>
      </w:r>
      <w:r>
        <w:rPr>
          <w:rFonts w:cs="Arial" w:ascii="Arial" w:hAnsi="Arial"/>
          <w:i/>
          <w:iCs/>
          <w:color w:themeColor="text1" w:val="000000"/>
          <w:lang w:val="en-IN"/>
        </w:rPr>
        <w:t>Strategic planning has become more complex: Five steps business leaders can take</w:t>
      </w:r>
      <w:r>
        <w:rPr>
          <w:rFonts w:cs="Arial" w:ascii="Arial" w:hAnsi="Arial"/>
          <w:color w:themeColor="text1" w:val="000000"/>
          <w:lang w:val="en-IN"/>
        </w:rPr>
        <w:t xml:space="preserve">, </w:t>
      </w:r>
      <w:r>
        <w:rPr>
          <w:rFonts w:cs="Arial" w:ascii="Arial" w:hAnsi="Arial"/>
          <w:i/>
          <w:iCs/>
          <w:color w:themeColor="text1" w:val="000000"/>
          <w:lang w:val="en-IN"/>
        </w:rPr>
        <w:t>Forbes</w:t>
      </w:r>
      <w:r>
        <w:rPr>
          <w:rFonts w:cs="Arial" w:ascii="Arial" w:hAnsi="Arial"/>
          <w:color w:themeColor="text1" w:val="000000"/>
          <w:lang w:val="en-IN"/>
        </w:rPr>
        <w:t>. www.forbes.com. Available at: https://www.forbes.com/sites/forbesbooksauthors/2026/05/01/strategic-planning-has-become-more-complex-five-steps-business-leaders-can-take/ (Accessed: July 28, 2026).</w:t>
      </w:r>
    </w:p>
    <w:p>
      <w:pPr>
        <w:pStyle w:val="Normal"/>
        <w:spacing w:before="240" w:after="0"/>
        <w:rPr>
          <w:rFonts w:ascii="Arial" w:hAnsi="Arial" w:cs="Arial"/>
          <w:color w:themeColor="text1" w:val="000000"/>
          <w:lang w:val="en-IN"/>
        </w:rPr>
      </w:pPr>
      <w:r>
        <w:rPr>
          <w:rFonts w:cs="Arial" w:ascii="Arial" w:hAnsi="Arial"/>
          <w:color w:themeColor="text1" w:val="000000"/>
          <w:lang w:val="en-IN"/>
        </w:rPr>
        <w:t xml:space="preserve">Warrell, M. (2025) </w:t>
      </w:r>
      <w:r>
        <w:rPr>
          <w:rFonts w:cs="Arial" w:ascii="Arial" w:hAnsi="Arial"/>
          <w:i/>
          <w:iCs/>
          <w:color w:themeColor="text1" w:val="000000"/>
          <w:lang w:val="en-IN"/>
        </w:rPr>
        <w:t>Leading Through the Storm: Why Courage Is a Business Imperative</w:t>
      </w:r>
      <w:r>
        <w:rPr>
          <w:rFonts w:cs="Arial" w:ascii="Arial" w:hAnsi="Arial"/>
          <w:color w:themeColor="text1" w:val="000000"/>
          <w:lang w:val="en-IN"/>
        </w:rPr>
        <w:t xml:space="preserve">, </w:t>
      </w:r>
      <w:r>
        <w:rPr>
          <w:rFonts w:cs="Arial" w:ascii="Arial" w:hAnsi="Arial"/>
          <w:i/>
          <w:iCs/>
          <w:color w:themeColor="text1" w:val="000000"/>
          <w:lang w:val="en-IN"/>
        </w:rPr>
        <w:t>Forbes</w:t>
      </w:r>
      <w:r>
        <w:rPr>
          <w:rFonts w:cs="Arial" w:ascii="Arial" w:hAnsi="Arial"/>
          <w:color w:themeColor="text1" w:val="000000"/>
          <w:lang w:val="en-IN"/>
        </w:rPr>
        <w:t>. www.forbes.com. Available at: https://www.forbes.com/sites/margiewarrell/2025/02/24/leading-through-the-storm-why-courage-is-todays-most-critical-business-strategy/ (Accessed: July 23, 2026).</w:t>
      </w:r>
    </w:p>
    <w:p>
      <w:pPr>
        <w:pStyle w:val="Normal"/>
        <w:rPr>
          <w:rFonts w:ascii="Arial" w:hAnsi="Arial" w:cs="Arial"/>
        </w:rPr>
      </w:pPr>
      <w:r>
        <w:rPr>
          <w:rFonts w:cs="Arial" w:ascii="Arial" w:hAnsi="Arial"/>
        </w:rPr>
      </w:r>
    </w:p>
    <w:p>
      <w:pPr>
        <w:pStyle w:val="Normal"/>
        <w:rPr>
          <w:rFonts w:ascii="Arial" w:hAnsi="Arial" w:eastAsia="Calibri" w:cs="Arial"/>
          <w:sz w:val="22"/>
          <w:szCs w:val="22"/>
        </w:rPr>
      </w:pPr>
      <w:r>
        <w:rPr>
          <w:rFonts w:eastAsia="Calibri" w:cs="Arial" w:ascii="Arial" w:hAnsi="Arial"/>
          <w:sz w:val="22"/>
          <w:szCs w:val="22"/>
        </w:rPr>
      </w:r>
    </w:p>
    <w:p>
      <w:pPr>
        <w:pStyle w:val="Normal"/>
        <w:rPr>
          <w:rFonts w:ascii="Arial" w:hAnsi="Arial" w:cs="Arial"/>
        </w:rPr>
      </w:pPr>
      <w:r>
        <w:rPr>
          <w:rFonts w:cs="Arial" w:ascii="Arial" w:hAnsi="Arial"/>
        </w:rPr>
      </w:r>
    </w:p>
    <w:p>
      <w:pPr>
        <w:pStyle w:val="Normal"/>
        <w:rPr>
          <w:rFonts w:ascii="Arial" w:hAnsi="Arial" w:cs="Arial"/>
        </w:rPr>
      </w:pPr>
      <w:r>
        <w:rPr>
          <w:rFonts w:cs="Arial" w:ascii="Arial" w:hAnsi="Arial"/>
        </w:rPr>
      </w:r>
    </w:p>
    <w:p>
      <w:pPr>
        <w:pStyle w:val="Normal"/>
        <w:rPr>
          <w:rFonts w:ascii="Arial" w:hAnsi="Arial" w:cs="Arial"/>
        </w:rPr>
      </w:pPr>
      <w:r>
        <w:rPr>
          <w:rFonts w:cs="Arial" w:ascii="Arial" w:hAnsi="Arial"/>
        </w:rPr>
      </w:r>
    </w:p>
    <w:p>
      <w:pPr>
        <w:pStyle w:val="Normal"/>
        <w:rPr>
          <w:rFonts w:ascii="Arial" w:hAnsi="Arial" w:cs="Arial"/>
        </w:rPr>
      </w:pPr>
      <w:r>
        <w:rPr>
          <w:rFonts w:cs="Arial" w:ascii="Arial" w:hAnsi="Arial"/>
        </w:rPr>
      </w:r>
    </w:p>
    <w:sectPr>
      <w:headerReference w:type="even" r:id="rId13"/>
      <w:headerReference w:type="default" r:id="rId14"/>
      <w:headerReference w:type="first" r:id="rId15"/>
      <w:footerReference w:type="even" r:id="rId16"/>
      <w:footerReference w:type="default" r:id="rId17"/>
      <w:footerReference w:type="first" r:id="rId18"/>
      <w:type w:val="nextPage"/>
      <w:pgSz w:w="11906" w:h="16838"/>
      <w:pgMar w:left="1440" w:right="1440" w:gutter="0" w:header="720" w:top="1440" w:footer="720" w:bottom="1440"/>
      <w:pgBorders w:display="allPages" w:offsetFrom="page">
        <w:top w:val="single" w:sz="4" w:space="24" w:color="000000"/>
        <w:left w:val="single" w:sz="4" w:space="24" w:color="000000"/>
        <w:bottom w:val="single" w:sz="4" w:space="24" w:color="000000"/>
        <w:right w:val="single" w:sz="4" w:space="24" w:color="000000"/>
      </w:pgBorders>
      <w:pgNumType w:start="0" w:fmt="decimal"/>
      <w:formProt w:val="false"/>
      <w:titlePg/>
      <w:docGrid w:type="default" w:linePitch="10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ans">
    <w:altName w:val="Arial"/>
    <w:charset w:val="01"/>
    <w:family w:val="roman"/>
    <w:pitch w:val="variable"/>
    <w:embedRegular r:id="rId1" w:fontKey="{01014A78-CABC-4EF0-12AC-5CD89AEFDE01}"/>
  </w:font>
  <w:font w:name="Times New Roman">
    <w:charset w:val="01"/>
    <w:family w:val="roman"/>
    <w:pitch w:val="variable"/>
  </w:font>
  <w:font w:name="Arial">
    <w:charset w:val="01"/>
    <w:family w:val="swiss"/>
    <w:pitch w:val="variable"/>
  </w:font>
  <w:font w:name="Cambria">
    <w:charset w:val="01"/>
    <w:family w:val="roman"/>
    <w:pitch w:val="variable"/>
  </w:font>
  <w:font w:name="Wingdings">
    <w:charset w:val="02"/>
    <w:family w:val="auto"/>
    <w:pitch w:val="variable"/>
    <w:embedRegular r:id="rId2" w:fontKey="{02014A78-CABC-4EF0-12AC-5CD89AEFDE02}"/>
  </w:font>
  <w:font w:name="Wingdings 2">
    <w:charset w:val="02"/>
    <w:family w:val="auto"/>
    <w:pitch w:val="variable"/>
    <w:embedRegular r:id="rId3" w:fontKey="{03014A78-CABC-4EF0-12AC-5CD89AEFDE03}"/>
  </w:font>
  <w:font w:name="OpenSymbol">
    <w:altName w:val="Arial Unicode MS"/>
    <w:charset w:val="01"/>
    <w:family w:val="auto"/>
    <w:pitch w:val="variable"/>
    <w:embedRegular r:id="rId4" w:fontKey="{04014A78-CABC-4EF0-12AC-5CD89AEFDE04}"/>
  </w:font>
</w:fonts>
</file>

<file path=word/footer1.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rPr/>
    </w:pPr>
    <w:r>
      <w:rPr/>
    </w:r>
  </w:p>
</w:ftr>
</file>

<file path=word/footer2.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
      <w:jc w:val="right"/>
      <w:rPr/>
    </w:pPr>
    <w:r>
      <w:rPr/>
      <w:fldChar w:fldCharType="begin"/>
    </w:r>
    <w:r>
      <w:rPr/>
      <w:instrText xml:space="preserve"> PAGE </w:instrText>
    </w:r>
    <w:r>
      <w:rPr/>
      <w:fldChar w:fldCharType="separate"/>
    </w:r>
    <w:r>
      <w:rPr/>
      <w:t>1</w:t>
    </w:r>
    <w:r>
      <w:rPr/>
      <w:fldChar w:fldCharType="end"/>
    </w:r>
  </w:p>
</w:ftr>
</file>

<file path=word/footer3.xml><?xml version="1.0" encoding="utf-8"?>
<w:ft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Footer"/>
      <w:rPr/>
    </w:pPr>
    <w:r>
      <w:rPr/>
    </w:r>
  </w:p>
</w:ftr>
</file>

<file path=word/header1.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Header"/>
      <w:rPr/>
    </w:pPr>
    <w:r>
      <w:rPr/>
    </w:r>
  </w:p>
</w:hdr>
</file>

<file path=word/header2.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Normal"/>
      <w:jc w:val="right"/>
      <w:rPr/>
    </w:pPr>
    <w:r>
      <w:rPr/>
      <w:t>STRATEGIC MANAGEMENT</w:t>
    </w:r>
  </w:p>
</w:hdr>
</file>

<file path=word/header3.xml><?xml version="1.0" encoding="utf-8"?>
<w:hdr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pic="http://schemas.openxmlformats.org/drawingml/2006/picture"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xmlns:w15="http://schemas.microsoft.com/office/word/2012/wordml" mc:Ignorable="w14 wp14 w15">
  <w:p>
    <w:pPr>
      <w:pStyle w:val="Header"/>
      <w:rPr/>
    </w:pPr>
    <w:r>
      <w:rPr/>
    </w:r>
  </w:p>
</w:hdr>
</file>

<file path=word/numbering.xml><?xml version="1.0" encoding="utf-8"?>
<w:numbering xmlns:w="http://schemas.openxmlformats.org/wordprocessingml/2006/main" xmlns:o="urn:schemas-microsoft-com:office:office" xmlns:r="http://schemas.openxmlformats.org/officeDocument/2006/relationships" xmlns:v="urn:schemas-microsoft-com:vml" xmlns:mc="http://schemas.openxmlformats.org/markup-compatibility/2006" xmlns:w14="http://schemas.microsoft.com/office/word/2010/wordml" mc:Ignorable="w14">
  <w:abstractNum w:abstractNumId="1">
    <w:lvl w:ilvl="0">
      <w:start w:val="1"/>
      <w:numFmt w:val="bullet"/>
      <w:lvlText w:val=""/>
      <w:lvlJc w:val="left"/>
      <w:pPr>
        <w:tabs>
          <w:tab w:val="num" w:pos="0"/>
        </w:tabs>
        <w:ind w:left="720" w:hanging="360"/>
      </w:pPr>
      <w:rPr>
        <w:rFonts w:ascii="Wingdings" w:hAnsi="Wingdings" w:cs="Wingdings" w:hint="default"/>
        <w:u w:val="none"/>
      </w:rPr>
    </w:lvl>
    <w:lvl w:ilvl="1">
      <w:start w:val="1"/>
      <w:numFmt w:val="bullet"/>
      <w:lvlText w:val=""/>
      <w:lvlJc w:val="left"/>
      <w:pPr>
        <w:tabs>
          <w:tab w:val="num" w:pos="0"/>
        </w:tabs>
        <w:ind w:left="1440" w:hanging="360"/>
      </w:pPr>
      <w:rPr>
        <w:rFonts w:ascii="Wingdings 2" w:hAnsi="Wingdings 2" w:cs="Wingdings 2" w:hint="default"/>
        <w:u w:val="none"/>
      </w:rPr>
    </w:lvl>
    <w:lvl w:ilvl="2">
      <w:start w:val="1"/>
      <w:numFmt w:val="bullet"/>
      <w:lvlText w:val="■"/>
      <w:lvlJc w:val="left"/>
      <w:pPr>
        <w:tabs>
          <w:tab w:val="num" w:pos="0"/>
        </w:tabs>
        <w:ind w:left="2160" w:hanging="360"/>
      </w:pPr>
      <w:rPr>
        <w:rFonts w:ascii="OpenSymbol" w:hAnsi="OpenSymbol" w:cs="OpenSymbol" w:hint="default"/>
        <w:u w:val="none"/>
      </w:rPr>
    </w:lvl>
    <w:lvl w:ilvl="3">
      <w:start w:val="1"/>
      <w:numFmt w:val="bullet"/>
      <w:lvlText w:val=""/>
      <w:lvlJc w:val="left"/>
      <w:pPr>
        <w:tabs>
          <w:tab w:val="num" w:pos="0"/>
        </w:tabs>
        <w:ind w:left="2880" w:hanging="360"/>
      </w:pPr>
      <w:rPr>
        <w:rFonts w:ascii="Wingdings" w:hAnsi="Wingdings" w:cs="Wingdings" w:hint="default"/>
        <w:u w:val="none"/>
      </w:rPr>
    </w:lvl>
    <w:lvl w:ilvl="4">
      <w:start w:val="1"/>
      <w:numFmt w:val="bullet"/>
      <w:lvlText w:val=""/>
      <w:lvlJc w:val="left"/>
      <w:pPr>
        <w:tabs>
          <w:tab w:val="num" w:pos="0"/>
        </w:tabs>
        <w:ind w:left="3600" w:hanging="360"/>
      </w:pPr>
      <w:rPr>
        <w:rFonts w:ascii="Wingdings 2" w:hAnsi="Wingdings 2" w:cs="Wingdings 2" w:hint="default"/>
        <w:u w:val="none"/>
      </w:rPr>
    </w:lvl>
    <w:lvl w:ilvl="5">
      <w:start w:val="1"/>
      <w:numFmt w:val="bullet"/>
      <w:lvlText w:val="■"/>
      <w:lvlJc w:val="left"/>
      <w:pPr>
        <w:tabs>
          <w:tab w:val="num" w:pos="0"/>
        </w:tabs>
        <w:ind w:left="4320" w:hanging="360"/>
      </w:pPr>
      <w:rPr>
        <w:rFonts w:ascii="OpenSymbol" w:hAnsi="OpenSymbol" w:cs="OpenSymbol" w:hint="default"/>
        <w:u w:val="none"/>
      </w:rPr>
    </w:lvl>
    <w:lvl w:ilvl="6">
      <w:start w:val="1"/>
      <w:numFmt w:val="bullet"/>
      <w:lvlText w:val=""/>
      <w:lvlJc w:val="left"/>
      <w:pPr>
        <w:tabs>
          <w:tab w:val="num" w:pos="0"/>
        </w:tabs>
        <w:ind w:left="5040" w:hanging="360"/>
      </w:pPr>
      <w:rPr>
        <w:rFonts w:ascii="Wingdings" w:hAnsi="Wingdings" w:cs="Wingdings" w:hint="default"/>
        <w:u w:val="none"/>
      </w:rPr>
    </w:lvl>
    <w:lvl w:ilvl="7">
      <w:start w:val="1"/>
      <w:numFmt w:val="bullet"/>
      <w:lvlText w:val=""/>
      <w:lvlJc w:val="left"/>
      <w:pPr>
        <w:tabs>
          <w:tab w:val="num" w:pos="0"/>
        </w:tabs>
        <w:ind w:left="5760" w:hanging="360"/>
      </w:pPr>
      <w:rPr>
        <w:rFonts w:ascii="Wingdings 2" w:hAnsi="Wingdings 2" w:cs="Wingdings 2" w:hint="default"/>
        <w:u w:val="none"/>
      </w:rPr>
    </w:lvl>
    <w:lvl w:ilvl="8">
      <w:start w:val="1"/>
      <w:numFmt w:val="bullet"/>
      <w:lvlText w:val="■"/>
      <w:lvlJc w:val="left"/>
      <w:pPr>
        <w:tabs>
          <w:tab w:val="num" w:pos="0"/>
        </w:tabs>
        <w:ind w:left="6480" w:hanging="360"/>
      </w:pPr>
      <w:rPr>
        <w:rFonts w:ascii="OpenSymbol" w:hAnsi="OpenSymbol" w:cs="OpenSymbol" w:hint="default"/>
        <w:u w:val="none"/>
      </w:rPr>
    </w:lvl>
  </w:abstractNum>
  <w:abstractNum w:abstractNumId="2">
    <w:lvl w:ilvl="0">
      <w:start w:val="1"/>
      <w:numFmt w:val="bullet"/>
      <w:lvlText w:val=""/>
      <w:lvlJc w:val="left"/>
      <w:pPr>
        <w:tabs>
          <w:tab w:val="num" w:pos="0"/>
        </w:tabs>
        <w:ind w:left="720" w:hanging="360"/>
      </w:pPr>
      <w:rPr>
        <w:rFonts w:ascii="Wingdings" w:hAnsi="Wingdings" w:cs="Wingdings" w:hint="default"/>
        <w:u w:val="none"/>
      </w:rPr>
    </w:lvl>
    <w:lvl w:ilvl="1">
      <w:start w:val="1"/>
      <w:numFmt w:val="bullet"/>
      <w:lvlText w:val=""/>
      <w:lvlJc w:val="left"/>
      <w:pPr>
        <w:tabs>
          <w:tab w:val="num" w:pos="0"/>
        </w:tabs>
        <w:ind w:left="1440" w:hanging="360"/>
      </w:pPr>
      <w:rPr>
        <w:rFonts w:ascii="Wingdings 2" w:hAnsi="Wingdings 2" w:cs="Wingdings 2" w:hint="default"/>
        <w:u w:val="none"/>
      </w:rPr>
    </w:lvl>
    <w:lvl w:ilvl="2">
      <w:start w:val="1"/>
      <w:numFmt w:val="bullet"/>
      <w:lvlText w:val="■"/>
      <w:lvlJc w:val="left"/>
      <w:pPr>
        <w:tabs>
          <w:tab w:val="num" w:pos="0"/>
        </w:tabs>
        <w:ind w:left="2160" w:hanging="360"/>
      </w:pPr>
      <w:rPr>
        <w:rFonts w:ascii="OpenSymbol" w:hAnsi="OpenSymbol" w:cs="OpenSymbol" w:hint="default"/>
        <w:u w:val="none"/>
      </w:rPr>
    </w:lvl>
    <w:lvl w:ilvl="3">
      <w:start w:val="1"/>
      <w:numFmt w:val="bullet"/>
      <w:lvlText w:val=""/>
      <w:lvlJc w:val="left"/>
      <w:pPr>
        <w:tabs>
          <w:tab w:val="num" w:pos="0"/>
        </w:tabs>
        <w:ind w:left="2880" w:hanging="360"/>
      </w:pPr>
      <w:rPr>
        <w:rFonts w:ascii="Wingdings" w:hAnsi="Wingdings" w:cs="Wingdings" w:hint="default"/>
        <w:u w:val="none"/>
      </w:rPr>
    </w:lvl>
    <w:lvl w:ilvl="4">
      <w:start w:val="1"/>
      <w:numFmt w:val="bullet"/>
      <w:lvlText w:val=""/>
      <w:lvlJc w:val="left"/>
      <w:pPr>
        <w:tabs>
          <w:tab w:val="num" w:pos="0"/>
        </w:tabs>
        <w:ind w:left="3600" w:hanging="360"/>
      </w:pPr>
      <w:rPr>
        <w:rFonts w:ascii="Wingdings 2" w:hAnsi="Wingdings 2" w:cs="Wingdings 2" w:hint="default"/>
        <w:u w:val="none"/>
      </w:rPr>
    </w:lvl>
    <w:lvl w:ilvl="5">
      <w:start w:val="1"/>
      <w:numFmt w:val="bullet"/>
      <w:lvlText w:val="■"/>
      <w:lvlJc w:val="left"/>
      <w:pPr>
        <w:tabs>
          <w:tab w:val="num" w:pos="0"/>
        </w:tabs>
        <w:ind w:left="4320" w:hanging="360"/>
      </w:pPr>
      <w:rPr>
        <w:rFonts w:ascii="OpenSymbol" w:hAnsi="OpenSymbol" w:cs="OpenSymbol" w:hint="default"/>
        <w:u w:val="none"/>
      </w:rPr>
    </w:lvl>
    <w:lvl w:ilvl="6">
      <w:start w:val="1"/>
      <w:numFmt w:val="bullet"/>
      <w:lvlText w:val=""/>
      <w:lvlJc w:val="left"/>
      <w:pPr>
        <w:tabs>
          <w:tab w:val="num" w:pos="0"/>
        </w:tabs>
        <w:ind w:left="5040" w:hanging="360"/>
      </w:pPr>
      <w:rPr>
        <w:rFonts w:ascii="Wingdings" w:hAnsi="Wingdings" w:cs="Wingdings" w:hint="default"/>
        <w:u w:val="none"/>
      </w:rPr>
    </w:lvl>
    <w:lvl w:ilvl="7">
      <w:start w:val="1"/>
      <w:numFmt w:val="bullet"/>
      <w:lvlText w:val=""/>
      <w:lvlJc w:val="left"/>
      <w:pPr>
        <w:tabs>
          <w:tab w:val="num" w:pos="0"/>
        </w:tabs>
        <w:ind w:left="5760" w:hanging="360"/>
      </w:pPr>
      <w:rPr>
        <w:rFonts w:ascii="Wingdings 2" w:hAnsi="Wingdings 2" w:cs="Wingdings 2" w:hint="default"/>
        <w:u w:val="none"/>
      </w:rPr>
    </w:lvl>
    <w:lvl w:ilvl="8">
      <w:start w:val="1"/>
      <w:numFmt w:val="bullet"/>
      <w:lvlText w:val="■"/>
      <w:lvlJc w:val="left"/>
      <w:pPr>
        <w:tabs>
          <w:tab w:val="num" w:pos="0"/>
        </w:tabs>
        <w:ind w:left="6480" w:hanging="360"/>
      </w:pPr>
      <w:rPr>
        <w:rFonts w:ascii="OpenSymbol" w:hAnsi="OpenSymbol" w:cs="OpenSymbol" w:hint="default"/>
        <w:u w:val="none"/>
      </w:rPr>
    </w:lvl>
  </w:abstractNum>
  <w:abstractNum w:abstractNumId="3">
    <w:lvl w:ilvl="0">
      <w:start w:val="1"/>
      <w:numFmt w:val="bullet"/>
      <w:lvlText w:val=""/>
      <w:lvlJc w:val="left"/>
      <w:pPr>
        <w:tabs>
          <w:tab w:val="num" w:pos="0"/>
        </w:tabs>
        <w:ind w:left="720" w:hanging="360"/>
      </w:pPr>
      <w:rPr>
        <w:rFonts w:ascii="Wingdings" w:hAnsi="Wingdings" w:cs="Wingdings" w:hint="default"/>
        <w:u w:val="none"/>
      </w:rPr>
    </w:lvl>
    <w:lvl w:ilvl="1">
      <w:start w:val="1"/>
      <w:numFmt w:val="bullet"/>
      <w:lvlText w:val=""/>
      <w:lvlJc w:val="left"/>
      <w:pPr>
        <w:tabs>
          <w:tab w:val="num" w:pos="0"/>
        </w:tabs>
        <w:ind w:left="1440" w:hanging="360"/>
      </w:pPr>
      <w:rPr>
        <w:rFonts w:ascii="Wingdings 2" w:hAnsi="Wingdings 2" w:cs="Wingdings 2" w:hint="default"/>
        <w:u w:val="none"/>
      </w:rPr>
    </w:lvl>
    <w:lvl w:ilvl="2">
      <w:start w:val="1"/>
      <w:numFmt w:val="bullet"/>
      <w:lvlText w:val="■"/>
      <w:lvlJc w:val="left"/>
      <w:pPr>
        <w:tabs>
          <w:tab w:val="num" w:pos="0"/>
        </w:tabs>
        <w:ind w:left="2160" w:hanging="360"/>
      </w:pPr>
      <w:rPr>
        <w:rFonts w:ascii="OpenSymbol" w:hAnsi="OpenSymbol" w:cs="OpenSymbol" w:hint="default"/>
        <w:u w:val="none"/>
      </w:rPr>
    </w:lvl>
    <w:lvl w:ilvl="3">
      <w:start w:val="1"/>
      <w:numFmt w:val="bullet"/>
      <w:lvlText w:val=""/>
      <w:lvlJc w:val="left"/>
      <w:pPr>
        <w:tabs>
          <w:tab w:val="num" w:pos="0"/>
        </w:tabs>
        <w:ind w:left="2880" w:hanging="360"/>
      </w:pPr>
      <w:rPr>
        <w:rFonts w:ascii="Wingdings" w:hAnsi="Wingdings" w:cs="Wingdings" w:hint="default"/>
        <w:u w:val="none"/>
      </w:rPr>
    </w:lvl>
    <w:lvl w:ilvl="4">
      <w:start w:val="1"/>
      <w:numFmt w:val="bullet"/>
      <w:lvlText w:val=""/>
      <w:lvlJc w:val="left"/>
      <w:pPr>
        <w:tabs>
          <w:tab w:val="num" w:pos="0"/>
        </w:tabs>
        <w:ind w:left="3600" w:hanging="360"/>
      </w:pPr>
      <w:rPr>
        <w:rFonts w:ascii="Wingdings 2" w:hAnsi="Wingdings 2" w:cs="Wingdings 2" w:hint="default"/>
        <w:u w:val="none"/>
      </w:rPr>
    </w:lvl>
    <w:lvl w:ilvl="5">
      <w:start w:val="1"/>
      <w:numFmt w:val="bullet"/>
      <w:lvlText w:val="■"/>
      <w:lvlJc w:val="left"/>
      <w:pPr>
        <w:tabs>
          <w:tab w:val="num" w:pos="0"/>
        </w:tabs>
        <w:ind w:left="4320" w:hanging="360"/>
      </w:pPr>
      <w:rPr>
        <w:rFonts w:ascii="OpenSymbol" w:hAnsi="OpenSymbol" w:cs="OpenSymbol" w:hint="default"/>
        <w:u w:val="none"/>
      </w:rPr>
    </w:lvl>
    <w:lvl w:ilvl="6">
      <w:start w:val="1"/>
      <w:numFmt w:val="bullet"/>
      <w:lvlText w:val=""/>
      <w:lvlJc w:val="left"/>
      <w:pPr>
        <w:tabs>
          <w:tab w:val="num" w:pos="0"/>
        </w:tabs>
        <w:ind w:left="5040" w:hanging="360"/>
      </w:pPr>
      <w:rPr>
        <w:rFonts w:ascii="Wingdings" w:hAnsi="Wingdings" w:cs="Wingdings" w:hint="default"/>
        <w:u w:val="none"/>
      </w:rPr>
    </w:lvl>
    <w:lvl w:ilvl="7">
      <w:start w:val="1"/>
      <w:numFmt w:val="bullet"/>
      <w:lvlText w:val=""/>
      <w:lvlJc w:val="left"/>
      <w:pPr>
        <w:tabs>
          <w:tab w:val="num" w:pos="0"/>
        </w:tabs>
        <w:ind w:left="5760" w:hanging="360"/>
      </w:pPr>
      <w:rPr>
        <w:rFonts w:ascii="Wingdings 2" w:hAnsi="Wingdings 2" w:cs="Wingdings 2" w:hint="default"/>
        <w:u w:val="none"/>
      </w:rPr>
    </w:lvl>
    <w:lvl w:ilvl="8">
      <w:start w:val="1"/>
      <w:numFmt w:val="bullet"/>
      <w:lvlText w:val="■"/>
      <w:lvlJc w:val="left"/>
      <w:pPr>
        <w:tabs>
          <w:tab w:val="num" w:pos="0"/>
        </w:tabs>
        <w:ind w:left="6480" w:hanging="360"/>
      </w:pPr>
      <w:rPr>
        <w:rFonts w:ascii="OpenSymbol" w:hAnsi="OpenSymbol" w:cs="OpenSymbol" w:hint="default"/>
        <w:u w:val="none"/>
      </w:rPr>
    </w:lvl>
  </w:abstractNum>
  <w:abstractNum w:abstractNumId="4">
    <w:lvl w:ilvl="0">
      <w:start w:val="1"/>
      <w:numFmt w:val="bullet"/>
      <w:lvlText w:val=""/>
      <w:lvlJc w:val="left"/>
      <w:pPr>
        <w:tabs>
          <w:tab w:val="num" w:pos="0"/>
        </w:tabs>
        <w:ind w:left="720" w:hanging="360"/>
      </w:pPr>
      <w:rPr>
        <w:rFonts w:ascii="Wingdings" w:hAnsi="Wingdings" w:cs="Wingdings" w:hint="default"/>
        <w:u w:val="none"/>
      </w:rPr>
    </w:lvl>
    <w:lvl w:ilvl="1">
      <w:start w:val="1"/>
      <w:numFmt w:val="bullet"/>
      <w:lvlText w:val=""/>
      <w:lvlJc w:val="left"/>
      <w:pPr>
        <w:tabs>
          <w:tab w:val="num" w:pos="0"/>
        </w:tabs>
        <w:ind w:left="1440" w:hanging="360"/>
      </w:pPr>
      <w:rPr>
        <w:rFonts w:ascii="Wingdings 2" w:hAnsi="Wingdings 2" w:cs="Wingdings 2" w:hint="default"/>
        <w:u w:val="none"/>
      </w:rPr>
    </w:lvl>
    <w:lvl w:ilvl="2">
      <w:start w:val="1"/>
      <w:numFmt w:val="bullet"/>
      <w:lvlText w:val="■"/>
      <w:lvlJc w:val="left"/>
      <w:pPr>
        <w:tabs>
          <w:tab w:val="num" w:pos="0"/>
        </w:tabs>
        <w:ind w:left="2160" w:hanging="360"/>
      </w:pPr>
      <w:rPr>
        <w:rFonts w:ascii="OpenSymbol" w:hAnsi="OpenSymbol" w:cs="OpenSymbol" w:hint="default"/>
        <w:u w:val="none"/>
      </w:rPr>
    </w:lvl>
    <w:lvl w:ilvl="3">
      <w:start w:val="1"/>
      <w:numFmt w:val="bullet"/>
      <w:lvlText w:val=""/>
      <w:lvlJc w:val="left"/>
      <w:pPr>
        <w:tabs>
          <w:tab w:val="num" w:pos="0"/>
        </w:tabs>
        <w:ind w:left="2880" w:hanging="360"/>
      </w:pPr>
      <w:rPr>
        <w:rFonts w:ascii="Wingdings" w:hAnsi="Wingdings" w:cs="Wingdings" w:hint="default"/>
        <w:u w:val="none"/>
      </w:rPr>
    </w:lvl>
    <w:lvl w:ilvl="4">
      <w:start w:val="1"/>
      <w:numFmt w:val="bullet"/>
      <w:lvlText w:val=""/>
      <w:lvlJc w:val="left"/>
      <w:pPr>
        <w:tabs>
          <w:tab w:val="num" w:pos="0"/>
        </w:tabs>
        <w:ind w:left="3600" w:hanging="360"/>
      </w:pPr>
      <w:rPr>
        <w:rFonts w:ascii="Wingdings 2" w:hAnsi="Wingdings 2" w:cs="Wingdings 2" w:hint="default"/>
        <w:u w:val="none"/>
      </w:rPr>
    </w:lvl>
    <w:lvl w:ilvl="5">
      <w:start w:val="1"/>
      <w:numFmt w:val="bullet"/>
      <w:lvlText w:val="■"/>
      <w:lvlJc w:val="left"/>
      <w:pPr>
        <w:tabs>
          <w:tab w:val="num" w:pos="0"/>
        </w:tabs>
        <w:ind w:left="4320" w:hanging="360"/>
      </w:pPr>
      <w:rPr>
        <w:rFonts w:ascii="OpenSymbol" w:hAnsi="OpenSymbol" w:cs="OpenSymbol" w:hint="default"/>
        <w:u w:val="none"/>
      </w:rPr>
    </w:lvl>
    <w:lvl w:ilvl="6">
      <w:start w:val="1"/>
      <w:numFmt w:val="bullet"/>
      <w:lvlText w:val=""/>
      <w:lvlJc w:val="left"/>
      <w:pPr>
        <w:tabs>
          <w:tab w:val="num" w:pos="0"/>
        </w:tabs>
        <w:ind w:left="5040" w:hanging="360"/>
      </w:pPr>
      <w:rPr>
        <w:rFonts w:ascii="Wingdings" w:hAnsi="Wingdings" w:cs="Wingdings" w:hint="default"/>
        <w:u w:val="none"/>
      </w:rPr>
    </w:lvl>
    <w:lvl w:ilvl="7">
      <w:start w:val="1"/>
      <w:numFmt w:val="bullet"/>
      <w:lvlText w:val=""/>
      <w:lvlJc w:val="left"/>
      <w:pPr>
        <w:tabs>
          <w:tab w:val="num" w:pos="0"/>
        </w:tabs>
        <w:ind w:left="5760" w:hanging="360"/>
      </w:pPr>
      <w:rPr>
        <w:rFonts w:ascii="Wingdings 2" w:hAnsi="Wingdings 2" w:cs="Wingdings 2" w:hint="default"/>
        <w:u w:val="none"/>
      </w:rPr>
    </w:lvl>
    <w:lvl w:ilvl="8">
      <w:start w:val="1"/>
      <w:numFmt w:val="bullet"/>
      <w:lvlText w:val="■"/>
      <w:lvlJc w:val="left"/>
      <w:pPr>
        <w:tabs>
          <w:tab w:val="num" w:pos="0"/>
        </w:tabs>
        <w:ind w:left="6480" w:hanging="360"/>
      </w:pPr>
      <w:rPr>
        <w:rFonts w:ascii="OpenSymbol" w:hAnsi="OpenSymbol" w:cs="OpenSymbol" w:hint="default"/>
        <w:u w:val="none"/>
      </w:rPr>
    </w:lvl>
  </w:abstractNum>
  <w:abstractNum w:abstractNumId="5">
    <w:lvl w:ilvl="0">
      <w:start w:val="1"/>
      <w:numFmt w:val="bullet"/>
      <w:lvlText w:val=""/>
      <w:lvlJc w:val="left"/>
      <w:pPr>
        <w:tabs>
          <w:tab w:val="num" w:pos="0"/>
        </w:tabs>
        <w:ind w:left="720" w:hanging="360"/>
      </w:pPr>
      <w:rPr>
        <w:rFonts w:ascii="Wingdings" w:hAnsi="Wingdings" w:cs="Wingdings" w:hint="default"/>
        <w:u w:val="none"/>
      </w:rPr>
    </w:lvl>
    <w:lvl w:ilvl="1">
      <w:start w:val="1"/>
      <w:numFmt w:val="bullet"/>
      <w:lvlText w:val=""/>
      <w:lvlJc w:val="left"/>
      <w:pPr>
        <w:tabs>
          <w:tab w:val="num" w:pos="0"/>
        </w:tabs>
        <w:ind w:left="1440" w:hanging="360"/>
      </w:pPr>
      <w:rPr>
        <w:rFonts w:ascii="Wingdings 2" w:hAnsi="Wingdings 2" w:cs="Wingdings 2" w:hint="default"/>
        <w:u w:val="none"/>
      </w:rPr>
    </w:lvl>
    <w:lvl w:ilvl="2">
      <w:start w:val="1"/>
      <w:numFmt w:val="bullet"/>
      <w:lvlText w:val="■"/>
      <w:lvlJc w:val="left"/>
      <w:pPr>
        <w:tabs>
          <w:tab w:val="num" w:pos="0"/>
        </w:tabs>
        <w:ind w:left="2160" w:hanging="360"/>
      </w:pPr>
      <w:rPr>
        <w:rFonts w:ascii="OpenSymbol" w:hAnsi="OpenSymbol" w:cs="OpenSymbol" w:hint="default"/>
        <w:u w:val="none"/>
      </w:rPr>
    </w:lvl>
    <w:lvl w:ilvl="3">
      <w:start w:val="1"/>
      <w:numFmt w:val="bullet"/>
      <w:lvlText w:val=""/>
      <w:lvlJc w:val="left"/>
      <w:pPr>
        <w:tabs>
          <w:tab w:val="num" w:pos="0"/>
        </w:tabs>
        <w:ind w:left="2880" w:hanging="360"/>
      </w:pPr>
      <w:rPr>
        <w:rFonts w:ascii="Wingdings" w:hAnsi="Wingdings" w:cs="Wingdings" w:hint="default"/>
        <w:u w:val="none"/>
      </w:rPr>
    </w:lvl>
    <w:lvl w:ilvl="4">
      <w:start w:val="1"/>
      <w:numFmt w:val="bullet"/>
      <w:lvlText w:val=""/>
      <w:lvlJc w:val="left"/>
      <w:pPr>
        <w:tabs>
          <w:tab w:val="num" w:pos="0"/>
        </w:tabs>
        <w:ind w:left="3600" w:hanging="360"/>
      </w:pPr>
      <w:rPr>
        <w:rFonts w:ascii="Wingdings 2" w:hAnsi="Wingdings 2" w:cs="Wingdings 2" w:hint="default"/>
        <w:u w:val="none"/>
      </w:rPr>
    </w:lvl>
    <w:lvl w:ilvl="5">
      <w:start w:val="1"/>
      <w:numFmt w:val="bullet"/>
      <w:lvlText w:val="■"/>
      <w:lvlJc w:val="left"/>
      <w:pPr>
        <w:tabs>
          <w:tab w:val="num" w:pos="0"/>
        </w:tabs>
        <w:ind w:left="4320" w:hanging="360"/>
      </w:pPr>
      <w:rPr>
        <w:rFonts w:ascii="OpenSymbol" w:hAnsi="OpenSymbol" w:cs="OpenSymbol" w:hint="default"/>
        <w:u w:val="none"/>
      </w:rPr>
    </w:lvl>
    <w:lvl w:ilvl="6">
      <w:start w:val="1"/>
      <w:numFmt w:val="bullet"/>
      <w:lvlText w:val=""/>
      <w:lvlJc w:val="left"/>
      <w:pPr>
        <w:tabs>
          <w:tab w:val="num" w:pos="0"/>
        </w:tabs>
        <w:ind w:left="5040" w:hanging="360"/>
      </w:pPr>
      <w:rPr>
        <w:rFonts w:ascii="Wingdings" w:hAnsi="Wingdings" w:cs="Wingdings" w:hint="default"/>
        <w:u w:val="none"/>
      </w:rPr>
    </w:lvl>
    <w:lvl w:ilvl="7">
      <w:start w:val="1"/>
      <w:numFmt w:val="bullet"/>
      <w:lvlText w:val=""/>
      <w:lvlJc w:val="left"/>
      <w:pPr>
        <w:tabs>
          <w:tab w:val="num" w:pos="0"/>
        </w:tabs>
        <w:ind w:left="5760" w:hanging="360"/>
      </w:pPr>
      <w:rPr>
        <w:rFonts w:ascii="Wingdings 2" w:hAnsi="Wingdings 2" w:cs="Wingdings 2" w:hint="default"/>
        <w:u w:val="none"/>
      </w:rPr>
    </w:lvl>
    <w:lvl w:ilvl="8">
      <w:start w:val="1"/>
      <w:numFmt w:val="bullet"/>
      <w:lvlText w:val="■"/>
      <w:lvlJc w:val="left"/>
      <w:pPr>
        <w:tabs>
          <w:tab w:val="num" w:pos="0"/>
        </w:tabs>
        <w:ind w:left="6480" w:hanging="360"/>
      </w:pPr>
      <w:rPr>
        <w:rFonts w:ascii="OpenSymbol" w:hAnsi="OpenSymbol" w:cs="OpenSymbol" w:hint="default"/>
        <w:u w:val="none"/>
      </w:rPr>
    </w:lvl>
  </w:abstractNum>
  <w:abstractNum w:abstractNumId="6">
    <w:lvl w:ilvl="0">
      <w:start w:val="1"/>
      <w:numFmt w:val="bullet"/>
      <w:lvlText w:val=""/>
      <w:lvlJc w:val="left"/>
      <w:pPr>
        <w:tabs>
          <w:tab w:val="num" w:pos="0"/>
        </w:tabs>
        <w:ind w:left="720" w:hanging="360"/>
      </w:pPr>
      <w:rPr>
        <w:rFonts w:ascii="Wingdings" w:hAnsi="Wingdings" w:cs="Wingdings" w:hint="default"/>
        <w:u w:val="none"/>
      </w:rPr>
    </w:lvl>
    <w:lvl w:ilvl="1">
      <w:start w:val="1"/>
      <w:numFmt w:val="bullet"/>
      <w:lvlText w:val=""/>
      <w:lvlJc w:val="left"/>
      <w:pPr>
        <w:tabs>
          <w:tab w:val="num" w:pos="0"/>
        </w:tabs>
        <w:ind w:left="1440" w:hanging="360"/>
      </w:pPr>
      <w:rPr>
        <w:rFonts w:ascii="Wingdings 2" w:hAnsi="Wingdings 2" w:cs="Wingdings 2" w:hint="default"/>
        <w:u w:val="none"/>
      </w:rPr>
    </w:lvl>
    <w:lvl w:ilvl="2">
      <w:start w:val="1"/>
      <w:numFmt w:val="bullet"/>
      <w:lvlText w:val="■"/>
      <w:lvlJc w:val="left"/>
      <w:pPr>
        <w:tabs>
          <w:tab w:val="num" w:pos="0"/>
        </w:tabs>
        <w:ind w:left="2160" w:hanging="360"/>
      </w:pPr>
      <w:rPr>
        <w:rFonts w:ascii="OpenSymbol" w:hAnsi="OpenSymbol" w:cs="OpenSymbol" w:hint="default"/>
        <w:u w:val="none"/>
      </w:rPr>
    </w:lvl>
    <w:lvl w:ilvl="3">
      <w:start w:val="1"/>
      <w:numFmt w:val="bullet"/>
      <w:lvlText w:val=""/>
      <w:lvlJc w:val="left"/>
      <w:pPr>
        <w:tabs>
          <w:tab w:val="num" w:pos="0"/>
        </w:tabs>
        <w:ind w:left="2880" w:hanging="360"/>
      </w:pPr>
      <w:rPr>
        <w:rFonts w:ascii="Wingdings" w:hAnsi="Wingdings" w:cs="Wingdings" w:hint="default"/>
        <w:u w:val="none"/>
      </w:rPr>
    </w:lvl>
    <w:lvl w:ilvl="4">
      <w:start w:val="1"/>
      <w:numFmt w:val="bullet"/>
      <w:lvlText w:val=""/>
      <w:lvlJc w:val="left"/>
      <w:pPr>
        <w:tabs>
          <w:tab w:val="num" w:pos="0"/>
        </w:tabs>
        <w:ind w:left="3600" w:hanging="360"/>
      </w:pPr>
      <w:rPr>
        <w:rFonts w:ascii="Wingdings 2" w:hAnsi="Wingdings 2" w:cs="Wingdings 2" w:hint="default"/>
        <w:u w:val="none"/>
      </w:rPr>
    </w:lvl>
    <w:lvl w:ilvl="5">
      <w:start w:val="1"/>
      <w:numFmt w:val="bullet"/>
      <w:lvlText w:val="■"/>
      <w:lvlJc w:val="left"/>
      <w:pPr>
        <w:tabs>
          <w:tab w:val="num" w:pos="0"/>
        </w:tabs>
        <w:ind w:left="4320" w:hanging="360"/>
      </w:pPr>
      <w:rPr>
        <w:rFonts w:ascii="OpenSymbol" w:hAnsi="OpenSymbol" w:cs="OpenSymbol" w:hint="default"/>
        <w:u w:val="none"/>
      </w:rPr>
    </w:lvl>
    <w:lvl w:ilvl="6">
      <w:start w:val="1"/>
      <w:numFmt w:val="bullet"/>
      <w:lvlText w:val=""/>
      <w:lvlJc w:val="left"/>
      <w:pPr>
        <w:tabs>
          <w:tab w:val="num" w:pos="0"/>
        </w:tabs>
        <w:ind w:left="5040" w:hanging="360"/>
      </w:pPr>
      <w:rPr>
        <w:rFonts w:ascii="Wingdings" w:hAnsi="Wingdings" w:cs="Wingdings" w:hint="default"/>
        <w:u w:val="none"/>
      </w:rPr>
    </w:lvl>
    <w:lvl w:ilvl="7">
      <w:start w:val="1"/>
      <w:numFmt w:val="bullet"/>
      <w:lvlText w:val=""/>
      <w:lvlJc w:val="left"/>
      <w:pPr>
        <w:tabs>
          <w:tab w:val="num" w:pos="0"/>
        </w:tabs>
        <w:ind w:left="5760" w:hanging="360"/>
      </w:pPr>
      <w:rPr>
        <w:rFonts w:ascii="Wingdings 2" w:hAnsi="Wingdings 2" w:cs="Wingdings 2" w:hint="default"/>
        <w:u w:val="none"/>
      </w:rPr>
    </w:lvl>
    <w:lvl w:ilvl="8">
      <w:start w:val="1"/>
      <w:numFmt w:val="bullet"/>
      <w:lvlText w:val="■"/>
      <w:lvlJc w:val="left"/>
      <w:pPr>
        <w:tabs>
          <w:tab w:val="num" w:pos="0"/>
        </w:tabs>
        <w:ind w:left="6480" w:hanging="360"/>
      </w:pPr>
      <w:rPr>
        <w:rFonts w:ascii="OpenSymbol" w:hAnsi="OpenSymbol" w:cs="OpenSymbol" w:hint="default"/>
        <w:u w:val="none"/>
      </w:rPr>
    </w:lvl>
  </w:abstractNum>
  <w:abstractNum w:abstractNumId="7">
    <w:lvl w:ilvl="0">
      <w:start w:val="1"/>
      <w:numFmt w:val="bullet"/>
      <w:lvlText w:val=""/>
      <w:lvlJc w:val="left"/>
      <w:pPr>
        <w:tabs>
          <w:tab w:val="num" w:pos="0"/>
        </w:tabs>
        <w:ind w:left="720" w:hanging="360"/>
      </w:pPr>
      <w:rPr>
        <w:rFonts w:ascii="Wingdings" w:hAnsi="Wingdings" w:cs="Wingdings" w:hint="default"/>
        <w:u w:val="none"/>
      </w:rPr>
    </w:lvl>
    <w:lvl w:ilvl="1">
      <w:start w:val="1"/>
      <w:numFmt w:val="bullet"/>
      <w:lvlText w:val=""/>
      <w:lvlJc w:val="left"/>
      <w:pPr>
        <w:tabs>
          <w:tab w:val="num" w:pos="0"/>
        </w:tabs>
        <w:ind w:left="1440" w:hanging="360"/>
      </w:pPr>
      <w:rPr>
        <w:rFonts w:ascii="Wingdings 2" w:hAnsi="Wingdings 2" w:cs="Wingdings 2" w:hint="default"/>
        <w:u w:val="none"/>
      </w:rPr>
    </w:lvl>
    <w:lvl w:ilvl="2">
      <w:start w:val="1"/>
      <w:numFmt w:val="bullet"/>
      <w:lvlText w:val="■"/>
      <w:lvlJc w:val="left"/>
      <w:pPr>
        <w:tabs>
          <w:tab w:val="num" w:pos="0"/>
        </w:tabs>
        <w:ind w:left="2160" w:hanging="360"/>
      </w:pPr>
      <w:rPr>
        <w:rFonts w:ascii="OpenSymbol" w:hAnsi="OpenSymbol" w:cs="OpenSymbol" w:hint="default"/>
        <w:u w:val="none"/>
      </w:rPr>
    </w:lvl>
    <w:lvl w:ilvl="3">
      <w:start w:val="1"/>
      <w:numFmt w:val="bullet"/>
      <w:lvlText w:val=""/>
      <w:lvlJc w:val="left"/>
      <w:pPr>
        <w:tabs>
          <w:tab w:val="num" w:pos="0"/>
        </w:tabs>
        <w:ind w:left="2880" w:hanging="360"/>
      </w:pPr>
      <w:rPr>
        <w:rFonts w:ascii="Wingdings" w:hAnsi="Wingdings" w:cs="Wingdings" w:hint="default"/>
        <w:u w:val="none"/>
      </w:rPr>
    </w:lvl>
    <w:lvl w:ilvl="4">
      <w:start w:val="1"/>
      <w:numFmt w:val="bullet"/>
      <w:lvlText w:val=""/>
      <w:lvlJc w:val="left"/>
      <w:pPr>
        <w:tabs>
          <w:tab w:val="num" w:pos="0"/>
        </w:tabs>
        <w:ind w:left="3600" w:hanging="360"/>
      </w:pPr>
      <w:rPr>
        <w:rFonts w:ascii="Wingdings 2" w:hAnsi="Wingdings 2" w:cs="Wingdings 2" w:hint="default"/>
        <w:u w:val="none"/>
      </w:rPr>
    </w:lvl>
    <w:lvl w:ilvl="5">
      <w:start w:val="1"/>
      <w:numFmt w:val="bullet"/>
      <w:lvlText w:val="■"/>
      <w:lvlJc w:val="left"/>
      <w:pPr>
        <w:tabs>
          <w:tab w:val="num" w:pos="0"/>
        </w:tabs>
        <w:ind w:left="4320" w:hanging="360"/>
      </w:pPr>
      <w:rPr>
        <w:rFonts w:ascii="OpenSymbol" w:hAnsi="OpenSymbol" w:cs="OpenSymbol" w:hint="default"/>
        <w:u w:val="none"/>
      </w:rPr>
    </w:lvl>
    <w:lvl w:ilvl="6">
      <w:start w:val="1"/>
      <w:numFmt w:val="bullet"/>
      <w:lvlText w:val=""/>
      <w:lvlJc w:val="left"/>
      <w:pPr>
        <w:tabs>
          <w:tab w:val="num" w:pos="0"/>
        </w:tabs>
        <w:ind w:left="5040" w:hanging="360"/>
      </w:pPr>
      <w:rPr>
        <w:rFonts w:ascii="Wingdings" w:hAnsi="Wingdings" w:cs="Wingdings" w:hint="default"/>
        <w:u w:val="none"/>
      </w:rPr>
    </w:lvl>
    <w:lvl w:ilvl="7">
      <w:start w:val="1"/>
      <w:numFmt w:val="bullet"/>
      <w:lvlText w:val=""/>
      <w:lvlJc w:val="left"/>
      <w:pPr>
        <w:tabs>
          <w:tab w:val="num" w:pos="0"/>
        </w:tabs>
        <w:ind w:left="5760" w:hanging="360"/>
      </w:pPr>
      <w:rPr>
        <w:rFonts w:ascii="Wingdings 2" w:hAnsi="Wingdings 2" w:cs="Wingdings 2" w:hint="default"/>
        <w:u w:val="none"/>
      </w:rPr>
    </w:lvl>
    <w:lvl w:ilvl="8">
      <w:start w:val="1"/>
      <w:numFmt w:val="bullet"/>
      <w:lvlText w:val="■"/>
      <w:lvlJc w:val="left"/>
      <w:pPr>
        <w:tabs>
          <w:tab w:val="num" w:pos="0"/>
        </w:tabs>
        <w:ind w:left="6480" w:hanging="360"/>
      </w:pPr>
      <w:rPr>
        <w:rFonts w:ascii="OpenSymbol" w:hAnsi="OpenSymbol" w:cs="OpenSymbol" w:hint="default"/>
        <w:u w:val="none"/>
      </w:rPr>
    </w:lvl>
  </w:abstractNum>
  <w:abstractNum w:abstractNumId="8">
    <w:lvl w:ilvl="0">
      <w:start w:val="1"/>
      <w:numFmt w:val="bullet"/>
      <w:lvlText w:val=""/>
      <w:lvlJc w:val="left"/>
      <w:pPr>
        <w:tabs>
          <w:tab w:val="num" w:pos="0"/>
        </w:tabs>
        <w:ind w:left="720" w:hanging="360"/>
      </w:pPr>
      <w:rPr>
        <w:rFonts w:ascii="Wingdings" w:hAnsi="Wingdings" w:cs="Wingdings" w:hint="default"/>
        <w:u w:val="none"/>
      </w:rPr>
    </w:lvl>
    <w:lvl w:ilvl="1">
      <w:start w:val="1"/>
      <w:numFmt w:val="bullet"/>
      <w:lvlText w:val=""/>
      <w:lvlJc w:val="left"/>
      <w:pPr>
        <w:tabs>
          <w:tab w:val="num" w:pos="0"/>
        </w:tabs>
        <w:ind w:left="1440" w:hanging="360"/>
      </w:pPr>
      <w:rPr>
        <w:rFonts w:ascii="Wingdings 2" w:hAnsi="Wingdings 2" w:cs="Wingdings 2" w:hint="default"/>
        <w:u w:val="none"/>
      </w:rPr>
    </w:lvl>
    <w:lvl w:ilvl="2">
      <w:start w:val="1"/>
      <w:numFmt w:val="bullet"/>
      <w:lvlText w:val="■"/>
      <w:lvlJc w:val="left"/>
      <w:pPr>
        <w:tabs>
          <w:tab w:val="num" w:pos="0"/>
        </w:tabs>
        <w:ind w:left="2160" w:hanging="360"/>
      </w:pPr>
      <w:rPr>
        <w:rFonts w:ascii="OpenSymbol" w:hAnsi="OpenSymbol" w:cs="OpenSymbol" w:hint="default"/>
        <w:u w:val="none"/>
      </w:rPr>
    </w:lvl>
    <w:lvl w:ilvl="3">
      <w:start w:val="1"/>
      <w:numFmt w:val="bullet"/>
      <w:lvlText w:val=""/>
      <w:lvlJc w:val="left"/>
      <w:pPr>
        <w:tabs>
          <w:tab w:val="num" w:pos="0"/>
        </w:tabs>
        <w:ind w:left="2880" w:hanging="360"/>
      </w:pPr>
      <w:rPr>
        <w:rFonts w:ascii="Wingdings" w:hAnsi="Wingdings" w:cs="Wingdings" w:hint="default"/>
        <w:u w:val="none"/>
      </w:rPr>
    </w:lvl>
    <w:lvl w:ilvl="4">
      <w:start w:val="1"/>
      <w:numFmt w:val="bullet"/>
      <w:lvlText w:val=""/>
      <w:lvlJc w:val="left"/>
      <w:pPr>
        <w:tabs>
          <w:tab w:val="num" w:pos="0"/>
        </w:tabs>
        <w:ind w:left="3600" w:hanging="360"/>
      </w:pPr>
      <w:rPr>
        <w:rFonts w:ascii="Wingdings 2" w:hAnsi="Wingdings 2" w:cs="Wingdings 2" w:hint="default"/>
        <w:u w:val="none"/>
      </w:rPr>
    </w:lvl>
    <w:lvl w:ilvl="5">
      <w:start w:val="1"/>
      <w:numFmt w:val="bullet"/>
      <w:lvlText w:val="■"/>
      <w:lvlJc w:val="left"/>
      <w:pPr>
        <w:tabs>
          <w:tab w:val="num" w:pos="0"/>
        </w:tabs>
        <w:ind w:left="4320" w:hanging="360"/>
      </w:pPr>
      <w:rPr>
        <w:rFonts w:ascii="OpenSymbol" w:hAnsi="OpenSymbol" w:cs="OpenSymbol" w:hint="default"/>
        <w:u w:val="none"/>
      </w:rPr>
    </w:lvl>
    <w:lvl w:ilvl="6">
      <w:start w:val="1"/>
      <w:numFmt w:val="bullet"/>
      <w:lvlText w:val=""/>
      <w:lvlJc w:val="left"/>
      <w:pPr>
        <w:tabs>
          <w:tab w:val="num" w:pos="0"/>
        </w:tabs>
        <w:ind w:left="5040" w:hanging="360"/>
      </w:pPr>
      <w:rPr>
        <w:rFonts w:ascii="Wingdings" w:hAnsi="Wingdings" w:cs="Wingdings" w:hint="default"/>
        <w:u w:val="none"/>
      </w:rPr>
    </w:lvl>
    <w:lvl w:ilvl="7">
      <w:start w:val="1"/>
      <w:numFmt w:val="bullet"/>
      <w:lvlText w:val=""/>
      <w:lvlJc w:val="left"/>
      <w:pPr>
        <w:tabs>
          <w:tab w:val="num" w:pos="0"/>
        </w:tabs>
        <w:ind w:left="5760" w:hanging="360"/>
      </w:pPr>
      <w:rPr>
        <w:rFonts w:ascii="Wingdings 2" w:hAnsi="Wingdings 2" w:cs="Wingdings 2" w:hint="default"/>
        <w:u w:val="none"/>
      </w:rPr>
    </w:lvl>
    <w:lvl w:ilvl="8">
      <w:start w:val="1"/>
      <w:numFmt w:val="bullet"/>
      <w:lvlText w:val="■"/>
      <w:lvlJc w:val="left"/>
      <w:pPr>
        <w:tabs>
          <w:tab w:val="num" w:pos="0"/>
        </w:tabs>
        <w:ind w:left="6480" w:hanging="360"/>
      </w:pPr>
      <w:rPr>
        <w:rFonts w:ascii="OpenSymbol" w:hAnsi="OpenSymbol" w:cs="OpenSymbol" w:hint="default"/>
        <w:u w:val="none"/>
      </w:rPr>
    </w:lvl>
  </w:abstractNum>
  <w:abstractNum w:abstractNumId="9">
    <w:lvl w:ilvl="0">
      <w:start w:val="1"/>
      <w:numFmt w:val="bullet"/>
      <w:lvlText w:val=""/>
      <w:lvlJc w:val="left"/>
      <w:pPr>
        <w:tabs>
          <w:tab w:val="num" w:pos="0"/>
        </w:tabs>
        <w:ind w:left="720" w:hanging="360"/>
      </w:pPr>
      <w:rPr>
        <w:rFonts w:ascii="Wingdings" w:hAnsi="Wingdings" w:cs="Wingdings" w:hint="default"/>
        <w:u w:val="none"/>
      </w:rPr>
    </w:lvl>
    <w:lvl w:ilvl="1">
      <w:start w:val="1"/>
      <w:numFmt w:val="bullet"/>
      <w:lvlText w:val=""/>
      <w:lvlJc w:val="left"/>
      <w:pPr>
        <w:tabs>
          <w:tab w:val="num" w:pos="0"/>
        </w:tabs>
        <w:ind w:left="1440" w:hanging="360"/>
      </w:pPr>
      <w:rPr>
        <w:rFonts w:ascii="Wingdings 2" w:hAnsi="Wingdings 2" w:cs="Wingdings 2" w:hint="default"/>
        <w:u w:val="none"/>
      </w:rPr>
    </w:lvl>
    <w:lvl w:ilvl="2">
      <w:start w:val="1"/>
      <w:numFmt w:val="bullet"/>
      <w:lvlText w:val="■"/>
      <w:lvlJc w:val="left"/>
      <w:pPr>
        <w:tabs>
          <w:tab w:val="num" w:pos="0"/>
        </w:tabs>
        <w:ind w:left="2160" w:hanging="360"/>
      </w:pPr>
      <w:rPr>
        <w:rFonts w:ascii="OpenSymbol" w:hAnsi="OpenSymbol" w:cs="OpenSymbol" w:hint="default"/>
        <w:u w:val="none"/>
      </w:rPr>
    </w:lvl>
    <w:lvl w:ilvl="3">
      <w:start w:val="1"/>
      <w:numFmt w:val="bullet"/>
      <w:lvlText w:val=""/>
      <w:lvlJc w:val="left"/>
      <w:pPr>
        <w:tabs>
          <w:tab w:val="num" w:pos="0"/>
        </w:tabs>
        <w:ind w:left="2880" w:hanging="360"/>
      </w:pPr>
      <w:rPr>
        <w:rFonts w:ascii="Wingdings" w:hAnsi="Wingdings" w:cs="Wingdings" w:hint="default"/>
        <w:u w:val="none"/>
      </w:rPr>
    </w:lvl>
    <w:lvl w:ilvl="4">
      <w:start w:val="1"/>
      <w:numFmt w:val="bullet"/>
      <w:lvlText w:val=""/>
      <w:lvlJc w:val="left"/>
      <w:pPr>
        <w:tabs>
          <w:tab w:val="num" w:pos="0"/>
        </w:tabs>
        <w:ind w:left="3600" w:hanging="360"/>
      </w:pPr>
      <w:rPr>
        <w:rFonts w:ascii="Wingdings 2" w:hAnsi="Wingdings 2" w:cs="Wingdings 2" w:hint="default"/>
        <w:u w:val="none"/>
      </w:rPr>
    </w:lvl>
    <w:lvl w:ilvl="5">
      <w:start w:val="1"/>
      <w:numFmt w:val="bullet"/>
      <w:lvlText w:val="■"/>
      <w:lvlJc w:val="left"/>
      <w:pPr>
        <w:tabs>
          <w:tab w:val="num" w:pos="0"/>
        </w:tabs>
        <w:ind w:left="4320" w:hanging="360"/>
      </w:pPr>
      <w:rPr>
        <w:rFonts w:ascii="OpenSymbol" w:hAnsi="OpenSymbol" w:cs="OpenSymbol" w:hint="default"/>
        <w:u w:val="none"/>
      </w:rPr>
    </w:lvl>
    <w:lvl w:ilvl="6">
      <w:start w:val="1"/>
      <w:numFmt w:val="bullet"/>
      <w:lvlText w:val=""/>
      <w:lvlJc w:val="left"/>
      <w:pPr>
        <w:tabs>
          <w:tab w:val="num" w:pos="0"/>
        </w:tabs>
        <w:ind w:left="5040" w:hanging="360"/>
      </w:pPr>
      <w:rPr>
        <w:rFonts w:ascii="Wingdings" w:hAnsi="Wingdings" w:cs="Wingdings" w:hint="default"/>
        <w:u w:val="none"/>
      </w:rPr>
    </w:lvl>
    <w:lvl w:ilvl="7">
      <w:start w:val="1"/>
      <w:numFmt w:val="bullet"/>
      <w:lvlText w:val=""/>
      <w:lvlJc w:val="left"/>
      <w:pPr>
        <w:tabs>
          <w:tab w:val="num" w:pos="0"/>
        </w:tabs>
        <w:ind w:left="5760" w:hanging="360"/>
      </w:pPr>
      <w:rPr>
        <w:rFonts w:ascii="Wingdings 2" w:hAnsi="Wingdings 2" w:cs="Wingdings 2" w:hint="default"/>
        <w:u w:val="none"/>
      </w:rPr>
    </w:lvl>
    <w:lvl w:ilvl="8">
      <w:start w:val="1"/>
      <w:numFmt w:val="bullet"/>
      <w:lvlText w:val="■"/>
      <w:lvlJc w:val="left"/>
      <w:pPr>
        <w:tabs>
          <w:tab w:val="num" w:pos="0"/>
        </w:tabs>
        <w:ind w:left="6480" w:hanging="360"/>
      </w:pPr>
      <w:rPr>
        <w:rFonts w:ascii="OpenSymbol" w:hAnsi="OpenSymbol" w:cs="OpenSymbol" w:hint="default"/>
        <w:u w:val="none"/>
      </w:rPr>
    </w:lvl>
  </w:abstractNum>
  <w:abstractNum w:abstractNumId="10">
    <w:lvl w:ilvl="0">
      <w:start w:val="1"/>
      <w:numFmt w:val="none"/>
      <w:suff w:val="nothing"/>
      <w:lvlText w:val=""/>
      <w:lvlJc w:val="left"/>
      <w:pPr>
        <w:tabs>
          <w:tab w:val="num" w:pos="0"/>
        </w:tabs>
        <w:ind w:left="0" w:hanging="0"/>
      </w:pPr>
    </w:lvl>
    <w:lvl w:ilvl="1">
      <w:start w:val="1"/>
      <w:numFmt w:val="none"/>
      <w:suff w:val="nothing"/>
      <w:lvlText w:val=""/>
      <w:lvlJc w:val="left"/>
      <w:pPr>
        <w:tabs>
          <w:tab w:val="num" w:pos="0"/>
        </w:tabs>
        <w:ind w:left="0" w:hanging="0"/>
      </w:pPr>
    </w:lvl>
    <w:lvl w:ilvl="2">
      <w:start w:val="1"/>
      <w:numFmt w:val="none"/>
      <w:suff w:val="nothing"/>
      <w:lvlText w:val=""/>
      <w:lvlJc w:val="left"/>
      <w:pPr>
        <w:tabs>
          <w:tab w:val="num" w:pos="0"/>
        </w:tabs>
        <w:ind w:left="0" w:hanging="0"/>
      </w:pPr>
    </w:lvl>
    <w:lvl w:ilvl="3">
      <w:start w:val="1"/>
      <w:numFmt w:val="none"/>
      <w:suff w:val="nothing"/>
      <w:lvlText w:val=""/>
      <w:lvlJc w:val="left"/>
      <w:pPr>
        <w:tabs>
          <w:tab w:val="num" w:pos="0"/>
        </w:tabs>
        <w:ind w:left="0" w:hanging="0"/>
      </w:pPr>
    </w:lvl>
    <w:lvl w:ilvl="4">
      <w:start w:val="1"/>
      <w:numFmt w:val="none"/>
      <w:suff w:val="nothing"/>
      <w:lvlText w:val=""/>
      <w:lvlJc w:val="left"/>
      <w:pPr>
        <w:tabs>
          <w:tab w:val="num" w:pos="0"/>
        </w:tabs>
        <w:ind w:left="0" w:hanging="0"/>
      </w:pPr>
    </w:lvl>
    <w:lvl w:ilvl="5">
      <w:start w:val="1"/>
      <w:numFmt w:val="none"/>
      <w:suff w:val="nothing"/>
      <w:lvlText w:val=""/>
      <w:lvlJc w:val="left"/>
      <w:pPr>
        <w:tabs>
          <w:tab w:val="num" w:pos="0"/>
        </w:tabs>
        <w:ind w:left="0" w:hanging="0"/>
      </w:pPr>
    </w:lvl>
    <w:lvl w:ilvl="6">
      <w:start w:val="1"/>
      <w:numFmt w:val="none"/>
      <w:suff w:val="nothing"/>
      <w:lvlText w:val=""/>
      <w:lvlJc w:val="left"/>
      <w:pPr>
        <w:tabs>
          <w:tab w:val="num" w:pos="0"/>
        </w:tabs>
        <w:ind w:left="0" w:hanging="0"/>
      </w:pPr>
    </w:lvl>
    <w:lvl w:ilvl="7">
      <w:start w:val="1"/>
      <w:numFmt w:val="none"/>
      <w:suff w:val="nothing"/>
      <w:lvlText w:val=""/>
      <w:lvlJc w:val="left"/>
      <w:pPr>
        <w:tabs>
          <w:tab w:val="num" w:pos="0"/>
        </w:tabs>
        <w:ind w:left="0" w:hanging="0"/>
      </w:pPr>
    </w:lvl>
    <w:lvl w:ilvl="8">
      <w:start w:val="1"/>
      <w:numFmt w:val="none"/>
      <w:suff w:val="nothing"/>
      <w:lvlText w:val=""/>
      <w:lvlJc w:val="left"/>
      <w:pPr>
        <w:tabs>
          <w:tab w:val="num" w:pos="0"/>
        </w:tabs>
        <w:ind w:left="0" w:hanging="0"/>
      </w:p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bering>
</file>

<file path=word/settings.xml><?xml version="1.0" encoding="utf-8"?>
<w:settings xmlns:w="http://schemas.openxmlformats.org/wordprocessingml/2006/main">
  <w:zoom w:percent="100"/>
  <w:embedTrueTypeFonts/>
  <w:defaultTabStop w:val="720"/>
  <w:autoHyphenation w:val="true"/>
  <w:hyphenationZone w:val="0"/>
  <w:compat>
    <w:compatSetting w:name="compatibilityMode" w:uri="http://schemas.microsoft.com/office/word" w:val="12"/>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themeFontLang w:val="en-IN" w:eastAsia="zh-CN"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Times New Roman" w:hAnsi="Times New Roman" w:eastAsia="Times New Roman" w:cs="Times New Roman"/>
        <w:sz w:val="24"/>
        <w:szCs w:val="24"/>
        <w:lang w:val="en-GB" w:eastAsia="en-IN" w:bidi="ar-SA"/>
      </w:rPr>
    </w:rPrDefault>
    <w:pPrDefault>
      <w:pPr>
        <w:suppressAutoHyphens w:val="true"/>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pPr>
      <w:widowControl/>
      <w:suppressAutoHyphens w:val="true"/>
      <w:bidi w:val="0"/>
      <w:spacing w:lineRule="auto" w:line="360" w:before="0" w:after="0"/>
      <w:jc w:val="both"/>
    </w:pPr>
    <w:rPr>
      <w:rFonts w:ascii="Times New Roman" w:hAnsi="Times New Roman" w:eastAsia="Times New Roman" w:cs="Times New Roman"/>
      <w:color w:val="auto"/>
      <w:kern w:val="0"/>
      <w:sz w:val="24"/>
      <w:szCs w:val="24"/>
      <w:lang w:val="en-GB" w:eastAsia="en-IN" w:bidi="ar-SA"/>
    </w:rPr>
  </w:style>
  <w:style w:type="paragraph" w:styleId="Heading1">
    <w:name w:val="heading 1"/>
    <w:basedOn w:val="Normal"/>
    <w:next w:val="Normal"/>
    <w:uiPriority w:val="9"/>
    <w:qFormat/>
    <w:pPr>
      <w:keepNext w:val="true"/>
      <w:keepLines/>
      <w:outlineLvl w:val="0"/>
    </w:pPr>
    <w:rPr>
      <w:b/>
      <w:bCs/>
      <w:sz w:val="28"/>
      <w:szCs w:val="28"/>
    </w:rPr>
  </w:style>
  <w:style w:type="paragraph" w:styleId="Heading2">
    <w:name w:val="heading 2"/>
    <w:basedOn w:val="Normal"/>
    <w:next w:val="Normal"/>
    <w:uiPriority w:val="9"/>
    <w:unhideWhenUsed/>
    <w:qFormat/>
    <w:pPr>
      <w:keepNext w:val="true"/>
      <w:keepLines/>
      <w:outlineLvl w:val="1"/>
    </w:pPr>
    <w:rPr>
      <w:b/>
      <w:bCs/>
      <w:i/>
      <w:iCs/>
      <w:sz w:val="26"/>
      <w:szCs w:val="26"/>
    </w:rPr>
  </w:style>
  <w:style w:type="paragraph" w:styleId="Heading3">
    <w:name w:val="heading 3"/>
    <w:basedOn w:val="Normal"/>
    <w:next w:val="Normal"/>
    <w:uiPriority w:val="9"/>
    <w:semiHidden/>
    <w:unhideWhenUsed/>
    <w:qFormat/>
    <w:pPr>
      <w:keepNext w:val="true"/>
      <w:keepLines/>
      <w:outlineLvl w:val="2"/>
    </w:pPr>
    <w:rPr>
      <w:b/>
      <w:bCs/>
    </w:rPr>
  </w:style>
  <w:style w:type="paragraph" w:styleId="Heading4">
    <w:name w:val="heading 4"/>
    <w:basedOn w:val="Normal"/>
    <w:next w:val="Normal"/>
    <w:uiPriority w:val="9"/>
    <w:semiHidden/>
    <w:unhideWhenUsed/>
    <w:qFormat/>
    <w:pPr>
      <w:keepNext w:val="true"/>
      <w:keepLines/>
      <w:spacing w:before="280" w:after="80"/>
      <w:outlineLvl w:val="3"/>
    </w:pPr>
    <w:rPr>
      <w:color w:val="666666"/>
    </w:rPr>
  </w:style>
  <w:style w:type="paragraph" w:styleId="Heading5">
    <w:name w:val="heading 5"/>
    <w:basedOn w:val="Normal"/>
    <w:next w:val="Normal"/>
    <w:uiPriority w:val="9"/>
    <w:semiHidden/>
    <w:unhideWhenUsed/>
    <w:qFormat/>
    <w:pPr>
      <w:keepNext w:val="true"/>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val="true"/>
      <w:keepLines/>
      <w:spacing w:before="240" w:after="80"/>
      <w:outlineLvl w:val="5"/>
    </w:pPr>
    <w:rPr>
      <w:i/>
      <w:iCs/>
      <w:color w:val="666666"/>
      <w:sz w:val="22"/>
      <w:szCs w:val="22"/>
    </w:rPr>
  </w:style>
  <w:style w:type="character" w:styleId="DefaultParagraphFont" w:default="1">
    <w:name w:val="Default Paragraph Font"/>
    <w:uiPriority w:val="1"/>
    <w:semiHidden/>
    <w:unhideWhenUsed/>
    <w:qFormat/>
    <w:rPr/>
  </w:style>
  <w:style w:type="character" w:styleId="Hyperlink">
    <w:name w:val="Hyperlink"/>
    <w:basedOn w:val="DefaultParagraphFont"/>
    <w:uiPriority w:val="99"/>
    <w:unhideWhenUsed/>
    <w:rsid w:val="00a1056f"/>
    <w:rPr>
      <w:color w:themeColor="hyperlink" w:val="0000FF"/>
      <w:u w:val="single"/>
    </w:rPr>
  </w:style>
  <w:style w:type="character" w:styleId="HeaderChar" w:customStyle="1">
    <w:name w:val="Header Char"/>
    <w:basedOn w:val="DefaultParagraphFont"/>
    <w:link w:val="Header"/>
    <w:uiPriority w:val="99"/>
    <w:qFormat/>
    <w:rsid w:val="003c50e9"/>
    <w:rPr/>
  </w:style>
  <w:style w:type="character" w:styleId="FooterChar" w:customStyle="1">
    <w:name w:val="Footer Char"/>
    <w:basedOn w:val="DefaultParagraphFont"/>
    <w:link w:val="Footer"/>
    <w:uiPriority w:val="99"/>
    <w:qFormat/>
    <w:rsid w:val="003c50e9"/>
    <w:rPr/>
  </w:style>
  <w:style w:type="character" w:styleId="IndexLink">
    <w:name w:val="Index Link"/>
    <w:qFormat/>
    <w:rPr/>
  </w:style>
  <w:style w:type="paragraph" w:styleId="Heading">
    <w:name w:val="Heading"/>
    <w:basedOn w:val="Normal"/>
    <w:next w:val="BodyText"/>
    <w:qFormat/>
    <w:pPr>
      <w:keepNext w:val="true"/>
      <w:spacing w:before="240" w:after="120"/>
    </w:pPr>
    <w:rPr>
      <w:rFonts w:ascii="Liberation Sans" w:hAnsi="Liberation Sans" w:eastAsia="Liberation Sans" w:cs="Liberation Sans"/>
      <w:sz w:val="28"/>
      <w:szCs w:val="28"/>
    </w:rPr>
  </w:style>
  <w:style w:type="paragraph" w:styleId="BodyText">
    <w:name w:val="Body Text"/>
    <w:basedOn w:val="Normal"/>
    <w:pPr>
      <w:spacing w:lineRule="auto" w:line="276" w:before="0" w:after="140"/>
    </w:pPr>
    <w:rPr/>
  </w:style>
  <w:style w:type="paragraph" w:styleId="List">
    <w:name w:val="List"/>
    <w:basedOn w:val="BodyText"/>
    <w:pPr/>
    <w:rPr/>
  </w:style>
  <w:style w:type="paragraph" w:styleId="Caption">
    <w:name w:val="caption"/>
    <w:basedOn w:val="Normal"/>
    <w:qFormat/>
    <w:pPr>
      <w:suppressLineNumbers/>
      <w:spacing w:before="120" w:after="120"/>
    </w:pPr>
    <w:rPr>
      <w:i/>
      <w:iCs/>
      <w:sz w:val="24"/>
      <w:szCs w:val="24"/>
    </w:rPr>
  </w:style>
  <w:style w:type="paragraph" w:styleId="Index">
    <w:name w:val="Index"/>
    <w:basedOn w:val="Normal"/>
    <w:qFormat/>
    <w:pPr>
      <w:suppressLineNumbers/>
    </w:pPr>
    <w:rPr/>
  </w:style>
  <w:style w:type="paragraph" w:styleId="Title">
    <w:name w:val="Title"/>
    <w:basedOn w:val="Normal"/>
    <w:next w:val="Normal"/>
    <w:uiPriority w:val="10"/>
    <w:qFormat/>
    <w:pPr>
      <w:keepNext w:val="true"/>
      <w:keepLines/>
      <w:spacing w:before="0" w:after="60"/>
    </w:pPr>
    <w:rPr>
      <w:sz w:val="52"/>
      <w:szCs w:val="52"/>
    </w:rPr>
  </w:style>
  <w:style w:type="paragraph" w:styleId="Subtitle">
    <w:name w:val="Subtitle"/>
    <w:basedOn w:val="Normal"/>
    <w:next w:val="Normal"/>
    <w:uiPriority w:val="11"/>
    <w:qFormat/>
    <w:pPr>
      <w:keepNext w:val="true"/>
      <w:keepLines/>
      <w:spacing w:before="0" w:after="320"/>
    </w:pPr>
    <w:rPr>
      <w:rFonts w:ascii="Arial" w:hAnsi="Arial" w:eastAsia="Arial" w:cs="Arial"/>
      <w:color w:val="666666"/>
      <w:sz w:val="30"/>
      <w:szCs w:val="30"/>
    </w:rPr>
  </w:style>
  <w:style w:type="paragraph" w:styleId="TOC1">
    <w:name w:val="toc 1"/>
    <w:basedOn w:val="Normal"/>
    <w:next w:val="Normal"/>
    <w:autoRedefine/>
    <w:uiPriority w:val="39"/>
    <w:unhideWhenUsed/>
    <w:rsid w:val="00a1056f"/>
    <w:pPr>
      <w:spacing w:before="0" w:after="100"/>
    </w:pPr>
    <w:rPr/>
  </w:style>
  <w:style w:type="paragraph" w:styleId="TOC2">
    <w:name w:val="toc 2"/>
    <w:basedOn w:val="Normal"/>
    <w:next w:val="Normal"/>
    <w:autoRedefine/>
    <w:uiPriority w:val="39"/>
    <w:unhideWhenUsed/>
    <w:rsid w:val="00a1056f"/>
    <w:pPr>
      <w:spacing w:before="0" w:after="100"/>
      <w:ind w:left="240"/>
    </w:pPr>
    <w:rPr/>
  </w:style>
  <w:style w:type="paragraph" w:styleId="HeaderandFooter">
    <w:name w:val="Header and Footer"/>
    <w:basedOn w:val="Normal"/>
    <w:qFormat/>
    <w:pPr/>
    <w:rPr/>
  </w:style>
  <w:style w:type="paragraph" w:styleId="Header">
    <w:name w:val="header"/>
    <w:basedOn w:val="Normal"/>
    <w:link w:val="HeaderChar"/>
    <w:uiPriority w:val="99"/>
    <w:unhideWhenUsed/>
    <w:rsid w:val="003c50e9"/>
    <w:pPr>
      <w:tabs>
        <w:tab w:val="clear" w:pos="720"/>
        <w:tab w:val="center" w:pos="4513" w:leader="none"/>
        <w:tab w:val="right" w:pos="9026" w:leader="none"/>
      </w:tabs>
      <w:spacing w:lineRule="auto" w:line="240"/>
    </w:pPr>
    <w:rPr/>
  </w:style>
  <w:style w:type="paragraph" w:styleId="Footer">
    <w:name w:val="footer"/>
    <w:basedOn w:val="Normal"/>
    <w:link w:val="FooterChar"/>
    <w:uiPriority w:val="99"/>
    <w:unhideWhenUsed/>
    <w:rsid w:val="003c50e9"/>
    <w:pPr>
      <w:tabs>
        <w:tab w:val="clear" w:pos="720"/>
        <w:tab w:val="center" w:pos="4513" w:leader="none"/>
        <w:tab w:val="right" w:pos="9026" w:leader="none"/>
      </w:tabs>
      <w:spacing w:lineRule="auto" w:line="240"/>
    </w:pPr>
    <w:rPr/>
  </w:style>
  <w:style w:type="numbering" w:styleId="NoList" w:default="1">
    <w:name w:val="No List"/>
    <w:uiPriority w:val="99"/>
    <w:semiHidden/>
    <w:unhideWhenUsed/>
    <w:qFormat/>
  </w:style>
  <w:style w:type="table" w:default="1" w:styleId="TableNormal">
    <w:name w:val="Normal Table"/>
    <w:uiPriority w:val="99"/>
    <w:semiHidden/>
    <w:unhideWhenUsed/>
    <w:tblPr>
      <w:tblCellMar>
        <w:top w:w="0" w:type="dxa"/>
        <w:left w:w="108" w:type="dxa"/>
        <w:bottom w:w="0" w:type="dxa"/>
        <w:right w:w="108" w:type="dxa"/>
      </w:tblCellMar>
    </w:tblPr>
  </w:style>
  <w:style w:type="table" w:customStyle="1" w:styleId="TableNormal0">
    <w:name w:val="TableNormal"/>
    <w:tblPr>
      <w:tblCellMar>
        <w:top w:w="100" w:type="dxa"/>
        <w:left w:w="100" w:type="dxa"/>
        <w:bottom w:w="100" w:type="dxa"/>
        <w:right w:w="100" w:type="dxa"/>
      </w:tblCellMar>
    </w:tbl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5" Type="http://schemas.openxmlformats.org/officeDocument/2006/relationships/image" Target="media/image4.png"/><Relationship Id="rId6" Type="http://schemas.openxmlformats.org/officeDocument/2006/relationships/image" Target="media/image5.png"/><Relationship Id="rId7" Type="http://schemas.openxmlformats.org/officeDocument/2006/relationships/image" Target="media/image6.png"/><Relationship Id="rId8" Type="http://schemas.openxmlformats.org/officeDocument/2006/relationships/image" Target="media/image7.png"/><Relationship Id="rId9" Type="http://schemas.openxmlformats.org/officeDocument/2006/relationships/image" Target="media/image8.png"/><Relationship Id="rId10" Type="http://schemas.openxmlformats.org/officeDocument/2006/relationships/image" Target="media/image9.png"/><Relationship Id="rId11" Type="http://schemas.openxmlformats.org/officeDocument/2006/relationships/image" Target="media/image10.png"/><Relationship Id="rId12" Type="http://schemas.openxmlformats.org/officeDocument/2006/relationships/hyperlink" Target="https://doi.org/10.1177/014920639101700108" TargetMode="External"/><Relationship Id="rId13" Type="http://schemas.openxmlformats.org/officeDocument/2006/relationships/header" Target="header1.xml"/><Relationship Id="rId14" Type="http://schemas.openxmlformats.org/officeDocument/2006/relationships/header" Target="header2.xml"/><Relationship Id="rId15" Type="http://schemas.openxmlformats.org/officeDocument/2006/relationships/header" Target="header3.xml"/><Relationship Id="rId16" Type="http://schemas.openxmlformats.org/officeDocument/2006/relationships/footer" Target="footer1.xml"/><Relationship Id="rId17" Type="http://schemas.openxmlformats.org/officeDocument/2006/relationships/footer" Target="footer2.xml"/><Relationship Id="rId18" Type="http://schemas.openxmlformats.org/officeDocument/2006/relationships/footer" Target="footer3.xml"/><Relationship Id="rId19" Type="http://schemas.openxmlformats.org/officeDocument/2006/relationships/numbering" Target="numbering.xml"/><Relationship Id="rId20" Type="http://schemas.openxmlformats.org/officeDocument/2006/relationships/fontTable" Target="fontTable.xml"/><Relationship Id="rId21" Type="http://schemas.openxmlformats.org/officeDocument/2006/relationships/settings" Target="settings.xml"/><Relationship Id="rId22" Type="http://schemas.openxmlformats.org/officeDocument/2006/relationships/theme" Target="theme/theme1.xml"/>
</Relationships>
</file>

<file path=word/_rels/fontTable.xml.rels><?xml version="1.0" encoding="UTF-8"?>
<Relationships xmlns="http://schemas.openxmlformats.org/package/2006/relationships"><Relationship Id="rId1" Type="http://schemas.openxmlformats.org/officeDocument/2006/relationships/font" Target="fonts/font1.odttf"/><Relationship Id="rId2" Type="http://schemas.openxmlformats.org/officeDocument/2006/relationships/font" Target="fonts/font2.odttf"/><Relationship Id="rId3" Type="http://schemas.openxmlformats.org/officeDocument/2006/relationships/font" Target="fonts/font3.odttf"/><Relationship Id="rId4" Type="http://schemas.openxmlformats.org/officeDocument/2006/relationships/font" Target="fonts/font4.odttf"/>
</Relationships>
</file>

<file path=word/theme/theme1.xml><?xml version="1.0" encoding="utf-8"?>
<a:theme xmlns:a="http://schemas.openxmlformats.org/drawingml/2006/main" xmlns:r="http://schemas.openxmlformats.org/officeDocument/2006/relationships" name="Office Theme">
  <a:themeElements>
    <a:clrScheme name="Office">
      <a:dk1>
        <a:srgbClr val="000000"/>
      </a:dk1>
      <a:lt1>
        <a:srgbClr val="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pitchFamily="0" charset="1"/>
        <a:ea typeface=""/>
        <a:cs typeface=""/>
      </a:majorFont>
      <a:minorFont>
        <a:latin typeface="Cambria" pitchFamily="0" charset="1"/>
        <a:ea typeface=""/>
        <a:cs typeface=""/>
      </a:minorFont>
    </a:fontScheme>
    <a:fmtScheme>
      <a:fillStyleLst>
        <a:solidFill>
          <a:schemeClr val="phClr"/>
        </a:solidFill>
        <a:gradFill>
          <a:gsLst>
            <a:gs pos="0">
              <a:schemeClr val="phClr">
                <a:tint val="50000"/>
              </a:schemeClr>
            </a:gs>
            <a:gs pos="35000">
              <a:schemeClr val="phClr">
                <a:tint val="37000"/>
              </a:schemeClr>
            </a:gs>
            <a:gs pos="100000">
              <a:schemeClr val="phClr">
                <a:tint val="15000"/>
              </a:schemeClr>
            </a:gs>
          </a:gsLst>
          <a:lin ang="16200000" scaled="1"/>
          <a:tileRect l="0" t="0" r="0" b="0"/>
        </a:gradFill>
        <a:gradFill>
          <a:gsLst>
            <a:gs pos="0">
              <a:schemeClr val="phClr">
                <a:tint val="100000"/>
                <a:shade val="100000"/>
              </a:schemeClr>
            </a:gs>
            <a:gs pos="100000">
              <a:schemeClr val="phClr">
                <a:tint val="50000"/>
                <a:shade val="100000"/>
              </a:schemeClr>
            </a:gs>
          </a:gsLst>
          <a:lin ang="16200000" scaled="0"/>
          <a:tileRect l="0" t="0" r="0" b="0"/>
        </a:gradFill>
      </a:fillStyleLst>
      <a:lnStyleLst>
        <a:ln w="9525" cap="flat" cmpd="sng" algn="ctr">
          <a:prstDash val="solid"/>
        </a:ln>
        <a:ln w="25400" cap="flat" cmpd="sng" algn="ctr">
          <a:prstDash val="solid"/>
        </a:ln>
        <a:ln w="38100" cap="flat" cmpd="sng" algn="ctr">
          <a:prstDash val="solid"/>
        </a:ln>
      </a:lnStyleLst>
      <a:effectStyleLst>
        <a:effectStyle>
          <a:effectLst/>
        </a:effectStyle>
        <a:effectStyle>
          <a:effectLst/>
        </a:effectStyle>
        <a:effectStyle>
          <a:effectLst/>
        </a:effectStyle>
      </a:effectStyleLst>
      <a:bgFillStyleLst>
        <a:solidFill>
          <a:schemeClr val="phClr"/>
        </a:solidFill>
        <a:gradFill>
          <a:gsLst>
            <a:gs pos="0">
              <a:schemeClr val="phClr">
                <a:tint val="40000"/>
              </a:schemeClr>
            </a:gs>
            <a:gs pos="40000">
              <a:schemeClr val="phClr">
                <a:tint val="45000"/>
                <a:shade val="99000"/>
              </a:schemeClr>
            </a:gs>
            <a:gs pos="100000">
              <a:schemeClr val="phClr">
                <a:shade val="20000"/>
              </a:schemeClr>
            </a:gs>
          </a:gsLst>
          <a:path path="circle">
            <a:fillToRect l="50000" t="-80000" r="50000" b="180000"/>
          </a:path>
          <a:tileRect l="0" t="0" r="0" b="0"/>
        </a:gradFill>
        <a:gradFill>
          <a:gsLst>
            <a:gs pos="0">
              <a:schemeClr val="phClr">
                <a:tint val="80000"/>
              </a:schemeClr>
            </a:gs>
            <a:gs pos="100000">
              <a:schemeClr val="phClr">
                <a:shade val="30000"/>
              </a:schemeClr>
            </a:gs>
          </a:gsLst>
          <a:path path="circle">
            <a:fillToRect l="50000" t="50000" r="50000" b="50000"/>
          </a:path>
          <a:tileRect l="0" t="0" r="0" b="0"/>
        </a:gradFill>
      </a:bgFillStyleLst>
    </a:fmtScheme>
  </a:themeElements>
</a:theme>
</file>

<file path=docProps/app.xml><?xml version="1.0" encoding="utf-8"?>
<Properties xmlns="http://schemas.openxmlformats.org/officeDocument/2006/extended-properties" xmlns:vt="http://schemas.openxmlformats.org/officeDocument/2006/docPropsVTypes">
  <Template>Normal</Template>
  <TotalTime>3</TotalTime>
  <Application>LibreOfficeDev/24.8.7.2.0$Android_AARCH64 LibreOffice_project/</Application>
  <AppVersion>15.0000</AppVersion>
  <Pages>33</Pages>
  <Words>6348</Words>
  <Characters>43781</Characters>
  <CharactersWithSpaces>49829</CharactersWithSpaces>
  <Paragraphs>320</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2026-08-01T12:15:00Z</dcterms:created>
  <dc:creator/>
  <dc:description/>
  <dc:language>en-US</dc:language>
  <cp:lastModifiedBy/>
  <dcterms:modified xsi:type="dcterms:W3CDTF">2026-08-10T09:07:55Z</dcterms:modified>
  <cp:revision>3</cp:revision>
  <dc:subject/>
  <dc:title/>
</cp:coreProperties>
</file>

<file path=docProps/custom.xml><?xml version="1.0" encoding="utf-8"?>
<Properties xmlns="http://schemas.openxmlformats.org/officeDocument/2006/custom-properties" xmlns:vt="http://schemas.openxmlformats.org/officeDocument/2006/docPropsVTypes"/>
</file>