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44F69" w14:textId="77777777" w:rsidR="009409C4" w:rsidRDefault="009409C4" w:rsidP="009409C4">
      <w:pPr>
        <w:pStyle w:val="Heading1"/>
        <w:jc w:val="center"/>
        <w:rPr>
          <w:color w:val="000000" w:themeColor="text1"/>
        </w:rPr>
      </w:pPr>
      <w:r>
        <w:rPr>
          <w:noProof/>
        </w:rPr>
        <mc:AlternateContent>
          <mc:Choice Requires="wps">
            <w:drawing>
              <wp:anchor distT="0" distB="0" distL="114300" distR="114300" simplePos="0" relativeHeight="251660288" behindDoc="0" locked="0" layoutInCell="1" allowOverlap="1" wp14:anchorId="357754D4" wp14:editId="3DFE2301">
                <wp:simplePos x="0" y="0"/>
                <wp:positionH relativeFrom="column">
                  <wp:posOffset>770890</wp:posOffset>
                </wp:positionH>
                <wp:positionV relativeFrom="paragraph">
                  <wp:posOffset>3456940</wp:posOffset>
                </wp:positionV>
                <wp:extent cx="4249420" cy="635"/>
                <wp:effectExtent l="0" t="0" r="0" b="0"/>
                <wp:wrapTopAndBottom/>
                <wp:docPr id="1068849481" name="Text Box 1"/>
                <wp:cNvGraphicFramePr/>
                <a:graphic xmlns:a="http://schemas.openxmlformats.org/drawingml/2006/main">
                  <a:graphicData uri="http://schemas.microsoft.com/office/word/2010/wordprocessingShape">
                    <wps:wsp>
                      <wps:cNvSpPr txBox="1"/>
                      <wps:spPr>
                        <a:xfrm>
                          <a:off x="0" y="0"/>
                          <a:ext cx="4249420" cy="635"/>
                        </a:xfrm>
                        <a:prstGeom prst="rect">
                          <a:avLst/>
                        </a:prstGeom>
                        <a:solidFill>
                          <a:prstClr val="white"/>
                        </a:solidFill>
                        <a:ln>
                          <a:noFill/>
                        </a:ln>
                      </wps:spPr>
                      <wps:txbx>
                        <w:txbxContent>
                          <w:p w14:paraId="360AC7AC" w14:textId="77777777" w:rsidR="009409C4" w:rsidRDefault="009409C4" w:rsidP="009409C4">
                            <w:pPr>
                              <w:pStyle w:val="Caption"/>
                            </w:pPr>
                            <w:r>
                              <w:t xml:space="preserve">Figure </w:t>
                            </w:r>
                            <w:r>
                              <w:fldChar w:fldCharType="begin"/>
                            </w:r>
                            <w:r>
                              <w:instrText xml:space="preserve"> SEQ Figure \* ARABIC </w:instrText>
                            </w:r>
                            <w:r>
                              <w:fldChar w:fldCharType="separate"/>
                            </w:r>
                            <w:r>
                              <w:rPr>
                                <w:noProof/>
                              </w:rPr>
                              <w:t>1</w:t>
                            </w:r>
                            <w:r>
                              <w:fldChar w:fldCharType="end"/>
                            </w:r>
                            <w:r>
                              <w:t>- Tomb of Senneferi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7754D4" id="_x0000_t202" coordsize="21600,21600" o:spt="202" path="m,l,21600r21600,l21600,xe">
                <v:stroke joinstyle="miter"/>
                <v:path gradientshapeok="t" o:connecttype="rect"/>
              </v:shapetype>
              <v:shape id="Text Box 1" o:spid="_x0000_s1026" type="#_x0000_t202" style="position:absolute;left:0;text-align:left;margin-left:60.7pt;margin-top:272.2pt;width:334.6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" stroked="f">
                <v:textbox style="mso-fit-shape-to-text:t" inset="0,0,0,0">
                  <w:txbxContent>
                    <w:p w14:paraId="360AC7AC" w14:textId="77777777" w:rsidR="009409C4" w:rsidRDefault="009409C4" w:rsidP="009409C4">
                      <w:pPr>
                        <w:pStyle w:val="Caption"/>
                      </w:pPr>
                      <w:r>
                        <w:t xml:space="preserve">Figure </w:t>
                      </w:r>
                      <w:r>
                        <w:fldChar w:fldCharType="begin"/>
                      </w:r>
                      <w:r>
                        <w:instrText xml:space="preserve"> SEQ Figure \* ARABIC </w:instrText>
                      </w:r>
                      <w:r>
                        <w:fldChar w:fldCharType="separate"/>
                      </w:r>
                      <w:r>
                        <w:rPr>
                          <w:noProof/>
                        </w:rPr>
                        <w:t>1</w:t>
                      </w:r>
                      <w:r>
                        <w:fldChar w:fldCharType="end"/>
                      </w:r>
                      <w:r>
                        <w:t>- Tomb of Senneferi</w:t>
                      </w:r>
                    </w:p>
                  </w:txbxContent>
                </v:textbox>
                <w10:wrap type="topAndBottom"/>
              </v:shape>
            </w:pict>
          </mc:Fallback>
        </mc:AlternateContent>
      </w:r>
      <w:r w:rsidRPr="00ED3B3C">
        <w:drawing>
          <wp:anchor distT="0" distB="0" distL="114300" distR="114300" simplePos="0" relativeHeight="251659264" behindDoc="0" locked="0" layoutInCell="1" allowOverlap="1" wp14:anchorId="5991BCF8" wp14:editId="470B6D9B">
            <wp:simplePos x="0" y="0"/>
            <wp:positionH relativeFrom="column">
              <wp:posOffset>771136</wp:posOffset>
            </wp:positionH>
            <wp:positionV relativeFrom="paragraph">
              <wp:posOffset>697230</wp:posOffset>
            </wp:positionV>
            <wp:extent cx="4249420" cy="2702560"/>
            <wp:effectExtent l="0" t="0" r="0" b="2540"/>
            <wp:wrapTopAndBottom/>
            <wp:docPr id="1005813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813376" name=""/>
                    <pic:cNvPicPr/>
                  </pic:nvPicPr>
                  <pic:blipFill>
                    <a:blip r:embed="rId7">
                      <a:extLst>
                        <a:ext uri="{28A0092B-C50C-407E-A947-70E740481C1C}">
                          <a14:useLocalDpi xmlns:a14="http://schemas.microsoft.com/office/drawing/2010/main" val="0"/>
                        </a:ext>
                      </a:extLst>
                    </a:blip>
                    <a:stretch>
                      <a:fillRect/>
                    </a:stretch>
                  </pic:blipFill>
                  <pic:spPr>
                    <a:xfrm>
                      <a:off x="0" y="0"/>
                      <a:ext cx="4249420" cy="2702560"/>
                    </a:xfrm>
                    <a:prstGeom prst="rect">
                      <a:avLst/>
                    </a:prstGeom>
                  </pic:spPr>
                </pic:pic>
              </a:graphicData>
            </a:graphic>
            <wp14:sizeRelH relativeFrom="margin">
              <wp14:pctWidth>0</wp14:pctWidth>
            </wp14:sizeRelH>
            <wp14:sizeRelV relativeFrom="margin">
              <wp14:pctHeight>0</wp14:pctHeight>
            </wp14:sizeRelV>
          </wp:anchor>
        </w:drawing>
      </w:r>
      <w:r w:rsidRPr="000070C8">
        <w:rPr>
          <w:color w:val="000000" w:themeColor="text1"/>
        </w:rPr>
        <w:t>Material Culture of Death – Senneferi TT99</w:t>
      </w:r>
    </w:p>
    <w:p w14:paraId="00D752E1" w14:textId="77777777" w:rsidR="009409C4" w:rsidRDefault="009409C4" w:rsidP="009409C4">
      <w:r>
        <w:t>The material culture of death in Ancient Egypt is one that offers significant insights into how people viewed themselves within society. The New Kingdom saw tombs as being designed as specific spaces that considered the identity and status of individuals, as well as religious beliefs. This is particularly true for elite tombs within Thebes, such as within the necropolis of Sheikh Abd el-Qurna, where members of Ancient Egyptian society’s elite built elaborate rock-cut tombs to reflect both status and identity, as well as beliefs regarding the afterlife.</w:t>
      </w:r>
    </w:p>
    <w:p w14:paraId="5F932C25" w14:textId="77777777" w:rsidR="009409C4" w:rsidRDefault="009409C4" w:rsidP="009409C4">
      <w:r>
        <w:t>An example of this is the tomb of Senneferi (TT99), built around 1420 BCE within the 18th Dynasty. Senneferi’s tomb was made for someone of high social status, along with the tomb’s placement, we can understand who Senneferi was from the architecture and grave goods left behind. However, it can be hard to get the full picture, and outlook onto Senneferi's life as his tomb was robbed, this could mean that missing key artifacts or even just fragments of artifacts are missing, leading to an image which isn’t fully complete</w:t>
      </w:r>
      <w:r>
        <w:fldChar w:fldCharType="begin"/>
      </w:r>
      <w:r>
        <w:instrText xml:space="preserve"> ADDIN ZOTERO_ITEM CSL_CITATION {"citationID":"ZaJ3DZBr","properties":{"formattedCitation":"({\\i{}The tomb of Senneferi at Luxor in Egypt}, no date)","plainCitation":"(The tomb of Senneferi at Luxor in Egypt, no date)","noteIndex":0},"citationItems":[{"id":444,"uris":["http://zotero.org/users/local/yKBDKBHn/items/NEDIMJC3"],"itemData":{"id":444,"type":"webpage","title":"The tomb of Senneferi at Luxor in Egypt","URL":"https://tt99.fitz.ms/index.html","accessed":{"date-parts":[["2026",3,20]]}}}],"schema":"https://github.com/citation-style-language/schema/raw/master/csl-citation.json"} </w:instrText>
      </w:r>
      <w:r>
        <w:fldChar w:fldCharType="separate"/>
      </w:r>
      <w:r w:rsidRPr="00726BBF">
        <w:rPr>
          <w:rFonts w:ascii="Calibri" w:hAnsi="Calibri" w:cs="Calibri"/>
          <w:kern w:val="0"/>
        </w:rPr>
        <w:t>(</w:t>
      </w:r>
      <w:r w:rsidRPr="00726BBF">
        <w:rPr>
          <w:rFonts w:ascii="Calibri" w:hAnsi="Calibri" w:cs="Calibri"/>
          <w:i/>
          <w:iCs/>
          <w:kern w:val="0"/>
        </w:rPr>
        <w:t>The tomb of Senneferi at Luxor in Egypt</w:t>
      </w:r>
      <w:r w:rsidRPr="00726BBF">
        <w:rPr>
          <w:rFonts w:ascii="Calibri" w:hAnsi="Calibri" w:cs="Calibri"/>
          <w:kern w:val="0"/>
        </w:rPr>
        <w:t>, no date)</w:t>
      </w:r>
      <w:r>
        <w:fldChar w:fldCharType="end"/>
      </w:r>
      <w:r>
        <w:t>.</w:t>
      </w:r>
    </w:p>
    <w:p w14:paraId="2C11804E" w14:textId="77777777" w:rsidR="009409C4" w:rsidRDefault="009409C4" w:rsidP="009409C4">
      <w:r>
        <w:t>This essay will argue that, despite these issues, the architecture and material assemblage of TT99 create a vision of Senneferi as a man of significant status, and by analysing such architecture and funerary objects, it is possible to create a vision of his social identity and status within Ancient Egyptian society.</w:t>
      </w:r>
    </w:p>
    <w:p w14:paraId="3673EEC1" w14:textId="77777777" w:rsidR="009409C4" w:rsidRDefault="009409C4" w:rsidP="009409C4"/>
    <w:p w14:paraId="189B215B" w14:textId="77777777" w:rsidR="009409C4" w:rsidRDefault="009409C4" w:rsidP="009409C4"/>
    <w:p w14:paraId="125B5F3A" w14:textId="77777777" w:rsidR="009409C4" w:rsidRDefault="009409C4" w:rsidP="009409C4"/>
    <w:p w14:paraId="5660EC44" w14:textId="77777777" w:rsidR="009409C4" w:rsidRDefault="009409C4" w:rsidP="009409C4"/>
    <w:p w14:paraId="5F54CF62" w14:textId="77777777" w:rsidR="009409C4" w:rsidRDefault="009409C4" w:rsidP="009409C4"/>
    <w:p w14:paraId="53A4C4E8" w14:textId="77777777" w:rsidR="009409C4" w:rsidRDefault="009409C4" w:rsidP="009409C4"/>
    <w:p w14:paraId="7322DE1B" w14:textId="77777777" w:rsidR="009409C4" w:rsidRDefault="009409C4" w:rsidP="009409C4"/>
    <w:p w14:paraId="1BAFAC3E" w14:textId="77777777" w:rsidR="009409C4" w:rsidRDefault="009409C4" w:rsidP="009409C4">
      <w:pPr>
        <w:pStyle w:val="Subtitle"/>
      </w:pPr>
      <w:r>
        <w:lastRenderedPageBreak/>
        <w:t>Architecture</w:t>
      </w:r>
    </w:p>
    <w:p w14:paraId="3D6F98DF" w14:textId="77777777" w:rsidR="009409C4" w:rsidRPr="00AD4D7E" w:rsidRDefault="009409C4" w:rsidP="009409C4"/>
    <w:p w14:paraId="7D486E63" w14:textId="77777777" w:rsidR="009409C4" w:rsidRDefault="009409C4" w:rsidP="009409C4">
      <w:r>
        <w:t xml:space="preserve">The architecture of TT99 plays an important role in the proof of the elite status of Senneferi and his intention of presenting his personal identity even after death. The architecture of the tomb is like the architecture of the tombs of the elite at Thebes. However, the complex nature of the layout </w:t>
      </w:r>
      <w:r>
        <w:rPr>
          <w:noProof/>
        </w:rPr>
        <mc:AlternateContent>
          <mc:Choice Requires="wps">
            <w:drawing>
              <wp:anchor distT="0" distB="0" distL="114300" distR="114300" simplePos="0" relativeHeight="251662336" behindDoc="0" locked="0" layoutInCell="1" allowOverlap="1" wp14:anchorId="1C78A249" wp14:editId="5AF68F3A">
                <wp:simplePos x="0" y="0"/>
                <wp:positionH relativeFrom="column">
                  <wp:posOffset>723900</wp:posOffset>
                </wp:positionH>
                <wp:positionV relativeFrom="paragraph">
                  <wp:posOffset>2631440</wp:posOffset>
                </wp:positionV>
                <wp:extent cx="1727200" cy="635"/>
                <wp:effectExtent l="0" t="0" r="0" b="0"/>
                <wp:wrapTopAndBottom/>
                <wp:docPr id="292758409" name="Text Box 1"/>
                <wp:cNvGraphicFramePr/>
                <a:graphic xmlns:a="http://schemas.openxmlformats.org/drawingml/2006/main">
                  <a:graphicData uri="http://schemas.microsoft.com/office/word/2010/wordprocessingShape">
                    <wps:wsp>
                      <wps:cNvSpPr txBox="1"/>
                      <wps:spPr>
                        <a:xfrm>
                          <a:off x="0" y="0"/>
                          <a:ext cx="1727200" cy="635"/>
                        </a:xfrm>
                        <a:prstGeom prst="rect">
                          <a:avLst/>
                        </a:prstGeom>
                        <a:solidFill>
                          <a:prstClr val="white"/>
                        </a:solidFill>
                        <a:ln>
                          <a:noFill/>
                        </a:ln>
                      </wps:spPr>
                      <wps:txbx>
                        <w:txbxContent>
                          <w:p w14:paraId="0E59F6D0" w14:textId="77777777" w:rsidR="009409C4" w:rsidRPr="007F7DC9"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2</w:t>
                            </w:r>
                            <w:r>
                              <w:fldChar w:fldCharType="end"/>
                            </w:r>
                            <w:r>
                              <w:t>- Layout of TT99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78A249" id="_x0000_s1027" type="#_x0000_t202" style="position:absolute;margin-left:57pt;margin-top:207.2pt;width:13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" stroked="f">
                <v:textbox style="mso-fit-shape-to-text:t" inset="0,0,0,0">
                  <w:txbxContent>
                    <w:p w14:paraId="0E59F6D0" w14:textId="77777777" w:rsidR="009409C4" w:rsidRPr="007F7DC9"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2</w:t>
                      </w:r>
                      <w:r>
                        <w:fldChar w:fldCharType="end"/>
                      </w:r>
                      <w:r>
                        <w:t>- Layout of TT99</w:t>
                      </w:r>
                    </w:p>
                  </w:txbxContent>
                </v:textbox>
                <w10:wrap type="topAndBottom"/>
              </v:shape>
            </w:pict>
          </mc:Fallback>
        </mc:AlternateContent>
      </w:r>
      <w:r w:rsidRPr="00AD4D7E">
        <w:drawing>
          <wp:anchor distT="0" distB="0" distL="114300" distR="114300" simplePos="0" relativeHeight="251661312" behindDoc="0" locked="0" layoutInCell="1" allowOverlap="1" wp14:anchorId="3FE19390" wp14:editId="4BE6DFF1">
            <wp:simplePos x="0" y="0"/>
            <wp:positionH relativeFrom="column">
              <wp:posOffset>724010</wp:posOffset>
            </wp:positionH>
            <wp:positionV relativeFrom="paragraph">
              <wp:posOffset>-198</wp:posOffset>
            </wp:positionV>
            <wp:extent cx="1727200" cy="2574290"/>
            <wp:effectExtent l="0" t="0" r="6350" b="0"/>
            <wp:wrapTopAndBottom/>
            <wp:docPr id="1027097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9769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27200" cy="2574290"/>
                    </a:xfrm>
                    <a:prstGeom prst="rect">
                      <a:avLst/>
                    </a:prstGeom>
                  </pic:spPr>
                </pic:pic>
              </a:graphicData>
            </a:graphic>
            <wp14:sizeRelH relativeFrom="margin">
              <wp14:pctWidth>0</wp14:pctWidth>
            </wp14:sizeRelH>
            <wp14:sizeRelV relativeFrom="margin">
              <wp14:pctHeight>0</wp14:pctHeight>
            </wp14:sizeRelV>
          </wp:anchor>
        </w:drawing>
      </w:r>
      <w:r>
        <w:t>presents the evidence of the wealth and planning associated with the construction of the tomb. The tomb presents an open forecourt area that was designed for the interaction of the living and the dead through various rituals. This indicates the fact that the tomb was not only used for the burial of the deceased but also for the active practice of religious worship</w:t>
      </w:r>
      <w:r>
        <w:fldChar w:fldCharType="begin"/>
      </w:r>
      <w:r>
        <w:instrText xml:space="preserve"> ADDIN ZOTERO_ITEM CSL_CITATION {"citationID":"tQ8TPGIy","properties":{"formattedCitation":"(Salvador, 2014; {\\i{}The tomb of Senneferi at Luxor in Egypt}, no date)","plainCitation":"(Salvador, 2014; The tomb of Senneferi at Luxor in Egypt, no date)","noteIndex":0},"citationItems":[{"id":439,"uris":["http://zotero.org/users/local/yKBDKBHn/items/4JKVZVYR"],"itemData":{"id":439,"type":"chapter","abstract":"This paper examines New Kingdom appeal texts, a subset of ancient Egyptian inscriptions that sought to preserve the deceased’s memory by engaging the living in rituals and recitations. While these texts have been extensively studied for their linguistic features, their spatial and contextual aspects remain underexplored. By analyzing a corpus of 112 texts from Thebes, this study highlights the evolving visibility and accessibility of these inscriptions in both funerary and temple contexts. The findings reveal significant shifts in their placement over time, influenced by changing theological conceptions and social dynamics. In the Eighteenth Dynasty, appeal texts were predominantly located in tombs, particularly in the transverse halls, aligning with funerary beliefs about cult, memory, and passage. By the Ramesside Period, a notable transition occurred as these texts increasingly appeared in temple settings, often on intermediary statues, reflecting broader trends in personal piety and the integration of private and communal worship practices. This research underscores the dynamic interplay between text, space, and religious expression in ancient Egypt.","container-title":"Current Research in Egyptology 2013: Proceedings of the Fourteenth Annual Symposium","page":"153–167","publisher":"Oxbow books","source":"HAL","title":"From the Realm of the Dead to the House of the God: The New Kingdom Appeals to the Living in Context at Thebes","title-short":"From the Realm of the Dead to the House of the God","URL":"https://hal.science/hal-04880350","author":[{"family":"Salvador","given":"Chiara"}],"editor":[{"family":"Accetta","given":"Kelly"},{"family":"Fellinger","given":"Renate"},{"family":"Gonçalves","given":"Pedro Lourenço"},{"family":"Musselwhite","given":"Sarah"},{"family":"Pelt","given":"W. Paul","dropping-particle":"van"}],"accessed":{"date-parts":[["2026",3,11]]},"issued":{"date-parts":[["2014"]]}}},{"id":444,"uris":["http://zotero.org/users/local/yKBDKBHn/items/NEDIMJC3"],"itemData":{"id":444,"type":"webpage","title":"The tomb of Senneferi at Luxor in Egypt","URL":"https://tt99.fitz.ms/index.html","accessed":{"date-parts":[["2026",3,20]]}}}],"schema":"https://github.com/citation-style-language/schema/raw/master/csl-citation.json"} </w:instrText>
      </w:r>
      <w:r>
        <w:fldChar w:fldCharType="separate"/>
      </w:r>
      <w:r w:rsidRPr="00CD1790">
        <w:rPr>
          <w:rFonts w:ascii="Calibri" w:hAnsi="Calibri" w:cs="Calibri"/>
          <w:kern w:val="0"/>
        </w:rPr>
        <w:t xml:space="preserve">(Salvador, 2014; </w:t>
      </w:r>
      <w:r w:rsidRPr="00CD1790">
        <w:rPr>
          <w:rFonts w:ascii="Calibri" w:hAnsi="Calibri" w:cs="Calibri"/>
          <w:i/>
          <w:iCs/>
          <w:kern w:val="0"/>
        </w:rPr>
        <w:t>The tomb of Senneferi at Luxor in Egypt</w:t>
      </w:r>
      <w:r w:rsidRPr="00CD1790">
        <w:rPr>
          <w:rFonts w:ascii="Calibri" w:hAnsi="Calibri" w:cs="Calibri"/>
          <w:kern w:val="0"/>
        </w:rPr>
        <w:t>, no date)</w:t>
      </w:r>
      <w:r>
        <w:fldChar w:fldCharType="end"/>
      </w:r>
      <w:r>
        <w:t>.</w:t>
      </w:r>
    </w:p>
    <w:p w14:paraId="5EBFC1D3" w14:textId="77777777" w:rsidR="009409C4" w:rsidRDefault="009409C4" w:rsidP="009409C4">
      <w:r>
        <w:t xml:space="preserve">The tomb is carved from the rock face, it is of an inverted T-shape plan consisting of an entry hall, a long corridor, and an inner chamber. However, the layout of the tomb is not only unique to the tomb of Senneferi, it was common among the tombs of the elite built during the 18th Dynasty </w:t>
      </w:r>
      <w:r>
        <w:fldChar w:fldCharType="begin"/>
      </w:r>
      <w:r>
        <w:instrText xml:space="preserve"> ADDIN ZOTERO_ITEM CSL_CITATION {"citationID":"TBmP7oQc","properties":{"formattedCitation":"(Auenmller, 2014)","plainCitation":"(Auenmller, 2014)","noteIndex":0},"citationItems":[{"id":417,"uris":["http://zotero.org/users/local/yKBDKBHn/items/EBU4Z7CY"],"itemData":{"id":417,"type":"article-journal","abstract":"This paper deals with the significance of provincial New Kingdom elite tomb location. It aims to describe a key element of the relationship between the elite and the spatial distribution of their archaeological evidence in terms of ‘territoriality’. It focuses especially on the tomb, the pivotal component of the elite’s monumental display. A unique perspective is adopted, derived from both the sociology of space and cultural anthropology. The theoretical background of ‘territoriality’ and its wide range of applications are outlined firstly with a short review of key definitions. The paper’s focus then shifts to the domain of funerary archaeology by examining the location of tombs and its significance. The factors affecting location are discussed from a prosopographical perspective and contrasted with statements from so-called (auto-)biographical self-presentations. Both inscriptional and prosopographical data is the key to understand the underlying considerations for tomb location.","container-title":"Studies in Ancient Art and Civilization","ISSN":"0083-4300, 2449-867X","issue":"18","language":"English","page":"171-193","publisher":"KSIĘGARNIA AKADEMICKA Sp. z o.o.","source":"www.ceeol.com","title":"The Location of New Kingdom Elite Tombs – Space, Place and Significance","author":[{"family":"Auenmller","given":"Johannes"}],"issued":{"date-parts":[["2014"]]}}}],"schema":"https://github.com/citation-style-language/schema/raw/master/csl-citation.json"} </w:instrText>
      </w:r>
      <w:r>
        <w:fldChar w:fldCharType="separate"/>
      </w:r>
      <w:r w:rsidRPr="007C2567">
        <w:rPr>
          <w:rFonts w:ascii="Calibri" w:hAnsi="Calibri" w:cs="Calibri"/>
        </w:rPr>
        <w:t>(Auenmller, 2014)</w:t>
      </w:r>
      <w:r>
        <w:fldChar w:fldCharType="end"/>
      </w:r>
      <w:r>
        <w:t xml:space="preserve"> .Even though TT99 has similarities to other elitist tombs of the time, it presents evidence of the personal identity of Senneferi as an elite who associated himself with the elite of the time through the architecture of the tombs.</w:t>
      </w:r>
    </w:p>
    <w:p w14:paraId="7D7BB136" w14:textId="77777777" w:rsidR="009409C4" w:rsidRDefault="009409C4" w:rsidP="009409C4">
      <w:r>
        <w:t>Moving from the open courtyard into a more restricted space, such as the burial shafts, could be seen as a movement from the world of the living into the afterlife. The internal chamber, which was supported by pillars, can be seen as a sacred space, supporting the idea of restricted access as one moved further into the tomb. Such a movement can be seen as a reflection of both practical and religious concerns in terms of the journey into the afterlife and the separation of different realms of existence.</w:t>
      </w:r>
    </w:p>
    <w:p w14:paraId="0D4A6499" w14:textId="77777777" w:rsidR="009409C4" w:rsidRDefault="009409C4" w:rsidP="009409C4">
      <w:r>
        <w:t>One of the most significant features of TT99 is the use of burial shafts that led into the underground chamber. This includes the one that was used for Senneferi’s own burial, which would have taken a significant amount of labour to construct. It could be seen as a form of protection from tomb robbing, an activity known to be a problem in the Theban necropolis.</w:t>
      </w:r>
    </w:p>
    <w:p w14:paraId="7A01FE58" w14:textId="77777777" w:rsidR="009409C4" w:rsidRDefault="009409C4" w:rsidP="009409C4"/>
    <w:p w14:paraId="39878216" w14:textId="77777777" w:rsidR="009409C4" w:rsidRDefault="009409C4" w:rsidP="009409C4"/>
    <w:p w14:paraId="1E96533F" w14:textId="77777777" w:rsidR="009409C4" w:rsidRDefault="009409C4" w:rsidP="009409C4">
      <w:pPr>
        <w:pStyle w:val="Subtitle"/>
      </w:pPr>
      <w:r>
        <w:lastRenderedPageBreak/>
        <w:t xml:space="preserve">Grave goods and funerary beliefs </w:t>
      </w:r>
    </w:p>
    <w:p w14:paraId="080455C8" w14:textId="77777777" w:rsidR="009409C4" w:rsidRDefault="009409C4" w:rsidP="009409C4">
      <w:r>
        <w:rPr>
          <w:noProof/>
        </w:rPr>
        <mc:AlternateContent>
          <mc:Choice Requires="wps">
            <w:drawing>
              <wp:anchor distT="0" distB="0" distL="114300" distR="114300" simplePos="0" relativeHeight="251664384" behindDoc="0" locked="0" layoutInCell="1" allowOverlap="1" wp14:anchorId="7329F837" wp14:editId="2C2443C1">
                <wp:simplePos x="0" y="0"/>
                <wp:positionH relativeFrom="column">
                  <wp:posOffset>0</wp:posOffset>
                </wp:positionH>
                <wp:positionV relativeFrom="paragraph">
                  <wp:posOffset>3816985</wp:posOffset>
                </wp:positionV>
                <wp:extent cx="4853940" cy="635"/>
                <wp:effectExtent l="0" t="0" r="0" b="0"/>
                <wp:wrapTopAndBottom/>
                <wp:docPr id="53365849" name="Text Box 1"/>
                <wp:cNvGraphicFramePr/>
                <a:graphic xmlns:a="http://schemas.openxmlformats.org/drawingml/2006/main">
                  <a:graphicData uri="http://schemas.microsoft.com/office/word/2010/wordprocessingShape">
                    <wps:wsp>
                      <wps:cNvSpPr txBox="1"/>
                      <wps:spPr>
                        <a:xfrm>
                          <a:off x="0" y="0"/>
                          <a:ext cx="4853940" cy="635"/>
                        </a:xfrm>
                        <a:prstGeom prst="rect">
                          <a:avLst/>
                        </a:prstGeom>
                        <a:solidFill>
                          <a:prstClr val="white"/>
                        </a:solidFill>
                        <a:ln>
                          <a:noFill/>
                        </a:ln>
                      </wps:spPr>
                      <wps:txbx>
                        <w:txbxContent>
                          <w:p w14:paraId="37C869C0" w14:textId="77777777" w:rsidR="009409C4" w:rsidRPr="00344C8C"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3</w:t>
                            </w:r>
                            <w:r>
                              <w:fldChar w:fldCharType="end"/>
                            </w:r>
                            <w:r>
                              <w:t>- Stelae from TT99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29F837" id="_x0000_s1028" type="#_x0000_t202" style="position:absolute;margin-left:0;margin-top:300.55pt;width:382.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" stroked="f">
                <v:textbox style="mso-fit-shape-to-text:t" inset="0,0,0,0">
                  <w:txbxContent>
                    <w:p w14:paraId="37C869C0" w14:textId="77777777" w:rsidR="009409C4" w:rsidRPr="00344C8C"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3</w:t>
                      </w:r>
                      <w:r>
                        <w:fldChar w:fldCharType="end"/>
                      </w:r>
                      <w:r>
                        <w:t>- Stelae from TT99</w:t>
                      </w:r>
                    </w:p>
                  </w:txbxContent>
                </v:textbox>
                <w10:wrap type="topAndBottom"/>
              </v:shape>
            </w:pict>
          </mc:Fallback>
        </mc:AlternateContent>
      </w:r>
      <w:r w:rsidRPr="005B7B4F">
        <w:drawing>
          <wp:anchor distT="0" distB="0" distL="114300" distR="114300" simplePos="0" relativeHeight="251663360" behindDoc="0" locked="0" layoutInCell="1" allowOverlap="1" wp14:anchorId="0647FAA4" wp14:editId="1267098C">
            <wp:simplePos x="0" y="0"/>
            <wp:positionH relativeFrom="column">
              <wp:posOffset>0</wp:posOffset>
            </wp:positionH>
            <wp:positionV relativeFrom="paragraph">
              <wp:posOffset>1207135</wp:posOffset>
            </wp:positionV>
            <wp:extent cx="4853940" cy="2552700"/>
            <wp:effectExtent l="0" t="0" r="3810" b="0"/>
            <wp:wrapTopAndBottom/>
            <wp:docPr id="74116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161931" name=""/>
                    <pic:cNvPicPr/>
                  </pic:nvPicPr>
                  <pic:blipFill>
                    <a:blip r:embed="rId9">
                      <a:extLst>
                        <a:ext uri="{28A0092B-C50C-407E-A947-70E740481C1C}">
                          <a14:useLocalDpi xmlns:a14="http://schemas.microsoft.com/office/drawing/2010/main" val="0"/>
                        </a:ext>
                      </a:extLst>
                    </a:blip>
                    <a:stretch>
                      <a:fillRect/>
                    </a:stretch>
                  </pic:blipFill>
                  <pic:spPr>
                    <a:xfrm>
                      <a:off x="0" y="0"/>
                      <a:ext cx="4853940" cy="2552700"/>
                    </a:xfrm>
                    <a:prstGeom prst="rect">
                      <a:avLst/>
                    </a:prstGeom>
                  </pic:spPr>
                </pic:pic>
              </a:graphicData>
            </a:graphic>
            <wp14:sizeRelH relativeFrom="margin">
              <wp14:pctWidth>0</wp14:pctWidth>
            </wp14:sizeRelH>
            <wp14:sizeRelV relativeFrom="margin">
              <wp14:pctHeight>0</wp14:pctHeight>
            </wp14:sizeRelV>
          </wp:anchor>
        </w:drawing>
      </w:r>
      <w:r>
        <w:t>The funerary objects discovered in TT99 give further insight into Senneferi’s social status and his beliefs in life after death. Even though the tomb had been robbed and many of the original objects were absent, what remains still points to many of the important aspects of elite burial in New Kingdom Thebes. For example, objects such as shabtis, pieces of funerary equipment, and food containers all suggest that the tomb had originally been well-provided to ensure that Senneferi had all that he might need in life after death, in accordance with beliefs in life after death.</w:t>
      </w:r>
    </w:p>
    <w:p w14:paraId="295B8E7B" w14:textId="77777777" w:rsidR="009409C4" w:rsidRDefault="009409C4" w:rsidP="009409C4"/>
    <w:p w14:paraId="3875E0B2" w14:textId="77777777" w:rsidR="009409C4" w:rsidRDefault="009409C4" w:rsidP="009409C4">
      <w:r>
        <w:rPr>
          <w:noProof/>
        </w:rPr>
        <mc:AlternateContent>
          <mc:Choice Requires="wps">
            <w:drawing>
              <wp:anchor distT="0" distB="0" distL="114300" distR="114300" simplePos="0" relativeHeight="251666432" behindDoc="0" locked="0" layoutInCell="1" allowOverlap="1" wp14:anchorId="15E5FA88" wp14:editId="32C8EF80">
                <wp:simplePos x="0" y="0"/>
                <wp:positionH relativeFrom="column">
                  <wp:posOffset>749935</wp:posOffset>
                </wp:positionH>
                <wp:positionV relativeFrom="paragraph">
                  <wp:posOffset>3737610</wp:posOffset>
                </wp:positionV>
                <wp:extent cx="4439285" cy="635"/>
                <wp:effectExtent l="0" t="0" r="0" b="0"/>
                <wp:wrapTopAndBottom/>
                <wp:docPr id="79814740" name="Text Box 1"/>
                <wp:cNvGraphicFramePr/>
                <a:graphic xmlns:a="http://schemas.openxmlformats.org/drawingml/2006/main">
                  <a:graphicData uri="http://schemas.microsoft.com/office/word/2010/wordprocessingShape">
                    <wps:wsp>
                      <wps:cNvSpPr txBox="1"/>
                      <wps:spPr>
                        <a:xfrm>
                          <a:off x="0" y="0"/>
                          <a:ext cx="4439285" cy="635"/>
                        </a:xfrm>
                        <a:prstGeom prst="rect">
                          <a:avLst/>
                        </a:prstGeom>
                        <a:solidFill>
                          <a:prstClr val="white"/>
                        </a:solidFill>
                        <a:ln>
                          <a:noFill/>
                        </a:ln>
                      </wps:spPr>
                      <wps:txbx>
                        <w:txbxContent>
                          <w:p w14:paraId="411A56C0" w14:textId="77777777" w:rsidR="009409C4" w:rsidRPr="00722DA6"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4</w:t>
                            </w:r>
                            <w:r>
                              <w:fldChar w:fldCharType="end"/>
                            </w:r>
                            <w:r>
                              <w:t xml:space="preserve"> - Wooden food container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5FA88" id="_x0000_s1029" type="#_x0000_t202" style="position:absolute;margin-left:59.05pt;margin-top:294.3pt;width:349.5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" stroked="f">
                <v:textbox style="mso-fit-shape-to-text:t" inset="0,0,0,0">
                  <w:txbxContent>
                    <w:p w14:paraId="411A56C0" w14:textId="77777777" w:rsidR="009409C4" w:rsidRPr="00722DA6"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4</w:t>
                      </w:r>
                      <w:r>
                        <w:fldChar w:fldCharType="end"/>
                      </w:r>
                      <w:r>
                        <w:t xml:space="preserve"> - Wooden food container</w:t>
                      </w:r>
                    </w:p>
                  </w:txbxContent>
                </v:textbox>
                <w10:wrap type="topAndBottom"/>
              </v:shape>
            </w:pict>
          </mc:Fallback>
        </mc:AlternateContent>
      </w:r>
      <w:r w:rsidRPr="00C97E7C">
        <w:drawing>
          <wp:anchor distT="0" distB="0" distL="114300" distR="114300" simplePos="0" relativeHeight="251665408" behindDoc="0" locked="0" layoutInCell="1" allowOverlap="1" wp14:anchorId="6198CEE6" wp14:editId="3E463FBF">
            <wp:simplePos x="0" y="0"/>
            <wp:positionH relativeFrom="column">
              <wp:posOffset>749935</wp:posOffset>
            </wp:positionH>
            <wp:positionV relativeFrom="paragraph">
              <wp:posOffset>1636568</wp:posOffset>
            </wp:positionV>
            <wp:extent cx="4439285" cy="2044065"/>
            <wp:effectExtent l="0" t="0" r="0" b="0"/>
            <wp:wrapTopAndBottom/>
            <wp:docPr id="1385257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257740" name=""/>
                    <pic:cNvPicPr/>
                  </pic:nvPicPr>
                  <pic:blipFill>
                    <a:blip r:embed="rId10">
                      <a:extLst>
                        <a:ext uri="{28A0092B-C50C-407E-A947-70E740481C1C}">
                          <a14:useLocalDpi xmlns:a14="http://schemas.microsoft.com/office/drawing/2010/main" val="0"/>
                        </a:ext>
                      </a:extLst>
                    </a:blip>
                    <a:stretch>
                      <a:fillRect/>
                    </a:stretch>
                  </pic:blipFill>
                  <pic:spPr>
                    <a:xfrm>
                      <a:off x="0" y="0"/>
                      <a:ext cx="4439285" cy="2044065"/>
                    </a:xfrm>
                    <a:prstGeom prst="rect">
                      <a:avLst/>
                    </a:prstGeom>
                  </pic:spPr>
                </pic:pic>
              </a:graphicData>
            </a:graphic>
            <wp14:sizeRelH relativeFrom="margin">
              <wp14:pctWidth>0</wp14:pctWidth>
            </wp14:sizeRelH>
            <wp14:sizeRelV relativeFrom="margin">
              <wp14:pctHeight>0</wp14:pctHeight>
            </wp14:sizeRelV>
          </wp:anchor>
        </w:drawing>
      </w:r>
      <w:r>
        <w:t>S</w:t>
      </w:r>
      <w:r w:rsidRPr="00E720DE">
        <w:t xml:space="preserve">telas </w:t>
      </w:r>
      <w:r>
        <w:t>are</w:t>
      </w:r>
      <w:r w:rsidRPr="00E720DE">
        <w:t xml:space="preserve"> </w:t>
      </w:r>
      <w:r>
        <w:t>important</w:t>
      </w:r>
      <w:r w:rsidRPr="00E720DE">
        <w:t xml:space="preserve"> for understanding the identity, status, and social position of the buried person. Although </w:t>
      </w:r>
      <w:r>
        <w:t>Senneferi’s</w:t>
      </w:r>
      <w:r w:rsidRPr="00E720DE">
        <w:t xml:space="preserve"> stelae is incomplete, the </w:t>
      </w:r>
      <w:r>
        <w:t>engravings can be reconstructed</w:t>
      </w:r>
      <w:r w:rsidRPr="00E720DE">
        <w:t xml:space="preserve">. </w:t>
      </w:r>
      <w:r>
        <w:t>On Face A, Thutmose III offering to Hathor, with the king standing on the right</w:t>
      </w:r>
      <w:r w:rsidRPr="00E720DE">
        <w:t>.</w:t>
      </w:r>
      <w:r>
        <w:t xml:space="preserve"> On Face B, Senneferi is there standing on the left with his hand by his side, with four columns of hieroglyphs in front of him</w:t>
      </w:r>
      <w:r>
        <w:fldChar w:fldCharType="begin"/>
      </w:r>
      <w:r>
        <w:instrText xml:space="preserve"> ADDIN ZOTERO_ITEM CSL_CITATION {"citationID":"jsreifY1","properties":{"formattedCitation":"(Strudwick, 2016)","plainCitation":"(Strudwick, 2016)","noteIndex":0},"citationItems":[{"id":456,"uris":["http://zotero.org/users/local/yKBDKBHn/items/RVEQAJXF"],"itemData":{"id":456,"type":"chapter","abstract":"Senneferi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o...","container-title":"The Tomb of Pharaoh’s Chancellor Senneferi at Thebes (TT99)","title":"Stela from Serabit el-Khadim","URL":"https://zoboko.com/text/v8305yx2/the-tomb-of-pharaohs-chancellor-senneferi-at-thebes-tt99/37","editor":[{"family":"Strudwick","given":"Nigel"}],"accessed":{"date-parts":[["2026",3,27]]},"issued":{"date-parts":[["2016"]]}}}],"schema":"https://github.com/citation-style-language/schema/raw/master/csl-citation.json"} </w:instrText>
      </w:r>
      <w:r>
        <w:fldChar w:fldCharType="separate"/>
      </w:r>
      <w:r w:rsidRPr="00B9018A">
        <w:rPr>
          <w:rFonts w:ascii="Calibri" w:hAnsi="Calibri" w:cs="Calibri"/>
        </w:rPr>
        <w:t>(Strudwick, 2016)</w:t>
      </w:r>
      <w:r>
        <w:fldChar w:fldCharType="end"/>
      </w:r>
      <w:r w:rsidRPr="00E720DE">
        <w:t xml:space="preserve">. The </w:t>
      </w:r>
      <w:r>
        <w:t>stelae</w:t>
      </w:r>
      <w:r w:rsidRPr="00E720DE">
        <w:t xml:space="preserve"> not only reinforce the elite status of Senneferi but also points to his position within the wider social network. The quality of the stelae also points to the access he may have had to skilled artists, further stressing his wealth and status. The stelae, portra</w:t>
      </w:r>
      <w:r>
        <w:t>ys</w:t>
      </w:r>
      <w:r w:rsidRPr="00E720DE">
        <w:t xml:space="preserve"> Senneferi as a loyal servant of the kingdom and as an individual of some social significance.</w:t>
      </w:r>
    </w:p>
    <w:p w14:paraId="1D39E89B" w14:textId="77777777" w:rsidR="009409C4" w:rsidRDefault="009409C4" w:rsidP="009409C4"/>
    <w:p w14:paraId="519D30EA" w14:textId="77777777" w:rsidR="009409C4" w:rsidRDefault="009409C4" w:rsidP="009409C4">
      <w:r>
        <w:rPr>
          <w:noProof/>
        </w:rPr>
        <mc:AlternateContent>
          <mc:Choice Requires="wps">
            <w:drawing>
              <wp:anchor distT="0" distB="0" distL="114300" distR="114300" simplePos="0" relativeHeight="251668480" behindDoc="0" locked="0" layoutInCell="1" allowOverlap="1" wp14:anchorId="28085556" wp14:editId="62BE7AA3">
                <wp:simplePos x="0" y="0"/>
                <wp:positionH relativeFrom="column">
                  <wp:posOffset>1374140</wp:posOffset>
                </wp:positionH>
                <wp:positionV relativeFrom="paragraph">
                  <wp:posOffset>3131820</wp:posOffset>
                </wp:positionV>
                <wp:extent cx="2869565" cy="635"/>
                <wp:effectExtent l="0" t="0" r="0" b="0"/>
                <wp:wrapTopAndBottom/>
                <wp:docPr id="134149523" name="Text Box 1"/>
                <wp:cNvGraphicFramePr/>
                <a:graphic xmlns:a="http://schemas.openxmlformats.org/drawingml/2006/main">
                  <a:graphicData uri="http://schemas.microsoft.com/office/word/2010/wordprocessingShape">
                    <wps:wsp>
                      <wps:cNvSpPr txBox="1"/>
                      <wps:spPr>
                        <a:xfrm>
                          <a:off x="0" y="0"/>
                          <a:ext cx="2869565" cy="635"/>
                        </a:xfrm>
                        <a:prstGeom prst="rect">
                          <a:avLst/>
                        </a:prstGeom>
                        <a:solidFill>
                          <a:prstClr val="white"/>
                        </a:solidFill>
                        <a:ln>
                          <a:noFill/>
                        </a:ln>
                      </wps:spPr>
                      <wps:txbx>
                        <w:txbxContent>
                          <w:p w14:paraId="5F5B4349" w14:textId="77777777" w:rsidR="009409C4" w:rsidRPr="007C5CC7"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5</w:t>
                            </w:r>
                            <w:r>
                              <w:fldChar w:fldCharType="end"/>
                            </w:r>
                            <w:r>
                              <w:t>- Ritual objects found in TT99 that might be related to the Opening of the Mouth ceremony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085556" id="_x0000_s1030" type="#_x0000_t202" style="position:absolute;margin-left:108.2pt;margin-top:246.6pt;width:225.9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" stroked="f">
                <v:textbox style="mso-fit-shape-to-text:t" inset="0,0,0,0">
                  <w:txbxContent>
                    <w:p w14:paraId="5F5B4349" w14:textId="77777777" w:rsidR="009409C4" w:rsidRPr="007C5CC7"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5</w:t>
                      </w:r>
                      <w:r>
                        <w:fldChar w:fldCharType="end"/>
                      </w:r>
                      <w:r>
                        <w:t>- Ritual objects found in TT99 that might be related to the Opening of the Mouth ceremony</w:t>
                      </w:r>
                    </w:p>
                  </w:txbxContent>
                </v:textbox>
                <w10:wrap type="topAndBottom"/>
              </v:shape>
            </w:pict>
          </mc:Fallback>
        </mc:AlternateContent>
      </w:r>
      <w:r w:rsidRPr="00675E17">
        <w:drawing>
          <wp:anchor distT="0" distB="0" distL="114300" distR="114300" simplePos="0" relativeHeight="251667456" behindDoc="0" locked="0" layoutInCell="1" allowOverlap="1" wp14:anchorId="4073BA79" wp14:editId="32C58614">
            <wp:simplePos x="0" y="0"/>
            <wp:positionH relativeFrom="column">
              <wp:posOffset>1374243</wp:posOffset>
            </wp:positionH>
            <wp:positionV relativeFrom="paragraph">
              <wp:posOffset>992747</wp:posOffset>
            </wp:positionV>
            <wp:extent cx="2870053" cy="2082388"/>
            <wp:effectExtent l="0" t="0" r="6985" b="0"/>
            <wp:wrapTopAndBottom/>
            <wp:docPr id="678340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340128" name=""/>
                    <pic:cNvPicPr/>
                  </pic:nvPicPr>
                  <pic:blipFill>
                    <a:blip r:embed="rId11">
                      <a:extLst>
                        <a:ext uri="{28A0092B-C50C-407E-A947-70E740481C1C}">
                          <a14:useLocalDpi xmlns:a14="http://schemas.microsoft.com/office/drawing/2010/main" val="0"/>
                        </a:ext>
                      </a:extLst>
                    </a:blip>
                    <a:stretch>
                      <a:fillRect/>
                    </a:stretch>
                  </pic:blipFill>
                  <pic:spPr>
                    <a:xfrm>
                      <a:off x="0" y="0"/>
                      <a:ext cx="2870053" cy="2082388"/>
                    </a:xfrm>
                    <a:prstGeom prst="rect">
                      <a:avLst/>
                    </a:prstGeom>
                  </pic:spPr>
                </pic:pic>
              </a:graphicData>
            </a:graphic>
          </wp:anchor>
        </w:drawing>
      </w:r>
      <w:r>
        <w:t xml:space="preserve">In addition to the fragmented stelae, the food containers serve provision for the afterlife. Food containers are left in tombs so that the dead has food for the afterlife, other items such as wines and oils could have also been left. Again, we can see themes of death being a continuation of life, albeit in a different form. These containers being left behind shows that Senneferi had a proper burial, with people leaving grave goods for him, making sure he had a smooth afterlife. </w:t>
      </w:r>
    </w:p>
    <w:p w14:paraId="166A5A1A" w14:textId="77777777" w:rsidR="009409C4" w:rsidRDefault="009409C4" w:rsidP="009409C4">
      <w:r>
        <w:t xml:space="preserve">Ritual evidence is also significant when trying to understand the purpose of the objects. Objects connected to the ritual of the Opening of the Mouth ceremony suggest that Senneferi’s burial was subject to the correct religious rites to restore the deceased's senses and enable them to function in the afterlife </w:t>
      </w:r>
      <w:r>
        <w:fldChar w:fldCharType="begin"/>
      </w:r>
      <w:r>
        <w:instrText xml:space="preserve"> ADDIN ZOTERO_ITEM CSL_CITATION {"citationID":"jnbje0CO","properties":{"formattedCitation":"(Bohleke and Strudwick, 2017)","plainCitation":"(Bohleke and Strudwick, 2017)","noteIndex":0},"citationItems":[{"id":410,"uris":["http://zotero.org/users/local/yKBDKBHn/items/WXH33HV9"],"itemData":{"id":410,"type":"article-journal","container-title":"Études et Travaux (Institut des Cultures Méditerranéennes et Orientales de l’Académie Polonaise des Sciences)","DOI":"10.12775/EtudTrav.30.004","ISSN":"2084-6762","language":"EN","page":"105-123","publisher":"Polska Akademia Nauk. Instytut Kultur Śródziemnomorskich i Orientalnych PAN","source":"cejsh.icm.edu.pl","title":"A Label for Opening of the Mouth Implements from the Burial of Senneferi (TT99) and Remarks on the Ritual","volume":"XXX","author":[{"family":"Bohleke","given":"Briant"},{"family":"Strudwick","given":"Nigel"}],"issued":{"date-parts":[["2017"]]}}}],"schema":"https://github.com/citation-style-language/schema/raw/master/csl-citation.json"} </w:instrText>
      </w:r>
      <w:r>
        <w:fldChar w:fldCharType="separate"/>
      </w:r>
      <w:r w:rsidRPr="00190DC6">
        <w:rPr>
          <w:rFonts w:ascii="Calibri" w:hAnsi="Calibri" w:cs="Calibri"/>
        </w:rPr>
        <w:t>(Bohleke and Strudwick, 2017)</w:t>
      </w:r>
      <w:r>
        <w:fldChar w:fldCharType="end"/>
      </w:r>
      <w:r>
        <w:t xml:space="preserve">. Such rituals are connected to the burial of the elite. Therefore, the presence of the equipment connected to the ritual supports the idea of Senneferi being an elite member of society. The burial of Senneferi was not only rich but also complete from the point of view of the ritual equipment. </w:t>
      </w:r>
    </w:p>
    <w:p w14:paraId="090F49CD" w14:textId="77777777" w:rsidR="009409C4" w:rsidRDefault="009409C4" w:rsidP="009409C4">
      <w:r>
        <w:t>Thus, it can be said that the material culture of TT99 reflects belief and status. The presence of shabtis, provisions, and ritual objects indicates that Senneferi prepared for the afterlife, but it also indicates that this was done in a way that reinforced status as an elite member of society. As such, this material culture is of particular interest in terms of how belief and status were expressed in New Kingdom Egypt.</w:t>
      </w:r>
    </w:p>
    <w:p w14:paraId="2A8EF359" w14:textId="77777777" w:rsidR="009409C4" w:rsidRDefault="009409C4" w:rsidP="009409C4">
      <w:pPr>
        <w:pStyle w:val="Subtitle"/>
      </w:pPr>
      <w:r>
        <w:t xml:space="preserve">Identity </w:t>
      </w:r>
    </w:p>
    <w:p w14:paraId="491A67CF" w14:textId="77777777" w:rsidR="009409C4" w:rsidRDefault="009409C4" w:rsidP="009409C4">
      <w:r>
        <w:t>The inscriptions and objects related to TT99 are significant in terms of the construction of Senneferi’s identity. In New Kingdom Thebes, the inscriptions in the tombs were not merely descriptive in nature; rather, they played an active role in the construction of the identity of the deceased. By utilizing the titles, names, and formal inscriptions, individuals such as Senneferi could define their status and reinforce their position in the elite society of the time.</w:t>
      </w:r>
    </w:p>
    <w:p w14:paraId="150D5F2C" w14:textId="77777777" w:rsidR="009409C4" w:rsidRDefault="009409C4" w:rsidP="009409C4">
      <w:r>
        <w:t xml:space="preserve">The stelae and inscribed objects from TT99 would originally have had engravings Senneferi’s titles and his official roles, which were important in the context of elite representation. These titles would not have been descriptive; rather, they were significant in terms of status, authority, and proximity to power. By utilizing his roles in the administrative system of the time, Senneferi could represent himself as an individual of significant importance in the context of the social hierarchy of the time. This phenomenon can be related to the broader context of the use of inscriptions in the tombs of the </w:t>
      </w:r>
      <w:r>
        <w:lastRenderedPageBreak/>
        <w:t xml:space="preserve">New Kingdom period, in which individuals utilized the inscriptions to highlight their achievements and reinforce their reputation beyond the grave </w:t>
      </w:r>
      <w:r>
        <w:fldChar w:fldCharType="begin"/>
      </w:r>
      <w:r>
        <w:instrText xml:space="preserve"> ADDIN ZOTERO_ITEM CSL_CITATION {"citationID":"ZjbHUk3B","properties":{"formattedCitation":"(Robins, 2016)","plainCitation":"(Robins, 2016)","noteIndex":0},"citationItems":[{"id":432,"uris":["http://zotero.org/users/local/yKBDKBHn/items/M8K7S4NZ"],"itemData":{"id":432,"type":"chapter","abstract":"The term ‘canonicity’ implies the recognition that the domain of literature and of the library is also a cultural and political one, related to various forms of identity formation, maintenance, and change. Scribes and benefactors ‘create’ canon in as much as they teach, analyze, preserve, prom¬ulgate and change ‘canonical’ texts according to prevailing norms. From early on, texts from the written traditions of ancient Mesopotamia and Egypt were accumulated, codified, and to some extent canonized, as various collections developed mainly in the environment of the temple and the palace. These written traditions represent sets of formal and informal cultures that all speak in their own ways of canonicity, normativity, and other forms of cultural expertise. Some forms of literature were used not only in scholarly contexts, but also in political ones, and they served purposes of identity formation. This volume addresses the interrelations between various forms of ‘canon’ and identity formation in different time periods, genres, regions, and contexts, as well as the application of contemporary conceptions of ‘canon’ to ancient texts.","container-title":"Problems of Canonicity and Identity Formation in Ancient Egypt and Mesopotamia","ISBN":"978-87-635-4372-9","language":"en","note":"Google-Books-ID: jae9DgAAQBAJ","page":"201-215","publisher":"Museum Tusculanum Press","source":"Google Books","title":"Constructing elite group and individual identity within the canon of 18th Dynasty Theban tomb chapel decoration","editor":[{"family":"Barjamovic","given":"Gojko"},{"family":"Ryholt","given":"Kim"}],"author":[{"family":"Robins","given":"Gay"}],"issued":{"date-parts":[["2016",4,24]]}}}],"schema":"https://github.com/citation-style-language/schema/raw/master/csl-citation.json"} </w:instrText>
      </w:r>
      <w:r>
        <w:fldChar w:fldCharType="separate"/>
      </w:r>
      <w:r w:rsidRPr="006D53B6">
        <w:rPr>
          <w:rFonts w:ascii="Calibri" w:hAnsi="Calibri" w:cs="Calibri"/>
        </w:rPr>
        <w:t>(Robins, 2016)</w:t>
      </w:r>
      <w:r>
        <w:fldChar w:fldCharType="end"/>
      </w:r>
      <w:r>
        <w:t>.</w:t>
      </w:r>
    </w:p>
    <w:p w14:paraId="3D08CED6" w14:textId="77777777" w:rsidR="009409C4" w:rsidRDefault="009409C4" w:rsidP="009409C4">
      <w:r>
        <w:t xml:space="preserve">The broader context of the use of the inscriptions in the tombs can be related the construction of identity. Rather than presenting a realistic view of the individual, the inscriptions in the tombs presented an idealised view of the individual, which was constructed in accordance with the broader normative of the elite society of the time. This indicates that the identity of Senneferi presented in TT99 would be subjective in nature, highlighting his status, piety, and importance in the broader context of society, while excluding his undesirable qualities. In this context, the tomb can be related to the broader construction of identity, in which the identity of the individual was produced rather than merely presented </w:t>
      </w:r>
      <w:r>
        <w:fldChar w:fldCharType="begin"/>
      </w:r>
      <w:r>
        <w:instrText xml:space="preserve"> ADDIN ZOTERO_ITEM CSL_CITATION {"citationID":"qFVyZOvC","properties":{"formattedCitation":"(Barjamovic and Ryholt, 2016)","plainCitation":"(Barjamovic and Ryholt, 2016)","noteIndex":0},"citationItems":[{"id":414,"uris":["http://zotero.org/users/local/yKBDKBHn/items/USPTXXR8"],"itemData":{"id":414,"type":"book","abstract":"The term ‘canonicity’ implies the recognition that the domain of literature and of the library is also a cultural and political one, related to various forms of identity formation, maintenance, and change. Scribes and benefactors ‘create’ canon in as much as they teach, analyze, preserve, prom¬ulgate and change ‘canonical’ texts according to prevailing norms. From early on, texts from the written traditions of ancient Mesopotamia and Egypt were accumulated, codified, and to some extent canonized, as various collections developed mainly in the environment of the temple and the palace. These written traditions represent sets of formal and informal cultures that all speak in their own ways of canonicity, normativity, and other forms of cultural expertise. Some forms of literature were used not only in scholarly contexts, but also in political ones, and they served purposes of identity formation. This volume addresses the interrelations between various forms of ‘canon’ and identity formation in different time periods, genres, regions, and contexts, as well as the application of contemporary conceptions of ‘canon’ to ancient texts.","ISBN":"978-87-635-4372-9","language":"en","note":"Google-Books-ID: jae9DgAAQBAJ","number-of-pages":"359","publisher":"Museum Tusculanum Press","source":"Google Books","title":"Problems of Canonicity and Identity Formation in Ancient Egypt and Mesopotamia","author":[{"family":"Barjamovic","given":"Gojko"},{"family":"Ryholt","given":"Kim"}],"issued":{"date-parts":[["2016",4,24]]}}}],"schema":"https://github.com/citation-style-language/schema/raw/master/csl-citation.json"} </w:instrText>
      </w:r>
      <w:r>
        <w:fldChar w:fldCharType="separate"/>
      </w:r>
      <w:r w:rsidRPr="002215E9">
        <w:rPr>
          <w:rFonts w:ascii="Calibri" w:hAnsi="Calibri" w:cs="Calibri"/>
        </w:rPr>
        <w:t>(Barjamovic and Ryholt, 2016)</w:t>
      </w:r>
      <w:r>
        <w:fldChar w:fldCharType="end"/>
      </w:r>
      <w:r>
        <w:t>.</w:t>
      </w:r>
    </w:p>
    <w:p w14:paraId="15F3B5E5" w14:textId="77777777" w:rsidR="009409C4" w:rsidRDefault="009409C4" w:rsidP="009409C4">
      <w:r>
        <w:rPr>
          <w:noProof/>
        </w:rPr>
        <mc:AlternateContent>
          <mc:Choice Requires="wps">
            <w:drawing>
              <wp:anchor distT="0" distB="0" distL="114300" distR="114300" simplePos="0" relativeHeight="251670528" behindDoc="0" locked="0" layoutInCell="1" allowOverlap="1" wp14:anchorId="5EB58A1A" wp14:editId="757FE34E">
                <wp:simplePos x="0" y="0"/>
                <wp:positionH relativeFrom="column">
                  <wp:posOffset>1522095</wp:posOffset>
                </wp:positionH>
                <wp:positionV relativeFrom="paragraph">
                  <wp:posOffset>3654425</wp:posOffset>
                </wp:positionV>
                <wp:extent cx="2964815" cy="635"/>
                <wp:effectExtent l="0" t="0" r="0" b="0"/>
                <wp:wrapTopAndBottom/>
                <wp:docPr id="1581803742" name="Text Box 1"/>
                <wp:cNvGraphicFramePr/>
                <a:graphic xmlns:a="http://schemas.openxmlformats.org/drawingml/2006/main">
                  <a:graphicData uri="http://schemas.microsoft.com/office/word/2010/wordprocessingShape">
                    <wps:wsp>
                      <wps:cNvSpPr txBox="1"/>
                      <wps:spPr>
                        <a:xfrm>
                          <a:off x="0" y="0"/>
                          <a:ext cx="2964815" cy="635"/>
                        </a:xfrm>
                        <a:prstGeom prst="rect">
                          <a:avLst/>
                        </a:prstGeom>
                        <a:solidFill>
                          <a:prstClr val="white"/>
                        </a:solidFill>
                        <a:ln>
                          <a:noFill/>
                        </a:ln>
                      </wps:spPr>
                      <wps:txbx>
                        <w:txbxContent>
                          <w:p w14:paraId="3957BB62" w14:textId="77777777" w:rsidR="009409C4" w:rsidRPr="00574447"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6</w:t>
                            </w:r>
                            <w:r>
                              <w:fldChar w:fldCharType="end"/>
                            </w:r>
                            <w:r>
                              <w:t xml:space="preserve"> - Wall 6 in TT99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B58A1A" id="_x0000_s1031" type="#_x0000_t202" style="position:absolute;margin-left:119.85pt;margin-top:287.75pt;width:233.4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" stroked="f">
                <v:textbox style="mso-fit-shape-to-text:t" inset="0,0,0,0">
                  <w:txbxContent>
                    <w:p w14:paraId="3957BB62" w14:textId="77777777" w:rsidR="009409C4" w:rsidRPr="00574447" w:rsidRDefault="009409C4" w:rsidP="009409C4">
                      <w:pPr>
                        <w:pStyle w:val="Caption"/>
                        <w:rPr>
                          <w:sz w:val="22"/>
                          <w:szCs w:val="22"/>
                        </w:rPr>
                      </w:pPr>
                      <w:r>
                        <w:t xml:space="preserve">Figure </w:t>
                      </w:r>
                      <w:r>
                        <w:fldChar w:fldCharType="begin"/>
                      </w:r>
                      <w:r>
                        <w:instrText xml:space="preserve"> SEQ Figure \* ARABIC </w:instrText>
                      </w:r>
                      <w:r>
                        <w:fldChar w:fldCharType="separate"/>
                      </w:r>
                      <w:r>
                        <w:rPr>
                          <w:noProof/>
                        </w:rPr>
                        <w:t>6</w:t>
                      </w:r>
                      <w:r>
                        <w:fldChar w:fldCharType="end"/>
                      </w:r>
                      <w:r>
                        <w:t xml:space="preserve"> - Wall 6 in TT99</w:t>
                      </w:r>
                    </w:p>
                  </w:txbxContent>
                </v:textbox>
                <w10:wrap type="topAndBottom"/>
              </v:shape>
            </w:pict>
          </mc:Fallback>
        </mc:AlternateContent>
      </w:r>
      <w:r w:rsidRPr="002C676B">
        <w:drawing>
          <wp:anchor distT="0" distB="0" distL="114300" distR="114300" simplePos="0" relativeHeight="251669504" behindDoc="0" locked="0" layoutInCell="1" allowOverlap="1" wp14:anchorId="46401BB3" wp14:editId="24737F51">
            <wp:simplePos x="0" y="0"/>
            <wp:positionH relativeFrom="column">
              <wp:posOffset>1522095</wp:posOffset>
            </wp:positionH>
            <wp:positionV relativeFrom="paragraph">
              <wp:posOffset>1328332</wp:posOffset>
            </wp:positionV>
            <wp:extent cx="2964815" cy="2269490"/>
            <wp:effectExtent l="0" t="0" r="6985" b="0"/>
            <wp:wrapTopAndBottom/>
            <wp:docPr id="1106071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071050" name=""/>
                    <pic:cNvPicPr/>
                  </pic:nvPicPr>
                  <pic:blipFill>
                    <a:blip r:embed="rId12">
                      <a:extLst>
                        <a:ext uri="{28A0092B-C50C-407E-A947-70E740481C1C}">
                          <a14:useLocalDpi xmlns:a14="http://schemas.microsoft.com/office/drawing/2010/main" val="0"/>
                        </a:ext>
                      </a:extLst>
                    </a:blip>
                    <a:stretch>
                      <a:fillRect/>
                    </a:stretch>
                  </pic:blipFill>
                  <pic:spPr>
                    <a:xfrm>
                      <a:off x="0" y="0"/>
                      <a:ext cx="2964815" cy="2269490"/>
                    </a:xfrm>
                    <a:prstGeom prst="rect">
                      <a:avLst/>
                    </a:prstGeom>
                  </pic:spPr>
                </pic:pic>
              </a:graphicData>
            </a:graphic>
            <wp14:sizeRelH relativeFrom="margin">
              <wp14:pctWidth>0</wp14:pctWidth>
            </wp14:sizeRelH>
            <wp14:sizeRelV relativeFrom="margin">
              <wp14:pctHeight>0</wp14:pctHeight>
            </wp14:sizeRelV>
          </wp:anchor>
        </w:drawing>
      </w:r>
      <w:r>
        <w:t xml:space="preserve">It is also interesting to note that the inscriptions from TT 99 are fragmentary. They are damaged due to tomb robbery. It is possible to argue that the identity of Senneferi is not entirely constructible. However, the inscriptions offer an interesting view into the identity of Senneferi. They offer an interesting window into the identity of Senneferi even when they are incomplete. It is apparent that the inscriptions are meant for an audience. In a sense, the tomb is a medium of communication. It enabled Senneferi to establish his identity. </w:t>
      </w:r>
    </w:p>
    <w:p w14:paraId="4195D6FA" w14:textId="77777777" w:rsidR="009409C4" w:rsidRDefault="009409C4" w:rsidP="009409C4"/>
    <w:p w14:paraId="2C6504EC" w14:textId="77777777" w:rsidR="009409C4" w:rsidRDefault="009409C4" w:rsidP="009409C4">
      <w:r>
        <w:t>Overall, the inscriptions and stelae connected to TT99 prove that identity in ancient Egyptian tombs was not merely registered, but it was constructed. By employing the titles and texts in such a manner, Senneferi was able to project himself as a man of high social status, and consequently, his social position and personal identity were ensured in the funerary landscape of Thebes.</w:t>
      </w:r>
    </w:p>
    <w:p w14:paraId="3A7A8BE1" w14:textId="77777777" w:rsidR="009409C4" w:rsidRDefault="009409C4" w:rsidP="009409C4"/>
    <w:p w14:paraId="0A550EC8" w14:textId="77777777" w:rsidR="009409C4" w:rsidRDefault="009409C4" w:rsidP="009409C4">
      <w:pPr>
        <w:pStyle w:val="Subtitle"/>
      </w:pPr>
      <w:r>
        <w:t>Limitations</w:t>
      </w:r>
    </w:p>
    <w:p w14:paraId="7C24D28A" w14:textId="77777777" w:rsidR="009409C4" w:rsidRDefault="009409C4" w:rsidP="009409C4">
      <w:r>
        <w:t xml:space="preserve">Although TT99 provides valuable insight into Senneferi's status, identity, and funerary culture, it is also important to consider the fact that some of the information was not recorded because of the incomplete nature of the evidence. For example, TT99 was robbed, and some of the items were removed or destroyed. This has made it difficult to draw accurate conclusions about some of the items in the tomb, such as coffins, shabtis, and other items </w:t>
      </w:r>
      <w:r>
        <w:fldChar w:fldCharType="begin"/>
      </w:r>
      <w:r>
        <w:instrText xml:space="preserve"> ADDIN ZOTERO_ITEM CSL_CITATION {"citationID":"26h8eY9P","properties":{"formattedCitation":"(Hlouchov\\uc0\\u225{} {\\i{}et al.}, 2019)","plainCitation":"(Hlouchová et al., 2019)","noteIndex":0},"citationItems":[{"id":424,"uris":["http://zotero.org/users/local/yKBDKBHn/items/RDCGCCN6"],"itemData":{"id":424,"type":"book","abstract":"Current Research in Egyptology 2018 is a collection of papers and posters presented at the nineteenth symposium of the prestigious international student conference, held at the Faculty of Arts, Charles University in Prague on 25th–28th June 2018. The Prague conference was attended by more than 100 people from various countries and institutions. The range of topics discussed was wide, covering all periods of ancient Egyptian and Nubian history and various topics concerning their society, religious life, material culture and archaeological excavations. The event also included six keynote lectures by experts from the Czech Institute of Egyptology, the FA CU (Prof. Mgr. Miroslav Bárta, Dr., Doc. PhDr. Hana Vymazalová, Ph.D., Doc. PhDr. Jana Mynářová, Ph.D., Prof. PhDr. Ladislav Bareš, CSc., and PhDr. Filip Coppens, Ph.D.) and the University of Vienna (Ao. Univ.-Prof. Dr. Peter-Christian Jánosi). The Egyptological meeting was enriched with a visit to the Karolinum, historical buildings of Charles University.","ISBN":"978-1-78969-215-0","language":"en","note":"Google-Books-ID: uxUSEAAAQBAJ","number-of-pages":"266","publisher":"Archaeopress Publishing Ltd","source":"Google Books","title":"Current Research in Egyptology 2018: Proceedings of the Nineteenth Annual Symposium, Czech Institute of Egyptology, Faculty of Arts, Charles University, Prague, 25–28 June 2018","title-short":"Current Research in Egyptology 2018","author":[{"family":"Hlouchová","given":"Marie Peterková"},{"family":"Belohoubková","given":"Dana"},{"family":"Honzl","given":"Jirí"},{"family":"Nováková","given":"Vera"}],"issued":{"date-parts":[["2019",5,31]]}}}],"schema":"https://github.com/citation-style-language/schema/raw/master/csl-citation.json"} </w:instrText>
      </w:r>
      <w:r>
        <w:fldChar w:fldCharType="separate"/>
      </w:r>
      <w:r w:rsidRPr="00B422D9">
        <w:rPr>
          <w:rFonts w:ascii="Calibri" w:hAnsi="Calibri" w:cs="Calibri"/>
          <w:kern w:val="0"/>
        </w:rPr>
        <w:t xml:space="preserve">(Hlouchová </w:t>
      </w:r>
      <w:r w:rsidRPr="00B422D9">
        <w:rPr>
          <w:rFonts w:ascii="Calibri" w:hAnsi="Calibri" w:cs="Calibri"/>
          <w:i/>
          <w:iCs/>
          <w:kern w:val="0"/>
        </w:rPr>
        <w:t>et al.</w:t>
      </w:r>
      <w:r w:rsidRPr="00B422D9">
        <w:rPr>
          <w:rFonts w:ascii="Calibri" w:hAnsi="Calibri" w:cs="Calibri"/>
          <w:kern w:val="0"/>
        </w:rPr>
        <w:t>, 2019)</w:t>
      </w:r>
      <w:r>
        <w:fldChar w:fldCharType="end"/>
      </w:r>
      <w:r>
        <w:t>.</w:t>
      </w:r>
    </w:p>
    <w:p w14:paraId="2BADE7B4" w14:textId="77777777" w:rsidR="009409C4" w:rsidRDefault="009409C4" w:rsidP="009409C4">
      <w:r>
        <w:lastRenderedPageBreak/>
        <w:t xml:space="preserve">However, despite these limitations, some valuable insights and conclusions can be drawn from TT99. For example, by examining TT99 and other elite tombs in Sheikh Abd el-Qurna, it becomes clear that the forecourt, chapel, burial shafts, and other items such as shabtis and inscriptions are consistent with 18th Dynasty elite culture </w:t>
      </w:r>
      <w:r>
        <w:fldChar w:fldCharType="begin"/>
      </w:r>
      <w:r>
        <w:instrText xml:space="preserve"> ADDIN ZOTERO_ITEM CSL_CITATION {"citationID":"jLB4VUVt","properties":{"formattedCitation":"(Auenmller, 2014; Bohleke and Strudwick, 2017)","plainCitation":"(Auenmller, 2014; Bohleke and Strudwick, 2017)","noteIndex":0},"citationItems":[{"id":417,"uris":["http://zotero.org/users/local/yKBDKBHn/items/EBU4Z7CY"],"itemData":{"id":417,"type":"article-journal","abstract":"This paper deals with the significance of provincial New Kingdom elite tomb location. It aims to describe a key element of the relationship between the elite and the spatial distribution of their archaeological evidence in terms of ‘territoriality’. It focuses especially on the tomb, the pivotal component of the elite’s monumental display. A unique perspective is adopted, derived from both the sociology of space and cultural anthropology. The theoretical background of ‘territoriality’ and its wide range of applications are outlined firstly with a short review of key definitions. The paper’s focus then shifts to the domain of funerary archaeology by examining the location of tombs and its significance. The factors affecting location are discussed from a prosopographical perspective and contrasted with statements from so-called (auto-)biographical self-presentations. Both inscriptional and prosopographical data is the key to understand the underlying considerations for tomb location.","container-title":"Studies in Ancient Art and Civilization","ISSN":"0083-4300, 2449-867X","issue":"18","language":"English","page":"171-193","publisher":"KSIĘGARNIA AKADEMICKA Sp. z o.o.","source":"www.ceeol.com","title":"The Location of New Kingdom Elite Tombs – Space, Place and Significance","author":[{"family":"Auenmller","given":"Johannes"}],"issued":{"date-parts":[["2014"]]}}},{"id":410,"uris":["http://zotero.org/users/local/yKBDKBHn/items/WXH33HV9"],"itemData":{"id":410,"type":"article-journal","container-title":"Études et Travaux (Institut des Cultures Méditerranéennes et Orientales de l’Académie Polonaise des Sciences)","DOI":"10.12775/EtudTrav.30.004","ISSN":"2084-6762","language":"EN","page":"105-123","publisher":"Polska Akademia Nauk. Instytut Kultur Śródziemnomorskich i Orientalnych PAN","source":"cejsh.icm.edu.pl","title":"A Label for Opening of the Mouth Implements from the Burial of Senneferi (TT99) and Remarks on the Ritual","volume":"XXX","author":[{"family":"Bohleke","given":"Briant"},{"family":"Strudwick","given":"Nigel"}],"issued":{"date-parts":[["2017"]]}}}],"schema":"https://github.com/citation-style-language/schema/raw/master/csl-citation.json"} </w:instrText>
      </w:r>
      <w:r>
        <w:fldChar w:fldCharType="separate"/>
      </w:r>
      <w:r w:rsidRPr="002E0B5A">
        <w:rPr>
          <w:rFonts w:ascii="Calibri" w:hAnsi="Calibri" w:cs="Calibri"/>
        </w:rPr>
        <w:t>(Auenmller, 2014; Bohleke and Strudwick, 2017)</w:t>
      </w:r>
      <w:r>
        <w:fldChar w:fldCharType="end"/>
      </w:r>
      <w:r>
        <w:t>.</w:t>
      </w:r>
    </w:p>
    <w:p w14:paraId="499EA9B3" w14:textId="77777777" w:rsidR="009409C4" w:rsidRDefault="009409C4" w:rsidP="009409C4">
      <w:r>
        <w:t>It is also important to consider the fact that despite these limitations, TT99 provides valuable insights and conclusions about elite culture and how Senneferi constructed his social and religious identity during the New Kingdom period. In addition, acknowledging these limitations provides valuable insights and conclusions about TT99 and how it reflects elite culture and how Senneferi constructed his social and religious identity during the New Kingdom period.</w:t>
      </w:r>
    </w:p>
    <w:p w14:paraId="66E1128A" w14:textId="77777777" w:rsidR="009409C4" w:rsidRDefault="009409C4" w:rsidP="009409C4">
      <w:pPr>
        <w:pStyle w:val="Subtitle"/>
      </w:pPr>
      <w:r>
        <w:t>Conclusion</w:t>
      </w:r>
    </w:p>
    <w:p w14:paraId="63912228" w14:textId="77777777" w:rsidR="009409C4" w:rsidRDefault="009409C4" w:rsidP="009409C4">
      <w:r w:rsidRPr="00697A67">
        <w:t xml:space="preserve">The tomb of Senneferi (TT99) is a detailed insight into how material culture contributed to the construction of elite identity, status, and belief systems in New Kingdom Thebes. The architectural layout of the tomb, from the forecourt through to the inverted T-shaped chapel, pillared hall, and deep burial shafts, is evidence of its construction as a statement of status and its integration into the world of the living as it led into the world of the dead. The contents of the tomb, such as the presence of shabtis, food vessels, and ritual equipment, reinforce Senneferi’s high status in society and demonstrate his interest in the afterlife. </w:t>
      </w:r>
    </w:p>
    <w:p w14:paraId="51D83332" w14:textId="77777777" w:rsidR="009409C4" w:rsidRDefault="009409C4" w:rsidP="009409C4">
      <w:r w:rsidRPr="00697A67">
        <w:t xml:space="preserve">The inscriptions and stelae, such as those describing his titles and family, actively contribute to the construction of Senneferi’s identity as a connected and socially embedded member of society in Thebes. Although in a state of disrepair because of tomb robbery, TT99 is a prime example of how material culture combined to contribute to a cohesive construction of the status and belief systems of an elite member of society in ancient Egypt. </w:t>
      </w:r>
    </w:p>
    <w:p w14:paraId="6E30D6C2" w14:textId="77777777" w:rsidR="009409C4" w:rsidRDefault="009409C4" w:rsidP="009409C4">
      <w:r w:rsidRPr="00697A67">
        <w:t>Conclusion It is evident from TT99 that elite tombs were more than just tombs; they were statements of identity that connected members of society through family, society, and spirituality. It is apparent from this tomb that it is a statement of who Senneferi was and how he wanted to be remembered, demonstrating the relationship between material culture and social memory in ancient Egypt. Despite the difficulties in using, it as a source of evidence, TT99 is a prime example of how material and visual culture contributed to the construction of elite identity in ancient Egyptian society.</w:t>
      </w:r>
    </w:p>
    <w:p w14:paraId="62ABC942" w14:textId="77777777" w:rsidR="009409C4" w:rsidRDefault="009409C4" w:rsidP="009409C4"/>
    <w:p w14:paraId="7354E1AF" w14:textId="77777777" w:rsidR="009409C4" w:rsidRDefault="009409C4" w:rsidP="009409C4"/>
    <w:p w14:paraId="1A62E851" w14:textId="77777777" w:rsidR="009409C4" w:rsidRPr="000070C8" w:rsidRDefault="009409C4" w:rsidP="009409C4">
      <w:pPr>
        <w:rPr>
          <w:color w:val="000000" w:themeColor="text1"/>
        </w:rPr>
      </w:pPr>
    </w:p>
    <w:p w14:paraId="5F773B13" w14:textId="77777777" w:rsidR="009409C4" w:rsidRDefault="009409C4" w:rsidP="009409C4">
      <w:pPr>
        <w:pStyle w:val="Heading2"/>
        <w:rPr>
          <w:color w:val="000000" w:themeColor="text1"/>
        </w:rPr>
      </w:pPr>
      <w:r w:rsidRPr="000070C8">
        <w:rPr>
          <w:color w:val="000000" w:themeColor="text1"/>
        </w:rPr>
        <w:t>Bibliography</w:t>
      </w:r>
    </w:p>
    <w:p w14:paraId="7C2224F6" w14:textId="77777777" w:rsidR="009409C4" w:rsidRPr="00B9018A" w:rsidRDefault="009409C4" w:rsidP="009409C4">
      <w:pPr>
        <w:pStyle w:val="Bibliography"/>
        <w:rPr>
          <w:rFonts w:ascii="Calibri" w:hAnsi="Calibri" w:cs="Calibri"/>
        </w:rPr>
      </w:pPr>
      <w:r>
        <w:fldChar w:fldCharType="begin"/>
      </w:r>
      <w:r>
        <w:instrText xml:space="preserve"> ADDIN ZOTERO_BIBL {"uncited":[],"omitted":[],"custom":[]} CSL_BIBLIOGRAPHY </w:instrText>
      </w:r>
      <w:r>
        <w:fldChar w:fldCharType="separate"/>
      </w:r>
      <w:r w:rsidRPr="00B9018A">
        <w:rPr>
          <w:rFonts w:ascii="Calibri" w:hAnsi="Calibri" w:cs="Calibri"/>
        </w:rPr>
        <w:t xml:space="preserve">Auenmller, J. (2014) ‘The Location of New Kingdom Elite Tombs – Space, Place and Significance’, </w:t>
      </w:r>
      <w:r w:rsidRPr="00B9018A">
        <w:rPr>
          <w:rFonts w:ascii="Calibri" w:hAnsi="Calibri" w:cs="Calibri"/>
          <w:i/>
          <w:iCs/>
        </w:rPr>
        <w:t>Studies in Ancient Art and Civilization</w:t>
      </w:r>
      <w:r w:rsidRPr="00B9018A">
        <w:rPr>
          <w:rFonts w:ascii="Calibri" w:hAnsi="Calibri" w:cs="Calibri"/>
        </w:rPr>
        <w:t>, (18), pp. 171–193.</w:t>
      </w:r>
    </w:p>
    <w:p w14:paraId="44F0E222" w14:textId="77777777" w:rsidR="009409C4" w:rsidRPr="00B9018A" w:rsidRDefault="009409C4" w:rsidP="009409C4">
      <w:pPr>
        <w:pStyle w:val="Bibliography"/>
        <w:rPr>
          <w:rFonts w:ascii="Calibri" w:hAnsi="Calibri" w:cs="Calibri"/>
        </w:rPr>
      </w:pPr>
      <w:r w:rsidRPr="00B9018A">
        <w:rPr>
          <w:rFonts w:ascii="Calibri" w:hAnsi="Calibri" w:cs="Calibri"/>
        </w:rPr>
        <w:t xml:space="preserve">Barjamovic, G. and Ryholt, K. (2016) </w:t>
      </w:r>
      <w:r w:rsidRPr="00B9018A">
        <w:rPr>
          <w:rFonts w:ascii="Calibri" w:hAnsi="Calibri" w:cs="Calibri"/>
          <w:i/>
          <w:iCs/>
        </w:rPr>
        <w:t>Problems of Canonicity and Identity Formation in Ancient Egypt and Mesopotamia</w:t>
      </w:r>
      <w:r w:rsidRPr="00B9018A">
        <w:rPr>
          <w:rFonts w:ascii="Calibri" w:hAnsi="Calibri" w:cs="Calibri"/>
        </w:rPr>
        <w:t>. Museum Tusculanum Press.</w:t>
      </w:r>
    </w:p>
    <w:p w14:paraId="68201A6D" w14:textId="77777777" w:rsidR="009409C4" w:rsidRPr="00B9018A" w:rsidRDefault="009409C4" w:rsidP="009409C4">
      <w:pPr>
        <w:pStyle w:val="Bibliography"/>
        <w:rPr>
          <w:rFonts w:ascii="Calibri" w:hAnsi="Calibri" w:cs="Calibri"/>
        </w:rPr>
      </w:pPr>
      <w:r w:rsidRPr="00B9018A">
        <w:rPr>
          <w:rFonts w:ascii="Calibri" w:hAnsi="Calibri" w:cs="Calibri"/>
        </w:rPr>
        <w:t xml:space="preserve">Bohleke, B. and Strudwick, N. (2017) ‘A Label for Opening of the Mouth Implements from the Burial of Senneferi (TT99) and Remarks on the Ritual’, </w:t>
      </w:r>
      <w:r w:rsidRPr="00B9018A">
        <w:rPr>
          <w:rFonts w:ascii="Calibri" w:hAnsi="Calibri" w:cs="Calibri"/>
          <w:i/>
          <w:iCs/>
        </w:rPr>
        <w:t>Études et Travaux (Institut des Cultures Méditerranéennes et Orientales de l’Académie Polonaise des Sciences)</w:t>
      </w:r>
      <w:r w:rsidRPr="00B9018A">
        <w:rPr>
          <w:rFonts w:ascii="Calibri" w:hAnsi="Calibri" w:cs="Calibri"/>
        </w:rPr>
        <w:t>, XXX, pp. 105–123. Available at: https://doi.org/10.12775/EtudTrav.30.004.</w:t>
      </w:r>
    </w:p>
    <w:p w14:paraId="32A2ACE7" w14:textId="77777777" w:rsidR="009409C4" w:rsidRPr="00B9018A" w:rsidRDefault="009409C4" w:rsidP="009409C4">
      <w:pPr>
        <w:pStyle w:val="Bibliography"/>
        <w:rPr>
          <w:rFonts w:ascii="Calibri" w:hAnsi="Calibri" w:cs="Calibri"/>
        </w:rPr>
      </w:pPr>
      <w:r w:rsidRPr="00B9018A">
        <w:rPr>
          <w:rFonts w:ascii="Calibri" w:hAnsi="Calibri" w:cs="Calibri"/>
        </w:rPr>
        <w:lastRenderedPageBreak/>
        <w:t xml:space="preserve">Hlouchová, M.P. </w:t>
      </w:r>
      <w:r w:rsidRPr="00B9018A">
        <w:rPr>
          <w:rFonts w:ascii="Calibri" w:hAnsi="Calibri" w:cs="Calibri"/>
          <w:i/>
          <w:iCs/>
        </w:rPr>
        <w:t>et al.</w:t>
      </w:r>
      <w:r w:rsidRPr="00B9018A">
        <w:rPr>
          <w:rFonts w:ascii="Calibri" w:hAnsi="Calibri" w:cs="Calibri"/>
        </w:rPr>
        <w:t xml:space="preserve"> (2019) </w:t>
      </w:r>
      <w:r w:rsidRPr="00B9018A">
        <w:rPr>
          <w:rFonts w:ascii="Calibri" w:hAnsi="Calibri" w:cs="Calibri"/>
          <w:i/>
          <w:iCs/>
        </w:rPr>
        <w:t>Current Research in Egyptology 2018: Proceedings of the Nineteenth Annual Symposium, Czech Institute of Egyptology, Faculty of Arts, Charles University, Prague, 25–28 June 2018</w:t>
      </w:r>
      <w:r w:rsidRPr="00B9018A">
        <w:rPr>
          <w:rFonts w:ascii="Calibri" w:hAnsi="Calibri" w:cs="Calibri"/>
        </w:rPr>
        <w:t>. Archaeopress Publishing Ltd.</w:t>
      </w:r>
    </w:p>
    <w:p w14:paraId="25CFE393" w14:textId="77777777" w:rsidR="009409C4" w:rsidRPr="00B9018A" w:rsidRDefault="009409C4" w:rsidP="009409C4">
      <w:pPr>
        <w:pStyle w:val="Bibliography"/>
        <w:rPr>
          <w:rFonts w:ascii="Calibri" w:hAnsi="Calibri" w:cs="Calibri"/>
        </w:rPr>
      </w:pPr>
      <w:r w:rsidRPr="00B9018A">
        <w:rPr>
          <w:rFonts w:ascii="Calibri" w:hAnsi="Calibri" w:cs="Calibri"/>
        </w:rPr>
        <w:t xml:space="preserve">Robins, G. (2016) ‘Constructing elite group and individual identity within the canon of 18th Dynasty Theban tomb chapel decoration’, in G. Barjamovic and K. Ryholt (eds) </w:t>
      </w:r>
      <w:r w:rsidRPr="00B9018A">
        <w:rPr>
          <w:rFonts w:ascii="Calibri" w:hAnsi="Calibri" w:cs="Calibri"/>
          <w:i/>
          <w:iCs/>
        </w:rPr>
        <w:t>Problems of Canonicity and Identity Formation in Ancient Egypt and Mesopotamia</w:t>
      </w:r>
      <w:r w:rsidRPr="00B9018A">
        <w:rPr>
          <w:rFonts w:ascii="Calibri" w:hAnsi="Calibri" w:cs="Calibri"/>
        </w:rPr>
        <w:t>. Museum Tusculanum Press, pp. 201–215.</w:t>
      </w:r>
    </w:p>
    <w:p w14:paraId="335A4715" w14:textId="77777777" w:rsidR="009409C4" w:rsidRPr="00B9018A" w:rsidRDefault="009409C4" w:rsidP="009409C4">
      <w:pPr>
        <w:pStyle w:val="Bibliography"/>
        <w:rPr>
          <w:rFonts w:ascii="Calibri" w:hAnsi="Calibri" w:cs="Calibri"/>
        </w:rPr>
      </w:pPr>
      <w:r w:rsidRPr="00B9018A">
        <w:rPr>
          <w:rFonts w:ascii="Calibri" w:hAnsi="Calibri" w:cs="Calibri"/>
        </w:rPr>
        <w:t xml:space="preserve">Salvador, C. (2014) ‘From the Realm of the Dead to the House of the God: The New Kingdom Appeals to the Living in Context at Thebes’, in K. Accetta et al. (eds) </w:t>
      </w:r>
      <w:r w:rsidRPr="00B9018A">
        <w:rPr>
          <w:rFonts w:ascii="Calibri" w:hAnsi="Calibri" w:cs="Calibri"/>
          <w:i/>
          <w:iCs/>
        </w:rPr>
        <w:t>Current Research in Egyptology 2013: Proceedings of the Fourteenth Annual Symposium</w:t>
      </w:r>
      <w:r w:rsidRPr="00B9018A">
        <w:rPr>
          <w:rFonts w:ascii="Calibri" w:hAnsi="Calibri" w:cs="Calibri"/>
        </w:rPr>
        <w:t>. Oxbow books, pp. 153–167. Available at: https://hal.science/hal-04880350 (Accessed: 11 March 2026).</w:t>
      </w:r>
    </w:p>
    <w:p w14:paraId="2965D1D0" w14:textId="77777777" w:rsidR="009409C4" w:rsidRPr="00B9018A" w:rsidRDefault="009409C4" w:rsidP="009409C4">
      <w:pPr>
        <w:pStyle w:val="Bibliography"/>
        <w:rPr>
          <w:rFonts w:ascii="Calibri" w:hAnsi="Calibri" w:cs="Calibri"/>
        </w:rPr>
      </w:pPr>
      <w:r w:rsidRPr="00B9018A">
        <w:rPr>
          <w:rFonts w:ascii="Calibri" w:hAnsi="Calibri" w:cs="Calibri"/>
        </w:rPr>
        <w:t xml:space="preserve">Skinner, J., Manolopoulou, V. and Tsouparopoulou, C. (2025) </w:t>
      </w:r>
      <w:r w:rsidRPr="00B9018A">
        <w:rPr>
          <w:rFonts w:ascii="Calibri" w:hAnsi="Calibri" w:cs="Calibri"/>
          <w:i/>
          <w:iCs/>
        </w:rPr>
        <w:t>Identities in Antiquity</w:t>
      </w:r>
      <w:r w:rsidRPr="00B9018A">
        <w:rPr>
          <w:rFonts w:ascii="Calibri" w:hAnsi="Calibri" w:cs="Calibri"/>
        </w:rPr>
        <w:t>. Taylor &amp; Francis.</w:t>
      </w:r>
    </w:p>
    <w:p w14:paraId="422EE298" w14:textId="77777777" w:rsidR="009409C4" w:rsidRPr="00B9018A" w:rsidRDefault="009409C4" w:rsidP="009409C4">
      <w:pPr>
        <w:pStyle w:val="Bibliography"/>
        <w:rPr>
          <w:rFonts w:ascii="Calibri" w:hAnsi="Calibri" w:cs="Calibri"/>
        </w:rPr>
      </w:pPr>
      <w:r w:rsidRPr="00B9018A">
        <w:rPr>
          <w:rFonts w:ascii="Calibri" w:hAnsi="Calibri" w:cs="Calibri"/>
        </w:rPr>
        <w:t xml:space="preserve">Strudwick, N. (ed.) (2016) ‘Stela from Serabit el-Khadim’, </w:t>
      </w:r>
      <w:r w:rsidRPr="00B9018A">
        <w:rPr>
          <w:rFonts w:ascii="Calibri" w:hAnsi="Calibri" w:cs="Calibri"/>
          <w:i/>
          <w:iCs/>
        </w:rPr>
        <w:t>The Tomb of Pharaoh’s Chancellor Senneferi at Thebes (TT99)</w:t>
      </w:r>
      <w:r w:rsidRPr="00B9018A">
        <w:rPr>
          <w:rFonts w:ascii="Calibri" w:hAnsi="Calibri" w:cs="Calibri"/>
        </w:rPr>
        <w:t>. Available at: https://zoboko.com/text/v8305yx2/the-tomb-of-pharaohs-chancellor-senneferi-at-thebes-tt99/37 (Accessed: 27 March 2026).</w:t>
      </w:r>
    </w:p>
    <w:p w14:paraId="1BB7A661" w14:textId="77777777" w:rsidR="009409C4" w:rsidRPr="00B9018A" w:rsidRDefault="009409C4" w:rsidP="009409C4">
      <w:pPr>
        <w:pStyle w:val="Bibliography"/>
        <w:rPr>
          <w:rFonts w:ascii="Calibri" w:hAnsi="Calibri" w:cs="Calibri"/>
        </w:rPr>
      </w:pPr>
      <w:r w:rsidRPr="00B9018A">
        <w:rPr>
          <w:rFonts w:ascii="Calibri" w:hAnsi="Calibri" w:cs="Calibri"/>
          <w:i/>
          <w:iCs/>
        </w:rPr>
        <w:t>The tomb of Senneferi at Luxor in Egypt</w:t>
      </w:r>
      <w:r w:rsidRPr="00B9018A">
        <w:rPr>
          <w:rFonts w:ascii="Calibri" w:hAnsi="Calibri" w:cs="Calibri"/>
        </w:rPr>
        <w:t xml:space="preserve"> (no date). Available at: https://tt99.fitz.ms/index.html (Accessed: 20 March 2026).</w:t>
      </w:r>
    </w:p>
    <w:p w14:paraId="6F76A3D0" w14:textId="77777777" w:rsidR="009409C4" w:rsidRPr="000070C8" w:rsidRDefault="009409C4" w:rsidP="009409C4">
      <w:r>
        <w:fldChar w:fldCharType="end"/>
      </w:r>
    </w:p>
    <w:p w14:paraId="2BFCBE5C" w14:textId="77777777" w:rsidR="00431EA4" w:rsidRDefault="00431EA4"/>
    <w:sectPr w:rsidR="00431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9C4"/>
    <w:rsid w:val="00010555"/>
    <w:rsid w:val="0015789D"/>
    <w:rsid w:val="001F4656"/>
    <w:rsid w:val="00431EA4"/>
    <w:rsid w:val="007959C9"/>
    <w:rsid w:val="009409C4"/>
    <w:rsid w:val="00AC5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61178"/>
  <w15:chartTrackingRefBased/>
  <w15:docId w15:val="{73F7F065-4B9B-4B5E-A716-4E77DBE70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9C4"/>
  </w:style>
  <w:style w:type="paragraph" w:styleId="Heading1">
    <w:name w:val="heading 1"/>
    <w:basedOn w:val="Normal"/>
    <w:next w:val="Normal"/>
    <w:link w:val="Heading1Char"/>
    <w:uiPriority w:val="9"/>
    <w:qFormat/>
    <w:rsid w:val="009409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409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409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09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09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09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9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9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9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9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409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409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09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09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09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9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9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9C4"/>
    <w:rPr>
      <w:rFonts w:eastAsiaTheme="majorEastAsia" w:cstheme="majorBidi"/>
      <w:color w:val="272727" w:themeColor="text1" w:themeTint="D8"/>
    </w:rPr>
  </w:style>
  <w:style w:type="paragraph" w:styleId="Title">
    <w:name w:val="Title"/>
    <w:basedOn w:val="Normal"/>
    <w:next w:val="Normal"/>
    <w:link w:val="TitleChar"/>
    <w:uiPriority w:val="10"/>
    <w:qFormat/>
    <w:rsid w:val="009409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9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9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9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9C4"/>
    <w:pPr>
      <w:spacing w:before="160"/>
      <w:jc w:val="center"/>
    </w:pPr>
    <w:rPr>
      <w:i/>
      <w:iCs/>
      <w:color w:val="404040" w:themeColor="text1" w:themeTint="BF"/>
    </w:rPr>
  </w:style>
  <w:style w:type="character" w:customStyle="1" w:styleId="QuoteChar">
    <w:name w:val="Quote Char"/>
    <w:basedOn w:val="DefaultParagraphFont"/>
    <w:link w:val="Quote"/>
    <w:uiPriority w:val="29"/>
    <w:rsid w:val="009409C4"/>
    <w:rPr>
      <w:i/>
      <w:iCs/>
      <w:color w:val="404040" w:themeColor="text1" w:themeTint="BF"/>
    </w:rPr>
  </w:style>
  <w:style w:type="paragraph" w:styleId="ListParagraph">
    <w:name w:val="List Paragraph"/>
    <w:basedOn w:val="Normal"/>
    <w:uiPriority w:val="34"/>
    <w:qFormat/>
    <w:rsid w:val="009409C4"/>
    <w:pPr>
      <w:ind w:left="720"/>
      <w:contextualSpacing/>
    </w:pPr>
  </w:style>
  <w:style w:type="character" w:styleId="IntenseEmphasis">
    <w:name w:val="Intense Emphasis"/>
    <w:basedOn w:val="DefaultParagraphFont"/>
    <w:uiPriority w:val="21"/>
    <w:qFormat/>
    <w:rsid w:val="009409C4"/>
    <w:rPr>
      <w:i/>
      <w:iCs/>
      <w:color w:val="2F5496" w:themeColor="accent1" w:themeShade="BF"/>
    </w:rPr>
  </w:style>
  <w:style w:type="paragraph" w:styleId="IntenseQuote">
    <w:name w:val="Intense Quote"/>
    <w:basedOn w:val="Normal"/>
    <w:next w:val="Normal"/>
    <w:link w:val="IntenseQuoteChar"/>
    <w:uiPriority w:val="30"/>
    <w:qFormat/>
    <w:rsid w:val="009409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09C4"/>
    <w:rPr>
      <w:i/>
      <w:iCs/>
      <w:color w:val="2F5496" w:themeColor="accent1" w:themeShade="BF"/>
    </w:rPr>
  </w:style>
  <w:style w:type="character" w:styleId="IntenseReference">
    <w:name w:val="Intense Reference"/>
    <w:basedOn w:val="DefaultParagraphFont"/>
    <w:uiPriority w:val="32"/>
    <w:qFormat/>
    <w:rsid w:val="009409C4"/>
    <w:rPr>
      <w:b/>
      <w:bCs/>
      <w:smallCaps/>
      <w:color w:val="2F5496" w:themeColor="accent1" w:themeShade="BF"/>
      <w:spacing w:val="5"/>
    </w:rPr>
  </w:style>
  <w:style w:type="paragraph" w:styleId="Bibliography">
    <w:name w:val="Bibliography"/>
    <w:basedOn w:val="Normal"/>
    <w:next w:val="Normal"/>
    <w:uiPriority w:val="37"/>
    <w:unhideWhenUsed/>
    <w:rsid w:val="009409C4"/>
    <w:pPr>
      <w:spacing w:after="240" w:line="240" w:lineRule="auto"/>
    </w:pPr>
  </w:style>
  <w:style w:type="paragraph" w:styleId="Caption">
    <w:name w:val="caption"/>
    <w:basedOn w:val="Normal"/>
    <w:next w:val="Normal"/>
    <w:uiPriority w:val="35"/>
    <w:unhideWhenUsed/>
    <w:qFormat/>
    <w:rsid w:val="009409C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414a92900a4d089abad67e089aca371">
  <xsd:schema xmlns:xsd="http://www.w3.org/2001/XMLSchema" xmlns:xs="http://www.w3.org/2001/XMLSchema" xmlns:p="http://schemas.microsoft.com/office/2006/metadata/properties" xmlns:ns3="0085e1a2-9cbf-4b92-866b-21f3c89040b6" targetNamespace="http://schemas.microsoft.com/office/2006/metadata/properties" ma:root="true" ma:fieldsID="555d9d726e0bae7bc2128ca94839128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C42C6D4-F168-4369-8D12-A78E67F356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65F5CD-66C5-4D10-A8DB-0EFE4D5CC898}">
  <ds:schemaRefs>
    <ds:schemaRef ds:uri="http://schemas.microsoft.com/sharepoint/v3/contenttype/forms"/>
  </ds:schemaRefs>
</ds:datastoreItem>
</file>

<file path=customXml/itemProps3.xml><?xml version="1.0" encoding="utf-8"?>
<ds:datastoreItem xmlns:ds="http://schemas.openxmlformats.org/officeDocument/2006/customXml" ds:itemID="{D67203E8-7DE3-4886-8CC8-7796849513D0}">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4682</Words>
  <Characters>26688</Characters>
  <Application>Microsoft Office Word</Application>
  <DocSecurity>0</DocSecurity>
  <Lines>222</Lines>
  <Paragraphs>62</Paragraphs>
  <ScaleCrop>false</ScaleCrop>
  <Company/>
  <LinksUpToDate>false</LinksUpToDate>
  <CharactersWithSpaces>31308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1</cp:revision>
  <dcterms:created xsi:type="dcterms:W3CDTF">2026-03-27T19:31:00Z</dcterms:created>
  <dcterms:modified xsi:type="dcterms:W3CDTF">2026-03-27T19:31:00Z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