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A59672" w14:textId="2A2F5EA5" w:rsidR="00D9021F" w:rsidRPr="00A81DFF" w:rsidRDefault="00D9021F" w:rsidP="00E4114E">
      <w:pPr>
        <w:spacing w:after="0" w:line="360" w:lineRule="auto"/>
        <w:contextualSpacing/>
        <w:jc w:val="center"/>
        <w:rPr>
          <w:rFonts w:ascii="Arial" w:hAnsi="Arial" w:cs="Arial"/>
        </w:rPr>
      </w:pPr>
    </w:p>
    <w:sdt>
      <w:sdtPr>
        <w:rPr>
          <w:rFonts w:ascii="Arial" w:hAnsi="Arial" w:cs="Arial"/>
        </w:rPr>
        <w:id w:val="-381026605"/>
        <w:docPartObj>
          <w:docPartGallery w:val="Cover Pages"/>
          <w:docPartUnique/>
        </w:docPartObj>
      </w:sdtPr>
      <w:sdtEndPr>
        <w:rPr>
          <w:rStyle w:val="Strong"/>
          <w:b/>
          <w:bCs/>
        </w:rPr>
      </w:sdtEndPr>
      <w:sdtContent>
        <w:p w14:paraId="2452CA3C" w14:textId="637C3261" w:rsidR="00400730" w:rsidRPr="00A81DFF" w:rsidRDefault="00400730" w:rsidP="00E4114E">
          <w:pPr>
            <w:spacing w:after="0" w:line="360" w:lineRule="auto"/>
            <w:contextualSpacing/>
            <w:jc w:val="center"/>
            <w:rPr>
              <w:rFonts w:ascii="Arial" w:hAnsi="Arial" w:cs="Arial"/>
              <w:sz w:val="32"/>
              <w:szCs w:val="32"/>
            </w:rPr>
          </w:pPr>
          <w:r w:rsidRPr="00A81DFF">
            <w:rPr>
              <w:rFonts w:ascii="Arial" w:hAnsi="Arial" w:cs="Arial"/>
              <w:noProof/>
              <w:sz w:val="32"/>
              <w:szCs w:val="32"/>
            </w:rPr>
            <mc:AlternateContent>
              <mc:Choice Requires="wps">
                <w:drawing>
                  <wp:anchor distT="0" distB="0" distL="114300" distR="114300" simplePos="0" relativeHeight="251660288" behindDoc="1" locked="0" layoutInCell="1" allowOverlap="1" wp14:anchorId="7276D370" wp14:editId="0D8E069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FA978A3"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sdt>
          <w:sdtPr>
            <w:rPr>
              <w:rFonts w:ascii="Arial" w:hAnsi="Arial" w:cs="Arial"/>
              <w:i/>
              <w:caps/>
              <w:color w:val="262626" w:themeColor="text1" w:themeTint="D9"/>
              <w:sz w:val="32"/>
              <w:szCs w:val="3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C3623DF" w14:textId="1EB1E97E" w:rsidR="0054418D" w:rsidRPr="00A81DFF" w:rsidRDefault="0054418D" w:rsidP="00E4114E">
              <w:pPr>
                <w:pStyle w:val="NoSpacing"/>
                <w:spacing w:line="360" w:lineRule="auto"/>
                <w:contextualSpacing/>
                <w:jc w:val="center"/>
                <w:rPr>
                  <w:rFonts w:ascii="Arial" w:hAnsi="Arial" w:cs="Arial"/>
                  <w:i/>
                  <w:caps/>
                  <w:color w:val="262626" w:themeColor="text1" w:themeTint="D9"/>
                  <w:sz w:val="32"/>
                  <w:szCs w:val="32"/>
                </w:rPr>
              </w:pPr>
              <w:r w:rsidRPr="00A81DFF">
                <w:rPr>
                  <w:rFonts w:ascii="Arial" w:hAnsi="Arial" w:cs="Arial"/>
                  <w:i/>
                  <w:caps/>
                  <w:color w:val="262626" w:themeColor="text1" w:themeTint="D9"/>
                  <w:sz w:val="32"/>
                  <w:szCs w:val="32"/>
                </w:rPr>
                <w:t>PREPARATION FOR PRACTICE COURSEWORK</w:t>
              </w:r>
              <w:r w:rsidR="00B23503">
                <w:rPr>
                  <w:rFonts w:ascii="Arial" w:hAnsi="Arial" w:cs="Arial"/>
                  <w:i/>
                  <w:caps/>
                  <w:color w:val="262626" w:themeColor="text1" w:themeTint="D9"/>
                  <w:sz w:val="32"/>
                  <w:szCs w:val="32"/>
                </w:rPr>
                <w:t>:</w:t>
              </w:r>
              <w:r w:rsidRPr="00A81DFF">
                <w:rPr>
                  <w:rFonts w:ascii="Arial" w:hAnsi="Arial" w:cs="Arial"/>
                  <w:i/>
                  <w:caps/>
                  <w:color w:val="262626" w:themeColor="text1" w:themeTint="D9"/>
                  <w:sz w:val="32"/>
                  <w:szCs w:val="32"/>
                </w:rPr>
                <w:t xml:space="preserve"> </w:t>
              </w:r>
              <w:r w:rsidR="00B23503">
                <w:rPr>
                  <w:rFonts w:ascii="Arial" w:hAnsi="Arial" w:cs="Arial"/>
                  <w:i/>
                  <w:caps/>
                  <w:color w:val="262626" w:themeColor="text1" w:themeTint="D9"/>
                  <w:sz w:val="32"/>
                  <w:szCs w:val="32"/>
                </w:rPr>
                <w:t>P</w:t>
              </w:r>
              <w:r w:rsidRPr="00A81DFF">
                <w:rPr>
                  <w:rFonts w:ascii="Arial" w:hAnsi="Arial" w:cs="Arial"/>
                  <w:i/>
                  <w:caps/>
                  <w:color w:val="262626" w:themeColor="text1" w:themeTint="D9"/>
                  <w:sz w:val="32"/>
                  <w:szCs w:val="32"/>
                </w:rPr>
                <w:t xml:space="preserve">ersonal </w:t>
              </w:r>
              <w:r w:rsidR="00B23503">
                <w:rPr>
                  <w:rFonts w:ascii="Arial" w:hAnsi="Arial" w:cs="Arial"/>
                  <w:i/>
                  <w:caps/>
                  <w:color w:val="262626" w:themeColor="text1" w:themeTint="D9"/>
                  <w:sz w:val="32"/>
                  <w:szCs w:val="32"/>
                </w:rPr>
                <w:t>I</w:t>
              </w:r>
              <w:r w:rsidRPr="00A81DFF">
                <w:rPr>
                  <w:rFonts w:ascii="Arial" w:hAnsi="Arial" w:cs="Arial"/>
                  <w:i/>
                  <w:caps/>
                  <w:color w:val="262626" w:themeColor="text1" w:themeTint="D9"/>
                  <w:sz w:val="32"/>
                  <w:szCs w:val="32"/>
                </w:rPr>
                <w:t xml:space="preserve">njury and </w:t>
              </w:r>
              <w:r w:rsidR="00B23503">
                <w:rPr>
                  <w:rFonts w:ascii="Arial" w:hAnsi="Arial" w:cs="Arial"/>
                  <w:i/>
                  <w:caps/>
                  <w:color w:val="262626" w:themeColor="text1" w:themeTint="D9"/>
                  <w:sz w:val="32"/>
                  <w:szCs w:val="32"/>
                </w:rPr>
                <w:t>C</w:t>
              </w:r>
              <w:r w:rsidRPr="00A81DFF">
                <w:rPr>
                  <w:rFonts w:ascii="Arial" w:hAnsi="Arial" w:cs="Arial"/>
                  <w:i/>
                  <w:caps/>
                  <w:color w:val="262626" w:themeColor="text1" w:themeTint="D9"/>
                  <w:sz w:val="32"/>
                  <w:szCs w:val="32"/>
                </w:rPr>
                <w:t xml:space="preserve">linical </w:t>
              </w:r>
              <w:r w:rsidR="00B23503">
                <w:rPr>
                  <w:rFonts w:ascii="Arial" w:hAnsi="Arial" w:cs="Arial"/>
                  <w:i/>
                  <w:caps/>
                  <w:color w:val="262626" w:themeColor="text1" w:themeTint="D9"/>
                  <w:sz w:val="32"/>
                  <w:szCs w:val="32"/>
                </w:rPr>
                <w:t>N</w:t>
              </w:r>
              <w:r w:rsidRPr="00A81DFF">
                <w:rPr>
                  <w:rFonts w:ascii="Arial" w:hAnsi="Arial" w:cs="Arial"/>
                  <w:i/>
                  <w:caps/>
                  <w:color w:val="262626" w:themeColor="text1" w:themeTint="D9"/>
                  <w:sz w:val="32"/>
                  <w:szCs w:val="32"/>
                </w:rPr>
                <w:t>egligence</w:t>
              </w:r>
            </w:p>
          </w:sdtContent>
        </w:sdt>
        <w:sdt>
          <w:sdtPr>
            <w:rPr>
              <w:rFonts w:ascii="Arial" w:hAnsi="Arial" w:cs="Arial"/>
              <w:b/>
              <w:bCs/>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40AFB08" w14:textId="1C885126" w:rsidR="0054418D" w:rsidRPr="00A81DFF" w:rsidRDefault="008C1976" w:rsidP="00E4114E">
              <w:pPr>
                <w:pStyle w:val="NoSpacing"/>
                <w:spacing w:line="360" w:lineRule="auto"/>
                <w:contextualSpacing/>
                <w:jc w:val="center"/>
                <w:rPr>
                  <w:rFonts w:ascii="Arial" w:hAnsi="Arial" w:cs="Arial"/>
                  <w:b/>
                  <w:bCs/>
                  <w:i/>
                  <w:color w:val="262626" w:themeColor="text1" w:themeTint="D9"/>
                  <w:sz w:val="32"/>
                  <w:szCs w:val="32"/>
                </w:rPr>
              </w:pPr>
              <w:r w:rsidRPr="00A81DFF">
                <w:rPr>
                  <w:rFonts w:ascii="Arial" w:hAnsi="Arial" w:cs="Arial"/>
                  <w:b/>
                  <w:bCs/>
                  <w:color w:val="262626" w:themeColor="text1" w:themeTint="D9"/>
                  <w:sz w:val="32"/>
                  <w:szCs w:val="32"/>
                </w:rPr>
                <w:t>Secondary Victim Claims and the impact of Paul v Royal Wolverhampton NHS Trust [2024]</w:t>
              </w:r>
            </w:p>
          </w:sdtContent>
        </w:sdt>
        <w:p w14:paraId="6710932C" w14:textId="77777777" w:rsidR="002C29CE" w:rsidRPr="00A81DFF" w:rsidRDefault="002C29CE" w:rsidP="00E4114E">
          <w:pPr>
            <w:spacing w:after="0" w:line="360" w:lineRule="auto"/>
            <w:contextualSpacing/>
            <w:rPr>
              <w:rStyle w:val="Strong"/>
              <w:rFonts w:ascii="Arial" w:hAnsi="Arial" w:cs="Arial"/>
            </w:rPr>
          </w:pPr>
        </w:p>
        <w:p w14:paraId="22B3E412" w14:textId="77777777" w:rsidR="002C29CE" w:rsidRPr="00A81DFF" w:rsidRDefault="002C29CE" w:rsidP="00E4114E">
          <w:pPr>
            <w:spacing w:after="0" w:line="360" w:lineRule="auto"/>
            <w:contextualSpacing/>
            <w:rPr>
              <w:rStyle w:val="Strong"/>
              <w:rFonts w:ascii="Arial" w:hAnsi="Arial" w:cs="Arial"/>
            </w:rPr>
          </w:pPr>
        </w:p>
        <w:p w14:paraId="63BD38BA" w14:textId="77777777" w:rsidR="002C29CE" w:rsidRPr="00A81DFF" w:rsidRDefault="002C29CE" w:rsidP="00E4114E">
          <w:pPr>
            <w:spacing w:after="0" w:line="360" w:lineRule="auto"/>
            <w:contextualSpacing/>
            <w:rPr>
              <w:rStyle w:val="Strong"/>
              <w:rFonts w:ascii="Arial" w:hAnsi="Arial" w:cs="Arial"/>
            </w:rPr>
          </w:pPr>
        </w:p>
        <w:p w14:paraId="72B157F9" w14:textId="77777777" w:rsidR="00FE16D6" w:rsidRPr="00A81DFF" w:rsidRDefault="00FE16D6" w:rsidP="00E4114E">
          <w:pPr>
            <w:spacing w:after="0" w:line="360" w:lineRule="auto"/>
            <w:contextualSpacing/>
            <w:rPr>
              <w:rStyle w:val="Strong"/>
              <w:rFonts w:ascii="Arial" w:hAnsi="Arial" w:cs="Arial"/>
            </w:rPr>
          </w:pPr>
        </w:p>
        <w:p w14:paraId="58A5BA0D" w14:textId="77777777" w:rsidR="00FE16D6" w:rsidRPr="00A81DFF" w:rsidRDefault="00FE16D6" w:rsidP="00E4114E">
          <w:pPr>
            <w:spacing w:after="0" w:line="360" w:lineRule="auto"/>
            <w:contextualSpacing/>
            <w:rPr>
              <w:rStyle w:val="Strong"/>
              <w:rFonts w:ascii="Arial" w:hAnsi="Arial" w:cs="Arial"/>
            </w:rPr>
          </w:pPr>
        </w:p>
        <w:p w14:paraId="60C7B79B" w14:textId="77777777" w:rsidR="00FE16D6" w:rsidRPr="00A81DFF" w:rsidRDefault="00FE16D6" w:rsidP="00E4114E">
          <w:pPr>
            <w:spacing w:after="0" w:line="360" w:lineRule="auto"/>
            <w:contextualSpacing/>
            <w:rPr>
              <w:rStyle w:val="Strong"/>
              <w:rFonts w:ascii="Arial" w:hAnsi="Arial" w:cs="Arial"/>
            </w:rPr>
          </w:pPr>
        </w:p>
        <w:p w14:paraId="4CD57688" w14:textId="77777777" w:rsidR="00FE16D6" w:rsidRPr="00A81DFF" w:rsidRDefault="00FE16D6" w:rsidP="00E4114E">
          <w:pPr>
            <w:spacing w:after="0" w:line="360" w:lineRule="auto"/>
            <w:contextualSpacing/>
            <w:rPr>
              <w:rStyle w:val="Strong"/>
              <w:rFonts w:ascii="Arial" w:hAnsi="Arial" w:cs="Arial"/>
            </w:rPr>
          </w:pPr>
        </w:p>
        <w:p w14:paraId="5D40196D" w14:textId="77777777" w:rsidR="00FE16D6" w:rsidRPr="00A81DFF" w:rsidRDefault="00FE16D6" w:rsidP="00E4114E">
          <w:pPr>
            <w:spacing w:after="0" w:line="360" w:lineRule="auto"/>
            <w:contextualSpacing/>
            <w:rPr>
              <w:rStyle w:val="Strong"/>
              <w:rFonts w:ascii="Arial" w:hAnsi="Arial" w:cs="Arial"/>
            </w:rPr>
          </w:pPr>
        </w:p>
        <w:p w14:paraId="7A3DF112" w14:textId="77777777" w:rsidR="00FE16D6" w:rsidRPr="00A81DFF" w:rsidRDefault="00FE16D6" w:rsidP="00E4114E">
          <w:pPr>
            <w:spacing w:after="0" w:line="360" w:lineRule="auto"/>
            <w:contextualSpacing/>
            <w:rPr>
              <w:rStyle w:val="Strong"/>
              <w:rFonts w:ascii="Arial" w:hAnsi="Arial" w:cs="Arial"/>
            </w:rPr>
          </w:pPr>
        </w:p>
        <w:p w14:paraId="4A425D7A" w14:textId="77777777" w:rsidR="00FE16D6" w:rsidRPr="00A81DFF" w:rsidRDefault="00FE16D6" w:rsidP="00E4114E">
          <w:pPr>
            <w:spacing w:after="0" w:line="360" w:lineRule="auto"/>
            <w:contextualSpacing/>
            <w:rPr>
              <w:rStyle w:val="Strong"/>
              <w:rFonts w:ascii="Arial" w:hAnsi="Arial" w:cs="Arial"/>
            </w:rPr>
          </w:pPr>
        </w:p>
        <w:p w14:paraId="4218CDC0" w14:textId="77777777" w:rsidR="00FE16D6" w:rsidRPr="00A81DFF" w:rsidRDefault="00FE16D6" w:rsidP="00E4114E">
          <w:pPr>
            <w:spacing w:after="0" w:line="360" w:lineRule="auto"/>
            <w:contextualSpacing/>
            <w:rPr>
              <w:rStyle w:val="Strong"/>
              <w:rFonts w:ascii="Arial" w:hAnsi="Arial" w:cs="Arial"/>
            </w:rPr>
          </w:pPr>
        </w:p>
        <w:p w14:paraId="4F21255B" w14:textId="77777777" w:rsidR="00FE16D6" w:rsidRPr="00A81DFF" w:rsidRDefault="00FE16D6" w:rsidP="00E4114E">
          <w:pPr>
            <w:spacing w:after="0" w:line="360" w:lineRule="auto"/>
            <w:contextualSpacing/>
            <w:rPr>
              <w:rStyle w:val="Strong"/>
              <w:rFonts w:ascii="Arial" w:hAnsi="Arial" w:cs="Arial"/>
            </w:rPr>
          </w:pPr>
        </w:p>
        <w:p w14:paraId="14C736AA" w14:textId="77777777" w:rsidR="00FE16D6" w:rsidRPr="00A81DFF" w:rsidRDefault="00FE16D6" w:rsidP="00E4114E">
          <w:pPr>
            <w:spacing w:after="0" w:line="360" w:lineRule="auto"/>
            <w:contextualSpacing/>
            <w:rPr>
              <w:rStyle w:val="Strong"/>
              <w:rFonts w:ascii="Arial" w:hAnsi="Arial" w:cs="Arial"/>
            </w:rPr>
          </w:pPr>
        </w:p>
        <w:p w14:paraId="4FB0110E" w14:textId="77777777" w:rsidR="00FE16D6" w:rsidRPr="00A81DFF" w:rsidRDefault="00FE16D6" w:rsidP="00E4114E">
          <w:pPr>
            <w:spacing w:after="0" w:line="360" w:lineRule="auto"/>
            <w:contextualSpacing/>
            <w:rPr>
              <w:rStyle w:val="Strong"/>
              <w:rFonts w:ascii="Arial" w:hAnsi="Arial" w:cs="Arial"/>
            </w:rPr>
          </w:pPr>
        </w:p>
        <w:p w14:paraId="651DCFB7" w14:textId="77777777" w:rsidR="00FE16D6" w:rsidRPr="00A81DFF" w:rsidRDefault="00FE16D6" w:rsidP="00E4114E">
          <w:pPr>
            <w:spacing w:after="0" w:line="360" w:lineRule="auto"/>
            <w:contextualSpacing/>
            <w:rPr>
              <w:rStyle w:val="Strong"/>
              <w:rFonts w:ascii="Arial" w:hAnsi="Arial" w:cs="Arial"/>
            </w:rPr>
          </w:pPr>
        </w:p>
        <w:p w14:paraId="4D0AF16C" w14:textId="77777777" w:rsidR="00FE16D6" w:rsidRPr="00A81DFF" w:rsidRDefault="00FE16D6" w:rsidP="00E4114E">
          <w:pPr>
            <w:spacing w:after="0" w:line="360" w:lineRule="auto"/>
            <w:contextualSpacing/>
            <w:rPr>
              <w:rStyle w:val="Strong"/>
              <w:rFonts w:ascii="Arial" w:hAnsi="Arial" w:cs="Arial"/>
            </w:rPr>
          </w:pPr>
        </w:p>
        <w:p w14:paraId="25A6DADE" w14:textId="77777777" w:rsidR="00FE16D6" w:rsidRPr="00A81DFF" w:rsidRDefault="00FE16D6" w:rsidP="00E4114E">
          <w:pPr>
            <w:spacing w:after="0" w:line="360" w:lineRule="auto"/>
            <w:contextualSpacing/>
            <w:rPr>
              <w:rStyle w:val="Strong"/>
              <w:rFonts w:ascii="Arial" w:hAnsi="Arial" w:cs="Arial"/>
            </w:rPr>
          </w:pPr>
        </w:p>
        <w:p w14:paraId="35FD3777" w14:textId="77777777" w:rsidR="00FE16D6" w:rsidRPr="00A81DFF" w:rsidRDefault="00FE16D6" w:rsidP="00E4114E">
          <w:pPr>
            <w:spacing w:after="0" w:line="360" w:lineRule="auto"/>
            <w:contextualSpacing/>
            <w:rPr>
              <w:rStyle w:val="Strong"/>
              <w:rFonts w:ascii="Arial" w:hAnsi="Arial" w:cs="Arial"/>
            </w:rPr>
          </w:pPr>
        </w:p>
        <w:p w14:paraId="610A8CAD" w14:textId="77777777" w:rsidR="00FE16D6" w:rsidRPr="00A81DFF" w:rsidRDefault="00FE16D6" w:rsidP="00E4114E">
          <w:pPr>
            <w:spacing w:after="0" w:line="360" w:lineRule="auto"/>
            <w:contextualSpacing/>
            <w:rPr>
              <w:rStyle w:val="Strong"/>
              <w:rFonts w:ascii="Arial" w:hAnsi="Arial" w:cs="Arial"/>
            </w:rPr>
          </w:pPr>
        </w:p>
        <w:p w14:paraId="2A55F3D1" w14:textId="77777777" w:rsidR="00FE16D6" w:rsidRPr="00A81DFF" w:rsidRDefault="00FE16D6" w:rsidP="00E4114E">
          <w:pPr>
            <w:spacing w:after="0" w:line="360" w:lineRule="auto"/>
            <w:contextualSpacing/>
            <w:rPr>
              <w:rStyle w:val="Strong"/>
              <w:rFonts w:ascii="Arial" w:hAnsi="Arial" w:cs="Arial"/>
            </w:rPr>
          </w:pPr>
        </w:p>
        <w:p w14:paraId="03028E5A" w14:textId="77777777" w:rsidR="00FE16D6" w:rsidRPr="00A81DFF" w:rsidRDefault="00FE16D6" w:rsidP="00E4114E">
          <w:pPr>
            <w:spacing w:after="0" w:line="360" w:lineRule="auto"/>
            <w:contextualSpacing/>
            <w:rPr>
              <w:rStyle w:val="Strong"/>
              <w:rFonts w:ascii="Arial" w:hAnsi="Arial" w:cs="Arial"/>
            </w:rPr>
          </w:pPr>
        </w:p>
        <w:p w14:paraId="50352492" w14:textId="77777777" w:rsidR="002C29CE" w:rsidRPr="00A81DFF" w:rsidRDefault="002C29CE" w:rsidP="00E4114E">
          <w:pPr>
            <w:spacing w:after="0" w:line="360" w:lineRule="auto"/>
            <w:contextualSpacing/>
            <w:rPr>
              <w:rStyle w:val="Strong"/>
              <w:rFonts w:ascii="Arial" w:hAnsi="Arial" w:cs="Arial"/>
            </w:rPr>
          </w:pPr>
        </w:p>
        <w:p w14:paraId="5F99C066" w14:textId="77777777" w:rsidR="00D7229A" w:rsidRPr="00A81DFF" w:rsidRDefault="00D7229A" w:rsidP="00E4114E">
          <w:pPr>
            <w:spacing w:after="0" w:line="360" w:lineRule="auto"/>
            <w:contextualSpacing/>
            <w:rPr>
              <w:rStyle w:val="Strong"/>
              <w:rFonts w:ascii="Arial" w:hAnsi="Arial" w:cs="Arial"/>
            </w:rPr>
          </w:pPr>
          <w:r w:rsidRPr="00A81DFF">
            <w:rPr>
              <w:rStyle w:val="Strong"/>
              <w:rFonts w:ascii="Arial" w:hAnsi="Arial" w:cs="Arial"/>
            </w:rPr>
            <w:t>Module: Preparation for Practice</w:t>
          </w:r>
        </w:p>
        <w:p w14:paraId="5C417F95" w14:textId="339F8C1F" w:rsidR="0060675C" w:rsidRPr="00A81DFF" w:rsidRDefault="001B5B40" w:rsidP="00E4114E">
          <w:pPr>
            <w:spacing w:after="0" w:line="360" w:lineRule="auto"/>
            <w:contextualSpacing/>
            <w:rPr>
              <w:rStyle w:val="Strong"/>
              <w:rFonts w:ascii="Arial" w:hAnsi="Arial" w:cs="Arial"/>
            </w:rPr>
          </w:pPr>
          <w:r w:rsidRPr="00A81DFF">
            <w:rPr>
              <w:rStyle w:val="Strong"/>
              <w:rFonts w:ascii="Arial" w:hAnsi="Arial" w:cs="Arial"/>
            </w:rPr>
            <w:t>Student</w:t>
          </w:r>
          <w:r w:rsidR="00AA1732" w:rsidRPr="00A81DFF">
            <w:rPr>
              <w:rStyle w:val="Strong"/>
              <w:rFonts w:ascii="Arial" w:hAnsi="Arial" w:cs="Arial"/>
            </w:rPr>
            <w:t xml:space="preserve"> number:</w:t>
          </w:r>
          <w:r w:rsidRPr="00A81DFF">
            <w:rPr>
              <w:rStyle w:val="Strong"/>
              <w:rFonts w:ascii="Arial" w:hAnsi="Arial" w:cs="Arial"/>
            </w:rPr>
            <w:t xml:space="preserve"> 0408689</w:t>
          </w:r>
        </w:p>
        <w:p w14:paraId="6AB89280" w14:textId="70671B3E" w:rsidR="00D7229A" w:rsidRPr="00A81DFF" w:rsidRDefault="002C29CE" w:rsidP="00E4114E">
          <w:pPr>
            <w:spacing w:after="0" w:line="360" w:lineRule="auto"/>
            <w:contextualSpacing/>
            <w:rPr>
              <w:rStyle w:val="Strong"/>
              <w:rFonts w:ascii="Arial" w:hAnsi="Arial" w:cs="Arial"/>
            </w:rPr>
          </w:pPr>
          <w:r w:rsidRPr="00A81DFF">
            <w:rPr>
              <w:rStyle w:val="Strong"/>
              <w:rFonts w:ascii="Arial" w:hAnsi="Arial" w:cs="Arial"/>
            </w:rPr>
            <w:t>Word Count:</w:t>
          </w:r>
          <w:r w:rsidR="0060675C" w:rsidRPr="00A81DFF">
            <w:rPr>
              <w:rStyle w:val="Strong"/>
              <w:rFonts w:ascii="Arial" w:hAnsi="Arial" w:cs="Arial"/>
            </w:rPr>
            <w:t xml:space="preserve"> 2</w:t>
          </w:r>
          <w:r w:rsidR="00A00EDD" w:rsidRPr="00A81DFF">
            <w:rPr>
              <w:rStyle w:val="Strong"/>
              <w:rFonts w:ascii="Arial" w:hAnsi="Arial" w:cs="Arial"/>
            </w:rPr>
            <w:t>663</w:t>
          </w:r>
        </w:p>
      </w:sdtContent>
    </w:sdt>
    <w:sdt>
      <w:sdtPr>
        <w:rPr>
          <w:rFonts w:ascii="Arial" w:hAnsi="Arial" w:cs="Arial"/>
          <w:b/>
          <w:bC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79596D9" w14:textId="7DC4E46D" w:rsidR="0066199E" w:rsidRPr="00A81DFF" w:rsidRDefault="00CE533B" w:rsidP="00E4114E">
          <w:pPr>
            <w:pStyle w:val="NoSpacing"/>
            <w:spacing w:line="360" w:lineRule="auto"/>
            <w:contextualSpacing/>
            <w:rPr>
              <w:rStyle w:val="Strong"/>
              <w:rFonts w:ascii="Arial" w:hAnsi="Arial" w:cs="Arial"/>
              <w:b w:val="0"/>
              <w:bCs w:val="0"/>
              <w:i/>
              <w:color w:val="262626" w:themeColor="text1" w:themeTint="D9"/>
              <w:sz w:val="24"/>
              <w:szCs w:val="24"/>
            </w:rPr>
          </w:pPr>
          <w:r w:rsidRPr="00A81DFF">
            <w:rPr>
              <w:rFonts w:ascii="Arial" w:hAnsi="Arial" w:cs="Arial"/>
              <w:b/>
              <w:bCs/>
              <w:i/>
              <w:color w:val="262626" w:themeColor="text1" w:themeTint="D9"/>
              <w:sz w:val="24"/>
              <w:szCs w:val="24"/>
            </w:rPr>
            <w:t>Olivia Masih</w:t>
          </w:r>
        </w:p>
      </w:sdtContent>
    </w:sdt>
    <w:sdt>
      <w:sdtPr>
        <w:rPr>
          <w:rFonts w:ascii="Arial" w:eastAsiaTheme="minorHAnsi" w:hAnsi="Arial" w:cs="Arial"/>
          <w:b w:val="0"/>
          <w:bCs w:val="0"/>
          <w:color w:val="auto"/>
          <w:kern w:val="2"/>
          <w:sz w:val="24"/>
          <w:szCs w:val="24"/>
          <w:lang w:val="en-GB"/>
          <w14:ligatures w14:val="standardContextual"/>
        </w:rPr>
        <w:id w:val="1400944267"/>
        <w:docPartObj>
          <w:docPartGallery w:val="Table of Contents"/>
          <w:docPartUnique/>
        </w:docPartObj>
      </w:sdtPr>
      <w:sdtEndPr>
        <w:rPr>
          <w:noProof/>
        </w:rPr>
      </w:sdtEndPr>
      <w:sdtContent>
        <w:p w14:paraId="1ABACDF7" w14:textId="536B89EC" w:rsidR="005B4BE2" w:rsidRPr="00A81DFF" w:rsidRDefault="005B4BE2" w:rsidP="00E4114E">
          <w:pPr>
            <w:pStyle w:val="TOCHeading"/>
            <w:spacing w:before="0" w:line="360" w:lineRule="auto"/>
            <w:contextualSpacing/>
            <w:rPr>
              <w:rFonts w:ascii="Arial" w:hAnsi="Arial" w:cs="Arial"/>
              <w:sz w:val="24"/>
              <w:szCs w:val="24"/>
            </w:rPr>
          </w:pPr>
          <w:r w:rsidRPr="00A81DFF">
            <w:rPr>
              <w:rFonts w:ascii="Arial" w:hAnsi="Arial" w:cs="Arial"/>
              <w:sz w:val="24"/>
              <w:szCs w:val="24"/>
            </w:rPr>
            <w:t>Table of Contents</w:t>
          </w:r>
        </w:p>
        <w:p w14:paraId="5876F037" w14:textId="7992FC72" w:rsidR="00D33E50" w:rsidRDefault="00420424">
          <w:pPr>
            <w:pStyle w:val="TOC1"/>
            <w:tabs>
              <w:tab w:val="right" w:leader="dot" w:pos="9016"/>
            </w:tabs>
            <w:rPr>
              <w:rFonts w:eastAsiaTheme="minorEastAsia"/>
              <w:b w:val="0"/>
              <w:bCs w:val="0"/>
              <w:caps w:val="0"/>
              <w:noProof/>
              <w:sz w:val="24"/>
              <w:szCs w:val="24"/>
              <w:lang w:eastAsia="en-GB"/>
            </w:rPr>
          </w:pPr>
          <w:r w:rsidRPr="00A81DFF">
            <w:rPr>
              <w:rFonts w:ascii="Arial" w:hAnsi="Arial" w:cs="Arial"/>
              <w:caps w:val="0"/>
              <w:sz w:val="24"/>
              <w:szCs w:val="24"/>
            </w:rPr>
            <w:fldChar w:fldCharType="begin"/>
          </w:r>
          <w:r w:rsidRPr="00A81DFF">
            <w:rPr>
              <w:rFonts w:ascii="Arial" w:hAnsi="Arial" w:cs="Arial"/>
              <w:caps w:val="0"/>
              <w:sz w:val="24"/>
              <w:szCs w:val="24"/>
            </w:rPr>
            <w:instrText xml:space="preserve"> TOC \o "1-3" \h \z \u </w:instrText>
          </w:r>
          <w:r w:rsidRPr="00A81DFF">
            <w:rPr>
              <w:rFonts w:ascii="Arial" w:hAnsi="Arial" w:cs="Arial"/>
              <w:caps w:val="0"/>
              <w:sz w:val="24"/>
              <w:szCs w:val="24"/>
            </w:rPr>
            <w:fldChar w:fldCharType="separate"/>
          </w:r>
          <w:hyperlink w:anchor="_Toc235391145" w:history="1">
            <w:r w:rsidR="00D33E50" w:rsidRPr="004C41B6">
              <w:rPr>
                <w:rStyle w:val="Hyperlink"/>
                <w:rFonts w:ascii="Arial" w:hAnsi="Arial" w:cs="Arial"/>
                <w:noProof/>
              </w:rPr>
              <w:t>Executive Summary</w:t>
            </w:r>
            <w:r w:rsidR="00D33E50">
              <w:rPr>
                <w:noProof/>
                <w:webHidden/>
              </w:rPr>
              <w:tab/>
            </w:r>
            <w:r w:rsidR="00D33E50">
              <w:rPr>
                <w:noProof/>
                <w:webHidden/>
              </w:rPr>
              <w:fldChar w:fldCharType="begin"/>
            </w:r>
            <w:r w:rsidR="00D33E50">
              <w:rPr>
                <w:noProof/>
                <w:webHidden/>
              </w:rPr>
              <w:instrText xml:space="preserve"> PAGEREF _Toc235391145 \h </w:instrText>
            </w:r>
            <w:r w:rsidR="00D33E50">
              <w:rPr>
                <w:noProof/>
                <w:webHidden/>
              </w:rPr>
            </w:r>
            <w:r w:rsidR="00D33E50">
              <w:rPr>
                <w:noProof/>
                <w:webHidden/>
              </w:rPr>
              <w:fldChar w:fldCharType="separate"/>
            </w:r>
            <w:r w:rsidR="00D33E50">
              <w:rPr>
                <w:noProof/>
                <w:webHidden/>
              </w:rPr>
              <w:t>2</w:t>
            </w:r>
            <w:r w:rsidR="00D33E50">
              <w:rPr>
                <w:noProof/>
                <w:webHidden/>
              </w:rPr>
              <w:fldChar w:fldCharType="end"/>
            </w:r>
          </w:hyperlink>
        </w:p>
        <w:p w14:paraId="65EA40B3" w14:textId="67426BFA" w:rsidR="00D33E50" w:rsidRDefault="00D33E50">
          <w:pPr>
            <w:pStyle w:val="TOC1"/>
            <w:tabs>
              <w:tab w:val="right" w:leader="dot" w:pos="9016"/>
            </w:tabs>
            <w:rPr>
              <w:rFonts w:eastAsiaTheme="minorEastAsia"/>
              <w:b w:val="0"/>
              <w:bCs w:val="0"/>
              <w:caps w:val="0"/>
              <w:noProof/>
              <w:sz w:val="24"/>
              <w:szCs w:val="24"/>
              <w:lang w:eastAsia="en-GB"/>
            </w:rPr>
          </w:pPr>
          <w:hyperlink w:anchor="_Toc235391146" w:history="1">
            <w:r w:rsidRPr="004C41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_Toc235391146 \h </w:instrText>
            </w:r>
            <w:r>
              <w:rPr>
                <w:noProof/>
                <w:webHidden/>
              </w:rPr>
            </w:r>
            <w:r>
              <w:rPr>
                <w:noProof/>
                <w:webHidden/>
              </w:rPr>
              <w:fldChar w:fldCharType="separate"/>
            </w:r>
            <w:r>
              <w:rPr>
                <w:noProof/>
                <w:webHidden/>
              </w:rPr>
              <w:t>3</w:t>
            </w:r>
            <w:r>
              <w:rPr>
                <w:noProof/>
                <w:webHidden/>
              </w:rPr>
              <w:fldChar w:fldCharType="end"/>
            </w:r>
          </w:hyperlink>
        </w:p>
        <w:p w14:paraId="66C1013F" w14:textId="669A4ABE" w:rsidR="00D33E50" w:rsidRDefault="00D33E50">
          <w:pPr>
            <w:pStyle w:val="TOC1"/>
            <w:tabs>
              <w:tab w:val="right" w:leader="dot" w:pos="9016"/>
            </w:tabs>
            <w:rPr>
              <w:rFonts w:eastAsiaTheme="minorEastAsia"/>
              <w:b w:val="0"/>
              <w:bCs w:val="0"/>
              <w:caps w:val="0"/>
              <w:noProof/>
              <w:sz w:val="24"/>
              <w:szCs w:val="24"/>
              <w:lang w:eastAsia="en-GB"/>
            </w:rPr>
          </w:pPr>
          <w:hyperlink w:anchor="_Toc235391147" w:history="1">
            <w:r w:rsidRPr="004C41B6">
              <w:rPr>
                <w:rStyle w:val="Hyperlink"/>
                <w:noProof/>
              </w:rPr>
              <w:t>1</w:t>
            </w:r>
            <w:r w:rsidRPr="004C41B6">
              <w:rPr>
                <w:rStyle w:val="Hyperlink"/>
                <w:rFonts w:ascii="Arial" w:hAnsi="Arial" w:cs="Arial"/>
                <w:noProof/>
              </w:rPr>
              <w:t>. The Law on Secondary Victim Claims Prior to Paul</w:t>
            </w:r>
            <w:r>
              <w:rPr>
                <w:noProof/>
                <w:webHidden/>
              </w:rPr>
              <w:tab/>
            </w:r>
            <w:r>
              <w:rPr>
                <w:noProof/>
                <w:webHidden/>
              </w:rPr>
              <w:fldChar w:fldCharType="begin"/>
            </w:r>
            <w:r>
              <w:rPr>
                <w:noProof/>
                <w:webHidden/>
              </w:rPr>
              <w:instrText xml:space="preserve"> PAGEREF _Toc235391147 \h </w:instrText>
            </w:r>
            <w:r>
              <w:rPr>
                <w:noProof/>
                <w:webHidden/>
              </w:rPr>
            </w:r>
            <w:r>
              <w:rPr>
                <w:noProof/>
                <w:webHidden/>
              </w:rPr>
              <w:fldChar w:fldCharType="separate"/>
            </w:r>
            <w:r>
              <w:rPr>
                <w:noProof/>
                <w:webHidden/>
              </w:rPr>
              <w:t>4</w:t>
            </w:r>
            <w:r>
              <w:rPr>
                <w:noProof/>
                <w:webHidden/>
              </w:rPr>
              <w:fldChar w:fldCharType="end"/>
            </w:r>
          </w:hyperlink>
        </w:p>
        <w:p w14:paraId="1559AF26" w14:textId="4E7556A8" w:rsidR="00D33E50" w:rsidRDefault="00D33E50">
          <w:pPr>
            <w:pStyle w:val="TOC2"/>
            <w:tabs>
              <w:tab w:val="right" w:leader="dot" w:pos="9016"/>
            </w:tabs>
            <w:rPr>
              <w:rFonts w:eastAsiaTheme="minorEastAsia"/>
              <w:smallCaps w:val="0"/>
              <w:noProof/>
              <w:sz w:val="24"/>
              <w:szCs w:val="24"/>
              <w:lang w:eastAsia="en-GB"/>
            </w:rPr>
          </w:pPr>
          <w:hyperlink w:anchor="_Toc235391148" w:history="1">
            <w:r w:rsidRPr="004C41B6">
              <w:rPr>
                <w:rStyle w:val="Hyperlink"/>
                <w:rFonts w:ascii="Arial" w:hAnsi="Arial" w:cs="Arial"/>
                <w:noProof/>
              </w:rPr>
              <w:t>1.1 The Development of Secondary Victim Liability</w:t>
            </w:r>
            <w:r>
              <w:rPr>
                <w:noProof/>
                <w:webHidden/>
              </w:rPr>
              <w:tab/>
            </w:r>
            <w:r>
              <w:rPr>
                <w:noProof/>
                <w:webHidden/>
              </w:rPr>
              <w:fldChar w:fldCharType="begin"/>
            </w:r>
            <w:r>
              <w:rPr>
                <w:noProof/>
                <w:webHidden/>
              </w:rPr>
              <w:instrText xml:space="preserve"> PAGEREF _Toc235391148 \h </w:instrText>
            </w:r>
            <w:r>
              <w:rPr>
                <w:noProof/>
                <w:webHidden/>
              </w:rPr>
            </w:r>
            <w:r>
              <w:rPr>
                <w:noProof/>
                <w:webHidden/>
              </w:rPr>
              <w:fldChar w:fldCharType="separate"/>
            </w:r>
            <w:r>
              <w:rPr>
                <w:noProof/>
                <w:webHidden/>
              </w:rPr>
              <w:t>4</w:t>
            </w:r>
            <w:r>
              <w:rPr>
                <w:noProof/>
                <w:webHidden/>
              </w:rPr>
              <w:fldChar w:fldCharType="end"/>
            </w:r>
          </w:hyperlink>
        </w:p>
        <w:p w14:paraId="2CA0EF71" w14:textId="01E86C08" w:rsidR="00D33E50" w:rsidRDefault="00D33E50">
          <w:pPr>
            <w:pStyle w:val="TOC2"/>
            <w:tabs>
              <w:tab w:val="right" w:leader="dot" w:pos="9016"/>
            </w:tabs>
            <w:rPr>
              <w:rFonts w:eastAsiaTheme="minorEastAsia"/>
              <w:smallCaps w:val="0"/>
              <w:noProof/>
              <w:sz w:val="24"/>
              <w:szCs w:val="24"/>
              <w:lang w:eastAsia="en-GB"/>
            </w:rPr>
          </w:pPr>
          <w:hyperlink w:anchor="_Toc235391149" w:history="1">
            <w:r w:rsidRPr="004C41B6">
              <w:rPr>
                <w:rStyle w:val="Hyperlink"/>
                <w:rFonts w:ascii="Arial" w:hAnsi="Arial" w:cs="Arial"/>
                <w:noProof/>
              </w:rPr>
              <w:t>1.2 The Alcock Control Mechanisms</w:t>
            </w:r>
            <w:r>
              <w:rPr>
                <w:noProof/>
                <w:webHidden/>
              </w:rPr>
              <w:tab/>
            </w:r>
            <w:r>
              <w:rPr>
                <w:noProof/>
                <w:webHidden/>
              </w:rPr>
              <w:fldChar w:fldCharType="begin"/>
            </w:r>
            <w:r>
              <w:rPr>
                <w:noProof/>
                <w:webHidden/>
              </w:rPr>
              <w:instrText xml:space="preserve"> PAGEREF _Toc235391149 \h </w:instrText>
            </w:r>
            <w:r>
              <w:rPr>
                <w:noProof/>
                <w:webHidden/>
              </w:rPr>
            </w:r>
            <w:r>
              <w:rPr>
                <w:noProof/>
                <w:webHidden/>
              </w:rPr>
              <w:fldChar w:fldCharType="separate"/>
            </w:r>
            <w:r>
              <w:rPr>
                <w:noProof/>
                <w:webHidden/>
              </w:rPr>
              <w:t>4</w:t>
            </w:r>
            <w:r>
              <w:rPr>
                <w:noProof/>
                <w:webHidden/>
              </w:rPr>
              <w:fldChar w:fldCharType="end"/>
            </w:r>
          </w:hyperlink>
        </w:p>
        <w:p w14:paraId="350E8317" w14:textId="2B371342" w:rsidR="00D33E50" w:rsidRDefault="00D33E50">
          <w:pPr>
            <w:pStyle w:val="TOC2"/>
            <w:tabs>
              <w:tab w:val="right" w:leader="dot" w:pos="9016"/>
            </w:tabs>
            <w:rPr>
              <w:rFonts w:eastAsiaTheme="minorEastAsia"/>
              <w:smallCaps w:val="0"/>
              <w:noProof/>
              <w:sz w:val="24"/>
              <w:szCs w:val="24"/>
              <w:lang w:eastAsia="en-GB"/>
            </w:rPr>
          </w:pPr>
          <w:hyperlink w:anchor="_Toc235391150" w:history="1">
            <w:r w:rsidRPr="004C41B6">
              <w:rPr>
                <w:rStyle w:val="Hyperlink"/>
                <w:rFonts w:ascii="Arial" w:hAnsi="Arial" w:cs="Arial"/>
                <w:noProof/>
              </w:rPr>
              <w:t>1.3 Application in Clinical Negligence Contexts</w:t>
            </w:r>
            <w:r>
              <w:rPr>
                <w:noProof/>
                <w:webHidden/>
              </w:rPr>
              <w:tab/>
            </w:r>
            <w:r>
              <w:rPr>
                <w:noProof/>
                <w:webHidden/>
              </w:rPr>
              <w:fldChar w:fldCharType="begin"/>
            </w:r>
            <w:r>
              <w:rPr>
                <w:noProof/>
                <w:webHidden/>
              </w:rPr>
              <w:instrText xml:space="preserve"> PAGEREF _Toc235391150 \h </w:instrText>
            </w:r>
            <w:r>
              <w:rPr>
                <w:noProof/>
                <w:webHidden/>
              </w:rPr>
            </w:r>
            <w:r>
              <w:rPr>
                <w:noProof/>
                <w:webHidden/>
              </w:rPr>
              <w:fldChar w:fldCharType="separate"/>
            </w:r>
            <w:r>
              <w:rPr>
                <w:noProof/>
                <w:webHidden/>
              </w:rPr>
              <w:t>5</w:t>
            </w:r>
            <w:r>
              <w:rPr>
                <w:noProof/>
                <w:webHidden/>
              </w:rPr>
              <w:fldChar w:fldCharType="end"/>
            </w:r>
          </w:hyperlink>
        </w:p>
        <w:p w14:paraId="08C7D64F" w14:textId="16575C63" w:rsidR="00D33E50" w:rsidRDefault="00D33E50">
          <w:pPr>
            <w:pStyle w:val="TOC1"/>
            <w:tabs>
              <w:tab w:val="right" w:leader="dot" w:pos="9016"/>
            </w:tabs>
            <w:rPr>
              <w:rFonts w:eastAsiaTheme="minorEastAsia"/>
              <w:b w:val="0"/>
              <w:bCs w:val="0"/>
              <w:caps w:val="0"/>
              <w:noProof/>
              <w:sz w:val="24"/>
              <w:szCs w:val="24"/>
              <w:lang w:eastAsia="en-GB"/>
            </w:rPr>
          </w:pPr>
          <w:hyperlink w:anchor="_Toc235391151" w:history="1">
            <w:r w:rsidRPr="004C41B6">
              <w:rPr>
                <w:rStyle w:val="Hyperlink"/>
                <w:rFonts w:ascii="Arial" w:hAnsi="Arial" w:cs="Arial"/>
                <w:noProof/>
              </w:rPr>
              <w:t>2. Critical Analysis of Paul v Wolverhampton NHS Trust [2024]</w:t>
            </w:r>
            <w:r>
              <w:rPr>
                <w:noProof/>
                <w:webHidden/>
              </w:rPr>
              <w:tab/>
            </w:r>
            <w:r>
              <w:rPr>
                <w:noProof/>
                <w:webHidden/>
              </w:rPr>
              <w:fldChar w:fldCharType="begin"/>
            </w:r>
            <w:r>
              <w:rPr>
                <w:noProof/>
                <w:webHidden/>
              </w:rPr>
              <w:instrText xml:space="preserve"> PAGEREF _Toc235391151 \h </w:instrText>
            </w:r>
            <w:r>
              <w:rPr>
                <w:noProof/>
                <w:webHidden/>
              </w:rPr>
            </w:r>
            <w:r>
              <w:rPr>
                <w:noProof/>
                <w:webHidden/>
              </w:rPr>
              <w:fldChar w:fldCharType="separate"/>
            </w:r>
            <w:r>
              <w:rPr>
                <w:noProof/>
                <w:webHidden/>
              </w:rPr>
              <w:t>6</w:t>
            </w:r>
            <w:r>
              <w:rPr>
                <w:noProof/>
                <w:webHidden/>
              </w:rPr>
              <w:fldChar w:fldCharType="end"/>
            </w:r>
          </w:hyperlink>
        </w:p>
        <w:p w14:paraId="75755D14" w14:textId="37C4040D" w:rsidR="00D33E50" w:rsidRDefault="00D33E50">
          <w:pPr>
            <w:pStyle w:val="TOC2"/>
            <w:tabs>
              <w:tab w:val="right" w:leader="dot" w:pos="9016"/>
            </w:tabs>
            <w:rPr>
              <w:rFonts w:eastAsiaTheme="minorEastAsia"/>
              <w:smallCaps w:val="0"/>
              <w:noProof/>
              <w:sz w:val="24"/>
              <w:szCs w:val="24"/>
              <w:lang w:eastAsia="en-GB"/>
            </w:rPr>
          </w:pPr>
          <w:hyperlink w:anchor="_Toc235391152" w:history="1">
            <w:r w:rsidRPr="004C41B6">
              <w:rPr>
                <w:rStyle w:val="Hyperlink"/>
                <w:rFonts w:ascii="Arial" w:hAnsi="Arial" w:cs="Arial"/>
                <w:noProof/>
              </w:rPr>
              <w:t>2.1 Facts and Procedural Background</w:t>
            </w:r>
            <w:r>
              <w:rPr>
                <w:noProof/>
                <w:webHidden/>
              </w:rPr>
              <w:tab/>
            </w:r>
            <w:r>
              <w:rPr>
                <w:noProof/>
                <w:webHidden/>
              </w:rPr>
              <w:fldChar w:fldCharType="begin"/>
            </w:r>
            <w:r>
              <w:rPr>
                <w:noProof/>
                <w:webHidden/>
              </w:rPr>
              <w:instrText xml:space="preserve"> PAGEREF _Toc235391152 \h </w:instrText>
            </w:r>
            <w:r>
              <w:rPr>
                <w:noProof/>
                <w:webHidden/>
              </w:rPr>
            </w:r>
            <w:r>
              <w:rPr>
                <w:noProof/>
                <w:webHidden/>
              </w:rPr>
              <w:fldChar w:fldCharType="separate"/>
            </w:r>
            <w:r>
              <w:rPr>
                <w:noProof/>
                <w:webHidden/>
              </w:rPr>
              <w:t>6</w:t>
            </w:r>
            <w:r>
              <w:rPr>
                <w:noProof/>
                <w:webHidden/>
              </w:rPr>
              <w:fldChar w:fldCharType="end"/>
            </w:r>
          </w:hyperlink>
        </w:p>
        <w:p w14:paraId="3280B3F0" w14:textId="1D32AB29" w:rsidR="00D33E50" w:rsidRDefault="00D33E50">
          <w:pPr>
            <w:pStyle w:val="TOC2"/>
            <w:tabs>
              <w:tab w:val="right" w:leader="dot" w:pos="9016"/>
            </w:tabs>
            <w:rPr>
              <w:rFonts w:eastAsiaTheme="minorEastAsia"/>
              <w:smallCaps w:val="0"/>
              <w:noProof/>
              <w:sz w:val="24"/>
              <w:szCs w:val="24"/>
              <w:lang w:eastAsia="en-GB"/>
            </w:rPr>
          </w:pPr>
          <w:hyperlink w:anchor="_Toc235391153" w:history="1">
            <w:r w:rsidRPr="004C41B6">
              <w:rPr>
                <w:rStyle w:val="Hyperlink"/>
                <w:rFonts w:ascii="Arial" w:hAnsi="Arial" w:cs="Arial"/>
                <w:noProof/>
              </w:rPr>
              <w:t>2.2 Supreme Court Reasoning</w:t>
            </w:r>
            <w:r>
              <w:rPr>
                <w:noProof/>
                <w:webHidden/>
              </w:rPr>
              <w:tab/>
            </w:r>
            <w:r>
              <w:rPr>
                <w:noProof/>
                <w:webHidden/>
              </w:rPr>
              <w:fldChar w:fldCharType="begin"/>
            </w:r>
            <w:r>
              <w:rPr>
                <w:noProof/>
                <w:webHidden/>
              </w:rPr>
              <w:instrText xml:space="preserve"> PAGEREF _Toc235391153 \h </w:instrText>
            </w:r>
            <w:r>
              <w:rPr>
                <w:noProof/>
                <w:webHidden/>
              </w:rPr>
            </w:r>
            <w:r>
              <w:rPr>
                <w:noProof/>
                <w:webHidden/>
              </w:rPr>
              <w:fldChar w:fldCharType="separate"/>
            </w:r>
            <w:r>
              <w:rPr>
                <w:noProof/>
                <w:webHidden/>
              </w:rPr>
              <w:t>6</w:t>
            </w:r>
            <w:r>
              <w:rPr>
                <w:noProof/>
                <w:webHidden/>
              </w:rPr>
              <w:fldChar w:fldCharType="end"/>
            </w:r>
          </w:hyperlink>
        </w:p>
        <w:p w14:paraId="0E83D8C7" w14:textId="28AE764E" w:rsidR="00D33E50" w:rsidRDefault="00D33E50">
          <w:pPr>
            <w:pStyle w:val="TOC2"/>
            <w:tabs>
              <w:tab w:val="right" w:leader="dot" w:pos="9016"/>
            </w:tabs>
            <w:rPr>
              <w:rFonts w:eastAsiaTheme="minorEastAsia"/>
              <w:smallCaps w:val="0"/>
              <w:noProof/>
              <w:sz w:val="24"/>
              <w:szCs w:val="24"/>
              <w:lang w:eastAsia="en-GB"/>
            </w:rPr>
          </w:pPr>
          <w:hyperlink w:anchor="_Toc235391154" w:history="1">
            <w:r w:rsidRPr="004C41B6">
              <w:rPr>
                <w:rStyle w:val="Hyperlink"/>
                <w:rFonts w:ascii="Arial" w:hAnsi="Arial" w:cs="Arial"/>
                <w:noProof/>
              </w:rPr>
              <w:t>2.3 Critical Evaluation</w:t>
            </w:r>
            <w:r>
              <w:rPr>
                <w:noProof/>
                <w:webHidden/>
              </w:rPr>
              <w:tab/>
            </w:r>
            <w:r>
              <w:rPr>
                <w:noProof/>
                <w:webHidden/>
              </w:rPr>
              <w:fldChar w:fldCharType="begin"/>
            </w:r>
            <w:r>
              <w:rPr>
                <w:noProof/>
                <w:webHidden/>
              </w:rPr>
              <w:instrText xml:space="preserve"> PAGEREF _Toc235391154 \h </w:instrText>
            </w:r>
            <w:r>
              <w:rPr>
                <w:noProof/>
                <w:webHidden/>
              </w:rPr>
            </w:r>
            <w:r>
              <w:rPr>
                <w:noProof/>
                <w:webHidden/>
              </w:rPr>
              <w:fldChar w:fldCharType="separate"/>
            </w:r>
            <w:r>
              <w:rPr>
                <w:noProof/>
                <w:webHidden/>
              </w:rPr>
              <w:t>7</w:t>
            </w:r>
            <w:r>
              <w:rPr>
                <w:noProof/>
                <w:webHidden/>
              </w:rPr>
              <w:fldChar w:fldCharType="end"/>
            </w:r>
          </w:hyperlink>
        </w:p>
        <w:p w14:paraId="732014EB" w14:textId="5B93060F" w:rsidR="00D33E50" w:rsidRDefault="00D33E50">
          <w:pPr>
            <w:pStyle w:val="TOC1"/>
            <w:tabs>
              <w:tab w:val="right" w:leader="dot" w:pos="9016"/>
            </w:tabs>
            <w:rPr>
              <w:rFonts w:eastAsiaTheme="minorEastAsia"/>
              <w:b w:val="0"/>
              <w:bCs w:val="0"/>
              <w:caps w:val="0"/>
              <w:noProof/>
              <w:sz w:val="24"/>
              <w:szCs w:val="24"/>
              <w:lang w:eastAsia="en-GB"/>
            </w:rPr>
          </w:pPr>
          <w:hyperlink w:anchor="_Toc235391155" w:history="1">
            <w:r w:rsidRPr="004C41B6">
              <w:rPr>
                <w:rStyle w:val="Hyperlink"/>
                <w:rFonts w:ascii="Arial" w:hAnsi="Arial" w:cs="Arial"/>
                <w:noProof/>
              </w:rPr>
              <w:t>3. Practical Impact on Claimant and Defendant Practitioners</w:t>
            </w:r>
            <w:r>
              <w:rPr>
                <w:noProof/>
                <w:webHidden/>
              </w:rPr>
              <w:tab/>
            </w:r>
            <w:r>
              <w:rPr>
                <w:noProof/>
                <w:webHidden/>
              </w:rPr>
              <w:fldChar w:fldCharType="begin"/>
            </w:r>
            <w:r>
              <w:rPr>
                <w:noProof/>
                <w:webHidden/>
              </w:rPr>
              <w:instrText xml:space="preserve"> PAGEREF _Toc235391155 \h </w:instrText>
            </w:r>
            <w:r>
              <w:rPr>
                <w:noProof/>
                <w:webHidden/>
              </w:rPr>
            </w:r>
            <w:r>
              <w:rPr>
                <w:noProof/>
                <w:webHidden/>
              </w:rPr>
              <w:fldChar w:fldCharType="separate"/>
            </w:r>
            <w:r>
              <w:rPr>
                <w:noProof/>
                <w:webHidden/>
              </w:rPr>
              <w:t>8</w:t>
            </w:r>
            <w:r>
              <w:rPr>
                <w:noProof/>
                <w:webHidden/>
              </w:rPr>
              <w:fldChar w:fldCharType="end"/>
            </w:r>
          </w:hyperlink>
        </w:p>
        <w:p w14:paraId="30CF7847" w14:textId="1A7AE44C" w:rsidR="00D33E50" w:rsidRDefault="00D33E50">
          <w:pPr>
            <w:pStyle w:val="TOC2"/>
            <w:tabs>
              <w:tab w:val="right" w:leader="dot" w:pos="9016"/>
            </w:tabs>
            <w:rPr>
              <w:rFonts w:eastAsiaTheme="minorEastAsia"/>
              <w:smallCaps w:val="0"/>
              <w:noProof/>
              <w:sz w:val="24"/>
              <w:szCs w:val="24"/>
              <w:lang w:eastAsia="en-GB"/>
            </w:rPr>
          </w:pPr>
          <w:hyperlink w:anchor="_Toc235391156" w:history="1">
            <w:r w:rsidRPr="004C41B6">
              <w:rPr>
                <w:rStyle w:val="Hyperlink"/>
                <w:rFonts w:ascii="Arial" w:hAnsi="Arial" w:cs="Arial"/>
                <w:noProof/>
              </w:rPr>
              <w:t>3.1 Impact on Claimant Practitioners</w:t>
            </w:r>
            <w:r>
              <w:rPr>
                <w:noProof/>
                <w:webHidden/>
              </w:rPr>
              <w:tab/>
            </w:r>
            <w:r>
              <w:rPr>
                <w:noProof/>
                <w:webHidden/>
              </w:rPr>
              <w:fldChar w:fldCharType="begin"/>
            </w:r>
            <w:r>
              <w:rPr>
                <w:noProof/>
                <w:webHidden/>
              </w:rPr>
              <w:instrText xml:space="preserve"> PAGEREF _Toc235391156 \h </w:instrText>
            </w:r>
            <w:r>
              <w:rPr>
                <w:noProof/>
                <w:webHidden/>
              </w:rPr>
            </w:r>
            <w:r>
              <w:rPr>
                <w:noProof/>
                <w:webHidden/>
              </w:rPr>
              <w:fldChar w:fldCharType="separate"/>
            </w:r>
            <w:r>
              <w:rPr>
                <w:noProof/>
                <w:webHidden/>
              </w:rPr>
              <w:t>8</w:t>
            </w:r>
            <w:r>
              <w:rPr>
                <w:noProof/>
                <w:webHidden/>
              </w:rPr>
              <w:fldChar w:fldCharType="end"/>
            </w:r>
          </w:hyperlink>
        </w:p>
        <w:p w14:paraId="22460DD7" w14:textId="28D767F9" w:rsidR="00D33E50" w:rsidRDefault="00D33E50">
          <w:pPr>
            <w:pStyle w:val="TOC2"/>
            <w:tabs>
              <w:tab w:val="right" w:leader="dot" w:pos="9016"/>
            </w:tabs>
            <w:rPr>
              <w:rFonts w:eastAsiaTheme="minorEastAsia"/>
              <w:smallCaps w:val="0"/>
              <w:noProof/>
              <w:sz w:val="24"/>
              <w:szCs w:val="24"/>
              <w:lang w:eastAsia="en-GB"/>
            </w:rPr>
          </w:pPr>
          <w:hyperlink w:anchor="_Toc235391157" w:history="1">
            <w:r w:rsidRPr="004C41B6">
              <w:rPr>
                <w:rStyle w:val="Hyperlink"/>
                <w:rFonts w:ascii="Arial" w:hAnsi="Arial" w:cs="Arial"/>
                <w:noProof/>
              </w:rPr>
              <w:t>3.2 Impact on Defendant Practitioners</w:t>
            </w:r>
            <w:r>
              <w:rPr>
                <w:noProof/>
                <w:webHidden/>
              </w:rPr>
              <w:tab/>
            </w:r>
            <w:r>
              <w:rPr>
                <w:noProof/>
                <w:webHidden/>
              </w:rPr>
              <w:fldChar w:fldCharType="begin"/>
            </w:r>
            <w:r>
              <w:rPr>
                <w:noProof/>
                <w:webHidden/>
              </w:rPr>
              <w:instrText xml:space="preserve"> PAGEREF _Toc235391157 \h </w:instrText>
            </w:r>
            <w:r>
              <w:rPr>
                <w:noProof/>
                <w:webHidden/>
              </w:rPr>
            </w:r>
            <w:r>
              <w:rPr>
                <w:noProof/>
                <w:webHidden/>
              </w:rPr>
              <w:fldChar w:fldCharType="separate"/>
            </w:r>
            <w:r>
              <w:rPr>
                <w:noProof/>
                <w:webHidden/>
              </w:rPr>
              <w:t>9</w:t>
            </w:r>
            <w:r>
              <w:rPr>
                <w:noProof/>
                <w:webHidden/>
              </w:rPr>
              <w:fldChar w:fldCharType="end"/>
            </w:r>
          </w:hyperlink>
        </w:p>
        <w:p w14:paraId="748DC6F8" w14:textId="5E932379" w:rsidR="00D33E50" w:rsidRDefault="00D33E50">
          <w:pPr>
            <w:pStyle w:val="TOC2"/>
            <w:tabs>
              <w:tab w:val="right" w:leader="dot" w:pos="9016"/>
            </w:tabs>
            <w:rPr>
              <w:rFonts w:eastAsiaTheme="minorEastAsia"/>
              <w:smallCaps w:val="0"/>
              <w:noProof/>
              <w:sz w:val="24"/>
              <w:szCs w:val="24"/>
              <w:lang w:eastAsia="en-GB"/>
            </w:rPr>
          </w:pPr>
          <w:hyperlink w:anchor="_Toc235391158" w:history="1">
            <w:r w:rsidRPr="004C41B6">
              <w:rPr>
                <w:rStyle w:val="Hyperlink"/>
                <w:rFonts w:ascii="Arial" w:hAnsi="Arial" w:cs="Arial"/>
                <w:noProof/>
              </w:rPr>
              <w:t>3.3 Broader Implications for Clinical Negligence Litigation</w:t>
            </w:r>
            <w:r>
              <w:rPr>
                <w:noProof/>
                <w:webHidden/>
              </w:rPr>
              <w:tab/>
            </w:r>
            <w:r>
              <w:rPr>
                <w:noProof/>
                <w:webHidden/>
              </w:rPr>
              <w:fldChar w:fldCharType="begin"/>
            </w:r>
            <w:r>
              <w:rPr>
                <w:noProof/>
                <w:webHidden/>
              </w:rPr>
              <w:instrText xml:space="preserve"> PAGEREF _Toc235391158 \h </w:instrText>
            </w:r>
            <w:r>
              <w:rPr>
                <w:noProof/>
                <w:webHidden/>
              </w:rPr>
            </w:r>
            <w:r>
              <w:rPr>
                <w:noProof/>
                <w:webHidden/>
              </w:rPr>
              <w:fldChar w:fldCharType="separate"/>
            </w:r>
            <w:r>
              <w:rPr>
                <w:noProof/>
                <w:webHidden/>
              </w:rPr>
              <w:t>10</w:t>
            </w:r>
            <w:r>
              <w:rPr>
                <w:noProof/>
                <w:webHidden/>
              </w:rPr>
              <w:fldChar w:fldCharType="end"/>
            </w:r>
          </w:hyperlink>
        </w:p>
        <w:p w14:paraId="7E171E70" w14:textId="0DBB9168" w:rsidR="00D33E50" w:rsidRDefault="00D33E50">
          <w:pPr>
            <w:pStyle w:val="TOC1"/>
            <w:tabs>
              <w:tab w:val="right" w:leader="dot" w:pos="9016"/>
            </w:tabs>
            <w:rPr>
              <w:rFonts w:eastAsiaTheme="minorEastAsia"/>
              <w:b w:val="0"/>
              <w:bCs w:val="0"/>
              <w:caps w:val="0"/>
              <w:noProof/>
              <w:sz w:val="24"/>
              <w:szCs w:val="24"/>
              <w:lang w:eastAsia="en-GB"/>
            </w:rPr>
          </w:pPr>
          <w:hyperlink w:anchor="_Toc235391159" w:history="1">
            <w:r w:rsidRPr="004C41B6">
              <w:rPr>
                <w:rStyle w:val="Hyperlink"/>
                <w:noProof/>
              </w:rPr>
              <w:t>4. Recommendations for the PICN Department</w:t>
            </w:r>
            <w:r>
              <w:rPr>
                <w:noProof/>
                <w:webHidden/>
              </w:rPr>
              <w:tab/>
            </w:r>
            <w:r>
              <w:rPr>
                <w:noProof/>
                <w:webHidden/>
              </w:rPr>
              <w:fldChar w:fldCharType="begin"/>
            </w:r>
            <w:r>
              <w:rPr>
                <w:noProof/>
                <w:webHidden/>
              </w:rPr>
              <w:instrText xml:space="preserve"> PAGEREF _Toc235391159 \h </w:instrText>
            </w:r>
            <w:r>
              <w:rPr>
                <w:noProof/>
                <w:webHidden/>
              </w:rPr>
            </w:r>
            <w:r>
              <w:rPr>
                <w:noProof/>
                <w:webHidden/>
              </w:rPr>
              <w:fldChar w:fldCharType="separate"/>
            </w:r>
            <w:r>
              <w:rPr>
                <w:noProof/>
                <w:webHidden/>
              </w:rPr>
              <w:t>11</w:t>
            </w:r>
            <w:r>
              <w:rPr>
                <w:noProof/>
                <w:webHidden/>
              </w:rPr>
              <w:fldChar w:fldCharType="end"/>
            </w:r>
          </w:hyperlink>
        </w:p>
        <w:p w14:paraId="57F7A2C0" w14:textId="187F53E9" w:rsidR="00D33E50" w:rsidRDefault="00D33E50">
          <w:pPr>
            <w:pStyle w:val="TOC2"/>
            <w:tabs>
              <w:tab w:val="right" w:leader="dot" w:pos="9016"/>
            </w:tabs>
            <w:rPr>
              <w:rFonts w:eastAsiaTheme="minorEastAsia"/>
              <w:smallCaps w:val="0"/>
              <w:noProof/>
              <w:sz w:val="24"/>
              <w:szCs w:val="24"/>
              <w:lang w:eastAsia="en-GB"/>
            </w:rPr>
          </w:pPr>
          <w:hyperlink w:anchor="_Toc235391160" w:history="1">
            <w:r w:rsidRPr="004C41B6">
              <w:rPr>
                <w:rStyle w:val="Hyperlink"/>
                <w:rFonts w:ascii="Arial" w:hAnsi="Arial" w:cs="Arial"/>
                <w:noProof/>
              </w:rPr>
              <w:t>4.1 Case Screening and Risk Assessment</w:t>
            </w:r>
            <w:r>
              <w:rPr>
                <w:noProof/>
                <w:webHidden/>
              </w:rPr>
              <w:tab/>
            </w:r>
            <w:r>
              <w:rPr>
                <w:noProof/>
                <w:webHidden/>
              </w:rPr>
              <w:fldChar w:fldCharType="begin"/>
            </w:r>
            <w:r>
              <w:rPr>
                <w:noProof/>
                <w:webHidden/>
              </w:rPr>
              <w:instrText xml:space="preserve"> PAGEREF _Toc235391160 \h </w:instrText>
            </w:r>
            <w:r>
              <w:rPr>
                <w:noProof/>
                <w:webHidden/>
              </w:rPr>
            </w:r>
            <w:r>
              <w:rPr>
                <w:noProof/>
                <w:webHidden/>
              </w:rPr>
              <w:fldChar w:fldCharType="separate"/>
            </w:r>
            <w:r>
              <w:rPr>
                <w:noProof/>
                <w:webHidden/>
              </w:rPr>
              <w:t>11</w:t>
            </w:r>
            <w:r>
              <w:rPr>
                <w:noProof/>
                <w:webHidden/>
              </w:rPr>
              <w:fldChar w:fldCharType="end"/>
            </w:r>
          </w:hyperlink>
        </w:p>
        <w:p w14:paraId="522B8786" w14:textId="373BFA7C" w:rsidR="00D33E50" w:rsidRDefault="00D33E50">
          <w:pPr>
            <w:pStyle w:val="TOC2"/>
            <w:tabs>
              <w:tab w:val="right" w:leader="dot" w:pos="9016"/>
            </w:tabs>
            <w:rPr>
              <w:rFonts w:eastAsiaTheme="minorEastAsia"/>
              <w:smallCaps w:val="0"/>
              <w:noProof/>
              <w:sz w:val="24"/>
              <w:szCs w:val="24"/>
              <w:lang w:eastAsia="en-GB"/>
            </w:rPr>
          </w:pPr>
          <w:hyperlink w:anchor="_Toc235391161" w:history="1">
            <w:r w:rsidRPr="004C41B6">
              <w:rPr>
                <w:rStyle w:val="Hyperlink"/>
                <w:rFonts w:ascii="Arial" w:hAnsi="Arial" w:cs="Arial"/>
                <w:noProof/>
              </w:rPr>
              <w:t>4.2 Client Advice and Litigation Strategy</w:t>
            </w:r>
            <w:r>
              <w:rPr>
                <w:noProof/>
                <w:webHidden/>
              </w:rPr>
              <w:tab/>
            </w:r>
            <w:r>
              <w:rPr>
                <w:noProof/>
                <w:webHidden/>
              </w:rPr>
              <w:fldChar w:fldCharType="begin"/>
            </w:r>
            <w:r>
              <w:rPr>
                <w:noProof/>
                <w:webHidden/>
              </w:rPr>
              <w:instrText xml:space="preserve"> PAGEREF _Toc235391161 \h </w:instrText>
            </w:r>
            <w:r>
              <w:rPr>
                <w:noProof/>
                <w:webHidden/>
              </w:rPr>
            </w:r>
            <w:r>
              <w:rPr>
                <w:noProof/>
                <w:webHidden/>
              </w:rPr>
              <w:fldChar w:fldCharType="separate"/>
            </w:r>
            <w:r>
              <w:rPr>
                <w:noProof/>
                <w:webHidden/>
              </w:rPr>
              <w:t>12</w:t>
            </w:r>
            <w:r>
              <w:rPr>
                <w:noProof/>
                <w:webHidden/>
              </w:rPr>
              <w:fldChar w:fldCharType="end"/>
            </w:r>
          </w:hyperlink>
        </w:p>
        <w:p w14:paraId="6AFB0F78" w14:textId="4A88E24B" w:rsidR="00D33E50" w:rsidRDefault="00D33E50">
          <w:pPr>
            <w:pStyle w:val="TOC1"/>
            <w:tabs>
              <w:tab w:val="right" w:leader="dot" w:pos="9016"/>
            </w:tabs>
            <w:rPr>
              <w:rFonts w:eastAsiaTheme="minorEastAsia"/>
              <w:b w:val="0"/>
              <w:bCs w:val="0"/>
              <w:caps w:val="0"/>
              <w:noProof/>
              <w:sz w:val="24"/>
              <w:szCs w:val="24"/>
              <w:lang w:eastAsia="en-GB"/>
            </w:rPr>
          </w:pPr>
          <w:hyperlink w:anchor="_Toc235391162" w:history="1">
            <w:r w:rsidRPr="004C41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_Toc235391162 \h </w:instrText>
            </w:r>
            <w:r>
              <w:rPr>
                <w:noProof/>
                <w:webHidden/>
              </w:rPr>
            </w:r>
            <w:r>
              <w:rPr>
                <w:noProof/>
                <w:webHidden/>
              </w:rPr>
              <w:fldChar w:fldCharType="separate"/>
            </w:r>
            <w:r>
              <w:rPr>
                <w:noProof/>
                <w:webHidden/>
              </w:rPr>
              <w:t>12</w:t>
            </w:r>
            <w:r>
              <w:rPr>
                <w:noProof/>
                <w:webHidden/>
              </w:rPr>
              <w:fldChar w:fldCharType="end"/>
            </w:r>
          </w:hyperlink>
        </w:p>
        <w:p w14:paraId="3C8D6F19" w14:textId="390C64F9" w:rsidR="00D33E50" w:rsidRDefault="00D33E50">
          <w:pPr>
            <w:pStyle w:val="TOC1"/>
            <w:tabs>
              <w:tab w:val="right" w:leader="dot" w:pos="9016"/>
            </w:tabs>
            <w:rPr>
              <w:rFonts w:eastAsiaTheme="minorEastAsia"/>
              <w:b w:val="0"/>
              <w:bCs w:val="0"/>
              <w:caps w:val="0"/>
              <w:noProof/>
              <w:sz w:val="24"/>
              <w:szCs w:val="24"/>
              <w:lang w:eastAsia="en-GB"/>
            </w:rPr>
          </w:pPr>
          <w:hyperlink w:anchor="_Toc235391163" w:history="1">
            <w:r w:rsidRPr="004C41B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_Toc235391163 \h </w:instrText>
            </w:r>
            <w:r>
              <w:rPr>
                <w:noProof/>
                <w:webHidden/>
              </w:rPr>
            </w:r>
            <w:r>
              <w:rPr>
                <w:noProof/>
                <w:webHidden/>
              </w:rPr>
              <w:fldChar w:fldCharType="separate"/>
            </w:r>
            <w:r>
              <w:rPr>
                <w:noProof/>
                <w:webHidden/>
              </w:rPr>
              <w:t>14</w:t>
            </w:r>
            <w:r>
              <w:rPr>
                <w:noProof/>
                <w:webHidden/>
              </w:rPr>
              <w:fldChar w:fldCharType="end"/>
            </w:r>
          </w:hyperlink>
        </w:p>
        <w:p w14:paraId="18EBD957" w14:textId="7C9D3856" w:rsidR="00D33E50" w:rsidRDefault="00D33E50">
          <w:pPr>
            <w:pStyle w:val="TOC2"/>
            <w:tabs>
              <w:tab w:val="right" w:leader="dot" w:pos="9016"/>
            </w:tabs>
            <w:rPr>
              <w:rFonts w:eastAsiaTheme="minorEastAsia"/>
              <w:smallCaps w:val="0"/>
              <w:noProof/>
              <w:sz w:val="24"/>
              <w:szCs w:val="24"/>
              <w:lang w:eastAsia="en-GB"/>
            </w:rPr>
          </w:pPr>
          <w:hyperlink w:anchor="_Toc235391164" w:history="1">
            <w:r w:rsidRPr="004C41B6">
              <w:rPr>
                <w:rStyle w:val="Hyperlink"/>
                <w:rFonts w:ascii="Arial" w:hAnsi="Arial" w:cs="Arial"/>
                <w:noProof/>
              </w:rPr>
              <w:t>Table of Cases</w:t>
            </w:r>
            <w:r>
              <w:rPr>
                <w:noProof/>
                <w:webHidden/>
              </w:rPr>
              <w:tab/>
            </w:r>
            <w:r>
              <w:rPr>
                <w:noProof/>
                <w:webHidden/>
              </w:rPr>
              <w:fldChar w:fldCharType="begin"/>
            </w:r>
            <w:r>
              <w:rPr>
                <w:noProof/>
                <w:webHidden/>
              </w:rPr>
              <w:instrText xml:space="preserve"> PAGEREF _Toc235391164 \h </w:instrText>
            </w:r>
            <w:r>
              <w:rPr>
                <w:noProof/>
                <w:webHidden/>
              </w:rPr>
            </w:r>
            <w:r>
              <w:rPr>
                <w:noProof/>
                <w:webHidden/>
              </w:rPr>
              <w:fldChar w:fldCharType="separate"/>
            </w:r>
            <w:r>
              <w:rPr>
                <w:noProof/>
                <w:webHidden/>
              </w:rPr>
              <w:t>14</w:t>
            </w:r>
            <w:r>
              <w:rPr>
                <w:noProof/>
                <w:webHidden/>
              </w:rPr>
              <w:fldChar w:fldCharType="end"/>
            </w:r>
          </w:hyperlink>
        </w:p>
        <w:p w14:paraId="2AFDAE7B" w14:textId="79F27956" w:rsidR="00D33E50" w:rsidRDefault="00D33E50">
          <w:pPr>
            <w:pStyle w:val="TOC2"/>
            <w:tabs>
              <w:tab w:val="right" w:leader="dot" w:pos="9016"/>
            </w:tabs>
            <w:rPr>
              <w:rFonts w:eastAsiaTheme="minorEastAsia"/>
              <w:smallCaps w:val="0"/>
              <w:noProof/>
              <w:sz w:val="24"/>
              <w:szCs w:val="24"/>
              <w:lang w:eastAsia="en-GB"/>
            </w:rPr>
          </w:pPr>
          <w:hyperlink w:anchor="_Toc235391165" w:history="1">
            <w:r w:rsidRPr="004C41B6">
              <w:rPr>
                <w:rStyle w:val="Hyperlink"/>
                <w:rFonts w:ascii="Arial" w:hAnsi="Arial" w:cs="Arial"/>
                <w:noProof/>
              </w:rPr>
              <w:t>Secondary sources</w:t>
            </w:r>
            <w:r>
              <w:rPr>
                <w:noProof/>
                <w:webHidden/>
              </w:rPr>
              <w:tab/>
            </w:r>
            <w:r>
              <w:rPr>
                <w:noProof/>
                <w:webHidden/>
              </w:rPr>
              <w:fldChar w:fldCharType="begin"/>
            </w:r>
            <w:r>
              <w:rPr>
                <w:noProof/>
                <w:webHidden/>
              </w:rPr>
              <w:instrText xml:space="preserve"> PAGEREF _Toc235391165 \h </w:instrText>
            </w:r>
            <w:r>
              <w:rPr>
                <w:noProof/>
                <w:webHidden/>
              </w:rPr>
            </w:r>
            <w:r>
              <w:rPr>
                <w:noProof/>
                <w:webHidden/>
              </w:rPr>
              <w:fldChar w:fldCharType="separate"/>
            </w:r>
            <w:r>
              <w:rPr>
                <w:noProof/>
                <w:webHidden/>
              </w:rPr>
              <w:t>14</w:t>
            </w:r>
            <w:r>
              <w:rPr>
                <w:noProof/>
                <w:webHidden/>
              </w:rPr>
              <w:fldChar w:fldCharType="end"/>
            </w:r>
          </w:hyperlink>
        </w:p>
        <w:p w14:paraId="611B7049" w14:textId="5169A790" w:rsidR="00D33E50" w:rsidRDefault="00D33E50">
          <w:pPr>
            <w:pStyle w:val="TOC1"/>
            <w:tabs>
              <w:tab w:val="right" w:leader="dot" w:pos="9016"/>
            </w:tabs>
            <w:rPr>
              <w:rFonts w:eastAsiaTheme="minorEastAsia"/>
              <w:b w:val="0"/>
              <w:bCs w:val="0"/>
              <w:caps w:val="0"/>
              <w:noProof/>
              <w:sz w:val="24"/>
              <w:szCs w:val="24"/>
              <w:lang w:eastAsia="en-GB"/>
            </w:rPr>
          </w:pPr>
          <w:hyperlink w:anchor="_Toc235391166" w:history="1">
            <w:r w:rsidRPr="004C41B6">
              <w:rPr>
                <w:rStyle w:val="Hyperlink"/>
                <w:rFonts w:ascii="Arial" w:hAnsi="Arial" w:cs="Arial"/>
                <w:noProof/>
                <w:lang w:eastAsia="en-GB"/>
              </w:rPr>
              <w:t>Reflective Statement</w:t>
            </w:r>
            <w:r>
              <w:rPr>
                <w:noProof/>
                <w:webHidden/>
              </w:rPr>
              <w:tab/>
            </w:r>
            <w:r>
              <w:rPr>
                <w:noProof/>
                <w:webHidden/>
              </w:rPr>
              <w:fldChar w:fldCharType="begin"/>
            </w:r>
            <w:r>
              <w:rPr>
                <w:noProof/>
                <w:webHidden/>
              </w:rPr>
              <w:instrText xml:space="preserve"> PAGEREF _Toc235391166 \h </w:instrText>
            </w:r>
            <w:r>
              <w:rPr>
                <w:noProof/>
                <w:webHidden/>
              </w:rPr>
            </w:r>
            <w:r>
              <w:rPr>
                <w:noProof/>
                <w:webHidden/>
              </w:rPr>
              <w:fldChar w:fldCharType="separate"/>
            </w:r>
            <w:r>
              <w:rPr>
                <w:noProof/>
                <w:webHidden/>
              </w:rPr>
              <w:t>15</w:t>
            </w:r>
            <w:r>
              <w:rPr>
                <w:noProof/>
                <w:webHidden/>
              </w:rPr>
              <w:fldChar w:fldCharType="end"/>
            </w:r>
          </w:hyperlink>
        </w:p>
        <w:p w14:paraId="74AF84EC" w14:textId="1BAB765D" w:rsidR="00D33E50" w:rsidRDefault="00D33E50">
          <w:pPr>
            <w:pStyle w:val="TOC1"/>
            <w:tabs>
              <w:tab w:val="right" w:leader="dot" w:pos="9016"/>
            </w:tabs>
            <w:rPr>
              <w:rFonts w:eastAsiaTheme="minorEastAsia"/>
              <w:b w:val="0"/>
              <w:bCs w:val="0"/>
              <w:caps w:val="0"/>
              <w:noProof/>
              <w:sz w:val="24"/>
              <w:szCs w:val="24"/>
              <w:lang w:eastAsia="en-GB"/>
            </w:rPr>
          </w:pPr>
          <w:hyperlink w:anchor="_Toc235391167" w:history="1">
            <w:r w:rsidRPr="004C41B6">
              <w:rPr>
                <w:rStyle w:val="Hyperlink"/>
                <w:rFonts w:ascii="Arial" w:hAnsi="Arial" w:cs="Arial"/>
                <w:noProof/>
                <w:lang w:eastAsia="en-GB"/>
              </w:rPr>
              <w:t>Declaration</w:t>
            </w:r>
            <w:r>
              <w:rPr>
                <w:noProof/>
                <w:webHidden/>
              </w:rPr>
              <w:tab/>
            </w:r>
            <w:r>
              <w:rPr>
                <w:noProof/>
                <w:webHidden/>
              </w:rPr>
              <w:fldChar w:fldCharType="begin"/>
            </w:r>
            <w:r>
              <w:rPr>
                <w:noProof/>
                <w:webHidden/>
              </w:rPr>
              <w:instrText xml:space="preserve"> PAGEREF _Toc235391167 \h </w:instrText>
            </w:r>
            <w:r>
              <w:rPr>
                <w:noProof/>
                <w:webHidden/>
              </w:rPr>
            </w:r>
            <w:r>
              <w:rPr>
                <w:noProof/>
                <w:webHidden/>
              </w:rPr>
              <w:fldChar w:fldCharType="separate"/>
            </w:r>
            <w:r>
              <w:rPr>
                <w:noProof/>
                <w:webHidden/>
              </w:rPr>
              <w:t>16</w:t>
            </w:r>
            <w:r>
              <w:rPr>
                <w:noProof/>
                <w:webHidden/>
              </w:rPr>
              <w:fldChar w:fldCharType="end"/>
            </w:r>
          </w:hyperlink>
        </w:p>
        <w:p w14:paraId="0C8B3ADD" w14:textId="43CD40D4" w:rsidR="00D33E50" w:rsidRDefault="00D33E50">
          <w:pPr>
            <w:pStyle w:val="TOC2"/>
            <w:tabs>
              <w:tab w:val="right" w:leader="dot" w:pos="9016"/>
            </w:tabs>
            <w:rPr>
              <w:rFonts w:eastAsiaTheme="minorEastAsia"/>
              <w:smallCaps w:val="0"/>
              <w:noProof/>
              <w:sz w:val="24"/>
              <w:szCs w:val="24"/>
              <w:lang w:eastAsia="en-GB"/>
            </w:rPr>
          </w:pPr>
          <w:hyperlink w:anchor="_Toc235391168" w:history="1">
            <w:r w:rsidRPr="004C41B6">
              <w:rPr>
                <w:rStyle w:val="Hyperlink"/>
                <w:noProof/>
              </w:rPr>
              <w:t>Appendix A- Presentation Slides</w:t>
            </w:r>
            <w:r>
              <w:rPr>
                <w:noProof/>
                <w:webHidden/>
              </w:rPr>
              <w:tab/>
            </w:r>
            <w:r>
              <w:rPr>
                <w:noProof/>
                <w:webHidden/>
              </w:rPr>
              <w:fldChar w:fldCharType="begin"/>
            </w:r>
            <w:r>
              <w:rPr>
                <w:noProof/>
                <w:webHidden/>
              </w:rPr>
              <w:instrText xml:space="preserve"> PAGEREF _Toc235391168 \h </w:instrText>
            </w:r>
            <w:r>
              <w:rPr>
                <w:noProof/>
                <w:webHidden/>
              </w:rPr>
            </w:r>
            <w:r>
              <w:rPr>
                <w:noProof/>
                <w:webHidden/>
              </w:rPr>
              <w:fldChar w:fldCharType="separate"/>
            </w:r>
            <w:r>
              <w:rPr>
                <w:noProof/>
                <w:webHidden/>
              </w:rPr>
              <w:t>17</w:t>
            </w:r>
            <w:r>
              <w:rPr>
                <w:noProof/>
                <w:webHidden/>
              </w:rPr>
              <w:fldChar w:fldCharType="end"/>
            </w:r>
          </w:hyperlink>
        </w:p>
        <w:p w14:paraId="0B7C46D7" w14:textId="545DDDC4" w:rsidR="005B4BE2" w:rsidRPr="00A81DFF" w:rsidRDefault="00420424" w:rsidP="00E4114E">
          <w:pPr>
            <w:spacing w:after="0" w:line="360" w:lineRule="auto"/>
            <w:contextualSpacing/>
            <w:rPr>
              <w:rFonts w:ascii="Arial" w:hAnsi="Arial" w:cs="Arial"/>
            </w:rPr>
          </w:pPr>
          <w:r w:rsidRPr="00A81DFF">
            <w:rPr>
              <w:rFonts w:ascii="Arial" w:hAnsi="Arial" w:cs="Arial"/>
              <w:caps/>
            </w:rPr>
            <w:fldChar w:fldCharType="end"/>
          </w:r>
        </w:p>
      </w:sdtContent>
    </w:sdt>
    <w:p w14:paraId="729DDACF" w14:textId="77777777" w:rsidR="0066199E" w:rsidRPr="00A81DFF" w:rsidRDefault="0066199E" w:rsidP="00E4114E">
      <w:pPr>
        <w:pStyle w:val="NormalWeb"/>
        <w:spacing w:before="0" w:beforeAutospacing="0" w:after="0" w:afterAutospacing="0" w:line="360" w:lineRule="auto"/>
        <w:contextualSpacing/>
        <w:rPr>
          <w:rStyle w:val="Strong"/>
          <w:rFonts w:ascii="Arial" w:hAnsi="Arial" w:cs="Arial"/>
        </w:rPr>
      </w:pPr>
    </w:p>
    <w:p w14:paraId="2BFCBEAC" w14:textId="77777777" w:rsidR="00894D51" w:rsidRPr="00A81DFF" w:rsidRDefault="00894D51" w:rsidP="00E4114E">
      <w:pPr>
        <w:pStyle w:val="NormalWeb"/>
        <w:spacing w:before="0" w:beforeAutospacing="0" w:after="0" w:afterAutospacing="0" w:line="360" w:lineRule="auto"/>
        <w:contextualSpacing/>
        <w:rPr>
          <w:rStyle w:val="Strong"/>
          <w:rFonts w:ascii="Arial" w:hAnsi="Arial" w:cs="Arial"/>
        </w:rPr>
      </w:pPr>
    </w:p>
    <w:p w14:paraId="308C3E3C" w14:textId="77777777" w:rsidR="0066199E" w:rsidRPr="00A81DFF" w:rsidRDefault="0066199E" w:rsidP="00E4114E">
      <w:pPr>
        <w:pStyle w:val="NormalWeb"/>
        <w:spacing w:before="0" w:beforeAutospacing="0" w:after="0" w:afterAutospacing="0" w:line="360" w:lineRule="auto"/>
        <w:contextualSpacing/>
        <w:rPr>
          <w:rStyle w:val="Strong"/>
          <w:rFonts w:ascii="Arial" w:hAnsi="Arial" w:cs="Arial"/>
        </w:rPr>
      </w:pPr>
    </w:p>
    <w:p w14:paraId="56376714" w14:textId="77777777" w:rsidR="001D295A" w:rsidRPr="00A81DFF" w:rsidRDefault="001D295A" w:rsidP="00E4114E">
      <w:pPr>
        <w:pStyle w:val="Heading1"/>
        <w:spacing w:before="0" w:after="0" w:line="360" w:lineRule="auto"/>
        <w:contextualSpacing/>
        <w:rPr>
          <w:rFonts w:ascii="Arial" w:hAnsi="Arial" w:cs="Arial"/>
          <w:sz w:val="24"/>
          <w:szCs w:val="24"/>
        </w:rPr>
      </w:pPr>
    </w:p>
    <w:p w14:paraId="45598DD8" w14:textId="77777777" w:rsidR="007E237F" w:rsidRPr="00A81DFF" w:rsidRDefault="007E237F" w:rsidP="00E4114E">
      <w:pPr>
        <w:spacing w:after="0" w:line="360" w:lineRule="auto"/>
        <w:contextualSpacing/>
        <w:rPr>
          <w:rFonts w:ascii="Arial" w:hAnsi="Arial" w:cs="Arial"/>
        </w:rPr>
      </w:pPr>
    </w:p>
    <w:p w14:paraId="30DFE560" w14:textId="77777777" w:rsidR="002E4EB6" w:rsidRPr="00A81DFF" w:rsidRDefault="002E4EB6" w:rsidP="00E4114E">
      <w:pPr>
        <w:spacing w:after="0" w:line="360" w:lineRule="auto"/>
        <w:contextualSpacing/>
        <w:rPr>
          <w:rFonts w:ascii="Arial" w:hAnsi="Arial" w:cs="Arial"/>
        </w:rPr>
      </w:pPr>
    </w:p>
    <w:p w14:paraId="44D9594A" w14:textId="77777777" w:rsidR="002E4EB6" w:rsidRDefault="002E4EB6" w:rsidP="00E4114E">
      <w:pPr>
        <w:spacing w:after="0" w:line="360" w:lineRule="auto"/>
        <w:contextualSpacing/>
        <w:rPr>
          <w:rFonts w:ascii="Arial" w:hAnsi="Arial" w:cs="Arial"/>
        </w:rPr>
      </w:pPr>
    </w:p>
    <w:p w14:paraId="62DBDFE1" w14:textId="77777777" w:rsidR="00236559" w:rsidRPr="00A81DFF" w:rsidRDefault="00236559" w:rsidP="00E4114E">
      <w:pPr>
        <w:spacing w:after="0" w:line="360" w:lineRule="auto"/>
        <w:contextualSpacing/>
        <w:rPr>
          <w:rFonts w:ascii="Arial" w:hAnsi="Arial" w:cs="Arial"/>
        </w:rPr>
      </w:pPr>
    </w:p>
    <w:p w14:paraId="74C2EF6B" w14:textId="77777777" w:rsidR="007E237F" w:rsidRPr="00A81DFF" w:rsidRDefault="007E237F" w:rsidP="00E4114E">
      <w:pPr>
        <w:spacing w:after="0" w:line="360" w:lineRule="auto"/>
        <w:contextualSpacing/>
        <w:rPr>
          <w:rFonts w:ascii="Arial" w:hAnsi="Arial" w:cs="Arial"/>
        </w:rPr>
      </w:pPr>
    </w:p>
    <w:p w14:paraId="3BB3AB6D" w14:textId="77777777" w:rsidR="00913C08" w:rsidRPr="00A81DFF" w:rsidRDefault="00913C08" w:rsidP="00E4114E">
      <w:pPr>
        <w:spacing w:after="0" w:line="360" w:lineRule="auto"/>
        <w:contextualSpacing/>
        <w:rPr>
          <w:rFonts w:ascii="Arial" w:hAnsi="Arial" w:cs="Arial"/>
        </w:rPr>
      </w:pPr>
    </w:p>
    <w:p w14:paraId="4A674679" w14:textId="77777777" w:rsidR="00466911" w:rsidRDefault="002B6880" w:rsidP="00466911">
      <w:pPr>
        <w:pStyle w:val="Heading1"/>
        <w:spacing w:line="360" w:lineRule="auto"/>
        <w:rPr>
          <w:rFonts w:ascii="Arial" w:hAnsi="Arial" w:cs="Arial"/>
        </w:rPr>
      </w:pPr>
      <w:bookmarkStart w:id="0" w:name="_Toc235391145"/>
      <w:r w:rsidRPr="00A81DFF">
        <w:rPr>
          <w:rFonts w:ascii="Arial" w:hAnsi="Arial" w:cs="Arial"/>
        </w:rPr>
        <w:lastRenderedPageBreak/>
        <w:t>Executive Summary</w:t>
      </w:r>
      <w:bookmarkEnd w:id="0"/>
    </w:p>
    <w:p w14:paraId="11C50992" w14:textId="564FB1DD" w:rsidR="003136D1" w:rsidRPr="00466911" w:rsidRDefault="005B4BE2" w:rsidP="00466911">
      <w:pPr>
        <w:spacing w:line="360" w:lineRule="auto"/>
        <w:rPr>
          <w:rFonts w:ascii="Arial" w:hAnsi="Arial" w:cs="Arial"/>
        </w:rPr>
      </w:pPr>
      <w:r w:rsidRPr="003136D1">
        <w:rPr>
          <w:b/>
          <w:bCs/>
        </w:rPr>
        <w:br/>
      </w:r>
      <w:r w:rsidR="003136D1" w:rsidRPr="00466911">
        <w:rPr>
          <w:rFonts w:ascii="Arial" w:hAnsi="Arial" w:cs="Arial"/>
        </w:rPr>
        <w:t xml:space="preserve">The Supreme Court decision in </w:t>
      </w:r>
      <w:r w:rsidR="003136D1" w:rsidRPr="00466911">
        <w:rPr>
          <w:rStyle w:val="Emphasis"/>
          <w:rFonts w:ascii="Arial" w:hAnsi="Arial" w:cs="Arial"/>
        </w:rPr>
        <w:t>Paul v Royal Wolverhampton NHS Trust</w:t>
      </w:r>
      <w:r w:rsidR="003136D1" w:rsidRPr="00466911">
        <w:rPr>
          <w:rFonts w:ascii="Arial" w:hAnsi="Arial" w:cs="Arial"/>
        </w:rPr>
        <w:t xml:space="preserve"> [2024]</w:t>
      </w:r>
      <w:r w:rsidR="003136D1" w:rsidRPr="00466911">
        <w:rPr>
          <w:rStyle w:val="FootnoteReference"/>
          <w:rFonts w:ascii="Arial" w:hAnsi="Arial" w:cs="Arial"/>
        </w:rPr>
        <w:footnoteReference w:id="1"/>
      </w:r>
      <w:r w:rsidR="003136D1" w:rsidRPr="00466911">
        <w:rPr>
          <w:rFonts w:ascii="Arial" w:hAnsi="Arial" w:cs="Arial"/>
        </w:rPr>
        <w:t xml:space="preserve"> is critically examined in this report. While the judgment enhances legal certainty, it significantly restricts the scope of secondary victim claims in clinical negligence contexts.</w:t>
      </w:r>
    </w:p>
    <w:p w14:paraId="7C0FBD84" w14:textId="62DBE566" w:rsidR="003136D1" w:rsidRPr="003136D1" w:rsidRDefault="003136D1" w:rsidP="00466911">
      <w:pPr>
        <w:pStyle w:val="NormalWeb"/>
        <w:spacing w:line="360" w:lineRule="auto"/>
        <w:rPr>
          <w:rFonts w:ascii="Arial" w:hAnsi="Arial" w:cs="Arial"/>
        </w:rPr>
      </w:pPr>
      <w:r w:rsidRPr="003136D1">
        <w:rPr>
          <w:rFonts w:ascii="Arial" w:hAnsi="Arial" w:cs="Arial"/>
        </w:rPr>
        <w:t>In practical terms, claimant practitioners must now assess at the outset whether the facts disclose a qualifying accident, rather than relying on the severity of the psychiatric harm or the suddenness of the medical crisis.</w:t>
      </w:r>
    </w:p>
    <w:p w14:paraId="4F0CD817" w14:textId="5C0E1A4D" w:rsidR="003136D1" w:rsidRPr="003136D1" w:rsidRDefault="003136D1" w:rsidP="00466911">
      <w:pPr>
        <w:pStyle w:val="NormalWeb"/>
        <w:spacing w:line="360" w:lineRule="auto"/>
        <w:rPr>
          <w:rFonts w:ascii="Arial" w:hAnsi="Arial" w:cs="Arial"/>
        </w:rPr>
      </w:pPr>
      <w:r w:rsidRPr="003136D1">
        <w:rPr>
          <w:rFonts w:ascii="Arial" w:hAnsi="Arial" w:cs="Arial"/>
        </w:rPr>
        <w:t xml:space="preserve">By reaffirming the requirement for a qualifying “accident” and reinforcing the restrictive control mechanisms established in </w:t>
      </w:r>
      <w:r w:rsidRPr="003136D1">
        <w:rPr>
          <w:rStyle w:val="Emphasis"/>
          <w:rFonts w:ascii="Arial" w:hAnsi="Arial" w:cs="Arial"/>
        </w:rPr>
        <w:t>Alcock</w:t>
      </w:r>
      <w:r>
        <w:rPr>
          <w:rStyle w:val="FootnoteReference"/>
          <w:rFonts w:ascii="Arial" w:hAnsi="Arial" w:cs="Arial"/>
          <w:i/>
          <w:iCs/>
        </w:rPr>
        <w:footnoteReference w:id="2"/>
      </w:r>
      <w:r w:rsidRPr="003136D1">
        <w:rPr>
          <w:rFonts w:ascii="Arial" w:hAnsi="Arial" w:cs="Arial"/>
        </w:rPr>
        <w:t xml:space="preserve">, the decision narrows the availability of recovery for claimants suffering psychiatric harm following medical crises. Although this approach benefits defendants by limiting </w:t>
      </w:r>
      <w:r w:rsidR="002A4DA3">
        <w:rPr>
          <w:rFonts w:ascii="Arial" w:hAnsi="Arial" w:cs="Arial"/>
        </w:rPr>
        <w:t>liability</w:t>
      </w:r>
      <w:r w:rsidRPr="003136D1">
        <w:rPr>
          <w:rFonts w:ascii="Arial" w:hAnsi="Arial" w:cs="Arial"/>
        </w:rPr>
        <w:t xml:space="preserve"> </w:t>
      </w:r>
      <w:r w:rsidR="002A4DA3">
        <w:rPr>
          <w:rFonts w:ascii="Arial" w:hAnsi="Arial" w:cs="Arial"/>
        </w:rPr>
        <w:t>exposure</w:t>
      </w:r>
      <w:r w:rsidRPr="003136D1">
        <w:rPr>
          <w:rFonts w:ascii="Arial" w:hAnsi="Arial" w:cs="Arial"/>
        </w:rPr>
        <w:t>, it creates substantial barriers for claimants and may exclude individuals with genuine psychiatric injury.</w:t>
      </w:r>
    </w:p>
    <w:p w14:paraId="3ACAD115" w14:textId="77777777" w:rsidR="003136D1" w:rsidRPr="003136D1" w:rsidRDefault="003136D1" w:rsidP="003136D1">
      <w:pPr>
        <w:pStyle w:val="NormalWeb"/>
        <w:spacing w:line="360" w:lineRule="auto"/>
        <w:rPr>
          <w:rFonts w:ascii="Arial" w:hAnsi="Arial" w:cs="Arial"/>
        </w:rPr>
      </w:pPr>
      <w:r w:rsidRPr="003136D1">
        <w:rPr>
          <w:rFonts w:ascii="Arial" w:hAnsi="Arial" w:cs="Arial"/>
        </w:rPr>
        <w:t>Overall, the decision reflects a clear policy preference for limiting liability over ensuring fairness. In response, this report recommends more rigorous case screening, more commercially informed client advice, and a structured approach to identifying whether a potential claim involves a qualifying accident.</w:t>
      </w:r>
    </w:p>
    <w:p w14:paraId="70A93E11" w14:textId="12ABBF7A" w:rsidR="001C74BA" w:rsidRPr="00A81DFF" w:rsidRDefault="002B6880" w:rsidP="002A4DA3">
      <w:pPr>
        <w:pStyle w:val="NormalWeb"/>
        <w:spacing w:before="0" w:beforeAutospacing="0" w:after="0" w:afterAutospacing="0" w:line="360" w:lineRule="auto"/>
        <w:contextualSpacing/>
        <w:rPr>
          <w:rStyle w:val="Heading1Char"/>
          <w:rFonts w:ascii="Arial" w:hAnsi="Arial" w:cs="Arial"/>
          <w:sz w:val="24"/>
          <w:szCs w:val="24"/>
        </w:rPr>
      </w:pPr>
      <w:r w:rsidRPr="003136D1">
        <w:rPr>
          <w:rFonts w:ascii="Arial" w:hAnsi="Arial" w:cs="Arial"/>
        </w:rPr>
        <w:br/>
      </w:r>
      <w:r w:rsidRPr="003136D1">
        <w:rPr>
          <w:rFonts w:ascii="Arial" w:hAnsi="Arial" w:cs="Arial"/>
        </w:rPr>
        <w:br/>
      </w:r>
      <w:r w:rsidRPr="003136D1">
        <w:rPr>
          <w:rFonts w:ascii="Arial" w:hAnsi="Arial" w:cs="Arial"/>
        </w:rPr>
        <w:br/>
      </w:r>
    </w:p>
    <w:p w14:paraId="3C94E66B" w14:textId="77777777" w:rsidR="001C74BA" w:rsidRPr="00A81DFF" w:rsidRDefault="001C74BA" w:rsidP="00E4114E">
      <w:pPr>
        <w:spacing w:after="0" w:line="360" w:lineRule="auto"/>
        <w:contextualSpacing/>
        <w:rPr>
          <w:rStyle w:val="Heading1Char"/>
          <w:rFonts w:ascii="Arial" w:hAnsi="Arial" w:cs="Arial"/>
          <w:sz w:val="24"/>
          <w:szCs w:val="24"/>
        </w:rPr>
      </w:pPr>
    </w:p>
    <w:p w14:paraId="6EE23414" w14:textId="77777777" w:rsidR="001C74BA" w:rsidRPr="00A81DFF" w:rsidRDefault="001C74BA" w:rsidP="00E4114E">
      <w:pPr>
        <w:spacing w:after="0" w:line="360" w:lineRule="auto"/>
        <w:contextualSpacing/>
        <w:rPr>
          <w:rStyle w:val="Heading1Char"/>
          <w:rFonts w:ascii="Arial" w:hAnsi="Arial" w:cs="Arial"/>
          <w:sz w:val="24"/>
          <w:szCs w:val="24"/>
        </w:rPr>
      </w:pPr>
    </w:p>
    <w:p w14:paraId="5668C478" w14:textId="2AC45E4B" w:rsidR="002B6880" w:rsidRPr="00A81DFF" w:rsidRDefault="002B6880" w:rsidP="00E4114E">
      <w:pPr>
        <w:pStyle w:val="Heading1"/>
        <w:spacing w:line="360" w:lineRule="auto"/>
        <w:rPr>
          <w:rFonts w:ascii="Arial" w:hAnsi="Arial" w:cs="Arial"/>
        </w:rPr>
      </w:pPr>
      <w:bookmarkStart w:id="1" w:name="_Toc235391146"/>
      <w:bookmarkStart w:id="2" w:name="OLE_LINK1"/>
      <w:r w:rsidRPr="00A81DFF">
        <w:rPr>
          <w:rFonts w:ascii="Arial" w:hAnsi="Arial" w:cs="Arial"/>
        </w:rPr>
        <w:lastRenderedPageBreak/>
        <w:t>Introduction</w:t>
      </w:r>
      <w:bookmarkEnd w:id="1"/>
    </w:p>
    <w:p w14:paraId="51E8683F" w14:textId="77777777" w:rsidR="003136D1" w:rsidRPr="003136D1" w:rsidRDefault="003136D1" w:rsidP="003136D1">
      <w:pPr>
        <w:pStyle w:val="NormalWeb"/>
        <w:spacing w:line="360" w:lineRule="auto"/>
        <w:rPr>
          <w:rFonts w:ascii="Arial" w:hAnsi="Arial" w:cs="Arial"/>
        </w:rPr>
      </w:pPr>
      <w:r w:rsidRPr="003136D1">
        <w:rPr>
          <w:rFonts w:ascii="Arial" w:hAnsi="Arial" w:cs="Arial"/>
        </w:rPr>
        <w:t>Clinical negligence claims arise when a healthcare organisation, whether public or private, causes harm to a patient through substandard medical care. Most claims are brought by patients directly affected by negligent treatment. However, claims involving psychiatric injury to secondary victims remain among the most complex and controversial areas of negligence law.</w:t>
      </w:r>
    </w:p>
    <w:p w14:paraId="5BF41FE9" w14:textId="77777777" w:rsidR="003136D1" w:rsidRPr="003136D1" w:rsidRDefault="003136D1" w:rsidP="003136D1">
      <w:pPr>
        <w:pStyle w:val="NormalWeb"/>
        <w:spacing w:line="360" w:lineRule="auto"/>
        <w:rPr>
          <w:rFonts w:ascii="Arial" w:hAnsi="Arial" w:cs="Arial"/>
        </w:rPr>
      </w:pPr>
      <w:r w:rsidRPr="003136D1">
        <w:rPr>
          <w:rFonts w:ascii="Arial" w:hAnsi="Arial" w:cs="Arial"/>
        </w:rPr>
        <w:t xml:space="preserve">Secondary victims are individuals who suffer a recognised psychiatric illness after witnessing or perceiving a traumatic event involving another person, subject to strict judicial control. Historically, such claims have been governed by the framework established in </w:t>
      </w:r>
      <w:r w:rsidRPr="003136D1">
        <w:rPr>
          <w:rStyle w:val="Emphasis"/>
          <w:rFonts w:ascii="Arial" w:hAnsi="Arial" w:cs="Arial"/>
        </w:rPr>
        <w:t>Alcock v Chief Constable of South Yorkshire Police</w:t>
      </w:r>
      <w:r w:rsidRPr="003136D1">
        <w:rPr>
          <w:rFonts w:ascii="Arial" w:hAnsi="Arial" w:cs="Arial"/>
        </w:rPr>
        <w:t xml:space="preserve"> [1992], which requires proximity, close ties of affection, direct perception of the event, and psychiatric injury caused by a sudden shocking event.</w:t>
      </w:r>
    </w:p>
    <w:p w14:paraId="3F79247B" w14:textId="26E0750C" w:rsidR="003136D1" w:rsidRPr="003136D1" w:rsidRDefault="003136D1" w:rsidP="00482E29">
      <w:pPr>
        <w:pStyle w:val="NormalWeb"/>
        <w:spacing w:line="360" w:lineRule="auto"/>
        <w:rPr>
          <w:rFonts w:ascii="Arial" w:hAnsi="Arial" w:cs="Arial"/>
        </w:rPr>
      </w:pPr>
      <w:r w:rsidRPr="003136D1">
        <w:rPr>
          <w:rFonts w:ascii="Arial" w:hAnsi="Arial" w:cs="Arial"/>
        </w:rPr>
        <w:t xml:space="preserve">In practice, however, the law rarely permits recovery for psychiatric harm arising from injury to another person, creating significant difficulty for family members seeking to bring claims. The decision in </w:t>
      </w:r>
      <w:r w:rsidRPr="003136D1">
        <w:rPr>
          <w:rStyle w:val="Emphasis"/>
          <w:rFonts w:ascii="Arial" w:hAnsi="Arial" w:cs="Arial"/>
        </w:rPr>
        <w:t>Paul v Royal Wolverhampton NHS Trust</w:t>
      </w:r>
      <w:r w:rsidRPr="003136D1">
        <w:rPr>
          <w:rFonts w:ascii="Arial" w:hAnsi="Arial" w:cs="Arial"/>
        </w:rPr>
        <w:t xml:space="preserve"> [2024] represents a </w:t>
      </w:r>
      <w:r w:rsidRPr="00482E29">
        <w:rPr>
          <w:rFonts w:ascii="Arial" w:hAnsi="Arial" w:cs="Arial"/>
        </w:rPr>
        <w:t>significant and restrictive development, reaffirming the requirement for a qualifying “accident” and thereby narrowing the scope of secondary victim recovery.</w:t>
      </w:r>
      <w:r w:rsidR="00482E29" w:rsidRPr="00482E29">
        <w:rPr>
          <w:rFonts w:ascii="Arial" w:hAnsi="Arial" w:cs="Arial"/>
        </w:rPr>
        <w:t xml:space="preserve"> This is particularly important in delayed diagnosis cases, where the alleged negligence may occur long before the traumatic event witnessed by the claimant.</w:t>
      </w:r>
    </w:p>
    <w:p w14:paraId="2B721B6E" w14:textId="77777777" w:rsidR="00482E29" w:rsidRDefault="003136D1" w:rsidP="00482E29">
      <w:pPr>
        <w:pStyle w:val="NormalWeb"/>
        <w:spacing w:line="360" w:lineRule="auto"/>
        <w:rPr>
          <w:rFonts w:ascii="Arial" w:hAnsi="Arial" w:cs="Arial"/>
        </w:rPr>
      </w:pPr>
      <w:r w:rsidRPr="003136D1">
        <w:rPr>
          <w:rFonts w:ascii="Arial" w:hAnsi="Arial" w:cs="Arial"/>
        </w:rPr>
        <w:t xml:space="preserve">While the judgment provides greater clarity and limits defendants’ liability, it reinforces a constrained legal framework that produces outcomes which are difficult to justify. This report examines the legal framework before </w:t>
      </w:r>
      <w:r w:rsidRPr="003136D1">
        <w:rPr>
          <w:rStyle w:val="Emphasis"/>
          <w:rFonts w:ascii="Arial" w:hAnsi="Arial" w:cs="Arial"/>
        </w:rPr>
        <w:t>Paul</w:t>
      </w:r>
      <w:r w:rsidRPr="003136D1">
        <w:rPr>
          <w:rFonts w:ascii="Arial" w:hAnsi="Arial" w:cs="Arial"/>
        </w:rPr>
        <w:t>, critically analyses the decision, evaluates its practical impact on practitioners, and proposes recommendations for the PICN department.</w:t>
      </w:r>
    </w:p>
    <w:p w14:paraId="4EEEFE88" w14:textId="77777777" w:rsidR="00482E29" w:rsidRDefault="00482E29" w:rsidP="00482E29">
      <w:pPr>
        <w:pStyle w:val="NormalWeb"/>
        <w:spacing w:line="360" w:lineRule="auto"/>
        <w:rPr>
          <w:rFonts w:ascii="Arial" w:hAnsi="Arial" w:cs="Arial"/>
        </w:rPr>
      </w:pPr>
    </w:p>
    <w:p w14:paraId="53DF2AFF" w14:textId="77777777" w:rsidR="00482E29" w:rsidRDefault="00482E29" w:rsidP="00482E29">
      <w:pPr>
        <w:pStyle w:val="NormalWeb"/>
        <w:spacing w:line="360" w:lineRule="auto"/>
        <w:rPr>
          <w:rFonts w:ascii="Arial" w:hAnsi="Arial" w:cs="Arial"/>
        </w:rPr>
      </w:pPr>
    </w:p>
    <w:p w14:paraId="5BE3FC47" w14:textId="41A78D29" w:rsidR="00E54FED" w:rsidRPr="00A81DFF" w:rsidRDefault="00D0452D" w:rsidP="00482E29">
      <w:pPr>
        <w:pStyle w:val="Heading1"/>
      </w:pPr>
      <w:r w:rsidRPr="00A81DFF">
        <w:lastRenderedPageBreak/>
        <w:br/>
      </w:r>
      <w:bookmarkStart w:id="3" w:name="_Toc235391147"/>
      <w:r w:rsidRPr="00A81DFF">
        <w:t>1</w:t>
      </w:r>
      <w:r w:rsidR="00824D18" w:rsidRPr="00A81DFF">
        <w:rPr>
          <w:rStyle w:val="Strong"/>
          <w:rFonts w:ascii="Arial" w:hAnsi="Arial" w:cs="Arial"/>
          <w:b w:val="0"/>
          <w:bCs w:val="0"/>
        </w:rPr>
        <w:t xml:space="preserve">. </w:t>
      </w:r>
      <w:r w:rsidR="00E54FED" w:rsidRPr="00A81DFF">
        <w:rPr>
          <w:rStyle w:val="Strong"/>
          <w:rFonts w:ascii="Arial" w:hAnsi="Arial" w:cs="Arial"/>
          <w:b w:val="0"/>
          <w:bCs w:val="0"/>
        </w:rPr>
        <w:t>The Law on Secondary Victim Claims Prior to Paul</w:t>
      </w:r>
      <w:bookmarkEnd w:id="3"/>
    </w:p>
    <w:p w14:paraId="4FC784E9" w14:textId="14A1742C" w:rsidR="00E54FED" w:rsidRPr="00A81DFF" w:rsidRDefault="00D0452D" w:rsidP="00E4114E">
      <w:pPr>
        <w:pStyle w:val="Heading2"/>
        <w:spacing w:line="360" w:lineRule="auto"/>
        <w:rPr>
          <w:rStyle w:val="Strong"/>
          <w:rFonts w:ascii="Arial" w:hAnsi="Arial" w:cs="Arial"/>
          <w:b w:val="0"/>
          <w:bCs w:val="0"/>
        </w:rPr>
      </w:pPr>
      <w:bookmarkStart w:id="4" w:name="_Toc235391148"/>
      <w:r w:rsidRPr="00A81DFF">
        <w:rPr>
          <w:rStyle w:val="Strong"/>
          <w:rFonts w:ascii="Arial" w:hAnsi="Arial" w:cs="Arial"/>
          <w:b w:val="0"/>
          <w:bCs w:val="0"/>
        </w:rPr>
        <w:t>1</w:t>
      </w:r>
      <w:r w:rsidR="00497FB2" w:rsidRPr="00A81DFF">
        <w:rPr>
          <w:rStyle w:val="Strong"/>
          <w:rFonts w:ascii="Arial" w:hAnsi="Arial" w:cs="Arial"/>
          <w:b w:val="0"/>
          <w:bCs w:val="0"/>
        </w:rPr>
        <w:t>.1 The Development of Secondary Victim Liability</w:t>
      </w:r>
      <w:bookmarkEnd w:id="4"/>
    </w:p>
    <w:p w14:paraId="3E284504" w14:textId="77777777" w:rsidR="00482E29" w:rsidRPr="00482E29" w:rsidRDefault="00482E29" w:rsidP="00482E29">
      <w:pPr>
        <w:pStyle w:val="NormalWeb"/>
        <w:spacing w:line="360" w:lineRule="auto"/>
        <w:rPr>
          <w:rFonts w:ascii="Arial" w:hAnsi="Arial" w:cs="Arial"/>
        </w:rPr>
      </w:pPr>
      <w:r w:rsidRPr="00482E29">
        <w:rPr>
          <w:rFonts w:ascii="Arial" w:hAnsi="Arial" w:cs="Arial"/>
        </w:rPr>
        <w:t xml:space="preserve">The law governing secondary victim claims prior to </w:t>
      </w:r>
      <w:r w:rsidRPr="00482E29">
        <w:rPr>
          <w:rStyle w:val="Emphasis"/>
          <w:rFonts w:ascii="Arial" w:hAnsi="Arial" w:cs="Arial"/>
        </w:rPr>
        <w:t>Paul v Royal Wolverhampton NHS Trust</w:t>
      </w:r>
      <w:r w:rsidRPr="00482E29">
        <w:rPr>
          <w:rFonts w:ascii="Arial" w:hAnsi="Arial" w:cs="Arial"/>
        </w:rPr>
        <w:t xml:space="preserve"> [2024] developed through a series of judicial decisions that sought to balance the recognition of psychiatric harm with concerns about limiting liability.</w:t>
      </w:r>
    </w:p>
    <w:p w14:paraId="29EC8B43" w14:textId="3D5C1F88" w:rsidR="00482E29" w:rsidRPr="00482E29" w:rsidRDefault="00482E29" w:rsidP="00482E29">
      <w:pPr>
        <w:pStyle w:val="NormalWeb"/>
        <w:spacing w:line="360" w:lineRule="auto"/>
        <w:rPr>
          <w:rFonts w:ascii="Arial" w:hAnsi="Arial" w:cs="Arial"/>
        </w:rPr>
      </w:pPr>
      <w:r w:rsidRPr="00482E29">
        <w:rPr>
          <w:rFonts w:ascii="Arial" w:hAnsi="Arial" w:cs="Arial"/>
        </w:rPr>
        <w:t xml:space="preserve">In </w:t>
      </w:r>
      <w:r w:rsidRPr="00482E29">
        <w:rPr>
          <w:rStyle w:val="Emphasis"/>
          <w:rFonts w:ascii="Arial" w:hAnsi="Arial" w:cs="Arial"/>
        </w:rPr>
        <w:t>McLoughlin v O’Brian</w:t>
      </w:r>
      <w:r w:rsidRPr="00482E29">
        <w:rPr>
          <w:rFonts w:ascii="Arial" w:hAnsi="Arial" w:cs="Arial"/>
        </w:rPr>
        <w:t xml:space="preserve"> [1983]</w:t>
      </w:r>
      <w:r>
        <w:rPr>
          <w:rStyle w:val="FootnoteReference"/>
          <w:rFonts w:ascii="Arial" w:hAnsi="Arial" w:cs="Arial"/>
        </w:rPr>
        <w:footnoteReference w:id="3"/>
      </w:r>
      <w:r w:rsidRPr="00482E29">
        <w:rPr>
          <w:rFonts w:ascii="Arial" w:hAnsi="Arial" w:cs="Arial"/>
        </w:rPr>
        <w:t>, the House of Lords adopted a relatively flexible approach, permitting recovery for a claimant who witnessed the immediate aftermath of a traumatic event. This reflected an early willingness to extend liability beyond those physically present at the scene.</w:t>
      </w:r>
    </w:p>
    <w:p w14:paraId="72A756E3" w14:textId="59747957" w:rsidR="00482E29" w:rsidRPr="009176DA" w:rsidRDefault="00963653" w:rsidP="009176DA">
      <w:pPr>
        <w:pStyle w:val="NormalWeb"/>
        <w:spacing w:line="360" w:lineRule="auto"/>
        <w:rPr>
          <w:rFonts w:ascii="Arial" w:hAnsi="Arial" w:cs="Arial"/>
        </w:rPr>
      </w:pPr>
      <w:r w:rsidRPr="00963653">
        <w:rPr>
          <w:rFonts w:ascii="Arial" w:hAnsi="Arial" w:cs="Arial"/>
        </w:rPr>
        <w:t xml:space="preserve">This restrictive approach is significant because secondary victim claims have never been governed by ordinary foreseeability alone. </w:t>
      </w:r>
      <w:r w:rsidR="00482E29" w:rsidRPr="00963653">
        <w:rPr>
          <w:rFonts w:ascii="Arial" w:hAnsi="Arial" w:cs="Arial"/>
        </w:rPr>
        <w:t>However</w:t>
      </w:r>
      <w:r w:rsidR="00482E29" w:rsidRPr="00482E29">
        <w:rPr>
          <w:rFonts w:ascii="Arial" w:hAnsi="Arial" w:cs="Arial"/>
        </w:rPr>
        <w:t xml:space="preserve">, this position was </w:t>
      </w:r>
      <w:r w:rsidR="00482E29" w:rsidRPr="009176DA">
        <w:rPr>
          <w:rFonts w:ascii="Arial" w:hAnsi="Arial" w:cs="Arial"/>
        </w:rPr>
        <w:t xml:space="preserve">subsequently restricted in </w:t>
      </w:r>
      <w:r w:rsidR="00482E29" w:rsidRPr="009176DA">
        <w:rPr>
          <w:rStyle w:val="Emphasis"/>
          <w:rFonts w:ascii="Arial" w:hAnsi="Arial" w:cs="Arial"/>
        </w:rPr>
        <w:t>White v Chief Constable of South Yorkshire</w:t>
      </w:r>
      <w:r w:rsidR="00482E29" w:rsidRPr="009176DA">
        <w:rPr>
          <w:rFonts w:ascii="Arial" w:hAnsi="Arial" w:cs="Arial"/>
        </w:rPr>
        <w:t xml:space="preserve"> [1999]</w:t>
      </w:r>
      <w:r w:rsidR="00D12310" w:rsidRPr="009176DA">
        <w:rPr>
          <w:rStyle w:val="FootnoteReference"/>
          <w:rFonts w:ascii="Arial" w:hAnsi="Arial" w:cs="Arial"/>
        </w:rPr>
        <w:footnoteReference w:id="4"/>
      </w:r>
      <w:r w:rsidR="00482E29" w:rsidRPr="009176DA">
        <w:rPr>
          <w:rFonts w:ascii="Arial" w:hAnsi="Arial" w:cs="Arial"/>
        </w:rPr>
        <w:t>, where the House of Lords emphasised the need to limit claims, refused to extend liability to rescuers, and reinforced a cautious, policy-driven stance on psychiatric injury claims.</w:t>
      </w:r>
    </w:p>
    <w:p w14:paraId="4483F845" w14:textId="254EF860" w:rsidR="009176DA" w:rsidRPr="009176DA" w:rsidRDefault="009176DA" w:rsidP="009176DA">
      <w:pPr>
        <w:spacing w:line="360" w:lineRule="auto"/>
      </w:pPr>
      <w:bookmarkStart w:id="5" w:name="_Toc235391149"/>
      <w:r w:rsidRPr="009176DA">
        <w:rPr>
          <w:rFonts w:ascii="Arial" w:hAnsi="Arial" w:cs="Arial"/>
        </w:rPr>
        <w:t>The evolution of the case law demonstrates a continuing judicial attempt to reconcile recognition of psychiatric injury as genuine harm with wider policy concerns regarding indeterminate liability and the appropriate limits of negligence.</w:t>
      </w:r>
      <w:r>
        <w:br/>
      </w:r>
    </w:p>
    <w:p w14:paraId="0ABB66B5" w14:textId="77697F8B" w:rsidR="009176DA" w:rsidRPr="009176DA" w:rsidRDefault="009176DA" w:rsidP="009176DA">
      <w:pPr>
        <w:pStyle w:val="Heading2"/>
        <w:spacing w:line="360" w:lineRule="auto"/>
        <w:rPr>
          <w:rFonts w:ascii="Arial" w:hAnsi="Arial" w:cs="Arial"/>
        </w:rPr>
      </w:pPr>
      <w:r w:rsidRPr="00A81DFF">
        <w:rPr>
          <w:rStyle w:val="Strong"/>
          <w:rFonts w:ascii="Arial" w:hAnsi="Arial" w:cs="Arial"/>
          <w:b w:val="0"/>
          <w:bCs w:val="0"/>
        </w:rPr>
        <w:t xml:space="preserve"> </w:t>
      </w:r>
      <w:r w:rsidR="00D0452D" w:rsidRPr="00A81DFF">
        <w:rPr>
          <w:rStyle w:val="Strong"/>
          <w:rFonts w:ascii="Arial" w:hAnsi="Arial" w:cs="Arial"/>
          <w:b w:val="0"/>
          <w:bCs w:val="0"/>
        </w:rPr>
        <w:t>1</w:t>
      </w:r>
      <w:r w:rsidR="00497FB2" w:rsidRPr="00A81DFF">
        <w:rPr>
          <w:rStyle w:val="Strong"/>
          <w:rFonts w:ascii="Arial" w:hAnsi="Arial" w:cs="Arial"/>
          <w:b w:val="0"/>
          <w:bCs w:val="0"/>
        </w:rPr>
        <w:t>.2 The Al</w:t>
      </w:r>
      <w:r w:rsidR="00DD61DF" w:rsidRPr="00A81DFF">
        <w:rPr>
          <w:rStyle w:val="Strong"/>
          <w:rFonts w:ascii="Arial" w:hAnsi="Arial" w:cs="Arial"/>
          <w:b w:val="0"/>
          <w:bCs w:val="0"/>
        </w:rPr>
        <w:t>c</w:t>
      </w:r>
      <w:r w:rsidR="00497FB2" w:rsidRPr="00A81DFF">
        <w:rPr>
          <w:rStyle w:val="Strong"/>
          <w:rFonts w:ascii="Arial" w:hAnsi="Arial" w:cs="Arial"/>
          <w:b w:val="0"/>
          <w:bCs w:val="0"/>
        </w:rPr>
        <w:t>ock Control Mechanisms</w:t>
      </w:r>
      <w:bookmarkEnd w:id="5"/>
    </w:p>
    <w:p w14:paraId="1E9BE76B" w14:textId="77777777" w:rsidR="007F7455" w:rsidRPr="007F7455" w:rsidRDefault="007F7455" w:rsidP="007F7455">
      <w:pPr>
        <w:pStyle w:val="NormalWeb"/>
        <w:spacing w:line="360" w:lineRule="auto"/>
        <w:rPr>
          <w:rFonts w:ascii="Arial" w:hAnsi="Arial" w:cs="Arial"/>
        </w:rPr>
      </w:pPr>
      <w:r w:rsidRPr="007F7455">
        <w:rPr>
          <w:rFonts w:ascii="Arial" w:hAnsi="Arial" w:cs="Arial"/>
        </w:rPr>
        <w:t xml:space="preserve">The modern framework for secondary victim recovery was established in </w:t>
      </w:r>
      <w:r w:rsidRPr="007F7455">
        <w:rPr>
          <w:rStyle w:val="Emphasis"/>
          <w:rFonts w:ascii="Arial" w:hAnsi="Arial" w:cs="Arial"/>
        </w:rPr>
        <w:t>Alcock v Chief Constable of South Yorkshire Police</w:t>
      </w:r>
      <w:r w:rsidRPr="007F7455">
        <w:rPr>
          <w:rFonts w:ascii="Arial" w:hAnsi="Arial" w:cs="Arial"/>
        </w:rPr>
        <w:t xml:space="preserve"> [1992], where the House of Lords </w:t>
      </w:r>
      <w:r w:rsidRPr="007F7455">
        <w:rPr>
          <w:rFonts w:ascii="Arial" w:hAnsi="Arial" w:cs="Arial"/>
        </w:rPr>
        <w:lastRenderedPageBreak/>
        <w:t>introduced a series of “control mechanisms” to limit liability. These mechanisms require claimants to demonstrate:</w:t>
      </w:r>
    </w:p>
    <w:p w14:paraId="5E09B8BB"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a close tie of love and affection with the primary victim;</w:t>
      </w:r>
    </w:p>
    <w:p w14:paraId="3600B500"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proximity to the event or its immediate aftermath;</w:t>
      </w:r>
    </w:p>
    <w:p w14:paraId="542C9D63"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direct perception of the event through their own unaided senses; and</w:t>
      </w:r>
    </w:p>
    <w:p w14:paraId="4E9EB761"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that the psychiatric injury was caused by a sudden, shocking event.</w:t>
      </w:r>
    </w:p>
    <w:p w14:paraId="4542B67F" w14:textId="1D6C6FDA" w:rsidR="00DD61DF" w:rsidRPr="007F7455" w:rsidRDefault="007F7455" w:rsidP="007F7455">
      <w:pPr>
        <w:pStyle w:val="NormalWeb"/>
        <w:spacing w:line="360" w:lineRule="auto"/>
      </w:pPr>
      <w:r w:rsidRPr="007F7455">
        <w:rPr>
          <w:rFonts w:ascii="Arial" w:hAnsi="Arial" w:cs="Arial"/>
        </w:rPr>
        <w:t>These mechanisms reflect judicial concern about the risk of indeterminate liability, but they have been criticised for creating arbitrary distinctions between claimants who may suffer similar psychiatric harm. As a result, the control mechanisms operate not only as evidential requirements, but as policy limits on the category of claimants who may recover.</w:t>
      </w:r>
    </w:p>
    <w:p w14:paraId="2833915C" w14:textId="361E1C30" w:rsidR="00497FB2" w:rsidRPr="00A81DFF" w:rsidRDefault="00D0452D" w:rsidP="00E4114E">
      <w:pPr>
        <w:pStyle w:val="Heading2"/>
        <w:spacing w:line="360" w:lineRule="auto"/>
        <w:rPr>
          <w:rStyle w:val="Strong"/>
          <w:rFonts w:ascii="Arial" w:hAnsi="Arial" w:cs="Arial"/>
          <w:b w:val="0"/>
          <w:bCs w:val="0"/>
        </w:rPr>
      </w:pPr>
      <w:bookmarkStart w:id="6" w:name="_Toc235391150"/>
      <w:r w:rsidRPr="00A81DFF">
        <w:rPr>
          <w:rStyle w:val="Strong"/>
          <w:rFonts w:ascii="Arial" w:hAnsi="Arial" w:cs="Arial"/>
          <w:b w:val="0"/>
          <w:bCs w:val="0"/>
        </w:rPr>
        <w:t>1</w:t>
      </w:r>
      <w:r w:rsidR="00497FB2" w:rsidRPr="00A81DFF">
        <w:rPr>
          <w:rStyle w:val="Strong"/>
          <w:rFonts w:ascii="Arial" w:hAnsi="Arial" w:cs="Arial"/>
          <w:b w:val="0"/>
          <w:bCs w:val="0"/>
        </w:rPr>
        <w:t>.3 Application in Clinical Negligence Contexts</w:t>
      </w:r>
      <w:bookmarkEnd w:id="6"/>
    </w:p>
    <w:p w14:paraId="0AD1A8E0" w14:textId="7F022913" w:rsidR="007F7455" w:rsidRPr="007F7455" w:rsidRDefault="007F7455" w:rsidP="007F7455">
      <w:pPr>
        <w:pStyle w:val="NormalWeb"/>
        <w:spacing w:line="360" w:lineRule="auto"/>
        <w:rPr>
          <w:rFonts w:ascii="Arial" w:hAnsi="Arial" w:cs="Arial"/>
        </w:rPr>
      </w:pPr>
      <w:r w:rsidRPr="007F7455">
        <w:rPr>
          <w:rFonts w:ascii="Arial" w:hAnsi="Arial" w:cs="Arial"/>
        </w:rPr>
        <w:t xml:space="preserve">The application of these principles in clinical negligence cases has proved particularly challenging. In </w:t>
      </w:r>
      <w:r w:rsidRPr="007F7455">
        <w:rPr>
          <w:rStyle w:val="Emphasis"/>
          <w:rFonts w:ascii="Arial" w:hAnsi="Arial" w:cs="Arial"/>
        </w:rPr>
        <w:t>North Glamorgan NHS Trust v Walters</w:t>
      </w:r>
      <w:r w:rsidRPr="007F7455">
        <w:rPr>
          <w:rFonts w:ascii="Arial" w:hAnsi="Arial" w:cs="Arial"/>
        </w:rPr>
        <w:t xml:space="preserve"> [2002]</w:t>
      </w:r>
      <w:r w:rsidR="00442FC1">
        <w:rPr>
          <w:rStyle w:val="FootnoteReference"/>
          <w:rFonts w:ascii="Arial" w:hAnsi="Arial" w:cs="Arial"/>
        </w:rPr>
        <w:footnoteReference w:id="5"/>
      </w:r>
      <w:r w:rsidRPr="007F7455">
        <w:rPr>
          <w:rFonts w:ascii="Arial" w:hAnsi="Arial" w:cs="Arial"/>
        </w:rPr>
        <w:t>, the Court of Appeal adopted a more flexible approach, treating a sequence of events over time as a single shocking event, thereby allowing recovery.</w:t>
      </w:r>
    </w:p>
    <w:p w14:paraId="28483F11" w14:textId="68EE1AD7" w:rsidR="007F7455" w:rsidRPr="007F7455" w:rsidRDefault="007F7455" w:rsidP="007F7455">
      <w:pPr>
        <w:pStyle w:val="NormalWeb"/>
        <w:spacing w:line="360" w:lineRule="auto"/>
        <w:rPr>
          <w:rFonts w:ascii="Arial" w:hAnsi="Arial" w:cs="Arial"/>
        </w:rPr>
      </w:pPr>
      <w:r w:rsidRPr="007F7455">
        <w:rPr>
          <w:rFonts w:ascii="Arial" w:hAnsi="Arial" w:cs="Arial"/>
        </w:rPr>
        <w:t xml:space="preserve">However, in </w:t>
      </w:r>
      <w:r w:rsidRPr="007F7455">
        <w:rPr>
          <w:rStyle w:val="Emphasis"/>
          <w:rFonts w:ascii="Arial" w:hAnsi="Arial" w:cs="Arial"/>
        </w:rPr>
        <w:t>Taylor v A Novo (UK) Ltd</w:t>
      </w:r>
      <w:r w:rsidRPr="007F7455">
        <w:rPr>
          <w:rFonts w:ascii="Arial" w:hAnsi="Arial" w:cs="Arial"/>
        </w:rPr>
        <w:t xml:space="preserve"> [2013]</w:t>
      </w:r>
      <w:r>
        <w:rPr>
          <w:rStyle w:val="FootnoteReference"/>
          <w:rFonts w:ascii="Arial" w:hAnsi="Arial" w:cs="Arial"/>
        </w:rPr>
        <w:footnoteReference w:id="6"/>
      </w:r>
      <w:r w:rsidRPr="007F7455">
        <w:rPr>
          <w:rFonts w:ascii="Arial" w:hAnsi="Arial" w:cs="Arial"/>
        </w:rPr>
        <w:t>, the Court of Appeal adopted a more restrictive interpretation, holding that the relevant event must be the accident itself rather than its subsequent consequences.</w:t>
      </w:r>
    </w:p>
    <w:p w14:paraId="76A830A9" w14:textId="77777777" w:rsidR="007F7455" w:rsidRPr="007F7455" w:rsidRDefault="007F7455" w:rsidP="007F7455">
      <w:pPr>
        <w:pStyle w:val="NormalWeb"/>
        <w:spacing w:line="360" w:lineRule="auto"/>
        <w:rPr>
          <w:rFonts w:ascii="Arial" w:hAnsi="Arial" w:cs="Arial"/>
        </w:rPr>
      </w:pPr>
      <w:r w:rsidRPr="007F7455">
        <w:rPr>
          <w:rFonts w:ascii="Arial" w:hAnsi="Arial" w:cs="Arial"/>
        </w:rPr>
        <w:t xml:space="preserve">These cases demonstrate the inconsistent and often restrictive application of the control mechanisms, creating uncertainty for both claimants and practitioners before the decision in </w:t>
      </w:r>
      <w:r w:rsidRPr="007F7455">
        <w:rPr>
          <w:rStyle w:val="Emphasis"/>
          <w:rFonts w:ascii="Arial" w:hAnsi="Arial" w:cs="Arial"/>
        </w:rPr>
        <w:t>Paul</w:t>
      </w:r>
      <w:r w:rsidRPr="007F7455">
        <w:rPr>
          <w:rFonts w:ascii="Arial" w:hAnsi="Arial" w:cs="Arial"/>
        </w:rPr>
        <w:t>. Practitioners faced difficulty when advising clients because similar factual scenarios could lead to different legal outcomes depending on how the “event” was characterised.</w:t>
      </w:r>
    </w:p>
    <w:p w14:paraId="2D5FBA28" w14:textId="5F1F8AAF" w:rsidR="007F7455" w:rsidRPr="00E2658E" w:rsidRDefault="00E2658E" w:rsidP="00E2658E">
      <w:pPr>
        <w:pStyle w:val="NormalWeb"/>
        <w:spacing w:line="360" w:lineRule="auto"/>
        <w:rPr>
          <w:rFonts w:ascii="Arial" w:hAnsi="Arial" w:cs="Arial"/>
        </w:rPr>
      </w:pPr>
      <w:r w:rsidRPr="00E2658E">
        <w:rPr>
          <w:rFonts w:ascii="Arial" w:hAnsi="Arial" w:cs="Arial"/>
        </w:rPr>
        <w:lastRenderedPageBreak/>
        <w:t xml:space="preserve">In clinical negligence, this uncertainty was particularly acute because negligent treatment often involves omissions or delayed diagnosis rather than a single visible accident. </w:t>
      </w:r>
      <w:r w:rsidR="007F7455" w:rsidRPr="00E2658E">
        <w:rPr>
          <w:rFonts w:ascii="Arial" w:hAnsi="Arial" w:cs="Arial"/>
        </w:rPr>
        <w:t xml:space="preserve">This uncertainty set the stage for the Supreme Court’s intervention in </w:t>
      </w:r>
      <w:r w:rsidR="007F7455" w:rsidRPr="00E2658E">
        <w:rPr>
          <w:rStyle w:val="Emphasis"/>
          <w:rFonts w:ascii="Arial" w:hAnsi="Arial" w:cs="Arial"/>
        </w:rPr>
        <w:t>Paul</w:t>
      </w:r>
      <w:r w:rsidR="007F7455" w:rsidRPr="00E2658E">
        <w:rPr>
          <w:rFonts w:ascii="Arial" w:hAnsi="Arial" w:cs="Arial"/>
        </w:rPr>
        <w:t>.</w:t>
      </w:r>
    </w:p>
    <w:p w14:paraId="48E745D5" w14:textId="62BBF0C9" w:rsidR="00F41603" w:rsidRPr="00A81DFF" w:rsidRDefault="00D0452D" w:rsidP="00E4114E">
      <w:pPr>
        <w:pStyle w:val="Heading1"/>
        <w:spacing w:line="360" w:lineRule="auto"/>
        <w:rPr>
          <w:rFonts w:ascii="Arial" w:hAnsi="Arial" w:cs="Arial"/>
        </w:rPr>
      </w:pPr>
      <w:bookmarkStart w:id="7" w:name="_Toc235391151"/>
      <w:r w:rsidRPr="00A81DFF">
        <w:rPr>
          <w:rStyle w:val="Strong"/>
          <w:rFonts w:ascii="Arial" w:hAnsi="Arial" w:cs="Arial"/>
          <w:b w:val="0"/>
          <w:bCs w:val="0"/>
        </w:rPr>
        <w:t>2</w:t>
      </w:r>
      <w:r w:rsidR="00824D18" w:rsidRPr="00A81DFF">
        <w:rPr>
          <w:rStyle w:val="Strong"/>
          <w:rFonts w:ascii="Arial" w:hAnsi="Arial" w:cs="Arial"/>
          <w:b w:val="0"/>
          <w:bCs w:val="0"/>
        </w:rPr>
        <w:t xml:space="preserve">. </w:t>
      </w:r>
      <w:r w:rsidR="00B93E73" w:rsidRPr="00A81DFF">
        <w:rPr>
          <w:rStyle w:val="Strong"/>
          <w:rFonts w:ascii="Arial" w:hAnsi="Arial" w:cs="Arial"/>
          <w:b w:val="0"/>
          <w:bCs w:val="0"/>
        </w:rPr>
        <w:t>Critical A</w:t>
      </w:r>
      <w:r w:rsidR="001D500D" w:rsidRPr="00A81DFF">
        <w:rPr>
          <w:rStyle w:val="Strong"/>
          <w:rFonts w:ascii="Arial" w:hAnsi="Arial" w:cs="Arial"/>
          <w:b w:val="0"/>
          <w:bCs w:val="0"/>
        </w:rPr>
        <w:t>nalysis of Paul v Wolverhampton</w:t>
      </w:r>
      <w:r w:rsidR="00B93E73" w:rsidRPr="00A81DFF">
        <w:rPr>
          <w:rStyle w:val="Strong"/>
          <w:rFonts w:ascii="Arial" w:hAnsi="Arial" w:cs="Arial"/>
          <w:b w:val="0"/>
          <w:bCs w:val="0"/>
        </w:rPr>
        <w:t xml:space="preserve"> NHS Trust [2024]</w:t>
      </w:r>
      <w:bookmarkEnd w:id="7"/>
    </w:p>
    <w:p w14:paraId="221F450F" w14:textId="206C08CD" w:rsidR="00F41603" w:rsidRPr="00A81DFF" w:rsidRDefault="00D0452D" w:rsidP="00E4114E">
      <w:pPr>
        <w:pStyle w:val="Heading2"/>
        <w:spacing w:line="360" w:lineRule="auto"/>
        <w:rPr>
          <w:rFonts w:ascii="Arial" w:hAnsi="Arial" w:cs="Arial"/>
        </w:rPr>
      </w:pPr>
      <w:bookmarkStart w:id="8" w:name="_Toc235391152"/>
      <w:r w:rsidRPr="00A81DFF">
        <w:rPr>
          <w:rFonts w:ascii="Arial" w:hAnsi="Arial" w:cs="Arial"/>
        </w:rPr>
        <w:t>2</w:t>
      </w:r>
      <w:r w:rsidR="00F41603" w:rsidRPr="00A81DFF">
        <w:rPr>
          <w:rFonts w:ascii="Arial" w:hAnsi="Arial" w:cs="Arial"/>
        </w:rPr>
        <w:t xml:space="preserve">.1 Facts and Procedural </w:t>
      </w:r>
      <w:r w:rsidR="001A6D03" w:rsidRPr="00A81DFF">
        <w:rPr>
          <w:rFonts w:ascii="Arial" w:hAnsi="Arial" w:cs="Arial"/>
        </w:rPr>
        <w:t>B</w:t>
      </w:r>
      <w:r w:rsidR="00F41603" w:rsidRPr="00A81DFF">
        <w:rPr>
          <w:rFonts w:ascii="Arial" w:hAnsi="Arial" w:cs="Arial"/>
        </w:rPr>
        <w:t>ackground</w:t>
      </w:r>
      <w:bookmarkEnd w:id="8"/>
    </w:p>
    <w:p w14:paraId="158B4934" w14:textId="77777777" w:rsidR="00E2658E" w:rsidRPr="00E2658E" w:rsidRDefault="00E2658E" w:rsidP="00E2658E">
      <w:pPr>
        <w:pStyle w:val="NormalWeb"/>
        <w:spacing w:line="360" w:lineRule="auto"/>
        <w:rPr>
          <w:rFonts w:ascii="Arial" w:hAnsi="Arial" w:cs="Arial"/>
        </w:rPr>
      </w:pPr>
      <w:r w:rsidRPr="00E2658E">
        <w:rPr>
          <w:rFonts w:ascii="Arial" w:hAnsi="Arial" w:cs="Arial"/>
        </w:rPr>
        <w:t>The case concerned whether relatives could recover damages for psychiatric injury after witnessing the death of a loved one caused by prior clinical negligence. The deceased had attended hospital with cardiac symptoms in 2012, but it was alleged that the defendant Trust failed to diagnose his coronary artery disease by failing to perform appropriate investigations.</w:t>
      </w:r>
    </w:p>
    <w:p w14:paraId="1B8410C8" w14:textId="77777777" w:rsidR="00E2658E" w:rsidRPr="00990856" w:rsidRDefault="00E2658E" w:rsidP="00990856">
      <w:pPr>
        <w:pStyle w:val="NormalWeb"/>
        <w:spacing w:line="360" w:lineRule="auto"/>
        <w:rPr>
          <w:rFonts w:ascii="Arial" w:hAnsi="Arial" w:cs="Arial"/>
        </w:rPr>
      </w:pPr>
      <w:r w:rsidRPr="00E2658E">
        <w:rPr>
          <w:rFonts w:ascii="Arial" w:hAnsi="Arial" w:cs="Arial"/>
        </w:rPr>
        <w:t xml:space="preserve">In 2014, he suffered a sudden cardiac arrest and collapsed while out shopping, in the presence of his daughters, who subsequently developed recognised psychiatric </w:t>
      </w:r>
      <w:r w:rsidRPr="00990856">
        <w:rPr>
          <w:rFonts w:ascii="Arial" w:hAnsi="Arial" w:cs="Arial"/>
        </w:rPr>
        <w:t>illnesses. The claimants brought proceedings as secondary victims.</w:t>
      </w:r>
    </w:p>
    <w:p w14:paraId="348487AC" w14:textId="07981C64" w:rsidR="00E2658E" w:rsidRPr="00990856" w:rsidRDefault="00E2658E" w:rsidP="00990856">
      <w:pPr>
        <w:pStyle w:val="NormalWeb"/>
        <w:spacing w:line="360" w:lineRule="auto"/>
        <w:rPr>
          <w:rFonts w:ascii="Arial" w:hAnsi="Arial" w:cs="Arial"/>
        </w:rPr>
      </w:pPr>
      <w:r w:rsidRPr="00990856">
        <w:rPr>
          <w:rFonts w:ascii="Arial" w:hAnsi="Arial" w:cs="Arial"/>
        </w:rPr>
        <w:t>The claims were struck out at first instance. The Court of Appeal allowed the appeal to proceed, holding that the relevant event could be the death itself. However, the Supreme Court ultimately dismissed the claims.</w:t>
      </w:r>
      <w:r w:rsidR="00C74922" w:rsidRPr="00990856">
        <w:rPr>
          <w:rFonts w:ascii="Arial" w:hAnsi="Arial" w:cs="Arial"/>
        </w:rPr>
        <w:t xml:space="preserve"> The central issue was therefore whether the later collapse and death could constitute the relevant event for secondary victim liability, despite the alleged negligence occurring earlier.</w:t>
      </w:r>
    </w:p>
    <w:p w14:paraId="022BD5EC" w14:textId="6EA3CC03" w:rsidR="00F41603" w:rsidRPr="00A81DFF" w:rsidRDefault="00D0452D" w:rsidP="00E4114E">
      <w:pPr>
        <w:pStyle w:val="Heading2"/>
        <w:spacing w:line="360" w:lineRule="auto"/>
        <w:rPr>
          <w:rFonts w:ascii="Arial" w:hAnsi="Arial" w:cs="Arial"/>
        </w:rPr>
      </w:pPr>
      <w:bookmarkStart w:id="9" w:name="_Toc235391153"/>
      <w:r w:rsidRPr="00A81DFF">
        <w:rPr>
          <w:rFonts w:ascii="Arial" w:hAnsi="Arial" w:cs="Arial"/>
        </w:rPr>
        <w:t>2</w:t>
      </w:r>
      <w:r w:rsidR="00F41603" w:rsidRPr="00A81DFF">
        <w:rPr>
          <w:rFonts w:ascii="Arial" w:hAnsi="Arial" w:cs="Arial"/>
        </w:rPr>
        <w:t>.2 Supreme Court Reasoning</w:t>
      </w:r>
      <w:bookmarkEnd w:id="9"/>
    </w:p>
    <w:p w14:paraId="05CFCA10" w14:textId="77777777" w:rsidR="00726B1D" w:rsidRPr="00726B1D" w:rsidRDefault="00726B1D" w:rsidP="00726B1D">
      <w:pPr>
        <w:pStyle w:val="NormalWeb"/>
        <w:spacing w:line="360" w:lineRule="auto"/>
        <w:rPr>
          <w:rFonts w:ascii="Arial" w:hAnsi="Arial" w:cs="Arial"/>
        </w:rPr>
      </w:pPr>
      <w:r w:rsidRPr="00726B1D">
        <w:rPr>
          <w:rFonts w:ascii="Arial" w:hAnsi="Arial" w:cs="Arial"/>
        </w:rPr>
        <w:t>The Supreme Court dismissed the claims, holding that the daughters failed to satisfy the requirements for secondary victim recovery. The Court emphasised that, in cases of clinical negligence, the relevant event must constitute a qualifying accident rather than the manifestation of an underlying medical condition.</w:t>
      </w:r>
    </w:p>
    <w:p w14:paraId="0F8788EE" w14:textId="4D44B283" w:rsidR="00726B1D" w:rsidRPr="00726B1D" w:rsidRDefault="00726B1D" w:rsidP="00726B1D">
      <w:pPr>
        <w:pStyle w:val="NormalWeb"/>
        <w:spacing w:line="360" w:lineRule="auto"/>
        <w:rPr>
          <w:rFonts w:ascii="Arial" w:hAnsi="Arial" w:cs="Arial"/>
        </w:rPr>
      </w:pPr>
      <w:r w:rsidRPr="00726B1D">
        <w:rPr>
          <w:rFonts w:ascii="Arial" w:hAnsi="Arial" w:cs="Arial"/>
        </w:rPr>
        <w:t xml:space="preserve">The majority distinguished accidents from medical crises, concluding that Mr Paul’s death, although sudden and traumatic, resulted from the progression of an illness </w:t>
      </w:r>
      <w:r w:rsidRPr="00726B1D">
        <w:rPr>
          <w:rFonts w:ascii="Arial" w:hAnsi="Arial" w:cs="Arial"/>
        </w:rPr>
        <w:lastRenderedPageBreak/>
        <w:t xml:space="preserve">rather than an external event. As such, it did not meet the requirement of a qualifying accident for secondary </w:t>
      </w:r>
      <w:r w:rsidRPr="00592EF2">
        <w:rPr>
          <w:rFonts w:ascii="Arial" w:hAnsi="Arial" w:cs="Arial"/>
        </w:rPr>
        <w:t>victim claims.</w:t>
      </w:r>
      <w:r w:rsidR="00592EF2" w:rsidRPr="00592EF2">
        <w:rPr>
          <w:rFonts w:ascii="Arial" w:hAnsi="Arial" w:cs="Arial"/>
        </w:rPr>
        <w:t xml:space="preserve"> The practical effect is that witnessing the later consequences of an earlier negligent omission will not normally be enough, even where the later event is sudden, shocking and directly perceived.</w:t>
      </w:r>
    </w:p>
    <w:p w14:paraId="5D9CC004" w14:textId="06184F7D" w:rsidR="00726B1D" w:rsidRPr="00726B1D" w:rsidRDefault="00726B1D" w:rsidP="00726B1D">
      <w:pPr>
        <w:pStyle w:val="NormalWeb"/>
        <w:spacing w:line="360" w:lineRule="auto"/>
        <w:rPr>
          <w:rFonts w:ascii="Arial" w:hAnsi="Arial" w:cs="Arial"/>
        </w:rPr>
      </w:pPr>
      <w:r w:rsidRPr="00726B1D">
        <w:rPr>
          <w:rFonts w:ascii="Arial" w:hAnsi="Arial" w:cs="Arial"/>
        </w:rPr>
        <w:t xml:space="preserve">The Court reaffirmed the restrictive nature of the control mechanisms established in </w:t>
      </w:r>
      <w:r w:rsidRPr="00726B1D">
        <w:rPr>
          <w:rStyle w:val="Emphasis"/>
          <w:rFonts w:ascii="Arial" w:hAnsi="Arial" w:cs="Arial"/>
        </w:rPr>
        <w:t xml:space="preserve">Alcock v Chief </w:t>
      </w:r>
      <w:r w:rsidRPr="00592EF2">
        <w:rPr>
          <w:rStyle w:val="Emphasis"/>
          <w:rFonts w:ascii="Arial" w:hAnsi="Arial" w:cs="Arial"/>
        </w:rPr>
        <w:t>Constable of South Yorkshire Police</w:t>
      </w:r>
      <w:r w:rsidRPr="00592EF2">
        <w:rPr>
          <w:rFonts w:ascii="Arial" w:hAnsi="Arial" w:cs="Arial"/>
        </w:rPr>
        <w:t xml:space="preserve"> and emphasised the need to limit liability to prevent indeterminate claims</w:t>
      </w:r>
      <w:r w:rsidRPr="00592EF2">
        <w:rPr>
          <w:rStyle w:val="FootnoteReference"/>
          <w:rFonts w:ascii="Arial" w:hAnsi="Arial" w:cs="Arial"/>
        </w:rPr>
        <w:footnoteReference w:id="7"/>
      </w:r>
      <w:r w:rsidRPr="00592EF2">
        <w:rPr>
          <w:rFonts w:ascii="Arial" w:hAnsi="Arial" w:cs="Arial"/>
        </w:rPr>
        <w:t>.</w:t>
      </w:r>
      <w:r w:rsidR="00592EF2" w:rsidRPr="00592EF2">
        <w:rPr>
          <w:rFonts w:ascii="Arial" w:hAnsi="Arial" w:cs="Arial"/>
        </w:rPr>
        <w:t xml:space="preserve"> Foreseeability of psychiatric injury, a close relationship and direct perception are therefore insufficient unless the claimant can also identify a legally qualifying event.</w:t>
      </w:r>
    </w:p>
    <w:p w14:paraId="617F4413" w14:textId="4B1D178B" w:rsidR="00726B1D" w:rsidRPr="00726B1D" w:rsidRDefault="00726B1D" w:rsidP="00CE53F7">
      <w:pPr>
        <w:pStyle w:val="NormalWeb"/>
        <w:spacing w:line="360" w:lineRule="auto"/>
        <w:rPr>
          <w:rFonts w:ascii="Arial" w:hAnsi="Arial" w:cs="Arial"/>
        </w:rPr>
      </w:pPr>
      <w:r w:rsidRPr="00726B1D">
        <w:rPr>
          <w:rFonts w:ascii="Arial" w:hAnsi="Arial" w:cs="Arial"/>
        </w:rPr>
        <w:t xml:space="preserve">This reasoning effectively excludes many clinical negligence secondary victim claims, </w:t>
      </w:r>
      <w:r w:rsidRPr="00CE53F7">
        <w:rPr>
          <w:rFonts w:ascii="Arial" w:hAnsi="Arial" w:cs="Arial"/>
        </w:rPr>
        <w:t xml:space="preserve">even when secondary victims experience psychiatric harm as sudden and traumatic. </w:t>
      </w:r>
      <w:r w:rsidR="00CE53F7" w:rsidRPr="00CE53F7">
        <w:rPr>
          <w:rFonts w:ascii="Arial" w:hAnsi="Arial" w:cs="Arial"/>
        </w:rPr>
        <w:t xml:space="preserve">Academic commentary illustrates the tension within the decision. While Cane argues that the distinction between accidents and medical crises lacks principled coherence, Green suggests that the greater concern is the continued exclusion of claimants who suffer genuine psychiatric injury despite satisfying ordinary negligence principles. Considered together, these criticisms indicate that </w:t>
      </w:r>
      <w:r w:rsidR="00CE53F7" w:rsidRPr="00CE53F7">
        <w:rPr>
          <w:rStyle w:val="Emphasis"/>
          <w:rFonts w:ascii="Arial" w:hAnsi="Arial" w:cs="Arial"/>
        </w:rPr>
        <w:t>Paul</w:t>
      </w:r>
      <w:r w:rsidR="00CE53F7" w:rsidRPr="00CE53F7">
        <w:rPr>
          <w:rFonts w:ascii="Arial" w:hAnsi="Arial" w:cs="Arial"/>
        </w:rPr>
        <w:t xml:space="preserve"> prioritises policy certainty over doctrinal consistency.</w:t>
      </w:r>
      <w:r w:rsidR="00CE53F7" w:rsidRPr="00CE53F7">
        <w:rPr>
          <w:rFonts w:ascii="Arial" w:hAnsi="Arial" w:cs="Arial"/>
        </w:rPr>
        <w:t xml:space="preserve"> </w:t>
      </w:r>
      <w:r w:rsidRPr="00CE53F7">
        <w:rPr>
          <w:rFonts w:ascii="Arial" w:hAnsi="Arial" w:cs="Arial"/>
        </w:rPr>
        <w:t xml:space="preserve">The </w:t>
      </w:r>
      <w:proofErr w:type="gramStart"/>
      <w:r w:rsidRPr="00CE53F7">
        <w:rPr>
          <w:rFonts w:ascii="Arial" w:hAnsi="Arial" w:cs="Arial"/>
        </w:rPr>
        <w:t>decision</w:t>
      </w:r>
      <w:proofErr w:type="gramEnd"/>
      <w:r w:rsidRPr="00CE53F7">
        <w:rPr>
          <w:rFonts w:ascii="Arial" w:hAnsi="Arial" w:cs="Arial"/>
        </w:rPr>
        <w:t xml:space="preserve"> therefore</w:t>
      </w:r>
      <w:r w:rsidR="00CE53F7">
        <w:rPr>
          <w:rFonts w:ascii="Arial" w:hAnsi="Arial" w:cs="Arial"/>
        </w:rPr>
        <w:t>,</w:t>
      </w:r>
      <w:r w:rsidRPr="00CE53F7">
        <w:rPr>
          <w:rFonts w:ascii="Arial" w:hAnsi="Arial" w:cs="Arial"/>
        </w:rPr>
        <w:t xml:space="preserve"> reflects a deliberate judicial preference for policy control over the principled expansion of liability</w:t>
      </w:r>
      <w:r w:rsidRPr="00726B1D">
        <w:rPr>
          <w:rFonts w:ascii="Arial" w:hAnsi="Arial" w:cs="Arial"/>
        </w:rPr>
        <w:t xml:space="preserve"> for psychiatric harm.</w:t>
      </w:r>
    </w:p>
    <w:p w14:paraId="33125B61" w14:textId="42BF4DD3" w:rsidR="00C069AF" w:rsidRPr="00A81DFF" w:rsidRDefault="00D0452D" w:rsidP="00E4114E">
      <w:pPr>
        <w:pStyle w:val="Heading2"/>
        <w:spacing w:line="360" w:lineRule="auto"/>
        <w:rPr>
          <w:rFonts w:ascii="Arial" w:hAnsi="Arial" w:cs="Arial"/>
        </w:rPr>
      </w:pPr>
      <w:bookmarkStart w:id="10" w:name="_Toc235391154"/>
      <w:r w:rsidRPr="00A81DFF">
        <w:rPr>
          <w:rFonts w:ascii="Arial" w:hAnsi="Arial" w:cs="Arial"/>
        </w:rPr>
        <w:t>2</w:t>
      </w:r>
      <w:r w:rsidR="00F41603" w:rsidRPr="00A81DFF">
        <w:rPr>
          <w:rFonts w:ascii="Arial" w:hAnsi="Arial" w:cs="Arial"/>
        </w:rPr>
        <w:t>.3 Critical Evaluation</w:t>
      </w:r>
      <w:bookmarkEnd w:id="10"/>
    </w:p>
    <w:p w14:paraId="3279BD9A" w14:textId="77777777" w:rsidR="00DD5C8A" w:rsidRPr="00E250BE" w:rsidRDefault="00DD5C8A" w:rsidP="00DD5C8A">
      <w:pPr>
        <w:pStyle w:val="NormalWeb"/>
        <w:spacing w:line="360" w:lineRule="auto"/>
        <w:rPr>
          <w:rFonts w:ascii="Arial" w:hAnsi="Arial" w:cs="Arial"/>
        </w:rPr>
      </w:pPr>
      <w:r w:rsidRPr="00E250BE">
        <w:rPr>
          <w:rFonts w:ascii="Arial" w:hAnsi="Arial" w:cs="Arial"/>
        </w:rPr>
        <w:t>The Supreme Court’s distinction between accidents and medical crises lacks principled coherence, as both may be experienced as sudden and traumatic by secondary victims</w:t>
      </w:r>
      <w:r w:rsidRPr="00E250BE">
        <w:rPr>
          <w:rStyle w:val="FootnoteReference"/>
          <w:rFonts w:ascii="Arial" w:hAnsi="Arial" w:cs="Arial"/>
        </w:rPr>
        <w:footnoteReference w:id="8"/>
      </w:r>
      <w:r w:rsidRPr="00E250BE">
        <w:rPr>
          <w:rFonts w:ascii="Arial" w:hAnsi="Arial" w:cs="Arial"/>
        </w:rPr>
        <w:t>. In privileging formal categorisation over the reality of psychiatric harm, the decision introduces a distinction which is difficult to justify on principled grounds.</w:t>
      </w:r>
    </w:p>
    <w:p w14:paraId="036B79DE" w14:textId="77777777" w:rsidR="00DD5C8A" w:rsidRPr="00E250BE" w:rsidRDefault="00DD5C8A" w:rsidP="00DD5C8A">
      <w:pPr>
        <w:pStyle w:val="NormalWeb"/>
        <w:spacing w:line="360" w:lineRule="auto"/>
        <w:rPr>
          <w:rFonts w:ascii="Arial" w:hAnsi="Arial" w:cs="Arial"/>
        </w:rPr>
      </w:pPr>
      <w:r w:rsidRPr="00E250BE">
        <w:rPr>
          <w:rFonts w:ascii="Arial" w:hAnsi="Arial" w:cs="Arial"/>
        </w:rPr>
        <w:t xml:space="preserve">This reflects the longstanding exceptionalism of psychiatric harm within negligence law, where courts have historically imposed additional control mechanisms not </w:t>
      </w:r>
      <w:r w:rsidRPr="00E250BE">
        <w:rPr>
          <w:rFonts w:ascii="Arial" w:hAnsi="Arial" w:cs="Arial"/>
        </w:rPr>
        <w:lastRenderedPageBreak/>
        <w:t>required for comparable forms of physical injury. The decision therefore reinforces the law’s restrictive trajectory and maintains a framework that may exclude claimants with genuine psychiatric injury</w:t>
      </w:r>
      <w:r w:rsidRPr="00E250BE">
        <w:rPr>
          <w:rStyle w:val="FootnoteReference"/>
          <w:rFonts w:ascii="Arial" w:hAnsi="Arial" w:cs="Arial"/>
        </w:rPr>
        <w:footnoteReference w:id="9"/>
      </w:r>
      <w:r w:rsidRPr="00E250BE">
        <w:rPr>
          <w:rFonts w:ascii="Arial" w:hAnsi="Arial" w:cs="Arial"/>
        </w:rPr>
        <w:t>.</w:t>
      </w:r>
    </w:p>
    <w:p w14:paraId="4D2EE09C" w14:textId="104B8C21" w:rsidR="00DD5C8A" w:rsidRPr="00E250BE" w:rsidRDefault="00DD5C8A" w:rsidP="00CE53F7">
      <w:pPr>
        <w:pStyle w:val="NormalWeb"/>
        <w:spacing w:line="360" w:lineRule="auto"/>
        <w:rPr>
          <w:rFonts w:ascii="Arial" w:hAnsi="Arial" w:cs="Arial"/>
        </w:rPr>
      </w:pPr>
      <w:r w:rsidRPr="00E250BE">
        <w:rPr>
          <w:rFonts w:ascii="Arial" w:hAnsi="Arial" w:cs="Arial"/>
        </w:rPr>
        <w:t xml:space="preserve">Lord Burrows, in his </w:t>
      </w:r>
      <w:r w:rsidRPr="00CE53F7">
        <w:rPr>
          <w:rFonts w:ascii="Arial" w:hAnsi="Arial" w:cs="Arial"/>
        </w:rPr>
        <w:t xml:space="preserve">dissenting judgment, argued that the relevant event should be the death itself rather than the earlier negligence, emphasising that foreseeability of psychiatric harm and proximity to the event were sufficient to justify recovery. </w:t>
      </w:r>
      <w:r w:rsidR="00CE53F7" w:rsidRPr="00CE53F7">
        <w:rPr>
          <w:rFonts w:ascii="Arial" w:hAnsi="Arial" w:cs="Arial"/>
        </w:rPr>
        <w:t xml:space="preserve">His reasoning arguably reflects orthodox negligence principles more closely than the majority approach by focusing on foreseeability and relational proximity rather than introducing an additional requirement which may bear little relationship to the psychiatric harm </w:t>
      </w:r>
      <w:r w:rsidR="00CE53F7" w:rsidRPr="00CE53F7">
        <w:rPr>
          <w:rFonts w:ascii="Arial" w:hAnsi="Arial" w:cs="Arial"/>
        </w:rPr>
        <w:t>suffered</w:t>
      </w:r>
      <w:r w:rsidR="00CE53F7" w:rsidRPr="00CE53F7">
        <w:rPr>
          <w:rFonts w:ascii="Arial" w:hAnsi="Arial" w:cs="Arial"/>
        </w:rPr>
        <w:t>. From this perspective, the dissent offers a more conceptually coherent framework for determining liability.</w:t>
      </w:r>
      <w:r w:rsidR="00CE53F7" w:rsidRPr="00CE53F7">
        <w:rPr>
          <w:rFonts w:ascii="Arial" w:hAnsi="Arial" w:cs="Arial"/>
        </w:rPr>
        <w:t xml:space="preserve"> </w:t>
      </w:r>
      <w:r w:rsidRPr="00CE53F7">
        <w:rPr>
          <w:rFonts w:ascii="Arial" w:hAnsi="Arial" w:cs="Arial"/>
        </w:rPr>
        <w:t>This approach reflects a more coherent and principled application of negligence law, aligning liability with the reality of the harm suffered.</w:t>
      </w:r>
    </w:p>
    <w:p w14:paraId="1A6BABE6" w14:textId="47E9E8D0" w:rsidR="00DD5C8A" w:rsidRPr="00B4352A" w:rsidRDefault="00DD5C8A" w:rsidP="00B4352A">
      <w:pPr>
        <w:pStyle w:val="FootnoteText"/>
        <w:spacing w:line="360" w:lineRule="auto"/>
        <w:rPr>
          <w:rFonts w:ascii="Arial" w:hAnsi="Arial" w:cs="Arial"/>
          <w:sz w:val="24"/>
          <w:szCs w:val="24"/>
        </w:rPr>
      </w:pPr>
      <w:r w:rsidRPr="00E250BE">
        <w:rPr>
          <w:rFonts w:ascii="Arial" w:hAnsi="Arial" w:cs="Arial"/>
          <w:sz w:val="24"/>
          <w:szCs w:val="24"/>
        </w:rPr>
        <w:t xml:space="preserve">By contrast, the majority approach prioritises policy limitation over corrective justice, despite the foreseeability of psychiatric injury and the proximity of the claimants to the traumatic event. The decision also casts doubt on earlier authority, such as Peter </w:t>
      </w:r>
      <w:r w:rsidRPr="00B4352A">
        <w:rPr>
          <w:rFonts w:ascii="Arial" w:hAnsi="Arial" w:cs="Arial"/>
          <w:sz w:val="24"/>
          <w:szCs w:val="24"/>
        </w:rPr>
        <w:t xml:space="preserve">Cane, ‘Psychiatric Injury After Paul’ (2024) </w:t>
      </w:r>
      <w:r w:rsidRPr="00B4352A">
        <w:rPr>
          <w:rStyle w:val="Emphasis"/>
          <w:rFonts w:ascii="Arial" w:hAnsi="Arial" w:cs="Arial"/>
          <w:sz w:val="24"/>
          <w:szCs w:val="24"/>
        </w:rPr>
        <w:t>Medical Law Review</w:t>
      </w:r>
      <w:r w:rsidRPr="00B4352A">
        <w:rPr>
          <w:rFonts w:ascii="Arial" w:hAnsi="Arial" w:cs="Arial"/>
          <w:sz w:val="24"/>
          <w:szCs w:val="24"/>
        </w:rPr>
        <w:t>.</w:t>
      </w:r>
      <w:r w:rsidR="00B4352A" w:rsidRPr="00B4352A">
        <w:rPr>
          <w:rFonts w:ascii="Arial" w:hAnsi="Arial" w:cs="Arial"/>
          <w:sz w:val="24"/>
          <w:szCs w:val="24"/>
        </w:rPr>
        <w:t xml:space="preserve"> </w:t>
      </w:r>
    </w:p>
    <w:p w14:paraId="41B5FADE" w14:textId="38DADBB7" w:rsidR="00B4352A" w:rsidRPr="00B23503" w:rsidRDefault="00B4352A" w:rsidP="00B4352A">
      <w:pPr>
        <w:pStyle w:val="FootnoteText"/>
        <w:spacing w:line="360" w:lineRule="auto"/>
        <w:rPr>
          <w:rFonts w:ascii="Arial" w:hAnsi="Arial" w:cs="Arial"/>
          <w:sz w:val="24"/>
          <w:szCs w:val="24"/>
        </w:rPr>
      </w:pPr>
      <w:r w:rsidRPr="00B4352A">
        <w:rPr>
          <w:rFonts w:ascii="Arial" w:hAnsi="Arial" w:cs="Arial"/>
          <w:sz w:val="24"/>
          <w:szCs w:val="24"/>
        </w:rPr>
        <w:t>However, the majority’s approach is not without justification. Clinical negligence often involves omissions, delayed diagnosis or failures to treat, where the alleged breach may occur months or years before the patient’s deterioration or death. If witnessing the later medical crisis were sufficient, liability could extend to a wider and less p</w:t>
      </w:r>
      <w:r w:rsidRPr="00B23503">
        <w:rPr>
          <w:rFonts w:ascii="Arial" w:hAnsi="Arial" w:cs="Arial"/>
          <w:sz w:val="24"/>
          <w:szCs w:val="24"/>
        </w:rPr>
        <w:t>redictable class of relatives. The accident requirement</w:t>
      </w:r>
      <w:r w:rsidR="0048422A">
        <w:rPr>
          <w:rFonts w:ascii="Arial" w:hAnsi="Arial" w:cs="Arial"/>
          <w:sz w:val="24"/>
          <w:szCs w:val="24"/>
        </w:rPr>
        <w:t>,</w:t>
      </w:r>
      <w:r w:rsidRPr="00B23503">
        <w:rPr>
          <w:rFonts w:ascii="Arial" w:hAnsi="Arial" w:cs="Arial"/>
          <w:sz w:val="24"/>
          <w:szCs w:val="24"/>
        </w:rPr>
        <w:t xml:space="preserve"> therefore</w:t>
      </w:r>
      <w:r w:rsidR="0048422A">
        <w:rPr>
          <w:rFonts w:ascii="Arial" w:hAnsi="Arial" w:cs="Arial"/>
          <w:sz w:val="24"/>
          <w:szCs w:val="24"/>
        </w:rPr>
        <w:t>,</w:t>
      </w:r>
      <w:r w:rsidRPr="00B23503">
        <w:rPr>
          <w:rFonts w:ascii="Arial" w:hAnsi="Arial" w:cs="Arial"/>
          <w:sz w:val="24"/>
          <w:szCs w:val="24"/>
        </w:rPr>
        <w:t xml:space="preserve"> provides a clearer boundary for practitioners and defendants.</w:t>
      </w:r>
    </w:p>
    <w:p w14:paraId="43F41896" w14:textId="77777777" w:rsidR="00B23503" w:rsidRPr="00B23503" w:rsidRDefault="00B23503" w:rsidP="0048422A">
      <w:pPr>
        <w:spacing w:before="100" w:beforeAutospacing="1" w:after="100" w:afterAutospacing="1" w:line="360" w:lineRule="auto"/>
        <w:rPr>
          <w:rFonts w:ascii="Arial" w:eastAsia="Times New Roman" w:hAnsi="Arial" w:cs="Arial"/>
          <w:kern w:val="0"/>
          <w:lang w:eastAsia="en-GB"/>
          <w14:ligatures w14:val="none"/>
        </w:rPr>
      </w:pPr>
      <w:r w:rsidRPr="00B23503">
        <w:rPr>
          <w:rFonts w:ascii="Arial" w:eastAsia="Times New Roman" w:hAnsi="Arial" w:cs="Arial"/>
          <w:kern w:val="0"/>
          <w:lang w:eastAsia="en-GB"/>
          <w14:ligatures w14:val="none"/>
        </w:rPr>
        <w:t xml:space="preserve">The decision also casts doubt on earlier authority, particularly </w:t>
      </w:r>
      <w:r w:rsidRPr="0048422A">
        <w:rPr>
          <w:rFonts w:ascii="Arial" w:eastAsia="Times New Roman" w:hAnsi="Arial" w:cs="Arial"/>
          <w:i/>
          <w:iCs/>
          <w:kern w:val="0"/>
          <w:lang w:eastAsia="en-GB"/>
          <w14:ligatures w14:val="none"/>
        </w:rPr>
        <w:t>North Glamorgan NHS Trust v Walters [2002],</w:t>
      </w:r>
      <w:r w:rsidRPr="00B23503">
        <w:rPr>
          <w:rFonts w:ascii="Arial" w:eastAsia="Times New Roman" w:hAnsi="Arial" w:cs="Arial"/>
          <w:kern w:val="0"/>
          <w:lang w:eastAsia="en-GB"/>
          <w14:ligatures w14:val="none"/>
        </w:rPr>
        <w:t xml:space="preserve"> where the Court of Appeal treated a sequence of events over a prolonged period as constituting a single shocking event. The restrictive approach adopted in </w:t>
      </w:r>
      <w:r w:rsidRPr="00B23503">
        <w:rPr>
          <w:rFonts w:ascii="Arial" w:eastAsia="Times New Roman" w:hAnsi="Arial" w:cs="Arial"/>
          <w:i/>
          <w:iCs/>
          <w:kern w:val="0"/>
          <w:lang w:eastAsia="en-GB"/>
          <w14:ligatures w14:val="none"/>
        </w:rPr>
        <w:t>Paul</w:t>
      </w:r>
      <w:r w:rsidRPr="00B23503">
        <w:rPr>
          <w:rFonts w:ascii="Arial" w:eastAsia="Times New Roman" w:hAnsi="Arial" w:cs="Arial"/>
          <w:kern w:val="0"/>
          <w:lang w:eastAsia="en-GB"/>
          <w14:ligatures w14:val="none"/>
        </w:rPr>
        <w:t xml:space="preserve"> indicates a departure from this more flexible understanding of psychiatric injury in clinical negligence.</w:t>
      </w:r>
    </w:p>
    <w:p w14:paraId="4BF08B5D" w14:textId="25034A0B" w:rsidR="00DD5C8A" w:rsidRPr="00B23503" w:rsidRDefault="00B23503" w:rsidP="0048422A">
      <w:pPr>
        <w:spacing w:before="100" w:beforeAutospacing="1" w:after="100" w:afterAutospacing="1" w:line="360" w:lineRule="auto"/>
        <w:rPr>
          <w:rFonts w:ascii="Arial" w:eastAsia="Times New Roman" w:hAnsi="Arial" w:cs="Arial"/>
          <w:kern w:val="0"/>
          <w:lang w:eastAsia="en-GB"/>
          <w14:ligatures w14:val="none"/>
        </w:rPr>
      </w:pPr>
      <w:r w:rsidRPr="00B23503">
        <w:rPr>
          <w:rFonts w:ascii="Arial" w:eastAsia="Times New Roman" w:hAnsi="Arial" w:cs="Arial"/>
          <w:kern w:val="0"/>
          <w:lang w:eastAsia="en-GB"/>
          <w14:ligatures w14:val="none"/>
        </w:rPr>
        <w:lastRenderedPageBreak/>
        <w:t>However, the majority's approach is not without justification. Clinical negligence frequently involves omissions, delayed diagnoses</w:t>
      </w:r>
      <w:r w:rsidR="0048422A">
        <w:rPr>
          <w:rFonts w:ascii="Arial" w:eastAsia="Times New Roman" w:hAnsi="Arial" w:cs="Arial"/>
          <w:kern w:val="0"/>
          <w:lang w:eastAsia="en-GB"/>
          <w14:ligatures w14:val="none"/>
        </w:rPr>
        <w:t>,</w:t>
      </w:r>
      <w:r w:rsidRPr="00B23503">
        <w:rPr>
          <w:rFonts w:ascii="Arial" w:eastAsia="Times New Roman" w:hAnsi="Arial" w:cs="Arial"/>
          <w:kern w:val="0"/>
          <w:lang w:eastAsia="en-GB"/>
          <w14:ligatures w14:val="none"/>
        </w:rPr>
        <w:t xml:space="preserve"> and failures to treat, w</w:t>
      </w:r>
      <w:r w:rsidR="0048422A">
        <w:rPr>
          <w:rFonts w:ascii="Arial" w:eastAsia="Times New Roman" w:hAnsi="Arial" w:cs="Arial"/>
          <w:kern w:val="0"/>
          <w:lang w:eastAsia="en-GB"/>
          <w14:ligatures w14:val="none"/>
        </w:rPr>
        <w:t>ith</w:t>
      </w:r>
      <w:r w:rsidRPr="00B23503">
        <w:rPr>
          <w:rFonts w:ascii="Arial" w:eastAsia="Times New Roman" w:hAnsi="Arial" w:cs="Arial"/>
          <w:kern w:val="0"/>
          <w:lang w:eastAsia="en-GB"/>
          <w14:ligatures w14:val="none"/>
        </w:rPr>
        <w:t xml:space="preserve"> the alleged breach </w:t>
      </w:r>
      <w:r w:rsidR="0048422A">
        <w:rPr>
          <w:rFonts w:ascii="Arial" w:eastAsia="Times New Roman" w:hAnsi="Arial" w:cs="Arial"/>
          <w:kern w:val="0"/>
          <w:lang w:eastAsia="en-GB"/>
          <w14:ligatures w14:val="none"/>
        </w:rPr>
        <w:t>occurring</w:t>
      </w:r>
      <w:r w:rsidRPr="00B23503">
        <w:rPr>
          <w:rFonts w:ascii="Arial" w:eastAsia="Times New Roman" w:hAnsi="Arial" w:cs="Arial"/>
          <w:kern w:val="0"/>
          <w:lang w:eastAsia="en-GB"/>
          <w14:ligatures w14:val="none"/>
        </w:rPr>
        <w:t xml:space="preserve"> months or years before the patient deteriorates. If witnessing the lat</w:t>
      </w:r>
      <w:r w:rsidR="0048422A">
        <w:rPr>
          <w:rFonts w:ascii="Arial" w:eastAsia="Times New Roman" w:hAnsi="Arial" w:cs="Arial"/>
          <w:kern w:val="0"/>
          <w:lang w:eastAsia="en-GB"/>
          <w14:ligatures w14:val="none"/>
        </w:rPr>
        <w:t>t</w:t>
      </w:r>
      <w:r w:rsidRPr="00B23503">
        <w:rPr>
          <w:rFonts w:ascii="Arial" w:eastAsia="Times New Roman" w:hAnsi="Arial" w:cs="Arial"/>
          <w:kern w:val="0"/>
          <w:lang w:eastAsia="en-GB"/>
          <w14:ligatures w14:val="none"/>
        </w:rPr>
        <w:t>er medical crisis were sufficient to establish liability, defendants could face claims from a substantially wider and less predictable class of relatives. The accident requirement</w:t>
      </w:r>
      <w:r w:rsidR="0048422A">
        <w:rPr>
          <w:rFonts w:ascii="Arial" w:eastAsia="Times New Roman" w:hAnsi="Arial" w:cs="Arial"/>
          <w:kern w:val="0"/>
          <w:lang w:eastAsia="en-GB"/>
          <w14:ligatures w14:val="none"/>
        </w:rPr>
        <w:t>,</w:t>
      </w:r>
      <w:r w:rsidRPr="00B23503">
        <w:rPr>
          <w:rFonts w:ascii="Arial" w:eastAsia="Times New Roman" w:hAnsi="Arial" w:cs="Arial"/>
          <w:kern w:val="0"/>
          <w:lang w:eastAsia="en-GB"/>
          <w14:ligatures w14:val="none"/>
        </w:rPr>
        <w:t xml:space="preserve"> therefore</w:t>
      </w:r>
      <w:r w:rsidR="0048422A">
        <w:rPr>
          <w:rFonts w:ascii="Arial" w:eastAsia="Times New Roman" w:hAnsi="Arial" w:cs="Arial"/>
          <w:kern w:val="0"/>
          <w:lang w:eastAsia="en-GB"/>
          <w14:ligatures w14:val="none"/>
        </w:rPr>
        <w:t>,</w:t>
      </w:r>
      <w:r w:rsidRPr="00B23503">
        <w:rPr>
          <w:rFonts w:ascii="Arial" w:eastAsia="Times New Roman" w:hAnsi="Arial" w:cs="Arial"/>
          <w:kern w:val="0"/>
          <w:lang w:eastAsia="en-GB"/>
          <w14:ligatures w14:val="none"/>
        </w:rPr>
        <w:t xml:space="preserve"> provides a clearer and more administratively workable boundary for practitioners and defendants alike. The real question is not whether limits should exist, but whether the accident requirement is the most principled mechanism through which those limits should be imposed</w:t>
      </w:r>
      <w:r w:rsidR="00DD5C8A" w:rsidRPr="00B23503">
        <w:rPr>
          <w:rStyle w:val="FootnoteReference"/>
          <w:rFonts w:ascii="Arial" w:hAnsi="Arial" w:cs="Arial"/>
        </w:rPr>
        <w:footnoteReference w:id="10"/>
      </w:r>
      <w:r w:rsidR="00DD5C8A" w:rsidRPr="00B23503">
        <w:rPr>
          <w:rFonts w:ascii="Arial" w:hAnsi="Arial" w:cs="Arial"/>
        </w:rPr>
        <w:t>.</w:t>
      </w:r>
    </w:p>
    <w:p w14:paraId="61748D68" w14:textId="620533EF" w:rsidR="001D500D" w:rsidRPr="00A81DFF" w:rsidRDefault="002B6880" w:rsidP="004B3AC6">
      <w:pPr>
        <w:pStyle w:val="Heading1"/>
        <w:rPr>
          <w:rStyle w:val="Strong"/>
          <w:rFonts w:ascii="Arial" w:hAnsi="Arial" w:cs="Arial"/>
          <w:b w:val="0"/>
          <w:bCs w:val="0"/>
          <w:sz w:val="24"/>
          <w:szCs w:val="24"/>
        </w:rPr>
      </w:pPr>
      <w:r w:rsidRPr="00A81DFF">
        <w:rPr>
          <w:rFonts w:ascii="Arial" w:hAnsi="Arial" w:cs="Arial"/>
          <w:sz w:val="24"/>
          <w:szCs w:val="24"/>
        </w:rPr>
        <w:br/>
      </w:r>
      <w:bookmarkStart w:id="11" w:name="_Toc235391155"/>
      <w:r w:rsidR="00D0452D" w:rsidRPr="00A81DFF">
        <w:rPr>
          <w:rFonts w:ascii="Arial" w:hAnsi="Arial" w:cs="Arial"/>
        </w:rPr>
        <w:t>3</w:t>
      </w:r>
      <w:r w:rsidR="00824D18" w:rsidRPr="00A81DFF">
        <w:rPr>
          <w:rFonts w:ascii="Arial" w:hAnsi="Arial" w:cs="Arial"/>
        </w:rPr>
        <w:t xml:space="preserve">. </w:t>
      </w:r>
      <w:r w:rsidR="00B93E73" w:rsidRPr="00A81DFF">
        <w:rPr>
          <w:rFonts w:ascii="Arial" w:hAnsi="Arial" w:cs="Arial"/>
        </w:rPr>
        <w:t>Practical Impact on Claimant and Defendant Practitioners</w:t>
      </w:r>
      <w:bookmarkEnd w:id="11"/>
    </w:p>
    <w:p w14:paraId="0B6B0B29" w14:textId="57EAB7C7" w:rsidR="009A2AD0" w:rsidRPr="00A81DFF" w:rsidRDefault="00D0452D" w:rsidP="00E4114E">
      <w:pPr>
        <w:pStyle w:val="Heading2"/>
        <w:spacing w:line="360" w:lineRule="auto"/>
        <w:rPr>
          <w:rFonts w:ascii="Arial" w:hAnsi="Arial" w:cs="Arial"/>
        </w:rPr>
      </w:pPr>
      <w:bookmarkStart w:id="12" w:name="_Toc235391156"/>
      <w:r w:rsidRPr="00A81DFF">
        <w:rPr>
          <w:rFonts w:ascii="Arial" w:hAnsi="Arial" w:cs="Arial"/>
        </w:rPr>
        <w:t>3</w:t>
      </w:r>
      <w:r w:rsidR="009A2AD0" w:rsidRPr="00A81DFF">
        <w:rPr>
          <w:rFonts w:ascii="Arial" w:hAnsi="Arial" w:cs="Arial"/>
        </w:rPr>
        <w:t>.1 Impact on Claimant Practitioners</w:t>
      </w:r>
      <w:bookmarkEnd w:id="12"/>
    </w:p>
    <w:p w14:paraId="3FA5FD2D" w14:textId="77777777" w:rsidR="00833B95" w:rsidRPr="00833B95" w:rsidRDefault="00833B95" w:rsidP="00833B95">
      <w:pPr>
        <w:pStyle w:val="NormalWeb"/>
        <w:spacing w:line="360" w:lineRule="auto"/>
        <w:rPr>
          <w:rFonts w:ascii="Arial" w:hAnsi="Arial" w:cs="Arial"/>
        </w:rPr>
      </w:pPr>
      <w:r w:rsidRPr="00833B95">
        <w:rPr>
          <w:rFonts w:ascii="Arial" w:hAnsi="Arial" w:cs="Arial"/>
        </w:rPr>
        <w:t xml:space="preserve">The decision in </w:t>
      </w:r>
      <w:r w:rsidRPr="00833B95">
        <w:rPr>
          <w:rStyle w:val="Emphasis"/>
          <w:rFonts w:ascii="Arial" w:hAnsi="Arial" w:cs="Arial"/>
        </w:rPr>
        <w:t>Paul v Royal Wolverhampton NHS Trust</w:t>
      </w:r>
      <w:r w:rsidRPr="00833B95">
        <w:rPr>
          <w:rFonts w:ascii="Arial" w:hAnsi="Arial" w:cs="Arial"/>
        </w:rPr>
        <w:t xml:space="preserve"> [2024] has had a significant impact on claimant practitioners, particularly in personal injury and clinical negligence departments. The narrowing of secondary victim claims means that claimant solicitors must now adopt a far more cautious approach when assessing the viability of potential claims.</w:t>
      </w:r>
    </w:p>
    <w:p w14:paraId="5DEE7ECA" w14:textId="5AACBA78" w:rsidR="00833B95" w:rsidRPr="00833B95" w:rsidRDefault="00833B95" w:rsidP="00A3184C">
      <w:pPr>
        <w:pStyle w:val="NormalWeb"/>
        <w:spacing w:line="360" w:lineRule="auto"/>
        <w:rPr>
          <w:rFonts w:ascii="Arial" w:hAnsi="Arial" w:cs="Arial"/>
        </w:rPr>
      </w:pPr>
      <w:r w:rsidRPr="00833B95">
        <w:rPr>
          <w:rFonts w:ascii="Arial" w:hAnsi="Arial" w:cs="Arial"/>
        </w:rPr>
        <w:t xml:space="preserve">In practice, claimant solicitors must adopt a structured approach at the initial case assessment stage. Fee earners should </w:t>
      </w:r>
      <w:r w:rsidRPr="00A3184C">
        <w:rPr>
          <w:rFonts w:ascii="Arial" w:hAnsi="Arial" w:cs="Arial"/>
        </w:rPr>
        <w:t xml:space="preserve">identify at the outset whether a qualifying “accident” can be established and, where absent, should be prepared to decline claims at an early </w:t>
      </w:r>
      <w:r w:rsidRPr="00CE53F7">
        <w:rPr>
          <w:rFonts w:ascii="Arial" w:hAnsi="Arial" w:cs="Arial"/>
        </w:rPr>
        <w:t>stage, particularly in cases funded by conditional fee agreements where prospects of success are unlikely to meet the required threshold.</w:t>
      </w:r>
      <w:r w:rsidR="00A3184C" w:rsidRPr="00CE53F7">
        <w:rPr>
          <w:rFonts w:ascii="Arial" w:hAnsi="Arial" w:cs="Arial"/>
        </w:rPr>
        <w:t xml:space="preserve"> </w:t>
      </w:r>
      <w:r w:rsidR="00CE53F7" w:rsidRPr="00CE53F7">
        <w:rPr>
          <w:rFonts w:ascii="Arial" w:hAnsi="Arial" w:cs="Arial"/>
        </w:rPr>
        <w:t>This is likely to influence firms' wider commercial decision-making. Increased rejection of borderline claims may reduce unrecoverable costs and improve case profitability, but it also narrows access to justice for families whose psychiatric injuries would previously have warranted further investigation.</w:t>
      </w:r>
      <w:r w:rsidR="00CE53F7" w:rsidRPr="00CE53F7">
        <w:rPr>
          <w:rFonts w:ascii="Arial" w:hAnsi="Arial" w:cs="Arial"/>
        </w:rPr>
        <w:t xml:space="preserve"> </w:t>
      </w:r>
      <w:r w:rsidR="00A3184C" w:rsidRPr="00CE53F7">
        <w:rPr>
          <w:rFonts w:ascii="Arial" w:hAnsi="Arial" w:cs="Arial"/>
        </w:rPr>
        <w:t xml:space="preserve">This advice should distinguish </w:t>
      </w:r>
      <w:r w:rsidR="00A3184C" w:rsidRPr="00CE53F7">
        <w:rPr>
          <w:rFonts w:ascii="Arial" w:hAnsi="Arial" w:cs="Arial"/>
        </w:rPr>
        <w:lastRenderedPageBreak/>
        <w:t>clearly between genuine psychiatric harm and legal recoverability, as the former will no longer be sufficient without a qualifying accident.</w:t>
      </w:r>
    </w:p>
    <w:p w14:paraId="2182E440" w14:textId="77777777" w:rsidR="00833B95" w:rsidRPr="00833B95" w:rsidRDefault="00833B95" w:rsidP="00833B95">
      <w:pPr>
        <w:pStyle w:val="NormalWeb"/>
        <w:spacing w:line="360" w:lineRule="auto"/>
        <w:rPr>
          <w:rFonts w:ascii="Arial" w:hAnsi="Arial" w:cs="Arial"/>
        </w:rPr>
      </w:pPr>
      <w:r w:rsidRPr="00833B95">
        <w:rPr>
          <w:rFonts w:ascii="Arial" w:hAnsi="Arial" w:cs="Arial"/>
        </w:rPr>
        <w:t xml:space="preserve">This shift is likely to lead to more rigorous triage processes, including the use of structured screening questions based on the </w:t>
      </w:r>
      <w:r w:rsidRPr="00833B95">
        <w:rPr>
          <w:rStyle w:val="Emphasis"/>
          <w:rFonts w:ascii="Arial" w:hAnsi="Arial" w:cs="Arial"/>
        </w:rPr>
        <w:t>Alcock</w:t>
      </w:r>
      <w:r w:rsidRPr="00833B95">
        <w:rPr>
          <w:rFonts w:ascii="Arial" w:hAnsi="Arial" w:cs="Arial"/>
        </w:rPr>
        <w:t xml:space="preserve"> control mechanisms. As a result, many cases that may previously have been arguable will now be filtered out before litigation is commenced.</w:t>
      </w:r>
    </w:p>
    <w:p w14:paraId="357B2F10" w14:textId="77777777" w:rsidR="00833B95" w:rsidRPr="00833B95" w:rsidRDefault="00833B95" w:rsidP="00833B95">
      <w:pPr>
        <w:pStyle w:val="NormalWeb"/>
        <w:spacing w:line="360" w:lineRule="auto"/>
        <w:rPr>
          <w:rFonts w:ascii="Arial" w:hAnsi="Arial" w:cs="Arial"/>
        </w:rPr>
      </w:pPr>
      <w:r w:rsidRPr="00833B95">
        <w:rPr>
          <w:rFonts w:ascii="Arial" w:hAnsi="Arial" w:cs="Arial"/>
        </w:rPr>
        <w:t>This is likely to have wider commercial implications for claimant firms, particularly those operating on conditional fee arrangements, as reduced claim viability may lead to lower case intake, increased financial risk, and a more selective approach to litigation.</w:t>
      </w:r>
    </w:p>
    <w:p w14:paraId="2AA8B61A" w14:textId="78BB8962" w:rsidR="009A2AD0" w:rsidRPr="00A81DFF" w:rsidRDefault="00D0452D" w:rsidP="00E4114E">
      <w:pPr>
        <w:pStyle w:val="Heading2"/>
        <w:spacing w:line="360" w:lineRule="auto"/>
        <w:rPr>
          <w:rFonts w:ascii="Arial" w:hAnsi="Arial" w:cs="Arial"/>
        </w:rPr>
      </w:pPr>
      <w:bookmarkStart w:id="13" w:name="_Toc235391157"/>
      <w:r w:rsidRPr="00A81DFF">
        <w:rPr>
          <w:rFonts w:ascii="Arial" w:hAnsi="Arial" w:cs="Arial"/>
        </w:rPr>
        <w:t>3</w:t>
      </w:r>
      <w:r w:rsidR="009A2AD0" w:rsidRPr="00A81DFF">
        <w:rPr>
          <w:rFonts w:ascii="Arial" w:hAnsi="Arial" w:cs="Arial"/>
        </w:rPr>
        <w:t>.2 Impact on Defendant Practitioners</w:t>
      </w:r>
      <w:bookmarkEnd w:id="13"/>
    </w:p>
    <w:p w14:paraId="724CCB0B" w14:textId="35982702" w:rsidR="008A2CFD" w:rsidRPr="008A2CFD" w:rsidRDefault="008A2CFD" w:rsidP="008A2CFD">
      <w:pPr>
        <w:pStyle w:val="NormalWeb"/>
        <w:spacing w:line="360" w:lineRule="auto"/>
        <w:rPr>
          <w:rFonts w:ascii="Arial" w:hAnsi="Arial" w:cs="Arial"/>
        </w:rPr>
      </w:pPr>
      <w:r w:rsidRPr="008A2CFD">
        <w:rPr>
          <w:rFonts w:ascii="Arial" w:hAnsi="Arial" w:cs="Arial"/>
        </w:rPr>
        <w:t>From a defendant’s perspective, the decision significantly strengthens the position when resisting secondary victim claims. NHS Trusts and their legal representatives can now challenge such claims at an early stage with greater confidence, particularly where the alleged psychiatric injury arises from a medical crisis rather than a qualifying accident.</w:t>
      </w:r>
      <w:r w:rsidR="003C3A57">
        <w:rPr>
          <w:rFonts w:ascii="Arial" w:hAnsi="Arial" w:cs="Arial"/>
        </w:rPr>
        <w:t xml:space="preserve"> </w:t>
      </w:r>
      <w:r w:rsidR="003C3A57">
        <w:t>Defendant practitioners should therefore scrutinise pleadings carefully to identify whether the claimant has pleaded an accident, or merely the later consequences of earlier clinical negligence.</w:t>
      </w:r>
    </w:p>
    <w:p w14:paraId="071649A1" w14:textId="77777777" w:rsidR="008A2CFD" w:rsidRPr="008A2CFD" w:rsidRDefault="008A2CFD" w:rsidP="008A2CFD">
      <w:pPr>
        <w:pStyle w:val="NormalWeb"/>
        <w:spacing w:line="360" w:lineRule="auto"/>
        <w:rPr>
          <w:rFonts w:ascii="Arial" w:hAnsi="Arial" w:cs="Arial"/>
        </w:rPr>
      </w:pPr>
      <w:r w:rsidRPr="008A2CFD">
        <w:rPr>
          <w:rFonts w:ascii="Arial" w:hAnsi="Arial" w:cs="Arial"/>
        </w:rPr>
        <w:t>This is likely to result in more strike-out applications and summary judgment arguments, thereby reducing the need for lengthy and costly litigation. The decision therefore offers a degree of protection against indeterminate liability and aligns with broader policy concerns about the expansion of psychiatric injury claims.</w:t>
      </w:r>
    </w:p>
    <w:p w14:paraId="7D1356DD" w14:textId="36B5C059" w:rsidR="008A2CFD" w:rsidRPr="008A2CFD" w:rsidRDefault="008A2CFD" w:rsidP="008A2CFD">
      <w:pPr>
        <w:pStyle w:val="NormalWeb"/>
        <w:spacing w:line="360" w:lineRule="auto"/>
        <w:rPr>
          <w:rFonts w:ascii="Arial" w:hAnsi="Arial" w:cs="Arial"/>
        </w:rPr>
      </w:pPr>
      <w:r w:rsidRPr="008A2CFD">
        <w:rPr>
          <w:rFonts w:ascii="Arial" w:hAnsi="Arial" w:cs="Arial"/>
        </w:rPr>
        <w:t xml:space="preserve">However, while the decision benefits defendants by limiting </w:t>
      </w:r>
      <w:r w:rsidR="003C3A57">
        <w:rPr>
          <w:rFonts w:ascii="Arial" w:hAnsi="Arial" w:cs="Arial"/>
        </w:rPr>
        <w:t>liability</w:t>
      </w:r>
      <w:r w:rsidRPr="008A2CFD">
        <w:rPr>
          <w:rFonts w:ascii="Arial" w:hAnsi="Arial" w:cs="Arial"/>
        </w:rPr>
        <w:t xml:space="preserve"> </w:t>
      </w:r>
      <w:r w:rsidR="003C3A57">
        <w:rPr>
          <w:rFonts w:ascii="Arial" w:hAnsi="Arial" w:cs="Arial"/>
        </w:rPr>
        <w:t>exposure</w:t>
      </w:r>
      <w:r w:rsidRPr="008A2CFD">
        <w:rPr>
          <w:rFonts w:ascii="Arial" w:hAnsi="Arial" w:cs="Arial"/>
        </w:rPr>
        <w:t>, it may also raise concerns about fairness where the harm is genuine and foreseeable.</w:t>
      </w:r>
    </w:p>
    <w:p w14:paraId="69F85105" w14:textId="77777777" w:rsidR="008A2CFD" w:rsidRDefault="008A2CFD" w:rsidP="008A2CFD">
      <w:pPr>
        <w:pStyle w:val="NormalWeb"/>
        <w:spacing w:line="360" w:lineRule="auto"/>
      </w:pPr>
      <w:r w:rsidRPr="008A2CFD">
        <w:rPr>
          <w:rFonts w:ascii="Arial" w:hAnsi="Arial" w:cs="Arial"/>
        </w:rPr>
        <w:t xml:space="preserve">The Supreme Court’s reasoning reflects a clear policy intention to limit the expansion of liability for psychiatric harm. By insisting on a qualifying “accident”, the Court sought to draw a clear boundary between actionable claims and those arising from </w:t>
      </w:r>
      <w:r w:rsidRPr="008A2CFD">
        <w:rPr>
          <w:rFonts w:ascii="Arial" w:hAnsi="Arial" w:cs="Arial"/>
        </w:rPr>
        <w:lastRenderedPageBreak/>
        <w:t>the natural progression of illness, thereby reducing uncertainty and preventing an unmanageable extension of liability</w:t>
      </w:r>
      <w:r>
        <w:t>.</w:t>
      </w:r>
    </w:p>
    <w:p w14:paraId="6C9BF3E4" w14:textId="2DB93E3C" w:rsidR="009A2AD0" w:rsidRPr="00A81DFF" w:rsidRDefault="00D0452D" w:rsidP="00E4114E">
      <w:pPr>
        <w:pStyle w:val="Heading2"/>
        <w:spacing w:line="360" w:lineRule="auto"/>
        <w:rPr>
          <w:rFonts w:ascii="Arial" w:hAnsi="Arial" w:cs="Arial"/>
        </w:rPr>
      </w:pPr>
      <w:bookmarkStart w:id="14" w:name="_Toc235391158"/>
      <w:r w:rsidRPr="00A81DFF">
        <w:rPr>
          <w:rFonts w:ascii="Arial" w:hAnsi="Arial" w:cs="Arial"/>
        </w:rPr>
        <w:t>3</w:t>
      </w:r>
      <w:r w:rsidR="009A2AD0" w:rsidRPr="00A81DFF">
        <w:rPr>
          <w:rFonts w:ascii="Arial" w:hAnsi="Arial" w:cs="Arial"/>
        </w:rPr>
        <w:t>.3 Broader Implications for Clinical Negligence Litigation</w:t>
      </w:r>
      <w:bookmarkEnd w:id="14"/>
    </w:p>
    <w:p w14:paraId="527F3A9F" w14:textId="77777777" w:rsidR="002B74D1" w:rsidRPr="00CE7BC3" w:rsidRDefault="002B74D1" w:rsidP="002B74D1">
      <w:pPr>
        <w:pStyle w:val="NormalWeb"/>
        <w:spacing w:line="360" w:lineRule="auto"/>
        <w:rPr>
          <w:rFonts w:ascii="Arial" w:hAnsi="Arial" w:cs="Arial"/>
        </w:rPr>
      </w:pPr>
      <w:r w:rsidRPr="00CE7BC3">
        <w:rPr>
          <w:rFonts w:ascii="Arial" w:hAnsi="Arial" w:cs="Arial"/>
        </w:rPr>
        <w:t>More broadly, the decision has significant implications for the development of clinical negligence litigation. The reaffirmation of restrictive control mechanisms, together with the emphasis on a qualifying “accident”, suggests that the courts have reached the limits of judicial expansion in this area</w:t>
      </w:r>
      <w:r w:rsidRPr="00CE7BC3">
        <w:rPr>
          <w:rStyle w:val="FootnoteReference"/>
          <w:rFonts w:ascii="Arial" w:hAnsi="Arial" w:cs="Arial"/>
        </w:rPr>
        <w:footnoteReference w:id="11"/>
      </w:r>
      <w:r w:rsidRPr="00CE7BC3">
        <w:rPr>
          <w:rFonts w:ascii="Arial" w:hAnsi="Arial" w:cs="Arial"/>
        </w:rPr>
        <w:t>.</w:t>
      </w:r>
    </w:p>
    <w:p w14:paraId="75F8D1F5" w14:textId="77777777" w:rsidR="002B74D1" w:rsidRPr="00CE7BC3" w:rsidRDefault="002B74D1" w:rsidP="002B74D1">
      <w:pPr>
        <w:pStyle w:val="NormalWeb"/>
        <w:spacing w:line="360" w:lineRule="auto"/>
        <w:rPr>
          <w:rFonts w:ascii="Arial" w:hAnsi="Arial" w:cs="Arial"/>
        </w:rPr>
      </w:pPr>
      <w:r w:rsidRPr="00CE7BC3">
        <w:rPr>
          <w:rFonts w:ascii="Arial" w:hAnsi="Arial" w:cs="Arial"/>
        </w:rPr>
        <w:t xml:space="preserve">Law reform bodies have previously criticised the legal framework governing secondary victim claims for its complexity and rigidity, and the ruling in </w:t>
      </w:r>
      <w:r w:rsidRPr="00CE7BC3">
        <w:rPr>
          <w:rStyle w:val="Emphasis"/>
          <w:rFonts w:ascii="Arial" w:hAnsi="Arial" w:cs="Arial"/>
        </w:rPr>
        <w:t>Paul</w:t>
      </w:r>
      <w:r w:rsidRPr="00CE7BC3">
        <w:rPr>
          <w:rFonts w:ascii="Arial" w:hAnsi="Arial" w:cs="Arial"/>
        </w:rPr>
        <w:t xml:space="preserve"> may strengthen the case for legislative intervention. In particular, the current law has been criticised for producing arbitrary outcomes and for failing to reflect the realities of psychiatric harm in modern clinical contexts</w:t>
      </w:r>
      <w:r w:rsidRPr="00CE7BC3">
        <w:rPr>
          <w:rStyle w:val="FootnoteReference"/>
          <w:rFonts w:ascii="Arial" w:hAnsi="Arial" w:cs="Arial"/>
        </w:rPr>
        <w:footnoteReference w:id="12"/>
      </w:r>
      <w:r w:rsidRPr="00CE7BC3">
        <w:rPr>
          <w:rFonts w:ascii="Arial" w:hAnsi="Arial" w:cs="Arial"/>
        </w:rPr>
        <w:t>.</w:t>
      </w:r>
    </w:p>
    <w:p w14:paraId="659B88EE" w14:textId="5175BBBC" w:rsidR="002B74D1" w:rsidRPr="009176DA" w:rsidRDefault="002B74D1" w:rsidP="002B74D1">
      <w:pPr>
        <w:pStyle w:val="NormalWeb"/>
        <w:spacing w:line="360" w:lineRule="auto"/>
        <w:rPr>
          <w:rFonts w:ascii="Arial" w:hAnsi="Arial" w:cs="Arial"/>
        </w:rPr>
      </w:pPr>
      <w:r w:rsidRPr="00CE7BC3">
        <w:rPr>
          <w:rFonts w:ascii="Arial" w:hAnsi="Arial" w:cs="Arial"/>
        </w:rPr>
        <w:t xml:space="preserve">Practitioner commentary indicates that the decision is likely to reshape litigation strategy, with both claimant and defendant practitioners adapting their approaches to reflect the narrower scope of recovery. As a result, the case may mark a turning point in the </w:t>
      </w:r>
      <w:r w:rsidRPr="009A0C6E">
        <w:rPr>
          <w:rFonts w:ascii="Arial" w:hAnsi="Arial" w:cs="Arial"/>
        </w:rPr>
        <w:t xml:space="preserve">treatment of secondary victim claims, reinforcing a policy-driven approach that prioritises certainty over </w:t>
      </w:r>
      <w:r w:rsidRPr="009176DA">
        <w:rPr>
          <w:rFonts w:ascii="Arial" w:hAnsi="Arial" w:cs="Arial"/>
        </w:rPr>
        <w:t>flexibility.</w:t>
      </w:r>
      <w:r w:rsidR="009A0C6E" w:rsidRPr="009176DA">
        <w:rPr>
          <w:rFonts w:ascii="Arial" w:hAnsi="Arial" w:cs="Arial"/>
        </w:rPr>
        <w:t xml:space="preserve"> This means that, in practice, meaningful development of the law is now more likely to require legislative intervention than further incremental judicial expansion.</w:t>
      </w:r>
      <w:r w:rsidR="009176DA" w:rsidRPr="009176DA">
        <w:rPr>
          <w:rFonts w:ascii="Arial" w:hAnsi="Arial" w:cs="Arial"/>
        </w:rPr>
        <w:t xml:space="preserve"> </w:t>
      </w:r>
      <w:r w:rsidR="009176DA" w:rsidRPr="009176DA">
        <w:rPr>
          <w:rFonts w:ascii="Arial" w:hAnsi="Arial" w:cs="Arial"/>
        </w:rPr>
        <w:t xml:space="preserve">The </w:t>
      </w:r>
      <w:r w:rsidR="009176DA" w:rsidRPr="009176DA">
        <w:rPr>
          <w:rFonts w:ascii="Arial" w:hAnsi="Arial" w:cs="Arial"/>
        </w:rPr>
        <w:t>decision,</w:t>
      </w:r>
      <w:r w:rsidR="009176DA" w:rsidRPr="009176DA">
        <w:rPr>
          <w:rFonts w:ascii="Arial" w:hAnsi="Arial" w:cs="Arial"/>
        </w:rPr>
        <w:t xml:space="preserve"> therefore</w:t>
      </w:r>
      <w:r w:rsidR="009176DA">
        <w:rPr>
          <w:rFonts w:ascii="Arial" w:hAnsi="Arial" w:cs="Arial"/>
        </w:rPr>
        <w:t>,</w:t>
      </w:r>
      <w:r w:rsidR="009176DA" w:rsidRPr="009176DA">
        <w:rPr>
          <w:rFonts w:ascii="Arial" w:hAnsi="Arial" w:cs="Arial"/>
        </w:rPr>
        <w:t xml:space="preserve"> raises broader constitutional questions concerning the respective roles of the judiciary and Parliament. By signalling the limits of incremental common</w:t>
      </w:r>
      <w:r w:rsidR="009176DA">
        <w:rPr>
          <w:rFonts w:ascii="Arial" w:hAnsi="Arial" w:cs="Arial"/>
        </w:rPr>
        <w:t>-</w:t>
      </w:r>
      <w:r w:rsidR="009176DA" w:rsidRPr="009176DA">
        <w:rPr>
          <w:rFonts w:ascii="Arial" w:hAnsi="Arial" w:cs="Arial"/>
        </w:rPr>
        <w:t xml:space="preserve">law development, the Supreme Court has effectively indicated that any meaningful expansion of secondary victim recovery now falls within the legislative rather than </w:t>
      </w:r>
      <w:r w:rsidR="009176DA" w:rsidRPr="009176DA">
        <w:rPr>
          <w:rFonts w:ascii="Arial" w:hAnsi="Arial" w:cs="Arial"/>
        </w:rPr>
        <w:t xml:space="preserve">the </w:t>
      </w:r>
      <w:r w:rsidR="009176DA" w:rsidRPr="009176DA">
        <w:rPr>
          <w:rFonts w:ascii="Arial" w:hAnsi="Arial" w:cs="Arial"/>
        </w:rPr>
        <w:t>judicial domain.</w:t>
      </w:r>
    </w:p>
    <w:p w14:paraId="20D49D95" w14:textId="10F2EFF6" w:rsidR="001D500D" w:rsidRPr="009176DA" w:rsidRDefault="009176DA" w:rsidP="002B74D1">
      <w:pPr>
        <w:pStyle w:val="NormalWeb"/>
        <w:spacing w:line="360" w:lineRule="auto"/>
        <w:rPr>
          <w:rStyle w:val="Strong"/>
          <w:rFonts w:ascii="Arial" w:hAnsi="Arial" w:cs="Arial"/>
          <w:b w:val="0"/>
          <w:bCs w:val="0"/>
        </w:rPr>
      </w:pPr>
      <w:r w:rsidRPr="009176DA">
        <w:rPr>
          <w:rFonts w:ascii="Arial" w:hAnsi="Arial" w:cs="Arial"/>
        </w:rPr>
        <w:t xml:space="preserve">Accordingly, </w:t>
      </w:r>
      <w:r w:rsidRPr="009176DA">
        <w:rPr>
          <w:rStyle w:val="Emphasis"/>
          <w:rFonts w:ascii="Arial" w:hAnsi="Arial" w:cs="Arial"/>
        </w:rPr>
        <w:t>Paul</w:t>
      </w:r>
      <w:r w:rsidRPr="009176DA">
        <w:rPr>
          <w:rFonts w:ascii="Arial" w:hAnsi="Arial" w:cs="Arial"/>
        </w:rPr>
        <w:t xml:space="preserve"> provides welcome certainty for practitioners but does so by reinforcing a restrictive framework which remains difficult to justify in principle. Unless Parliament intervenes, the decision is likely to represent not merely clarification of secondary victim liability but a conscious narrowing of recovery within </w:t>
      </w:r>
      <w:r w:rsidRPr="009176DA">
        <w:rPr>
          <w:rFonts w:ascii="Arial" w:hAnsi="Arial" w:cs="Arial"/>
        </w:rPr>
        <w:lastRenderedPageBreak/>
        <w:t>clinical negligence. The case</w:t>
      </w:r>
      <w:r>
        <w:rPr>
          <w:rFonts w:ascii="Arial" w:hAnsi="Arial" w:cs="Arial"/>
        </w:rPr>
        <w:t>,</w:t>
      </w:r>
      <w:r w:rsidRPr="009176DA">
        <w:rPr>
          <w:rFonts w:ascii="Arial" w:hAnsi="Arial" w:cs="Arial"/>
        </w:rPr>
        <w:t xml:space="preserve"> therefore</w:t>
      </w:r>
      <w:r>
        <w:rPr>
          <w:rFonts w:ascii="Arial" w:hAnsi="Arial" w:cs="Arial"/>
        </w:rPr>
        <w:t>,</w:t>
      </w:r>
      <w:r w:rsidRPr="009176DA">
        <w:rPr>
          <w:rFonts w:ascii="Arial" w:hAnsi="Arial" w:cs="Arial"/>
        </w:rPr>
        <w:t xml:space="preserve"> marks both a doctrinal turning point and a catalyst for renewed debate regarding the future development of psychiatric injury law</w:t>
      </w:r>
      <w:r w:rsidR="002B74D1" w:rsidRPr="009176DA">
        <w:rPr>
          <w:rStyle w:val="FootnoteReference"/>
          <w:rFonts w:ascii="Arial" w:hAnsi="Arial" w:cs="Arial"/>
        </w:rPr>
        <w:footnoteReference w:id="13"/>
      </w:r>
      <w:r w:rsidR="002B74D1" w:rsidRPr="009176DA">
        <w:rPr>
          <w:rFonts w:ascii="Arial" w:hAnsi="Arial" w:cs="Arial"/>
        </w:rPr>
        <w:t>.</w:t>
      </w:r>
      <w:r w:rsidR="00A81DFF" w:rsidRPr="009176DA">
        <w:rPr>
          <w:rFonts w:ascii="Arial" w:hAnsi="Arial" w:cs="Arial"/>
        </w:rPr>
        <w:t xml:space="preserve"> </w:t>
      </w:r>
    </w:p>
    <w:p w14:paraId="111C65C0" w14:textId="2DEA9A7C" w:rsidR="00362232" w:rsidRDefault="00362232" w:rsidP="00362232">
      <w:pPr>
        <w:pStyle w:val="Heading1"/>
      </w:pPr>
      <w:bookmarkStart w:id="15" w:name="_Toc235391159"/>
      <w:r>
        <w:t>4. Recommendations for the PICN Department</w:t>
      </w:r>
      <w:bookmarkEnd w:id="15"/>
    </w:p>
    <w:p w14:paraId="083FD229" w14:textId="1E6E8621" w:rsidR="009A2AD0" w:rsidRPr="00A81DFF" w:rsidRDefault="00D0452D" w:rsidP="00E4114E">
      <w:pPr>
        <w:pStyle w:val="Heading2"/>
        <w:spacing w:line="360" w:lineRule="auto"/>
        <w:rPr>
          <w:rFonts w:ascii="Arial" w:hAnsi="Arial" w:cs="Arial"/>
        </w:rPr>
      </w:pPr>
      <w:bookmarkStart w:id="16" w:name="_Toc235391160"/>
      <w:r w:rsidRPr="00A81DFF">
        <w:rPr>
          <w:rFonts w:ascii="Arial" w:hAnsi="Arial" w:cs="Arial"/>
        </w:rPr>
        <w:t>4</w:t>
      </w:r>
      <w:r w:rsidR="009A2AD0" w:rsidRPr="00A81DFF">
        <w:rPr>
          <w:rFonts w:ascii="Arial" w:hAnsi="Arial" w:cs="Arial"/>
        </w:rPr>
        <w:t>.1 Case Screening and Risk Assessment</w:t>
      </w:r>
      <w:bookmarkEnd w:id="16"/>
    </w:p>
    <w:p w14:paraId="5E1680A7" w14:textId="77777777" w:rsidR="00CC09D4" w:rsidRPr="00CC09D4" w:rsidRDefault="00CC09D4" w:rsidP="00CC09D4">
      <w:pPr>
        <w:pStyle w:val="NormalWeb"/>
        <w:spacing w:line="360" w:lineRule="auto"/>
        <w:rPr>
          <w:rFonts w:ascii="Arial" w:hAnsi="Arial" w:cs="Arial"/>
        </w:rPr>
      </w:pPr>
      <w:proofErr w:type="gramStart"/>
      <w:r w:rsidRPr="00CC09D4">
        <w:rPr>
          <w:rFonts w:ascii="Arial" w:hAnsi="Arial" w:cs="Arial"/>
        </w:rPr>
        <w:t>In light of</w:t>
      </w:r>
      <w:proofErr w:type="gramEnd"/>
      <w:r w:rsidRPr="00CC09D4">
        <w:rPr>
          <w:rFonts w:ascii="Arial" w:hAnsi="Arial" w:cs="Arial"/>
        </w:rPr>
        <w:t xml:space="preserve"> </w:t>
      </w:r>
      <w:r w:rsidRPr="00CC09D4">
        <w:rPr>
          <w:rStyle w:val="Emphasis"/>
          <w:rFonts w:ascii="Arial" w:hAnsi="Arial" w:cs="Arial"/>
        </w:rPr>
        <w:t>Paul</w:t>
      </w:r>
      <w:r w:rsidRPr="00CC09D4">
        <w:rPr>
          <w:rFonts w:ascii="Arial" w:hAnsi="Arial" w:cs="Arial"/>
        </w:rPr>
        <w:t xml:space="preserve">, the PICN department should implement a structured, systematic screening process at the initial client intake stage. Fee earners should be required to assess, at the outset, whether the claim involves a qualifying “accident” and whether the claimant satisfies the </w:t>
      </w:r>
      <w:r w:rsidRPr="00CC09D4">
        <w:rPr>
          <w:rStyle w:val="Emphasis"/>
          <w:rFonts w:ascii="Arial" w:hAnsi="Arial" w:cs="Arial"/>
        </w:rPr>
        <w:t>Alcock</w:t>
      </w:r>
      <w:r w:rsidRPr="00CC09D4">
        <w:rPr>
          <w:rFonts w:ascii="Arial" w:hAnsi="Arial" w:cs="Arial"/>
        </w:rPr>
        <w:t xml:space="preserve"> control mechanisms.</w:t>
      </w:r>
    </w:p>
    <w:p w14:paraId="20526574" w14:textId="77777777" w:rsidR="00CC09D4" w:rsidRPr="00CC09D4" w:rsidRDefault="00CC09D4" w:rsidP="00CC09D4">
      <w:pPr>
        <w:pStyle w:val="NormalWeb"/>
        <w:spacing w:line="360" w:lineRule="auto"/>
        <w:rPr>
          <w:rFonts w:ascii="Arial" w:hAnsi="Arial" w:cs="Arial"/>
        </w:rPr>
      </w:pPr>
      <w:r w:rsidRPr="00CC09D4">
        <w:rPr>
          <w:rFonts w:ascii="Arial" w:hAnsi="Arial" w:cs="Arial"/>
        </w:rPr>
        <w:t>Where these criteria are not met, the claim should not proceed beyond the preliminary assessment stage. This process should be supported by a standardised checklist used during initial consultations, ensuring consistency across the department and reducing the risk of unmeritorious claims progressing to litigation.</w:t>
      </w:r>
    </w:p>
    <w:p w14:paraId="140AE45E" w14:textId="77777777" w:rsidR="00CC09D4" w:rsidRPr="00F01422" w:rsidRDefault="00CC09D4" w:rsidP="00F01422">
      <w:pPr>
        <w:pStyle w:val="NormalWeb"/>
        <w:spacing w:line="360" w:lineRule="auto"/>
        <w:rPr>
          <w:rFonts w:ascii="Arial" w:hAnsi="Arial" w:cs="Arial"/>
        </w:rPr>
      </w:pPr>
      <w:r w:rsidRPr="00CC09D4">
        <w:rPr>
          <w:rFonts w:ascii="Arial" w:hAnsi="Arial" w:cs="Arial"/>
        </w:rPr>
        <w:t>Such an approach would enable the department to allocate resources more effectively, prioritising claims with a realistic prospect of success and minimising expo</w:t>
      </w:r>
      <w:r w:rsidRPr="00F01422">
        <w:rPr>
          <w:rFonts w:ascii="Arial" w:hAnsi="Arial" w:cs="Arial"/>
        </w:rPr>
        <w:t>sure to unmeritorious litigation.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3"/>
        <w:gridCol w:w="6053"/>
      </w:tblGrid>
      <w:tr w:rsidR="00F01422" w:rsidRPr="00F01422" w14:paraId="7B19CCF2" w14:textId="77777777">
        <w:trPr>
          <w:tblHeader/>
          <w:tblCellSpacing w:w="15" w:type="dxa"/>
        </w:trPr>
        <w:tc>
          <w:tcPr>
            <w:tcW w:w="0" w:type="auto"/>
            <w:vAlign w:val="center"/>
            <w:hideMark/>
          </w:tcPr>
          <w:p w14:paraId="0FAD1928" w14:textId="77777777" w:rsidR="00F01422" w:rsidRPr="00F01422" w:rsidRDefault="00F01422" w:rsidP="00F01422">
            <w:pPr>
              <w:spacing w:after="0" w:line="360" w:lineRule="auto"/>
              <w:jc w:val="center"/>
              <w:rPr>
                <w:rFonts w:ascii="Arial" w:eastAsia="Times New Roman" w:hAnsi="Arial" w:cs="Arial"/>
                <w:b/>
                <w:bCs/>
                <w:kern w:val="0"/>
                <w:lang w:eastAsia="en-GB"/>
                <w14:ligatures w14:val="none"/>
              </w:rPr>
            </w:pPr>
            <w:r w:rsidRPr="00F01422">
              <w:rPr>
                <w:rFonts w:ascii="Arial" w:eastAsia="Times New Roman" w:hAnsi="Arial" w:cs="Arial"/>
                <w:b/>
                <w:bCs/>
                <w:kern w:val="0"/>
                <w:lang w:eastAsia="en-GB"/>
                <w14:ligatures w14:val="none"/>
              </w:rPr>
              <w:t>Screening issue</w:t>
            </w:r>
          </w:p>
        </w:tc>
        <w:tc>
          <w:tcPr>
            <w:tcW w:w="0" w:type="auto"/>
            <w:vAlign w:val="center"/>
            <w:hideMark/>
          </w:tcPr>
          <w:p w14:paraId="7EAAD77D" w14:textId="77777777" w:rsidR="00F01422" w:rsidRPr="00F01422" w:rsidRDefault="00F01422" w:rsidP="00F01422">
            <w:pPr>
              <w:spacing w:after="0" w:line="360" w:lineRule="auto"/>
              <w:jc w:val="center"/>
              <w:rPr>
                <w:rFonts w:ascii="Arial" w:eastAsia="Times New Roman" w:hAnsi="Arial" w:cs="Arial"/>
                <w:b/>
                <w:bCs/>
                <w:kern w:val="0"/>
                <w:lang w:eastAsia="en-GB"/>
                <w14:ligatures w14:val="none"/>
              </w:rPr>
            </w:pPr>
            <w:r w:rsidRPr="00F01422">
              <w:rPr>
                <w:rFonts w:ascii="Arial" w:eastAsia="Times New Roman" w:hAnsi="Arial" w:cs="Arial"/>
                <w:b/>
                <w:bCs/>
                <w:kern w:val="0"/>
                <w:lang w:eastAsia="en-GB"/>
                <w14:ligatures w14:val="none"/>
              </w:rPr>
              <w:t xml:space="preserve">Practical relevance after </w:t>
            </w:r>
            <w:r w:rsidRPr="00F01422">
              <w:rPr>
                <w:rFonts w:ascii="Arial" w:eastAsia="Times New Roman" w:hAnsi="Arial" w:cs="Arial"/>
                <w:b/>
                <w:bCs/>
                <w:i/>
                <w:iCs/>
                <w:kern w:val="0"/>
                <w:lang w:eastAsia="en-GB"/>
                <w14:ligatures w14:val="none"/>
              </w:rPr>
              <w:t>Paul</w:t>
            </w:r>
          </w:p>
        </w:tc>
      </w:tr>
      <w:tr w:rsidR="00F01422" w:rsidRPr="00F01422" w14:paraId="034E8A62" w14:textId="77777777">
        <w:trPr>
          <w:tblCellSpacing w:w="15" w:type="dxa"/>
        </w:trPr>
        <w:tc>
          <w:tcPr>
            <w:tcW w:w="0" w:type="auto"/>
            <w:vAlign w:val="center"/>
            <w:hideMark/>
          </w:tcPr>
          <w:p w14:paraId="27D84764"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there a qualifying accident?</w:t>
            </w:r>
          </w:p>
        </w:tc>
        <w:tc>
          <w:tcPr>
            <w:tcW w:w="0" w:type="auto"/>
            <w:vAlign w:val="center"/>
            <w:hideMark/>
          </w:tcPr>
          <w:p w14:paraId="2F379B53"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A medical crisis caused by earlier negligence is unlikely to be sufficient.</w:t>
            </w:r>
          </w:p>
        </w:tc>
      </w:tr>
      <w:tr w:rsidR="00F01422" w:rsidRPr="00F01422" w14:paraId="4C75A7F3" w14:textId="77777777">
        <w:trPr>
          <w:tblCellSpacing w:w="15" w:type="dxa"/>
        </w:trPr>
        <w:tc>
          <w:tcPr>
            <w:tcW w:w="0" w:type="auto"/>
            <w:vAlign w:val="center"/>
            <w:hideMark/>
          </w:tcPr>
          <w:p w14:paraId="771F932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Was the event directly perceived?</w:t>
            </w:r>
          </w:p>
        </w:tc>
        <w:tc>
          <w:tcPr>
            <w:tcW w:w="0" w:type="auto"/>
            <w:vAlign w:val="center"/>
            <w:hideMark/>
          </w:tcPr>
          <w:p w14:paraId="115D89A1"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The claimant must usually witness the event or its immediate aftermath through unaided senses.</w:t>
            </w:r>
          </w:p>
        </w:tc>
      </w:tr>
      <w:tr w:rsidR="00F01422" w:rsidRPr="00F01422" w14:paraId="6F2DD8FA" w14:textId="77777777">
        <w:trPr>
          <w:tblCellSpacing w:w="15" w:type="dxa"/>
        </w:trPr>
        <w:tc>
          <w:tcPr>
            <w:tcW w:w="0" w:type="auto"/>
            <w:vAlign w:val="center"/>
            <w:hideMark/>
          </w:tcPr>
          <w:p w14:paraId="58B8F38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there a close tie of love and affection?</w:t>
            </w:r>
          </w:p>
        </w:tc>
        <w:tc>
          <w:tcPr>
            <w:tcW w:w="0" w:type="auto"/>
            <w:vAlign w:val="center"/>
            <w:hideMark/>
          </w:tcPr>
          <w:p w14:paraId="4A63BBF1"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 xml:space="preserve">This remains a central </w:t>
            </w:r>
            <w:r w:rsidRPr="00F01422">
              <w:rPr>
                <w:rFonts w:ascii="Arial" w:eastAsia="Times New Roman" w:hAnsi="Arial" w:cs="Arial"/>
                <w:i/>
                <w:iCs/>
                <w:kern w:val="0"/>
                <w:lang w:eastAsia="en-GB"/>
                <w14:ligatures w14:val="none"/>
              </w:rPr>
              <w:t>Alcock</w:t>
            </w:r>
            <w:r w:rsidRPr="00F01422">
              <w:rPr>
                <w:rFonts w:ascii="Arial" w:eastAsia="Times New Roman" w:hAnsi="Arial" w:cs="Arial"/>
                <w:kern w:val="0"/>
                <w:lang w:eastAsia="en-GB"/>
                <w14:ligatures w14:val="none"/>
              </w:rPr>
              <w:t xml:space="preserve"> requirement.</w:t>
            </w:r>
          </w:p>
        </w:tc>
      </w:tr>
      <w:tr w:rsidR="00F01422" w:rsidRPr="00F01422" w14:paraId="2423A721" w14:textId="77777777">
        <w:trPr>
          <w:tblCellSpacing w:w="15" w:type="dxa"/>
        </w:trPr>
        <w:tc>
          <w:tcPr>
            <w:tcW w:w="0" w:type="auto"/>
            <w:vAlign w:val="center"/>
            <w:hideMark/>
          </w:tcPr>
          <w:p w14:paraId="4CE9D326"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there a recognised psychiatric illness?</w:t>
            </w:r>
          </w:p>
        </w:tc>
        <w:tc>
          <w:tcPr>
            <w:tcW w:w="0" w:type="auto"/>
            <w:vAlign w:val="center"/>
            <w:hideMark/>
          </w:tcPr>
          <w:p w14:paraId="41563B0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Distress or grief alone will not be sufficient.</w:t>
            </w:r>
          </w:p>
        </w:tc>
      </w:tr>
      <w:tr w:rsidR="00F01422" w:rsidRPr="00F01422" w14:paraId="2B9243BC" w14:textId="77777777">
        <w:trPr>
          <w:tblCellSpacing w:w="15" w:type="dxa"/>
        </w:trPr>
        <w:tc>
          <w:tcPr>
            <w:tcW w:w="0" w:type="auto"/>
            <w:vAlign w:val="center"/>
            <w:hideMark/>
          </w:tcPr>
          <w:p w14:paraId="06CF752F"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lastRenderedPageBreak/>
              <w:t>Is the claim commercially viable?</w:t>
            </w:r>
          </w:p>
        </w:tc>
        <w:tc>
          <w:tcPr>
            <w:tcW w:w="0" w:type="auto"/>
            <w:vAlign w:val="center"/>
            <w:hideMark/>
          </w:tcPr>
          <w:p w14:paraId="5FCF3788"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Weak prospects may make CFA funding inappropriate.</w:t>
            </w:r>
          </w:p>
        </w:tc>
      </w:tr>
    </w:tbl>
    <w:p w14:paraId="2A3EC6AF" w14:textId="77777777" w:rsidR="00F01422" w:rsidRPr="00CC09D4" w:rsidRDefault="00F01422" w:rsidP="00CC09D4">
      <w:pPr>
        <w:pStyle w:val="NormalWeb"/>
        <w:spacing w:line="360" w:lineRule="auto"/>
        <w:rPr>
          <w:rFonts w:ascii="Arial" w:hAnsi="Arial" w:cs="Arial"/>
        </w:rPr>
      </w:pPr>
    </w:p>
    <w:p w14:paraId="2F61298D" w14:textId="77777777" w:rsidR="00D7229A" w:rsidRPr="00A81DFF" w:rsidRDefault="00D0452D" w:rsidP="00E4114E">
      <w:pPr>
        <w:pStyle w:val="Heading2"/>
        <w:spacing w:line="360" w:lineRule="auto"/>
        <w:rPr>
          <w:rFonts w:ascii="Arial" w:hAnsi="Arial" w:cs="Arial"/>
        </w:rPr>
      </w:pPr>
      <w:bookmarkStart w:id="17" w:name="_Toc235391161"/>
      <w:r w:rsidRPr="00A81DFF">
        <w:rPr>
          <w:rFonts w:ascii="Arial" w:hAnsi="Arial" w:cs="Arial"/>
        </w:rPr>
        <w:t>4</w:t>
      </w:r>
      <w:r w:rsidR="009A2AD0" w:rsidRPr="00A81DFF">
        <w:rPr>
          <w:rFonts w:ascii="Arial" w:hAnsi="Arial" w:cs="Arial"/>
        </w:rPr>
        <w:t>.2 Client Advice and Litigation Strategy</w:t>
      </w:r>
      <w:bookmarkEnd w:id="17"/>
    </w:p>
    <w:p w14:paraId="313AF635" w14:textId="5FC01975" w:rsidR="00416654" w:rsidRPr="00416654" w:rsidRDefault="00416654" w:rsidP="00416654">
      <w:pPr>
        <w:pStyle w:val="NormalWeb"/>
        <w:spacing w:line="360" w:lineRule="auto"/>
        <w:rPr>
          <w:rFonts w:ascii="Arial" w:hAnsi="Arial" w:cs="Arial"/>
        </w:rPr>
      </w:pPr>
      <w:r w:rsidRPr="00416654">
        <w:rPr>
          <w:rFonts w:ascii="Arial" w:hAnsi="Arial" w:cs="Arial"/>
        </w:rPr>
        <w:t xml:space="preserve">Solicitors must now provide clear, commercially informed and legally robust advice at an early stage </w:t>
      </w:r>
      <w:r w:rsidRPr="003D67B0">
        <w:rPr>
          <w:rFonts w:ascii="Arial" w:hAnsi="Arial" w:cs="Arial"/>
        </w:rPr>
        <w:t xml:space="preserve">on the limited scope of recovery for secondary victim claims following </w:t>
      </w:r>
      <w:r w:rsidRPr="003D67B0">
        <w:rPr>
          <w:rStyle w:val="Emphasis"/>
          <w:rFonts w:ascii="Arial" w:hAnsi="Arial" w:cs="Arial"/>
        </w:rPr>
        <w:t>Paul</w:t>
      </w:r>
      <w:r w:rsidRPr="003D67B0">
        <w:rPr>
          <w:rFonts w:ascii="Arial" w:hAnsi="Arial" w:cs="Arial"/>
        </w:rPr>
        <w:t>. This includes advising clients when claims are unlikely to succeed and, where appropriate, declining to proceed to avoid unnecessary costs.</w:t>
      </w:r>
      <w:r w:rsidR="003D67B0" w:rsidRPr="003D67B0">
        <w:rPr>
          <w:rFonts w:ascii="Arial" w:hAnsi="Arial" w:cs="Arial"/>
        </w:rPr>
        <w:t xml:space="preserve"> Early advice should address three specific questions: whether there was a qualifying accident, whether the </w:t>
      </w:r>
      <w:r w:rsidR="003D67B0" w:rsidRPr="003D67B0">
        <w:rPr>
          <w:rStyle w:val="Emphasis"/>
          <w:rFonts w:ascii="Arial" w:hAnsi="Arial" w:cs="Arial"/>
        </w:rPr>
        <w:t>Alcock</w:t>
      </w:r>
      <w:r w:rsidR="003D67B0" w:rsidRPr="003D67B0">
        <w:rPr>
          <w:rFonts w:ascii="Arial" w:hAnsi="Arial" w:cs="Arial"/>
        </w:rPr>
        <w:t xml:space="preserve"> control mechanisms are satisfied, and whether the claim is commercially viable under the proposed funding arrangement.</w:t>
      </w:r>
    </w:p>
    <w:p w14:paraId="3E042366" w14:textId="77777777" w:rsidR="00416654" w:rsidRPr="00416654" w:rsidRDefault="00416654" w:rsidP="00416654">
      <w:pPr>
        <w:pStyle w:val="NormalWeb"/>
        <w:spacing w:line="360" w:lineRule="auto"/>
        <w:rPr>
          <w:rFonts w:ascii="Arial" w:hAnsi="Arial" w:cs="Arial"/>
        </w:rPr>
      </w:pPr>
      <w:r w:rsidRPr="00416654">
        <w:rPr>
          <w:rFonts w:ascii="Arial" w:hAnsi="Arial" w:cs="Arial"/>
        </w:rPr>
        <w:t>In practice, this requires managing client expectations more carefully. Practitioners should clearly explain the legal constraints imposed by the decision and the reduced likelihood of success, thereby avoiding unnecessary litigation and associated costs.</w:t>
      </w:r>
    </w:p>
    <w:p w14:paraId="3FCED938" w14:textId="5A43A68B" w:rsidR="00416654" w:rsidRPr="00416654" w:rsidRDefault="00416654" w:rsidP="00416654">
      <w:pPr>
        <w:pStyle w:val="NormalWeb"/>
        <w:spacing w:line="360" w:lineRule="auto"/>
        <w:rPr>
          <w:rFonts w:ascii="Arial" w:hAnsi="Arial" w:cs="Arial"/>
        </w:rPr>
      </w:pPr>
      <w:r w:rsidRPr="00416654">
        <w:rPr>
          <w:rFonts w:ascii="Arial" w:hAnsi="Arial" w:cs="Arial"/>
        </w:rPr>
        <w:t xml:space="preserve">From a strategic perspective, claimant practitioners should adopt a more selective approach to pursuing secondary victim claims, focusing on cases where the facts closely align with the established legal criteria. This may include placing greater emphasis on </w:t>
      </w:r>
      <w:r w:rsidRPr="004B5692">
        <w:rPr>
          <w:rFonts w:ascii="Arial" w:hAnsi="Arial" w:cs="Arial"/>
        </w:rPr>
        <w:t>establishing proximity, the nature of the event, and the psychiatric injury suffered.</w:t>
      </w:r>
      <w:r w:rsidR="004B5692" w:rsidRPr="004B5692">
        <w:rPr>
          <w:rFonts w:ascii="Arial" w:hAnsi="Arial" w:cs="Arial"/>
        </w:rPr>
        <w:t xml:space="preserve"> For defendant practitioners, the litigation strategy should include early scrutiny of the pleaded facts and consideration of strike-out or summary judgment where the claim is based only on witnessing a medical crisis.</w:t>
      </w:r>
    </w:p>
    <w:p w14:paraId="7D701906" w14:textId="63A66622" w:rsidR="00416654" w:rsidRPr="00416654" w:rsidRDefault="00416654" w:rsidP="00416654">
      <w:pPr>
        <w:pStyle w:val="NormalWeb"/>
        <w:spacing w:line="360" w:lineRule="auto"/>
        <w:rPr>
          <w:rFonts w:ascii="Arial" w:hAnsi="Arial" w:cs="Arial"/>
        </w:rPr>
      </w:pPr>
      <w:r w:rsidRPr="00416654">
        <w:rPr>
          <w:rFonts w:ascii="Arial" w:hAnsi="Arial" w:cs="Arial"/>
        </w:rPr>
        <w:t xml:space="preserve">Additionally, firms should consider providing targeted training for practitioners on the implications of </w:t>
      </w:r>
      <w:r w:rsidRPr="00416654">
        <w:rPr>
          <w:rStyle w:val="Emphasis"/>
          <w:rFonts w:ascii="Arial" w:hAnsi="Arial" w:cs="Arial"/>
        </w:rPr>
        <w:t>Paul</w:t>
      </w:r>
      <w:r w:rsidRPr="00416654">
        <w:rPr>
          <w:rFonts w:ascii="Arial" w:hAnsi="Arial" w:cs="Arial"/>
        </w:rPr>
        <w:t xml:space="preserve">, ensuring that fee earners are equipped to identify viable claims at an early stage and to advise clients accordingly </w:t>
      </w:r>
      <w:r w:rsidR="0079090E" w:rsidRPr="00416654">
        <w:rPr>
          <w:rFonts w:ascii="Arial" w:hAnsi="Arial" w:cs="Arial"/>
        </w:rPr>
        <w:t>considering</w:t>
      </w:r>
      <w:r w:rsidRPr="00416654">
        <w:rPr>
          <w:rFonts w:ascii="Arial" w:hAnsi="Arial" w:cs="Arial"/>
        </w:rPr>
        <w:t xml:space="preserve"> the post-</w:t>
      </w:r>
      <w:r w:rsidRPr="00416654">
        <w:rPr>
          <w:rStyle w:val="Emphasis"/>
          <w:rFonts w:ascii="Arial" w:hAnsi="Arial" w:cs="Arial"/>
        </w:rPr>
        <w:t>Paul</w:t>
      </w:r>
      <w:r w:rsidRPr="00416654">
        <w:rPr>
          <w:rFonts w:ascii="Arial" w:hAnsi="Arial" w:cs="Arial"/>
        </w:rPr>
        <w:t xml:space="preserve"> legal framework.</w:t>
      </w:r>
    </w:p>
    <w:p w14:paraId="23523AF2" w14:textId="13FB90FD" w:rsidR="00FA4FF1" w:rsidRPr="00A81DFF" w:rsidRDefault="00D0452D" w:rsidP="00E4114E">
      <w:pPr>
        <w:pStyle w:val="Heading1"/>
        <w:spacing w:line="360" w:lineRule="auto"/>
        <w:rPr>
          <w:rFonts w:ascii="Arial" w:hAnsi="Arial" w:cs="Arial"/>
        </w:rPr>
      </w:pPr>
      <w:bookmarkStart w:id="18" w:name="_Toc235391162"/>
      <w:r w:rsidRPr="00A81DFF">
        <w:rPr>
          <w:rFonts w:ascii="Arial" w:hAnsi="Arial" w:cs="Arial"/>
        </w:rPr>
        <w:lastRenderedPageBreak/>
        <w:t>C</w:t>
      </w:r>
      <w:r w:rsidR="001D500D" w:rsidRPr="00A81DFF">
        <w:rPr>
          <w:rFonts w:ascii="Arial" w:hAnsi="Arial" w:cs="Arial"/>
        </w:rPr>
        <w:t>onclusio</w:t>
      </w:r>
      <w:r w:rsidR="00E4114E" w:rsidRPr="00A81DFF">
        <w:rPr>
          <w:rFonts w:ascii="Arial" w:hAnsi="Arial" w:cs="Arial"/>
        </w:rPr>
        <w:t>n</w:t>
      </w:r>
      <w:bookmarkEnd w:id="18"/>
    </w:p>
    <w:bookmarkEnd w:id="2"/>
    <w:p w14:paraId="3BDC58D0" w14:textId="77777777" w:rsidR="004B5692" w:rsidRPr="004B5692" w:rsidRDefault="004B5692" w:rsidP="004B5692">
      <w:pPr>
        <w:pStyle w:val="NormalWeb"/>
        <w:spacing w:line="360" w:lineRule="auto"/>
        <w:rPr>
          <w:rFonts w:ascii="Arial" w:hAnsi="Arial" w:cs="Arial"/>
        </w:rPr>
      </w:pPr>
      <w:r w:rsidRPr="004B5692">
        <w:rPr>
          <w:rFonts w:ascii="Arial" w:hAnsi="Arial" w:cs="Arial"/>
        </w:rPr>
        <w:t xml:space="preserve">The decision in </w:t>
      </w:r>
      <w:r w:rsidRPr="004B5692">
        <w:rPr>
          <w:rStyle w:val="Emphasis"/>
          <w:rFonts w:ascii="Arial" w:hAnsi="Arial" w:cs="Arial"/>
        </w:rPr>
        <w:t>Paul v Royal Wolverhampton NHS Trust</w:t>
      </w:r>
      <w:r w:rsidRPr="004B5692">
        <w:rPr>
          <w:rFonts w:ascii="Arial" w:hAnsi="Arial" w:cs="Arial"/>
        </w:rPr>
        <w:t xml:space="preserve"> [2024] marks a significant and restrictive development in the law governing secondary victim claims. While it provides greater clarity and predictability, it does so by narrowing the scope of recovery and reinforcing a rigid framework that may exclude claimants who have suffered genuine psychiatric harm.</w:t>
      </w:r>
    </w:p>
    <w:p w14:paraId="0F47ED38" w14:textId="77777777" w:rsidR="004B5692" w:rsidRPr="004B5692" w:rsidRDefault="004B5692" w:rsidP="004B5692">
      <w:pPr>
        <w:pStyle w:val="NormalWeb"/>
        <w:spacing w:line="360" w:lineRule="auto"/>
        <w:rPr>
          <w:rFonts w:ascii="Arial" w:hAnsi="Arial" w:cs="Arial"/>
        </w:rPr>
      </w:pPr>
      <w:r w:rsidRPr="004B5692">
        <w:rPr>
          <w:rFonts w:ascii="Arial" w:hAnsi="Arial" w:cs="Arial"/>
        </w:rPr>
        <w:t>From a claimant perspective, the decision creates substantial barriers to recovery, particularly in clinical negligence cases where traumatic medical events may be indistinguishable from accidents in their psychological impact. In contrast, defendant practitioners benefit from a clearer and more predictable framework, reducing exposure to liability and facilitating earlier resolution of claims.</w:t>
      </w:r>
    </w:p>
    <w:p w14:paraId="55644606" w14:textId="77777777" w:rsidR="004B5692" w:rsidRPr="004B5692" w:rsidRDefault="004B5692" w:rsidP="004B5692">
      <w:pPr>
        <w:pStyle w:val="NormalWeb"/>
        <w:spacing w:line="360" w:lineRule="auto"/>
        <w:rPr>
          <w:rFonts w:ascii="Arial" w:hAnsi="Arial" w:cs="Arial"/>
        </w:rPr>
      </w:pPr>
      <w:r w:rsidRPr="004B5692">
        <w:rPr>
          <w:rFonts w:ascii="Arial" w:hAnsi="Arial" w:cs="Arial"/>
        </w:rPr>
        <w:t xml:space="preserve">On balance, the decision is difficult to justify on fairness grounds. While it succeeds in limiting indeterminate liability, it does so at the expense of substantive fairness and doctrinal coherence. Accordingly, </w:t>
      </w:r>
      <w:r w:rsidRPr="004B5692">
        <w:rPr>
          <w:rStyle w:val="Emphasis"/>
          <w:rFonts w:ascii="Arial" w:hAnsi="Arial" w:cs="Arial"/>
        </w:rPr>
        <w:t>Paul</w:t>
      </w:r>
      <w:r w:rsidRPr="004B5692">
        <w:rPr>
          <w:rFonts w:ascii="Arial" w:hAnsi="Arial" w:cs="Arial"/>
        </w:rPr>
        <w:t xml:space="preserve"> highlights the limitations of the current framework and strengthens the argument for legislative reform.</w:t>
      </w:r>
    </w:p>
    <w:p w14:paraId="02DF355E" w14:textId="2765E314" w:rsidR="004B5692" w:rsidRPr="004B5692" w:rsidRDefault="004B5692" w:rsidP="004B5692">
      <w:pPr>
        <w:pStyle w:val="NormalWeb"/>
        <w:spacing w:line="360" w:lineRule="auto"/>
        <w:rPr>
          <w:rFonts w:ascii="Arial" w:hAnsi="Arial" w:cs="Arial"/>
        </w:rPr>
      </w:pPr>
      <w:r w:rsidRPr="004B5692">
        <w:rPr>
          <w:rFonts w:ascii="Arial" w:hAnsi="Arial" w:cs="Arial"/>
        </w:rPr>
        <w:t xml:space="preserve">For the PICN department, the immediate priority is practical. Fee earners should screen potential secondary victim claims against </w:t>
      </w:r>
      <w:r w:rsidRPr="004B5692">
        <w:rPr>
          <w:rStyle w:val="Emphasis"/>
          <w:rFonts w:ascii="Arial" w:hAnsi="Arial" w:cs="Arial"/>
        </w:rPr>
        <w:t>Paul</w:t>
      </w:r>
      <w:r w:rsidRPr="004B5692">
        <w:rPr>
          <w:rFonts w:ascii="Arial" w:hAnsi="Arial" w:cs="Arial"/>
        </w:rPr>
        <w:t xml:space="preserve"> at the outset, provide clear written advice on prospects, and adopt a cautious approach to funding and litigation strategy. Without legislative intervention, the law risks continuing to prioritise doctrinal </w:t>
      </w:r>
      <w:r w:rsidRPr="00E37995">
        <w:rPr>
          <w:rFonts w:ascii="Arial" w:hAnsi="Arial" w:cs="Arial"/>
        </w:rPr>
        <w:t>control over principled coherence and substantive justice.</w:t>
      </w:r>
      <w:r w:rsidR="00E37995" w:rsidRPr="00E37995">
        <w:rPr>
          <w:rFonts w:ascii="Arial" w:hAnsi="Arial" w:cs="Arial"/>
        </w:rPr>
        <w:t xml:space="preserve"> In practical terms, </w:t>
      </w:r>
      <w:r w:rsidR="00E37995" w:rsidRPr="00E37995">
        <w:rPr>
          <w:rStyle w:val="Emphasis"/>
          <w:rFonts w:ascii="Arial" w:hAnsi="Arial" w:cs="Arial"/>
        </w:rPr>
        <w:t>Paul</w:t>
      </w:r>
      <w:r w:rsidR="00E37995" w:rsidRPr="00E37995">
        <w:rPr>
          <w:rFonts w:ascii="Arial" w:hAnsi="Arial" w:cs="Arial"/>
        </w:rPr>
        <w:t xml:space="preserve"> should now be treated as the starting point for assessing any secondary victim claim arising from clinical negligence.</w:t>
      </w:r>
    </w:p>
    <w:p w14:paraId="62E7FB07" w14:textId="77777777" w:rsidR="00824D18" w:rsidRPr="00A81DFF" w:rsidRDefault="00824D18" w:rsidP="00E4114E">
      <w:pPr>
        <w:spacing w:after="0" w:line="360" w:lineRule="auto"/>
        <w:contextualSpacing/>
        <w:rPr>
          <w:rFonts w:ascii="Arial" w:hAnsi="Arial" w:cs="Arial"/>
          <w:lang w:eastAsia="en-GB"/>
        </w:rPr>
      </w:pPr>
    </w:p>
    <w:p w14:paraId="350930DF" w14:textId="77777777" w:rsidR="00824D18" w:rsidRPr="00A81DFF" w:rsidRDefault="00824D18" w:rsidP="00E4114E">
      <w:pPr>
        <w:spacing w:after="0" w:line="360" w:lineRule="auto"/>
        <w:contextualSpacing/>
        <w:rPr>
          <w:rFonts w:ascii="Arial" w:hAnsi="Arial" w:cs="Arial"/>
          <w:lang w:eastAsia="en-GB"/>
        </w:rPr>
      </w:pPr>
    </w:p>
    <w:p w14:paraId="1575E3F9" w14:textId="77777777" w:rsidR="00824D18" w:rsidRPr="00A81DFF" w:rsidRDefault="00824D18" w:rsidP="00E4114E">
      <w:pPr>
        <w:spacing w:after="0" w:line="360" w:lineRule="auto"/>
        <w:contextualSpacing/>
        <w:rPr>
          <w:rFonts w:ascii="Arial" w:hAnsi="Arial" w:cs="Arial"/>
          <w:lang w:eastAsia="en-GB"/>
        </w:rPr>
      </w:pPr>
    </w:p>
    <w:p w14:paraId="60B22693" w14:textId="3E02D642" w:rsidR="00D85B29" w:rsidRPr="00A81DFF" w:rsidRDefault="00824D18" w:rsidP="00E4114E">
      <w:pPr>
        <w:tabs>
          <w:tab w:val="left" w:pos="1465"/>
        </w:tabs>
        <w:spacing w:after="0" w:line="360" w:lineRule="auto"/>
        <w:contextualSpacing/>
        <w:rPr>
          <w:rFonts w:ascii="Arial" w:hAnsi="Arial" w:cs="Arial"/>
          <w:lang w:eastAsia="en-GB"/>
        </w:rPr>
      </w:pPr>
      <w:r w:rsidRPr="00A81DFF">
        <w:rPr>
          <w:rFonts w:ascii="Arial" w:hAnsi="Arial" w:cs="Arial"/>
          <w:lang w:eastAsia="en-GB"/>
        </w:rPr>
        <w:tab/>
      </w:r>
    </w:p>
    <w:p w14:paraId="72715409" w14:textId="77777777" w:rsidR="00D85B29" w:rsidRPr="00A81DFF" w:rsidRDefault="00D85B29" w:rsidP="00E4114E">
      <w:pPr>
        <w:tabs>
          <w:tab w:val="left" w:pos="1465"/>
        </w:tabs>
        <w:spacing w:after="0" w:line="360" w:lineRule="auto"/>
        <w:contextualSpacing/>
        <w:rPr>
          <w:rFonts w:ascii="Arial" w:hAnsi="Arial" w:cs="Arial"/>
          <w:lang w:eastAsia="en-GB"/>
        </w:rPr>
      </w:pPr>
    </w:p>
    <w:p w14:paraId="173C7F38" w14:textId="77777777" w:rsidR="0082685C" w:rsidRPr="00A81DFF" w:rsidRDefault="0082685C" w:rsidP="00E4114E">
      <w:pPr>
        <w:tabs>
          <w:tab w:val="left" w:pos="1465"/>
        </w:tabs>
        <w:spacing w:after="0" w:line="360" w:lineRule="auto"/>
        <w:contextualSpacing/>
        <w:rPr>
          <w:rFonts w:ascii="Arial" w:hAnsi="Arial" w:cs="Arial"/>
          <w:lang w:eastAsia="en-GB"/>
        </w:rPr>
      </w:pPr>
    </w:p>
    <w:p w14:paraId="286E2642" w14:textId="77777777" w:rsidR="001F71E6" w:rsidRPr="00A81DFF" w:rsidRDefault="001F71E6" w:rsidP="00E4114E">
      <w:pPr>
        <w:tabs>
          <w:tab w:val="left" w:pos="1465"/>
        </w:tabs>
        <w:spacing w:after="0" w:line="360" w:lineRule="auto"/>
        <w:contextualSpacing/>
        <w:rPr>
          <w:rFonts w:ascii="Arial" w:hAnsi="Arial" w:cs="Arial"/>
          <w:lang w:eastAsia="en-GB"/>
        </w:rPr>
      </w:pPr>
    </w:p>
    <w:p w14:paraId="385F6DD1" w14:textId="77777777" w:rsidR="003C5977" w:rsidRPr="00A81DFF" w:rsidRDefault="003C5977" w:rsidP="00E4114E">
      <w:pPr>
        <w:tabs>
          <w:tab w:val="left" w:pos="1465"/>
        </w:tabs>
        <w:spacing w:after="0" w:line="360" w:lineRule="auto"/>
        <w:contextualSpacing/>
        <w:rPr>
          <w:rFonts w:ascii="Arial" w:hAnsi="Arial" w:cs="Arial"/>
          <w:lang w:eastAsia="en-GB"/>
        </w:rPr>
      </w:pPr>
    </w:p>
    <w:p w14:paraId="10F210E8" w14:textId="77777777" w:rsidR="003C5977" w:rsidRPr="00A81DFF" w:rsidRDefault="003C5977" w:rsidP="00E4114E">
      <w:pPr>
        <w:tabs>
          <w:tab w:val="left" w:pos="1465"/>
        </w:tabs>
        <w:spacing w:after="0" w:line="360" w:lineRule="auto"/>
        <w:contextualSpacing/>
        <w:rPr>
          <w:rFonts w:ascii="Arial" w:hAnsi="Arial" w:cs="Arial"/>
          <w:lang w:eastAsia="en-GB"/>
        </w:rPr>
      </w:pPr>
    </w:p>
    <w:p w14:paraId="1E095B92" w14:textId="77777777" w:rsidR="003C5977" w:rsidRPr="00A81DFF" w:rsidRDefault="003C5977" w:rsidP="00E4114E">
      <w:pPr>
        <w:tabs>
          <w:tab w:val="left" w:pos="1465"/>
        </w:tabs>
        <w:spacing w:after="0" w:line="360" w:lineRule="auto"/>
        <w:contextualSpacing/>
        <w:rPr>
          <w:rFonts w:ascii="Arial" w:hAnsi="Arial" w:cs="Arial"/>
          <w:lang w:eastAsia="en-GB"/>
        </w:rPr>
      </w:pPr>
    </w:p>
    <w:p w14:paraId="0A1B7B40" w14:textId="77777777" w:rsidR="003C5977" w:rsidRPr="00A81DFF" w:rsidRDefault="003C5977" w:rsidP="00E4114E">
      <w:pPr>
        <w:tabs>
          <w:tab w:val="left" w:pos="1465"/>
        </w:tabs>
        <w:spacing w:after="0" w:line="360" w:lineRule="auto"/>
        <w:contextualSpacing/>
        <w:rPr>
          <w:rFonts w:ascii="Arial" w:hAnsi="Arial" w:cs="Arial"/>
          <w:lang w:eastAsia="en-GB"/>
        </w:rPr>
      </w:pPr>
    </w:p>
    <w:p w14:paraId="3E90644B" w14:textId="0BCF5A77" w:rsidR="0082685C" w:rsidRPr="00A81DFF" w:rsidRDefault="0082685C" w:rsidP="00E4114E">
      <w:pPr>
        <w:pStyle w:val="Heading1"/>
        <w:spacing w:line="360" w:lineRule="auto"/>
        <w:rPr>
          <w:rFonts w:ascii="Arial" w:hAnsi="Arial" w:cs="Arial"/>
        </w:rPr>
      </w:pPr>
      <w:bookmarkStart w:id="19" w:name="_Toc235391163"/>
      <w:r w:rsidRPr="00A81DFF">
        <w:rPr>
          <w:rFonts w:ascii="Arial" w:hAnsi="Arial" w:cs="Arial"/>
        </w:rPr>
        <w:t>Bibliography</w:t>
      </w:r>
      <w:bookmarkEnd w:id="19"/>
    </w:p>
    <w:p w14:paraId="7E7E259F" w14:textId="6B708BE6" w:rsidR="0082685C" w:rsidRPr="00A81DFF" w:rsidRDefault="0082685C" w:rsidP="005B0BA6">
      <w:pPr>
        <w:pStyle w:val="Heading2"/>
        <w:spacing w:line="360" w:lineRule="auto"/>
        <w:rPr>
          <w:rFonts w:ascii="Arial" w:hAnsi="Arial" w:cs="Arial"/>
        </w:rPr>
      </w:pPr>
      <w:bookmarkStart w:id="20" w:name="_Toc235391164"/>
      <w:r w:rsidRPr="00A81DFF">
        <w:rPr>
          <w:rFonts w:ascii="Arial" w:hAnsi="Arial" w:cs="Arial"/>
        </w:rPr>
        <w:t>Table of Cases</w:t>
      </w:r>
      <w:bookmarkEnd w:id="20"/>
    </w:p>
    <w:p w14:paraId="14D1579E" w14:textId="7FA04108"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Alcock v Chief Constable of South Yorkshire Police [1992] 1 AC 310 (HL)</w:t>
      </w:r>
    </w:p>
    <w:p w14:paraId="2EA7963E" w14:textId="41EBC0E6"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McLoughlin v O’Brian [1983] 1 AC 410 (HL)</w:t>
      </w:r>
    </w:p>
    <w:p w14:paraId="00328293" w14:textId="0C5419A4"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 xml:space="preserve">North Glamorgan NHS Trust v Walters [2002] EWCA </w:t>
      </w:r>
      <w:proofErr w:type="spellStart"/>
      <w:r w:rsidRPr="00A81DFF">
        <w:rPr>
          <w:rFonts w:ascii="Arial" w:hAnsi="Arial" w:cs="Arial"/>
          <w:i/>
          <w:iCs/>
          <w:lang w:eastAsia="en-GB"/>
        </w:rPr>
        <w:t>Civ</w:t>
      </w:r>
      <w:proofErr w:type="spellEnd"/>
      <w:r w:rsidRPr="00A81DFF">
        <w:rPr>
          <w:rFonts w:ascii="Arial" w:hAnsi="Arial" w:cs="Arial"/>
          <w:i/>
          <w:iCs/>
          <w:lang w:eastAsia="en-GB"/>
        </w:rPr>
        <w:t xml:space="preserve"> 1792</w:t>
      </w:r>
    </w:p>
    <w:p w14:paraId="0D74B424" w14:textId="11685324"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Paul v Royal Wolverhampton NHS Trust [2024] UKSC 1</w:t>
      </w:r>
    </w:p>
    <w:p w14:paraId="257F689F" w14:textId="6A4A4625"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 xml:space="preserve">Taylor v A Novo (UK) Ltd [2013] EWCA </w:t>
      </w:r>
      <w:proofErr w:type="spellStart"/>
      <w:r w:rsidRPr="00A81DFF">
        <w:rPr>
          <w:rFonts w:ascii="Arial" w:hAnsi="Arial" w:cs="Arial"/>
          <w:i/>
          <w:iCs/>
          <w:lang w:eastAsia="en-GB"/>
        </w:rPr>
        <w:t>Civ</w:t>
      </w:r>
      <w:proofErr w:type="spellEnd"/>
      <w:r w:rsidRPr="00A81DFF">
        <w:rPr>
          <w:rFonts w:ascii="Arial" w:hAnsi="Arial" w:cs="Arial"/>
          <w:i/>
          <w:iCs/>
          <w:lang w:eastAsia="en-GB"/>
        </w:rPr>
        <w:t xml:space="preserve"> 194</w:t>
      </w:r>
    </w:p>
    <w:p w14:paraId="73B2359C" w14:textId="23DD6D36"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White v Chief Constable of South Yorkshire Police [1999] 2 AC 455 (HL)</w:t>
      </w:r>
    </w:p>
    <w:p w14:paraId="2B4B220A" w14:textId="00B3751B" w:rsidR="0082685C" w:rsidRPr="00A81DFF" w:rsidRDefault="0082685C" w:rsidP="00E4114E">
      <w:pPr>
        <w:spacing w:after="0" w:line="360" w:lineRule="auto"/>
        <w:contextualSpacing/>
        <w:rPr>
          <w:rFonts w:ascii="Arial" w:hAnsi="Arial" w:cs="Arial"/>
          <w:lang w:eastAsia="en-GB"/>
        </w:rPr>
      </w:pPr>
    </w:p>
    <w:p w14:paraId="3432AFBF" w14:textId="57F03481" w:rsidR="0082685C" w:rsidRPr="00A81DFF" w:rsidRDefault="0082685C" w:rsidP="00773350">
      <w:pPr>
        <w:pStyle w:val="Heading2"/>
        <w:rPr>
          <w:rFonts w:ascii="Arial" w:hAnsi="Arial" w:cs="Arial"/>
        </w:rPr>
      </w:pPr>
      <w:bookmarkStart w:id="21" w:name="_Toc235391165"/>
      <w:r w:rsidRPr="00A81DFF">
        <w:rPr>
          <w:rFonts w:ascii="Arial" w:hAnsi="Arial" w:cs="Arial"/>
        </w:rPr>
        <w:t>Secondary sources</w:t>
      </w:r>
      <w:bookmarkEnd w:id="21"/>
    </w:p>
    <w:p w14:paraId="741B1B52" w14:textId="77777777" w:rsidR="00773350" w:rsidRPr="00A81DFF" w:rsidRDefault="00773350" w:rsidP="00773350">
      <w:pPr>
        <w:pStyle w:val="NormalWeb"/>
        <w:rPr>
          <w:rStyle w:val="Emphasis"/>
          <w:rFonts w:ascii="Arial" w:hAnsi="Arial" w:cs="Arial"/>
        </w:rPr>
      </w:pPr>
      <w:r w:rsidRPr="00A81DFF">
        <w:rPr>
          <w:rFonts w:ascii="Arial" w:hAnsi="Arial" w:cs="Arial"/>
        </w:rPr>
        <w:t xml:space="preserve">Beeton J, ‘Paul v Royal Wolverhampton NHS Trust: Implications for Clinical Negligence Claims’ (2024) </w:t>
      </w:r>
      <w:r w:rsidRPr="00A81DFF">
        <w:rPr>
          <w:rStyle w:val="Emphasis"/>
          <w:rFonts w:ascii="Arial" w:hAnsi="Arial" w:cs="Arial"/>
        </w:rPr>
        <w:t>New Law Journal</w:t>
      </w:r>
    </w:p>
    <w:p w14:paraId="3A8E0902" w14:textId="599E3C43" w:rsidR="0054024D" w:rsidRPr="00A81DFF" w:rsidRDefault="0054024D" w:rsidP="00773350">
      <w:pPr>
        <w:pStyle w:val="NormalWeb"/>
        <w:rPr>
          <w:rFonts w:ascii="Arial" w:hAnsi="Arial" w:cs="Arial"/>
        </w:rPr>
      </w:pPr>
      <w:r w:rsidRPr="00A81DFF">
        <w:rPr>
          <w:rFonts w:ascii="Arial" w:hAnsi="Arial" w:cs="Arial"/>
        </w:rPr>
        <w:t xml:space="preserve">Cane P, ‘Psychiatric Injury After Paul’ (2024) </w:t>
      </w:r>
      <w:r w:rsidRPr="00A81DFF">
        <w:rPr>
          <w:rStyle w:val="Emphasis"/>
          <w:rFonts w:ascii="Arial" w:hAnsi="Arial" w:cs="Arial"/>
        </w:rPr>
        <w:t>Medical Law Review</w:t>
      </w:r>
      <w:r w:rsidRPr="00A81DFF">
        <w:rPr>
          <w:rFonts w:ascii="Arial" w:hAnsi="Arial" w:cs="Arial"/>
        </w:rPr>
        <w:t xml:space="preserve"> 214</w:t>
      </w:r>
    </w:p>
    <w:p w14:paraId="4EF41399" w14:textId="77777777" w:rsidR="00773350" w:rsidRPr="00A81DFF" w:rsidRDefault="00773350" w:rsidP="00773350">
      <w:pPr>
        <w:pStyle w:val="NormalWeb"/>
        <w:rPr>
          <w:rFonts w:ascii="Arial" w:hAnsi="Arial" w:cs="Arial"/>
        </w:rPr>
      </w:pPr>
      <w:r w:rsidRPr="00A81DFF">
        <w:rPr>
          <w:rFonts w:ascii="Arial" w:hAnsi="Arial" w:cs="Arial"/>
        </w:rPr>
        <w:t xml:space="preserve">Green S, ‘Secondary Victims After Paul: A Step Backwards?’ (2024) </w:t>
      </w:r>
      <w:r w:rsidRPr="00A81DFF">
        <w:rPr>
          <w:rStyle w:val="Emphasis"/>
          <w:rFonts w:ascii="Arial" w:hAnsi="Arial" w:cs="Arial"/>
        </w:rPr>
        <w:t>Journal of Personal Injury Law</w:t>
      </w:r>
      <w:r w:rsidRPr="00A81DFF">
        <w:rPr>
          <w:rFonts w:ascii="Arial" w:hAnsi="Arial" w:cs="Arial"/>
        </w:rPr>
        <w:t xml:space="preserve"> 45</w:t>
      </w:r>
    </w:p>
    <w:p w14:paraId="04A0A356" w14:textId="77777777" w:rsidR="00773350" w:rsidRPr="00A81DFF" w:rsidRDefault="00773350" w:rsidP="00773350">
      <w:pPr>
        <w:pStyle w:val="NormalWeb"/>
        <w:rPr>
          <w:rFonts w:ascii="Arial" w:hAnsi="Arial" w:cs="Arial"/>
        </w:rPr>
      </w:pPr>
      <w:r w:rsidRPr="00A81DFF">
        <w:rPr>
          <w:rFonts w:ascii="Arial" w:hAnsi="Arial" w:cs="Arial"/>
        </w:rPr>
        <w:t>Hogan A, ‘Costs and Funding in Personal Injury Litigation’ (2023)</w:t>
      </w:r>
    </w:p>
    <w:p w14:paraId="21A6CA0C" w14:textId="77777777" w:rsidR="00773350" w:rsidRPr="00A81DFF" w:rsidRDefault="00773350" w:rsidP="00773350">
      <w:pPr>
        <w:pStyle w:val="NormalWeb"/>
        <w:rPr>
          <w:rFonts w:ascii="Arial" w:hAnsi="Arial" w:cs="Arial"/>
        </w:rPr>
      </w:pPr>
      <w:r w:rsidRPr="00A81DFF">
        <w:rPr>
          <w:rFonts w:ascii="Arial" w:hAnsi="Arial" w:cs="Arial"/>
        </w:rPr>
        <w:t xml:space="preserve">Law Commission, </w:t>
      </w:r>
      <w:r w:rsidRPr="00A81DFF">
        <w:rPr>
          <w:rStyle w:val="Emphasis"/>
          <w:rFonts w:ascii="Arial" w:hAnsi="Arial" w:cs="Arial"/>
        </w:rPr>
        <w:t>Liability for Psychiatric Illness</w:t>
      </w:r>
      <w:r w:rsidRPr="00A81DFF">
        <w:rPr>
          <w:rFonts w:ascii="Arial" w:hAnsi="Arial" w:cs="Arial"/>
        </w:rPr>
        <w:t xml:space="preserve"> (Law Com No 249, 1998)</w:t>
      </w:r>
    </w:p>
    <w:p w14:paraId="16A203DB" w14:textId="77777777" w:rsidR="00773350" w:rsidRPr="00A81DFF" w:rsidRDefault="00773350" w:rsidP="00773350">
      <w:pPr>
        <w:pStyle w:val="NormalWeb"/>
        <w:rPr>
          <w:rFonts w:ascii="Arial" w:hAnsi="Arial" w:cs="Arial"/>
        </w:rPr>
      </w:pPr>
      <w:r w:rsidRPr="00A81DFF">
        <w:rPr>
          <w:rFonts w:ascii="Arial" w:hAnsi="Arial" w:cs="Arial"/>
        </w:rPr>
        <w:t xml:space="preserve">McBride N and Bagshaw R, </w:t>
      </w:r>
      <w:r w:rsidRPr="00A81DFF">
        <w:rPr>
          <w:rStyle w:val="Emphasis"/>
          <w:rFonts w:ascii="Arial" w:hAnsi="Arial" w:cs="Arial"/>
        </w:rPr>
        <w:t>Tort Law</w:t>
      </w:r>
      <w:r w:rsidRPr="00A81DFF">
        <w:rPr>
          <w:rFonts w:ascii="Arial" w:hAnsi="Arial" w:cs="Arial"/>
        </w:rPr>
        <w:t xml:space="preserve"> (6th </w:t>
      </w:r>
      <w:proofErr w:type="spellStart"/>
      <w:r w:rsidRPr="00A81DFF">
        <w:rPr>
          <w:rFonts w:ascii="Arial" w:hAnsi="Arial" w:cs="Arial"/>
        </w:rPr>
        <w:t>edn</w:t>
      </w:r>
      <w:proofErr w:type="spellEnd"/>
      <w:r w:rsidRPr="00A81DFF">
        <w:rPr>
          <w:rFonts w:ascii="Arial" w:hAnsi="Arial" w:cs="Arial"/>
        </w:rPr>
        <w:t>, Pearson 2020)</w:t>
      </w:r>
    </w:p>
    <w:p w14:paraId="607AA5B3" w14:textId="77777777" w:rsidR="00773350" w:rsidRPr="00A81DFF" w:rsidRDefault="00773350" w:rsidP="00773350">
      <w:pPr>
        <w:pStyle w:val="NormalWeb"/>
        <w:rPr>
          <w:rFonts w:ascii="Arial" w:hAnsi="Arial" w:cs="Arial"/>
        </w:rPr>
      </w:pPr>
      <w:r w:rsidRPr="00A81DFF">
        <w:rPr>
          <w:rFonts w:ascii="Arial" w:hAnsi="Arial" w:cs="Arial"/>
        </w:rPr>
        <w:t xml:space="preserve">Mullany N and Handford P, </w:t>
      </w:r>
      <w:r w:rsidRPr="00A81DFF">
        <w:rPr>
          <w:rStyle w:val="Emphasis"/>
          <w:rFonts w:ascii="Arial" w:hAnsi="Arial" w:cs="Arial"/>
        </w:rPr>
        <w:t>Tort Liability for Psychiatric Damage</w:t>
      </w:r>
      <w:r w:rsidRPr="00A81DFF">
        <w:rPr>
          <w:rFonts w:ascii="Arial" w:hAnsi="Arial" w:cs="Arial"/>
        </w:rPr>
        <w:t xml:space="preserve"> (2nd </w:t>
      </w:r>
      <w:proofErr w:type="spellStart"/>
      <w:r w:rsidRPr="00A81DFF">
        <w:rPr>
          <w:rFonts w:ascii="Arial" w:hAnsi="Arial" w:cs="Arial"/>
        </w:rPr>
        <w:t>edn</w:t>
      </w:r>
      <w:proofErr w:type="spellEnd"/>
      <w:r w:rsidRPr="00A81DFF">
        <w:rPr>
          <w:rFonts w:ascii="Arial" w:hAnsi="Arial" w:cs="Arial"/>
        </w:rPr>
        <w:t>, Oxford University Press 2006)</w:t>
      </w:r>
    </w:p>
    <w:p w14:paraId="4BD8CC08" w14:textId="5F5AC972" w:rsidR="0054024D" w:rsidRPr="00A81DFF" w:rsidRDefault="0054024D" w:rsidP="00773350">
      <w:pPr>
        <w:pStyle w:val="NormalWeb"/>
        <w:rPr>
          <w:rFonts w:ascii="Arial" w:hAnsi="Arial" w:cs="Arial"/>
        </w:rPr>
      </w:pPr>
      <w:r w:rsidRPr="00A81DFF">
        <w:rPr>
          <w:rFonts w:ascii="Arial" w:hAnsi="Arial" w:cs="Arial"/>
        </w:rPr>
        <w:t xml:space="preserve">NHS Resolution, </w:t>
      </w:r>
      <w:r w:rsidRPr="00A81DFF">
        <w:rPr>
          <w:rStyle w:val="Emphasis"/>
          <w:rFonts w:ascii="Arial" w:hAnsi="Arial" w:cs="Arial"/>
        </w:rPr>
        <w:t>Annual Report and Accounts 2023/24</w:t>
      </w:r>
      <w:r w:rsidRPr="00A81DFF">
        <w:rPr>
          <w:rFonts w:ascii="Arial" w:hAnsi="Arial" w:cs="Arial"/>
        </w:rPr>
        <w:t xml:space="preserve"> (2024)</w:t>
      </w:r>
    </w:p>
    <w:p w14:paraId="62319DBC" w14:textId="1688FB1B" w:rsidR="0054024D" w:rsidRPr="00A81DFF" w:rsidRDefault="0054024D" w:rsidP="00773350">
      <w:pPr>
        <w:pStyle w:val="NormalWeb"/>
        <w:rPr>
          <w:rFonts w:ascii="Arial" w:hAnsi="Arial" w:cs="Arial"/>
        </w:rPr>
      </w:pPr>
      <w:r w:rsidRPr="00A81DFF">
        <w:rPr>
          <w:rFonts w:ascii="Arial" w:hAnsi="Arial" w:cs="Arial"/>
        </w:rPr>
        <w:t xml:space="preserve">Nolan D, ‘Psychiatric Harm and the Search for Principle’ (2021) 84 </w:t>
      </w:r>
      <w:r w:rsidRPr="00A81DFF">
        <w:rPr>
          <w:rStyle w:val="Emphasis"/>
          <w:rFonts w:ascii="Arial" w:hAnsi="Arial" w:cs="Arial"/>
        </w:rPr>
        <w:t>Modern Law Review</w:t>
      </w:r>
      <w:r w:rsidRPr="00A81DFF">
        <w:rPr>
          <w:rFonts w:ascii="Arial" w:hAnsi="Arial" w:cs="Arial"/>
        </w:rPr>
        <w:t xml:space="preserve"> 987</w:t>
      </w:r>
    </w:p>
    <w:p w14:paraId="5C33A642" w14:textId="77777777" w:rsidR="00773350" w:rsidRPr="00A81DFF" w:rsidRDefault="00773350" w:rsidP="00773350">
      <w:pPr>
        <w:pStyle w:val="NormalWeb"/>
        <w:rPr>
          <w:rFonts w:ascii="Arial" w:hAnsi="Arial" w:cs="Arial"/>
        </w:rPr>
      </w:pPr>
      <w:r w:rsidRPr="00A81DFF">
        <w:rPr>
          <w:rFonts w:ascii="Arial" w:hAnsi="Arial" w:cs="Arial"/>
        </w:rPr>
        <w:t xml:space="preserve">Stevens R, </w:t>
      </w:r>
      <w:r w:rsidRPr="00A81DFF">
        <w:rPr>
          <w:rStyle w:val="Emphasis"/>
          <w:rFonts w:ascii="Arial" w:hAnsi="Arial" w:cs="Arial"/>
        </w:rPr>
        <w:t>Torts and Rights</w:t>
      </w:r>
      <w:r w:rsidRPr="00A81DFF">
        <w:rPr>
          <w:rFonts w:ascii="Arial" w:hAnsi="Arial" w:cs="Arial"/>
        </w:rPr>
        <w:t xml:space="preserve"> (Oxford University Press 2007)</w:t>
      </w:r>
    </w:p>
    <w:p w14:paraId="189F1EAD" w14:textId="5F206F0A" w:rsidR="00A81DFF" w:rsidRPr="00A81DFF" w:rsidRDefault="00A81DFF" w:rsidP="00773350">
      <w:pPr>
        <w:pStyle w:val="NormalWeb"/>
        <w:rPr>
          <w:rFonts w:ascii="Arial" w:hAnsi="Arial" w:cs="Arial"/>
        </w:rPr>
      </w:pPr>
      <w:r w:rsidRPr="00A81DFF">
        <w:rPr>
          <w:rFonts w:ascii="Arial" w:hAnsi="Arial" w:cs="Arial"/>
        </w:rPr>
        <w:t xml:space="preserve">Weinrib EJ, </w:t>
      </w:r>
      <w:r w:rsidRPr="00A81DFF">
        <w:rPr>
          <w:rStyle w:val="Emphasis"/>
          <w:rFonts w:ascii="Arial" w:hAnsi="Arial" w:cs="Arial"/>
        </w:rPr>
        <w:t>The Idea of Private Law</w:t>
      </w:r>
      <w:r w:rsidRPr="00A81DFF">
        <w:rPr>
          <w:rFonts w:ascii="Arial" w:hAnsi="Arial" w:cs="Arial"/>
        </w:rPr>
        <w:t xml:space="preserve"> (Oxford University Press 2012)</w:t>
      </w:r>
    </w:p>
    <w:p w14:paraId="4AA100EC" w14:textId="77777777" w:rsidR="00773350" w:rsidRPr="00273B5E" w:rsidRDefault="00773350" w:rsidP="00E4114E">
      <w:pPr>
        <w:spacing w:after="0" w:line="360" w:lineRule="auto"/>
        <w:contextualSpacing/>
        <w:rPr>
          <w:rFonts w:ascii="Arial" w:hAnsi="Arial" w:cs="Arial"/>
          <w:i/>
          <w:iCs/>
          <w:lang w:eastAsia="en-GB"/>
        </w:rPr>
      </w:pPr>
    </w:p>
    <w:p w14:paraId="1A271FB8" w14:textId="77777777" w:rsidR="000C66E3" w:rsidRDefault="000C66E3" w:rsidP="00E4114E">
      <w:pPr>
        <w:spacing w:after="0" w:line="360" w:lineRule="auto"/>
        <w:contextualSpacing/>
        <w:rPr>
          <w:rFonts w:ascii="Arial" w:hAnsi="Arial" w:cs="Arial"/>
          <w:lang w:eastAsia="en-GB"/>
        </w:rPr>
      </w:pPr>
    </w:p>
    <w:p w14:paraId="5A484AEE" w14:textId="77777777" w:rsidR="000C66E3" w:rsidRDefault="000C66E3" w:rsidP="00E4114E">
      <w:pPr>
        <w:spacing w:after="0" w:line="360" w:lineRule="auto"/>
        <w:contextualSpacing/>
        <w:rPr>
          <w:rFonts w:ascii="Arial" w:hAnsi="Arial" w:cs="Arial"/>
          <w:lang w:eastAsia="en-GB"/>
        </w:rPr>
      </w:pPr>
    </w:p>
    <w:p w14:paraId="7685E320" w14:textId="1A4C2BA1" w:rsidR="000C66E3" w:rsidRPr="000C66E3" w:rsidRDefault="000C66E3" w:rsidP="00E4114E">
      <w:pPr>
        <w:pStyle w:val="Heading1"/>
        <w:spacing w:line="360" w:lineRule="auto"/>
        <w:rPr>
          <w:rFonts w:ascii="Arial" w:hAnsi="Arial" w:cs="Arial"/>
          <w:lang w:eastAsia="en-GB"/>
        </w:rPr>
      </w:pPr>
      <w:bookmarkStart w:id="22" w:name="_Toc235391166"/>
      <w:r w:rsidRPr="000C66E3">
        <w:rPr>
          <w:rFonts w:ascii="Arial" w:hAnsi="Arial" w:cs="Arial"/>
          <w:lang w:eastAsia="en-GB"/>
        </w:rPr>
        <w:t>Reflective Statement</w:t>
      </w:r>
      <w:bookmarkEnd w:id="22"/>
    </w:p>
    <w:p w14:paraId="5E57D2A1" w14:textId="77777777" w:rsidR="00A855DB" w:rsidRPr="00A855DB" w:rsidRDefault="00A855DB" w:rsidP="00A855DB">
      <w:pPr>
        <w:pStyle w:val="NormalWeb"/>
        <w:spacing w:line="360" w:lineRule="auto"/>
        <w:rPr>
          <w:rFonts w:ascii="Arial" w:hAnsi="Arial" w:cs="Arial"/>
        </w:rPr>
      </w:pPr>
      <w:r w:rsidRPr="00A855DB">
        <w:rPr>
          <w:rFonts w:ascii="Arial" w:hAnsi="Arial" w:cs="Arial"/>
        </w:rPr>
        <w:t>I approached this task with some initial uncertainty, having previously worked primarily in essay-based formats rather than professional reports. Through completing this work, I have developed a clearer understanding of how to present legal analysis in a structured, concise and practice-focused way.</w:t>
      </w:r>
    </w:p>
    <w:p w14:paraId="6A384A52" w14:textId="77777777" w:rsidR="00A855DB" w:rsidRPr="00A855DB" w:rsidRDefault="00A855DB" w:rsidP="00A855DB">
      <w:pPr>
        <w:pStyle w:val="NormalWeb"/>
        <w:spacing w:line="360" w:lineRule="auto"/>
        <w:rPr>
          <w:rFonts w:ascii="Arial" w:hAnsi="Arial" w:cs="Arial"/>
        </w:rPr>
      </w:pPr>
      <w:r w:rsidRPr="00A855DB">
        <w:rPr>
          <w:rFonts w:ascii="Arial" w:hAnsi="Arial" w:cs="Arial"/>
        </w:rPr>
        <w:t xml:space="preserve">I began by analysing </w:t>
      </w:r>
      <w:r w:rsidRPr="00A855DB">
        <w:rPr>
          <w:rStyle w:val="Emphasis"/>
          <w:rFonts w:ascii="Arial" w:hAnsi="Arial" w:cs="Arial"/>
        </w:rPr>
        <w:t>Paul v Royal Wolverhampton NHS Trust</w:t>
      </w:r>
      <w:r w:rsidRPr="00A855DB">
        <w:rPr>
          <w:rFonts w:ascii="Arial" w:hAnsi="Arial" w:cs="Arial"/>
        </w:rPr>
        <w:t xml:space="preserve"> in detail to ensure a strong understanding of both the facts and the Supreme Court’s reasoning. This allowed me to move beyond description and engage in critical evaluation, particularly when considering the practical implications for claimant and defendant practitioners.</w:t>
      </w:r>
    </w:p>
    <w:p w14:paraId="0C8811D8" w14:textId="77777777" w:rsidR="00A855DB" w:rsidRPr="00A855DB" w:rsidRDefault="00A855DB" w:rsidP="00A855DB">
      <w:pPr>
        <w:pStyle w:val="NormalWeb"/>
        <w:spacing w:line="360" w:lineRule="auto"/>
        <w:rPr>
          <w:rFonts w:ascii="Arial" w:hAnsi="Arial" w:cs="Arial"/>
        </w:rPr>
      </w:pPr>
      <w:r w:rsidRPr="00A855DB">
        <w:rPr>
          <w:rFonts w:ascii="Arial" w:hAnsi="Arial" w:cs="Arial"/>
        </w:rPr>
        <w:t>A key challenge was determining my position on the judgment. Although I recognised the importance of legal certainty and limiting indeterminate liability, I ultimately concluded that the decision is overly restrictive and produces outcomes that may be difficult to justify from a claimant perspective. This required balancing doctrinal analysis with practical considerations, which was valuable in developing professional judgement.</w:t>
      </w:r>
    </w:p>
    <w:p w14:paraId="5B214E14" w14:textId="631B857C" w:rsidR="00A855DB" w:rsidRPr="00A855DB" w:rsidRDefault="00A855DB" w:rsidP="00A855DB">
      <w:pPr>
        <w:pStyle w:val="NormalWeb"/>
        <w:spacing w:line="360" w:lineRule="auto"/>
        <w:rPr>
          <w:rFonts w:ascii="Arial" w:hAnsi="Arial" w:cs="Arial"/>
        </w:rPr>
      </w:pPr>
      <w:r w:rsidRPr="00A855DB">
        <w:rPr>
          <w:rFonts w:ascii="Arial" w:hAnsi="Arial" w:cs="Arial"/>
        </w:rPr>
        <w:t xml:space="preserve">If I were to approach this report again, I would deepen my analysis of the supporting case law by exploring its impact on both claimants and practitioners in greater detail. </w:t>
      </w:r>
      <w:r w:rsidRPr="00236AE7">
        <w:rPr>
          <w:rFonts w:ascii="Arial" w:hAnsi="Arial" w:cs="Arial"/>
        </w:rPr>
        <w:t>This would provide a more nuanced understanding of how legal principles operate in practice.</w:t>
      </w:r>
      <w:r w:rsidR="00236AE7" w:rsidRPr="00236AE7">
        <w:rPr>
          <w:rFonts w:ascii="Arial" w:hAnsi="Arial" w:cs="Arial"/>
        </w:rPr>
        <w:t xml:space="preserve"> I also became more aware of the importance of giving commercially realistic advice, particularly where a client may have suffered genuine harm but the legal threshold for recovery remains difficult to satisfy.</w:t>
      </w:r>
    </w:p>
    <w:p w14:paraId="27BD4177" w14:textId="77777777" w:rsidR="00A855DB" w:rsidRPr="00A855DB" w:rsidRDefault="00A855DB" w:rsidP="00A855DB">
      <w:pPr>
        <w:pStyle w:val="NormalWeb"/>
        <w:spacing w:line="360" w:lineRule="auto"/>
        <w:rPr>
          <w:rFonts w:ascii="Arial" w:hAnsi="Arial" w:cs="Arial"/>
        </w:rPr>
      </w:pPr>
      <w:r w:rsidRPr="00A855DB">
        <w:rPr>
          <w:rFonts w:ascii="Arial" w:hAnsi="Arial" w:cs="Arial"/>
        </w:rPr>
        <w:t>This process has strengthened my ability to communicate complex legal issues clearly and effectively, a skill which will be directly relevant to my future career in clinical negligence and personal injury law.</w:t>
      </w:r>
    </w:p>
    <w:p w14:paraId="4F3AF2DC" w14:textId="77777777" w:rsidR="000C66E3" w:rsidRDefault="000C66E3" w:rsidP="00E4114E">
      <w:pPr>
        <w:spacing w:line="360" w:lineRule="auto"/>
        <w:rPr>
          <w:rFonts w:ascii="Arial" w:hAnsi="Arial" w:cs="Arial"/>
          <w:lang w:eastAsia="en-GB"/>
        </w:rPr>
      </w:pPr>
    </w:p>
    <w:p w14:paraId="081D4897" w14:textId="77777777" w:rsidR="003C5977" w:rsidRDefault="003C5977" w:rsidP="00E4114E">
      <w:pPr>
        <w:spacing w:line="360" w:lineRule="auto"/>
        <w:rPr>
          <w:rFonts w:ascii="Arial" w:hAnsi="Arial" w:cs="Arial"/>
          <w:lang w:eastAsia="en-GB"/>
        </w:rPr>
      </w:pPr>
    </w:p>
    <w:p w14:paraId="682E15D6" w14:textId="77777777" w:rsidR="003C5977" w:rsidRDefault="003C5977" w:rsidP="00E4114E">
      <w:pPr>
        <w:spacing w:line="360" w:lineRule="auto"/>
        <w:rPr>
          <w:rFonts w:ascii="Arial" w:hAnsi="Arial" w:cs="Arial"/>
          <w:lang w:eastAsia="en-GB"/>
        </w:rPr>
      </w:pPr>
    </w:p>
    <w:p w14:paraId="41216598" w14:textId="77777777" w:rsidR="003C5977" w:rsidRPr="000C66E3" w:rsidRDefault="003C5977" w:rsidP="00E4114E">
      <w:pPr>
        <w:spacing w:line="360" w:lineRule="auto"/>
        <w:rPr>
          <w:rFonts w:ascii="Arial" w:hAnsi="Arial" w:cs="Arial"/>
          <w:lang w:eastAsia="en-GB"/>
        </w:rPr>
      </w:pPr>
    </w:p>
    <w:p w14:paraId="107651A0" w14:textId="0EEEC5F7" w:rsidR="000C66E3" w:rsidRPr="000C66E3" w:rsidRDefault="000C66E3" w:rsidP="00E4114E">
      <w:pPr>
        <w:pStyle w:val="Heading1"/>
        <w:spacing w:line="360" w:lineRule="auto"/>
        <w:rPr>
          <w:rFonts w:ascii="Arial" w:hAnsi="Arial" w:cs="Arial"/>
          <w:lang w:eastAsia="en-GB"/>
        </w:rPr>
      </w:pPr>
      <w:bookmarkStart w:id="23" w:name="_Toc235391167"/>
      <w:r w:rsidRPr="000C66E3">
        <w:rPr>
          <w:rFonts w:ascii="Arial" w:hAnsi="Arial" w:cs="Arial"/>
          <w:lang w:eastAsia="en-GB"/>
        </w:rPr>
        <w:t>Declaration</w:t>
      </w:r>
      <w:bookmarkEnd w:id="23"/>
    </w:p>
    <w:p w14:paraId="69D8C29C" w14:textId="648A83C7" w:rsidR="000C66E3" w:rsidRDefault="000C66E3" w:rsidP="00E4114E">
      <w:pPr>
        <w:spacing w:line="360" w:lineRule="auto"/>
        <w:rPr>
          <w:rFonts w:ascii="Arial" w:hAnsi="Arial" w:cs="Arial"/>
        </w:rPr>
      </w:pPr>
      <w:r w:rsidRPr="000C66E3">
        <w:rPr>
          <w:rFonts w:ascii="Arial" w:hAnsi="Arial" w:cs="Arial"/>
        </w:rPr>
        <w:t>I confirm that this coursework is my own work and that I have not plagiarised or colluded with others. All sources used have been appropriately acknowledged in accordance with OSCOLA referencing requirements.</w:t>
      </w:r>
    </w:p>
    <w:p w14:paraId="41A3293A" w14:textId="2B717874" w:rsidR="00D33E50" w:rsidRDefault="00D33E50">
      <w:pPr>
        <w:rPr>
          <w:rFonts w:ascii="Arial" w:hAnsi="Arial" w:cs="Arial"/>
        </w:rPr>
      </w:pPr>
      <w:r>
        <w:rPr>
          <w:rFonts w:ascii="Arial" w:hAnsi="Arial" w:cs="Arial"/>
        </w:rPr>
        <w:br w:type="page"/>
      </w:r>
    </w:p>
    <w:p w14:paraId="251D4342" w14:textId="6EAA0215" w:rsidR="00D33E50" w:rsidRDefault="00D33E50" w:rsidP="00D33E50">
      <w:pPr>
        <w:pStyle w:val="Heading2"/>
        <w:rPr>
          <w:noProof/>
        </w:rPr>
      </w:pPr>
      <w:bookmarkStart w:id="24" w:name="_Toc235391168"/>
      <w:r>
        <w:lastRenderedPageBreak/>
        <w:t>Appendix A- Presentation Slides</w:t>
      </w:r>
      <w:bookmarkEnd w:id="24"/>
    </w:p>
    <w:p w14:paraId="3B26C093" w14:textId="46A78EC7" w:rsidR="00D33E50" w:rsidRDefault="00D33E50" w:rsidP="00E4114E">
      <w:pPr>
        <w:spacing w:line="360" w:lineRule="auto"/>
        <w:rPr>
          <w:rFonts w:ascii="Arial" w:hAnsi="Arial" w:cs="Arial"/>
          <w:b/>
          <w:bCs/>
        </w:rPr>
      </w:pPr>
      <w:r w:rsidRPr="00D33E50">
        <w:rPr>
          <w:rFonts w:ascii="Arial" w:hAnsi="Arial" w:cs="Arial"/>
          <w:b/>
          <w:bCs/>
          <w:noProof/>
        </w:rPr>
        <w:drawing>
          <wp:inline distT="0" distB="0" distL="0" distR="0" wp14:anchorId="6B47E1FF" wp14:editId="60A4F4DD">
            <wp:extent cx="5731510" cy="3223895"/>
            <wp:effectExtent l="0" t="0" r="0" b="1905"/>
            <wp:docPr id="116877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77340" name=""/>
                    <pic:cNvPicPr/>
                  </pic:nvPicPr>
                  <pic:blipFill>
                    <a:blip r:embed="rId8"/>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rFonts w:ascii="Arial" w:hAnsi="Arial" w:cs="Arial"/>
          <w:b/>
          <w:bCs/>
          <w:noProof/>
        </w:rPr>
        <w:drawing>
          <wp:inline distT="0" distB="0" distL="0" distR="0" wp14:anchorId="2777AF42" wp14:editId="4F2D2661">
            <wp:extent cx="5731510" cy="3223895"/>
            <wp:effectExtent l="0" t="0" r="0" b="1905"/>
            <wp:docPr id="158429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96992" name=""/>
                    <pic:cNvPicPr/>
                  </pic:nvPicPr>
                  <pic:blipFill>
                    <a:blip r:embed="rId9"/>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0AF7A8CE" wp14:editId="3F778781">
            <wp:extent cx="5731510" cy="3223895"/>
            <wp:effectExtent l="0" t="0" r="0" b="1905"/>
            <wp:docPr id="52856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65492" name=""/>
                    <pic:cNvPicPr/>
                  </pic:nvPicPr>
                  <pic:blipFill>
                    <a:blip r:embed="rId10"/>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drawing>
          <wp:inline distT="0" distB="0" distL="0" distR="0" wp14:anchorId="0B9D4B52" wp14:editId="08A7C697">
            <wp:extent cx="5731510" cy="3223895"/>
            <wp:effectExtent l="0" t="0" r="0" b="1905"/>
            <wp:docPr id="123148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88065" name=""/>
                    <pic:cNvPicPr/>
                  </pic:nvPicPr>
                  <pic:blipFill>
                    <a:blip r:embed="rId11"/>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58080478" wp14:editId="2AF87500">
            <wp:extent cx="5731510" cy="3223895"/>
            <wp:effectExtent l="0" t="0" r="0" b="1905"/>
            <wp:docPr id="1061960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60893" name=""/>
                    <pic:cNvPicPr/>
                  </pic:nvPicPr>
                  <pic:blipFill>
                    <a:blip r:embed="rId12"/>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drawing>
          <wp:inline distT="0" distB="0" distL="0" distR="0" wp14:anchorId="23711B2D" wp14:editId="3A621CFF">
            <wp:extent cx="5731510" cy="3223895"/>
            <wp:effectExtent l="0" t="0" r="0" b="1905"/>
            <wp:docPr id="948382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82843" name=""/>
                    <pic:cNvPicPr/>
                  </pic:nvPicPr>
                  <pic:blipFill>
                    <a:blip r:embed="rId13"/>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42C27DD1" wp14:editId="4FE9CAD0">
            <wp:extent cx="5731510" cy="3223895"/>
            <wp:effectExtent l="0" t="0" r="0" b="1905"/>
            <wp:docPr id="103814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144597" name=""/>
                    <pic:cNvPicPr/>
                  </pic:nvPicPr>
                  <pic:blipFill>
                    <a:blip r:embed="rId14"/>
                    <a:stretch>
                      <a:fillRect/>
                    </a:stretch>
                  </pic:blipFill>
                  <pic:spPr>
                    <a:xfrm>
                      <a:off x="0" y="0"/>
                      <a:ext cx="5731510" cy="3223895"/>
                    </a:xfrm>
                    <a:prstGeom prst="rect">
                      <a:avLst/>
                    </a:prstGeom>
                  </pic:spPr>
                </pic:pic>
              </a:graphicData>
            </a:graphic>
          </wp:inline>
        </w:drawing>
      </w:r>
    </w:p>
    <w:p w14:paraId="17A8C06E" w14:textId="77777777" w:rsidR="00D33E50" w:rsidRPr="00D33E50" w:rsidRDefault="00D33E50" w:rsidP="00E4114E">
      <w:pPr>
        <w:spacing w:line="360" w:lineRule="auto"/>
        <w:rPr>
          <w:rFonts w:ascii="Arial" w:hAnsi="Arial" w:cs="Arial"/>
          <w:b/>
          <w:bCs/>
        </w:rPr>
      </w:pPr>
    </w:p>
    <w:sectPr w:rsidR="00D33E50" w:rsidRPr="00D33E50" w:rsidSect="00400730">
      <w:headerReference w:type="default" r:id="rId1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D8C6E6" w14:textId="77777777" w:rsidR="005D6D2F" w:rsidRDefault="005D6D2F" w:rsidP="00400730">
      <w:pPr>
        <w:spacing w:after="0" w:line="240" w:lineRule="auto"/>
      </w:pPr>
      <w:r>
        <w:separator/>
      </w:r>
    </w:p>
  </w:endnote>
  <w:endnote w:type="continuationSeparator" w:id="0">
    <w:p w14:paraId="7766BD62" w14:textId="77777777" w:rsidR="005D6D2F" w:rsidRDefault="005D6D2F" w:rsidP="00400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13779466"/>
      <w:docPartObj>
        <w:docPartGallery w:val="Page Numbers (Bottom of Page)"/>
        <w:docPartUnique/>
      </w:docPartObj>
    </w:sdtPr>
    <w:sdtContent>
      <w:p w14:paraId="64DB8F50" w14:textId="1D00B3D1" w:rsidR="002B6880" w:rsidRDefault="002B6880" w:rsidP="000D12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836C38" w14:textId="77777777" w:rsidR="002B6880" w:rsidRDefault="002B68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33672490"/>
      <w:docPartObj>
        <w:docPartGallery w:val="Page Numbers (Bottom of Page)"/>
        <w:docPartUnique/>
      </w:docPartObj>
    </w:sdtPr>
    <w:sdtContent>
      <w:p w14:paraId="237EF0BC" w14:textId="4BCE1EA4" w:rsidR="002B6880" w:rsidRDefault="002B6880" w:rsidP="000D12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35154D" w14:textId="77777777" w:rsidR="002B6880" w:rsidRDefault="002B6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F9A7D61" w14:textId="77777777" w:rsidR="005D6D2F" w:rsidRDefault="005D6D2F" w:rsidP="00400730">
      <w:pPr>
        <w:spacing w:after="0" w:line="240" w:lineRule="auto"/>
      </w:pPr>
      <w:r>
        <w:separator/>
      </w:r>
    </w:p>
  </w:footnote>
  <w:footnote w:type="continuationSeparator" w:id="0">
    <w:p w14:paraId="0DA7982E" w14:textId="77777777" w:rsidR="005D6D2F" w:rsidRDefault="005D6D2F" w:rsidP="00400730">
      <w:pPr>
        <w:spacing w:after="0" w:line="240" w:lineRule="auto"/>
      </w:pPr>
      <w:r>
        <w:continuationSeparator/>
      </w:r>
    </w:p>
  </w:footnote>
  <w:footnote w:id="1">
    <w:p w14:paraId="3DC41FE8" w14:textId="335B474F" w:rsidR="003136D1" w:rsidRPr="00513B09" w:rsidRDefault="003136D1" w:rsidP="003136D1">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Paul v Royal Wolverhampton NHS Trust [2024] UKSC 1</w:t>
      </w:r>
    </w:p>
  </w:footnote>
  <w:footnote w:id="2">
    <w:p w14:paraId="67526B1E" w14:textId="77777777" w:rsidR="003136D1" w:rsidRPr="00513B09" w:rsidRDefault="003136D1" w:rsidP="003136D1">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Alcock v Chief Constable of South Yorkshire Police [1992] 1 AC 310 (HL)</w:t>
      </w:r>
    </w:p>
    <w:p w14:paraId="725CAD85" w14:textId="5FE44DD7" w:rsidR="003136D1" w:rsidRPr="00513B09" w:rsidRDefault="003136D1">
      <w:pPr>
        <w:pStyle w:val="FootnoteText"/>
        <w:rPr>
          <w:rFonts w:ascii="Arial" w:hAnsi="Arial" w:cs="Arial"/>
        </w:rPr>
      </w:pPr>
    </w:p>
  </w:footnote>
  <w:footnote w:id="3">
    <w:p w14:paraId="1232782E" w14:textId="5F60216C" w:rsidR="00482E29" w:rsidRPr="00513B09" w:rsidRDefault="00482E29" w:rsidP="00482E29">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McLoughlin v O’Brian [1983] 1 AC 410 (HL)</w:t>
      </w:r>
    </w:p>
  </w:footnote>
  <w:footnote w:id="4">
    <w:p w14:paraId="41C33C66" w14:textId="22FD10F8" w:rsidR="00D12310" w:rsidRPr="00D12310" w:rsidRDefault="00D12310" w:rsidP="00D12310">
      <w:pPr>
        <w:spacing w:after="0" w:line="360" w:lineRule="auto"/>
        <w:contextualSpacing/>
        <w:rPr>
          <w:rFonts w:ascii="Arial" w:hAnsi="Arial" w:cs="Arial"/>
          <w:i/>
          <w:iCs/>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White v Chief Constable of South Yorkshire Police [1999] 2 AC 455 (HL)</w:t>
      </w:r>
    </w:p>
  </w:footnote>
  <w:footnote w:id="5">
    <w:p w14:paraId="10EEBDBC" w14:textId="05587979" w:rsidR="00442FC1" w:rsidRPr="00442FC1" w:rsidRDefault="00442FC1" w:rsidP="00442FC1">
      <w:pPr>
        <w:spacing w:after="0" w:line="360" w:lineRule="auto"/>
        <w:contextualSpacing/>
        <w:rPr>
          <w:rFonts w:ascii="Arial" w:hAnsi="Arial" w:cs="Arial"/>
          <w:i/>
          <w:iCs/>
          <w:sz w:val="20"/>
          <w:szCs w:val="20"/>
          <w:lang w:eastAsia="en-GB"/>
        </w:rPr>
      </w:pPr>
      <w:r w:rsidRPr="00442FC1">
        <w:rPr>
          <w:rStyle w:val="FootnoteReference"/>
          <w:sz w:val="20"/>
          <w:szCs w:val="20"/>
        </w:rPr>
        <w:footnoteRef/>
      </w:r>
      <w:r w:rsidRPr="00442FC1">
        <w:rPr>
          <w:sz w:val="20"/>
          <w:szCs w:val="20"/>
        </w:rPr>
        <w:t xml:space="preserve"> </w:t>
      </w:r>
      <w:r w:rsidRPr="00442FC1">
        <w:rPr>
          <w:rFonts w:ascii="Arial" w:hAnsi="Arial" w:cs="Arial"/>
          <w:i/>
          <w:iCs/>
          <w:sz w:val="20"/>
          <w:szCs w:val="20"/>
          <w:lang w:eastAsia="en-GB"/>
        </w:rPr>
        <w:t xml:space="preserve">North Glamorgan NHS Trust v Walters [2002] EWCA </w:t>
      </w:r>
      <w:proofErr w:type="spellStart"/>
      <w:r w:rsidRPr="00442FC1">
        <w:rPr>
          <w:rFonts w:ascii="Arial" w:hAnsi="Arial" w:cs="Arial"/>
          <w:i/>
          <w:iCs/>
          <w:sz w:val="20"/>
          <w:szCs w:val="20"/>
          <w:lang w:eastAsia="en-GB"/>
        </w:rPr>
        <w:t>Civ</w:t>
      </w:r>
      <w:proofErr w:type="spellEnd"/>
      <w:r w:rsidRPr="00442FC1">
        <w:rPr>
          <w:rFonts w:ascii="Arial" w:hAnsi="Arial" w:cs="Arial"/>
          <w:i/>
          <w:iCs/>
          <w:sz w:val="20"/>
          <w:szCs w:val="20"/>
          <w:lang w:eastAsia="en-GB"/>
        </w:rPr>
        <w:t xml:space="preserve"> 1792</w:t>
      </w:r>
    </w:p>
  </w:footnote>
  <w:footnote w:id="6">
    <w:p w14:paraId="11888DB0" w14:textId="2BC3217C" w:rsidR="007F7455" w:rsidRPr="007F7455" w:rsidRDefault="007F7455" w:rsidP="007F7455">
      <w:pPr>
        <w:spacing w:after="0" w:line="360" w:lineRule="auto"/>
        <w:contextualSpacing/>
        <w:rPr>
          <w:rFonts w:ascii="Arial" w:hAnsi="Arial" w:cs="Arial"/>
          <w:i/>
          <w:iCs/>
          <w:lang w:eastAsia="en-GB"/>
        </w:rPr>
      </w:pPr>
      <w:r w:rsidRPr="00442FC1">
        <w:rPr>
          <w:rStyle w:val="FootnoteReference"/>
          <w:sz w:val="20"/>
          <w:szCs w:val="20"/>
        </w:rPr>
        <w:footnoteRef/>
      </w:r>
      <w:r w:rsidRPr="00442FC1">
        <w:rPr>
          <w:sz w:val="20"/>
          <w:szCs w:val="20"/>
        </w:rPr>
        <w:t xml:space="preserve"> </w:t>
      </w:r>
      <w:r w:rsidRPr="00442FC1">
        <w:rPr>
          <w:rFonts w:ascii="Arial" w:hAnsi="Arial" w:cs="Arial"/>
          <w:i/>
          <w:iCs/>
          <w:sz w:val="20"/>
          <w:szCs w:val="20"/>
          <w:lang w:eastAsia="en-GB"/>
        </w:rPr>
        <w:t xml:space="preserve">Taylor v A Novo (UK) Ltd [2013] EWCA </w:t>
      </w:r>
      <w:proofErr w:type="spellStart"/>
      <w:r w:rsidRPr="00442FC1">
        <w:rPr>
          <w:rFonts w:ascii="Arial" w:hAnsi="Arial" w:cs="Arial"/>
          <w:i/>
          <w:iCs/>
          <w:sz w:val="20"/>
          <w:szCs w:val="20"/>
          <w:lang w:eastAsia="en-GB"/>
        </w:rPr>
        <w:t>Civ</w:t>
      </w:r>
      <w:proofErr w:type="spellEnd"/>
      <w:r w:rsidRPr="00442FC1">
        <w:rPr>
          <w:rFonts w:ascii="Arial" w:hAnsi="Arial" w:cs="Arial"/>
          <w:i/>
          <w:iCs/>
          <w:sz w:val="20"/>
          <w:szCs w:val="20"/>
          <w:lang w:eastAsia="en-GB"/>
        </w:rPr>
        <w:t xml:space="preserve"> 194</w:t>
      </w:r>
    </w:p>
  </w:footnote>
  <w:footnote w:id="7">
    <w:p w14:paraId="3270EC63" w14:textId="3DC2EC0C" w:rsidR="00726B1D" w:rsidRPr="00726B1D" w:rsidRDefault="00726B1D">
      <w:pPr>
        <w:pStyle w:val="FootnoteText"/>
        <w:rPr>
          <w:rFonts w:ascii="Arial" w:hAnsi="Arial" w:cs="Arial"/>
        </w:rPr>
      </w:pPr>
      <w:r w:rsidRPr="00726B1D">
        <w:rPr>
          <w:rStyle w:val="FootnoteReference"/>
          <w:rFonts w:ascii="Arial" w:hAnsi="Arial" w:cs="Arial"/>
        </w:rPr>
        <w:footnoteRef/>
      </w:r>
      <w:r w:rsidRPr="00726B1D">
        <w:rPr>
          <w:rFonts w:ascii="Arial" w:hAnsi="Arial" w:cs="Arial"/>
        </w:rPr>
        <w:t xml:space="preserve"> Law Commission, Liability for Psychiatric Illness (Law Com No 249, 1998) para 6.18; Nicholas Mullany and Peter Handford, Tort Liability for Psychiatric Damage (2nd </w:t>
      </w:r>
      <w:proofErr w:type="spellStart"/>
      <w:r w:rsidRPr="00726B1D">
        <w:rPr>
          <w:rFonts w:ascii="Arial" w:hAnsi="Arial" w:cs="Arial"/>
        </w:rPr>
        <w:t>edn</w:t>
      </w:r>
      <w:proofErr w:type="spellEnd"/>
      <w:r w:rsidRPr="00726B1D">
        <w:rPr>
          <w:rFonts w:ascii="Arial" w:hAnsi="Arial" w:cs="Arial"/>
        </w:rPr>
        <w:t>, OUP 2006) 436.</w:t>
      </w:r>
    </w:p>
  </w:footnote>
  <w:footnote w:id="8">
    <w:p w14:paraId="661F4733" w14:textId="77777777" w:rsidR="00DD5C8A" w:rsidRDefault="00DD5C8A" w:rsidP="00DD5C8A">
      <w:pPr>
        <w:pStyle w:val="FootnoteText"/>
      </w:pPr>
      <w:r>
        <w:rPr>
          <w:rStyle w:val="FootnoteReference"/>
        </w:rPr>
        <w:footnoteRef/>
      </w:r>
      <w:r>
        <w:t xml:space="preserve"> </w:t>
      </w:r>
      <w:r w:rsidRPr="00236559">
        <w:rPr>
          <w:rFonts w:ascii="Arial" w:hAnsi="Arial" w:cs="Arial"/>
        </w:rPr>
        <w:t xml:space="preserve">Peter Cane, ‘Psychiatric Injury After Paul’ (2024) </w:t>
      </w:r>
      <w:r w:rsidRPr="00236559">
        <w:rPr>
          <w:rStyle w:val="Emphasis"/>
          <w:rFonts w:ascii="Arial" w:hAnsi="Arial" w:cs="Arial"/>
        </w:rPr>
        <w:t>Medical Law Review</w:t>
      </w:r>
      <w:r w:rsidRPr="00236559">
        <w:rPr>
          <w:rFonts w:ascii="Arial" w:hAnsi="Arial" w:cs="Arial"/>
        </w:rPr>
        <w:t xml:space="preserve"> 214.</w:t>
      </w:r>
    </w:p>
  </w:footnote>
  <w:footnote w:id="9">
    <w:p w14:paraId="58FB5641" w14:textId="77777777" w:rsidR="00DD5C8A" w:rsidRDefault="00DD5C8A" w:rsidP="00DD5C8A">
      <w:pPr>
        <w:pStyle w:val="FootnoteText"/>
      </w:pPr>
      <w:r>
        <w:rPr>
          <w:rStyle w:val="FootnoteReference"/>
        </w:rPr>
        <w:footnoteRef/>
      </w:r>
      <w:r>
        <w:t xml:space="preserve"> </w:t>
      </w:r>
      <w:r w:rsidRPr="00726B1D">
        <w:rPr>
          <w:rFonts w:ascii="Arial" w:hAnsi="Arial" w:cs="Arial"/>
        </w:rPr>
        <w:t xml:space="preserve">Sarah Green, ‘Secondary Victims After Paul: A Step Backwards?’ (2024) </w:t>
      </w:r>
      <w:r w:rsidRPr="00726B1D">
        <w:rPr>
          <w:rStyle w:val="Emphasis"/>
          <w:rFonts w:ascii="Arial" w:hAnsi="Arial" w:cs="Arial"/>
        </w:rPr>
        <w:t>Journal of Personal Injury Law</w:t>
      </w:r>
      <w:r w:rsidRPr="00726B1D">
        <w:rPr>
          <w:rFonts w:ascii="Arial" w:hAnsi="Arial" w:cs="Arial"/>
        </w:rPr>
        <w:t xml:space="preserve"> 45.</w:t>
      </w:r>
    </w:p>
  </w:footnote>
  <w:footnote w:id="10">
    <w:p w14:paraId="3D28D694" w14:textId="77777777" w:rsidR="00DD5C8A" w:rsidRDefault="00DD5C8A" w:rsidP="00DD5C8A">
      <w:pPr>
        <w:pStyle w:val="FootnoteText"/>
      </w:pPr>
      <w:r>
        <w:rPr>
          <w:rStyle w:val="FootnoteReference"/>
        </w:rPr>
        <w:footnoteRef/>
      </w:r>
      <w:r>
        <w:t xml:space="preserve"> </w:t>
      </w:r>
      <w:r w:rsidRPr="00236559">
        <w:rPr>
          <w:rFonts w:ascii="Arial" w:hAnsi="Arial" w:cs="Arial"/>
        </w:rPr>
        <w:t xml:space="preserve">Nicholas J McBride and Roderick Bagshaw, </w:t>
      </w:r>
      <w:r w:rsidRPr="00236559">
        <w:rPr>
          <w:rStyle w:val="Emphasis"/>
          <w:rFonts w:ascii="Arial" w:hAnsi="Arial" w:cs="Arial"/>
        </w:rPr>
        <w:t>Tort Law</w:t>
      </w:r>
      <w:r w:rsidRPr="00236559">
        <w:rPr>
          <w:rFonts w:ascii="Arial" w:hAnsi="Arial" w:cs="Arial"/>
        </w:rPr>
        <w:t xml:space="preserve"> (6th </w:t>
      </w:r>
      <w:proofErr w:type="spellStart"/>
      <w:r w:rsidRPr="00236559">
        <w:rPr>
          <w:rFonts w:ascii="Arial" w:hAnsi="Arial" w:cs="Arial"/>
        </w:rPr>
        <w:t>edn</w:t>
      </w:r>
      <w:proofErr w:type="spellEnd"/>
      <w:r w:rsidRPr="00236559">
        <w:rPr>
          <w:rFonts w:ascii="Arial" w:hAnsi="Arial" w:cs="Arial"/>
        </w:rPr>
        <w:t>, Pearson 2020) 297.</w:t>
      </w:r>
    </w:p>
  </w:footnote>
  <w:footnote w:id="11">
    <w:p w14:paraId="7BF438B7" w14:textId="77777777" w:rsidR="002B74D1" w:rsidRPr="00043F21" w:rsidRDefault="002B74D1" w:rsidP="002B74D1">
      <w:pPr>
        <w:pStyle w:val="FootnoteText"/>
        <w:rPr>
          <w:rFonts w:ascii="Arial" w:hAnsi="Arial" w:cs="Arial"/>
        </w:rPr>
      </w:pPr>
      <w:r>
        <w:rPr>
          <w:rStyle w:val="FootnoteReference"/>
        </w:rPr>
        <w:footnoteRef/>
      </w:r>
      <w:r>
        <w:t xml:space="preserve"> </w:t>
      </w:r>
      <w:r w:rsidRPr="00236559">
        <w:rPr>
          <w:rFonts w:ascii="Arial" w:hAnsi="Arial" w:cs="Arial"/>
        </w:rPr>
        <w:t xml:space="preserve">Robert Stevens, </w:t>
      </w:r>
      <w:r w:rsidRPr="00236559">
        <w:rPr>
          <w:rStyle w:val="Emphasis"/>
          <w:rFonts w:ascii="Arial" w:hAnsi="Arial" w:cs="Arial"/>
        </w:rPr>
        <w:t>Torts and Rights</w:t>
      </w:r>
      <w:r w:rsidRPr="00236559">
        <w:rPr>
          <w:rFonts w:ascii="Arial" w:hAnsi="Arial" w:cs="Arial"/>
        </w:rPr>
        <w:t xml:space="preserve"> (OUP 2007) 88.</w:t>
      </w:r>
    </w:p>
  </w:footnote>
  <w:footnote w:id="12">
    <w:p w14:paraId="6330C6DB" w14:textId="77777777" w:rsidR="002B74D1" w:rsidRDefault="002B74D1" w:rsidP="002B74D1">
      <w:pPr>
        <w:pStyle w:val="FootnoteText"/>
      </w:pPr>
      <w:r>
        <w:rPr>
          <w:rStyle w:val="FootnoteReference"/>
        </w:rPr>
        <w:footnoteRef/>
      </w:r>
      <w:r>
        <w:t xml:space="preserve"> </w:t>
      </w:r>
      <w:r w:rsidRPr="00236559">
        <w:rPr>
          <w:rFonts w:ascii="Arial" w:hAnsi="Arial" w:cs="Arial"/>
        </w:rPr>
        <w:t xml:space="preserve">Law Commission, </w:t>
      </w:r>
      <w:r w:rsidRPr="00236559">
        <w:rPr>
          <w:rStyle w:val="Emphasis"/>
          <w:rFonts w:ascii="Arial" w:hAnsi="Arial" w:cs="Arial"/>
        </w:rPr>
        <w:t>Liability for Psychiatric Illness</w:t>
      </w:r>
      <w:r w:rsidRPr="00236559">
        <w:rPr>
          <w:rFonts w:ascii="Arial" w:hAnsi="Arial" w:cs="Arial"/>
        </w:rPr>
        <w:t xml:space="preserve"> (Law Com No 249, 1998) para 6.18.</w:t>
      </w:r>
    </w:p>
  </w:footnote>
  <w:footnote w:id="13">
    <w:p w14:paraId="61499B7E" w14:textId="77777777" w:rsidR="002B74D1" w:rsidRDefault="002B74D1" w:rsidP="002B74D1">
      <w:pPr>
        <w:pStyle w:val="FootnoteText"/>
      </w:pPr>
      <w:r>
        <w:rPr>
          <w:rStyle w:val="FootnoteReference"/>
        </w:rPr>
        <w:footnoteRef/>
      </w:r>
      <w:r>
        <w:t xml:space="preserve"> </w:t>
      </w:r>
      <w:r w:rsidRPr="00236559">
        <w:rPr>
          <w:rFonts w:ascii="Arial" w:hAnsi="Arial" w:cs="Arial"/>
        </w:rPr>
        <w:t>Donal Nolan, ‘Psychiatric Har</w:t>
      </w:r>
      <w:r>
        <w:t xml:space="preserve">m and the Search for Principle’ (2021) 84 </w:t>
      </w:r>
      <w:r>
        <w:rPr>
          <w:rStyle w:val="Emphasis"/>
        </w:rPr>
        <w:t>Modern Law Review</w:t>
      </w:r>
      <w:r>
        <w:t xml:space="preserve"> 987.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4B3D80" w14:textId="34D60157" w:rsidR="00400730" w:rsidRDefault="001B5B40" w:rsidP="00FE16D6">
    <w:pPr>
      <w:pStyle w:val="Header"/>
      <w:jc w:val="right"/>
    </w:pPr>
    <w:r>
      <w:t>Student</w:t>
    </w:r>
    <w:r w:rsidR="00AA1732">
      <w:t xml:space="preserve"> number:</w:t>
    </w:r>
    <w:r>
      <w:t xml:space="preserve"> 0408689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E1B4D5E"/>
    <w:multiLevelType w:val="multilevel"/>
    <w:tmpl w:val="8DF69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002F2"/>
    <w:multiLevelType w:val="multilevel"/>
    <w:tmpl w:val="70C4B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0F5C4E"/>
    <w:multiLevelType w:val="multilevel"/>
    <w:tmpl w:val="D04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B03C7"/>
    <w:multiLevelType w:val="multilevel"/>
    <w:tmpl w:val="402AF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C36A0C"/>
    <w:multiLevelType w:val="multilevel"/>
    <w:tmpl w:val="3F5C0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972520">
    <w:abstractNumId w:val="4"/>
  </w:num>
  <w:num w:numId="2" w16cid:durableId="224030832">
    <w:abstractNumId w:val="1"/>
  </w:num>
  <w:num w:numId="3" w16cid:durableId="1896892916">
    <w:abstractNumId w:val="2"/>
  </w:num>
  <w:num w:numId="4" w16cid:durableId="532236031">
    <w:abstractNumId w:val="3"/>
  </w:num>
  <w:num w:numId="5" w16cid:durableId="213930250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C9"/>
    <w:rsid w:val="00015319"/>
    <w:rsid w:val="0002665A"/>
    <w:rsid w:val="000302DA"/>
    <w:rsid w:val="000515AA"/>
    <w:rsid w:val="00057F33"/>
    <w:rsid w:val="000645D6"/>
    <w:rsid w:val="00095D78"/>
    <w:rsid w:val="000C66E3"/>
    <w:rsid w:val="000D5399"/>
    <w:rsid w:val="000D66BF"/>
    <w:rsid w:val="000D7C22"/>
    <w:rsid w:val="00101158"/>
    <w:rsid w:val="001050C0"/>
    <w:rsid w:val="001078AA"/>
    <w:rsid w:val="00143777"/>
    <w:rsid w:val="00173A62"/>
    <w:rsid w:val="00185A21"/>
    <w:rsid w:val="00186157"/>
    <w:rsid w:val="00187637"/>
    <w:rsid w:val="001978F9"/>
    <w:rsid w:val="001A6D03"/>
    <w:rsid w:val="001A7168"/>
    <w:rsid w:val="001B5B40"/>
    <w:rsid w:val="001C580E"/>
    <w:rsid w:val="001C74BA"/>
    <w:rsid w:val="001D295A"/>
    <w:rsid w:val="001D500D"/>
    <w:rsid w:val="001E4178"/>
    <w:rsid w:val="001F356E"/>
    <w:rsid w:val="001F71E6"/>
    <w:rsid w:val="00215A79"/>
    <w:rsid w:val="00224DAE"/>
    <w:rsid w:val="002335D4"/>
    <w:rsid w:val="00236559"/>
    <w:rsid w:val="00236AE7"/>
    <w:rsid w:val="0024594E"/>
    <w:rsid w:val="0026441E"/>
    <w:rsid w:val="0027134B"/>
    <w:rsid w:val="00273B5E"/>
    <w:rsid w:val="002755BC"/>
    <w:rsid w:val="0028090C"/>
    <w:rsid w:val="002A2E74"/>
    <w:rsid w:val="002A4DA3"/>
    <w:rsid w:val="002B3CDC"/>
    <w:rsid w:val="002B6880"/>
    <w:rsid w:val="002B74D1"/>
    <w:rsid w:val="002C29CE"/>
    <w:rsid w:val="002D2E5F"/>
    <w:rsid w:val="002E0DF2"/>
    <w:rsid w:val="002E4EB6"/>
    <w:rsid w:val="002F431F"/>
    <w:rsid w:val="002F5ECE"/>
    <w:rsid w:val="002F781D"/>
    <w:rsid w:val="003136D1"/>
    <w:rsid w:val="0032430B"/>
    <w:rsid w:val="0033364B"/>
    <w:rsid w:val="00362232"/>
    <w:rsid w:val="00394D17"/>
    <w:rsid w:val="003C3A57"/>
    <w:rsid w:val="003C5977"/>
    <w:rsid w:val="003D16C4"/>
    <w:rsid w:val="003D208F"/>
    <w:rsid w:val="003D420A"/>
    <w:rsid w:val="003D67B0"/>
    <w:rsid w:val="003E6324"/>
    <w:rsid w:val="003F0685"/>
    <w:rsid w:val="003F4B1D"/>
    <w:rsid w:val="004002B2"/>
    <w:rsid w:val="00400730"/>
    <w:rsid w:val="00415B19"/>
    <w:rsid w:val="00416654"/>
    <w:rsid w:val="00420424"/>
    <w:rsid w:val="00425B72"/>
    <w:rsid w:val="004262E9"/>
    <w:rsid w:val="00431D00"/>
    <w:rsid w:val="004326D2"/>
    <w:rsid w:val="00432D91"/>
    <w:rsid w:val="00442FC1"/>
    <w:rsid w:val="00444BF5"/>
    <w:rsid w:val="00452AF7"/>
    <w:rsid w:val="00453EE3"/>
    <w:rsid w:val="0046014D"/>
    <w:rsid w:val="00466911"/>
    <w:rsid w:val="00480974"/>
    <w:rsid w:val="00482E29"/>
    <w:rsid w:val="0048422A"/>
    <w:rsid w:val="004921A5"/>
    <w:rsid w:val="00497FB2"/>
    <w:rsid w:val="004B3AC6"/>
    <w:rsid w:val="004B5692"/>
    <w:rsid w:val="004D3410"/>
    <w:rsid w:val="004D39FF"/>
    <w:rsid w:val="004E626F"/>
    <w:rsid w:val="004F123C"/>
    <w:rsid w:val="00506727"/>
    <w:rsid w:val="00512DC1"/>
    <w:rsid w:val="00513B09"/>
    <w:rsid w:val="0054024D"/>
    <w:rsid w:val="00542038"/>
    <w:rsid w:val="0054418D"/>
    <w:rsid w:val="00583B94"/>
    <w:rsid w:val="00586EB1"/>
    <w:rsid w:val="0059042F"/>
    <w:rsid w:val="00592EF2"/>
    <w:rsid w:val="00594B5E"/>
    <w:rsid w:val="005A4F2C"/>
    <w:rsid w:val="005B0BA6"/>
    <w:rsid w:val="005B4BE2"/>
    <w:rsid w:val="005D4BD3"/>
    <w:rsid w:val="005D66D5"/>
    <w:rsid w:val="005D6D2F"/>
    <w:rsid w:val="0060675C"/>
    <w:rsid w:val="006072A8"/>
    <w:rsid w:val="006104E3"/>
    <w:rsid w:val="00614C87"/>
    <w:rsid w:val="00635035"/>
    <w:rsid w:val="0063654F"/>
    <w:rsid w:val="0066199E"/>
    <w:rsid w:val="00667E76"/>
    <w:rsid w:val="00667FB2"/>
    <w:rsid w:val="00676206"/>
    <w:rsid w:val="006963B3"/>
    <w:rsid w:val="006E0A80"/>
    <w:rsid w:val="00707A4F"/>
    <w:rsid w:val="00726B1D"/>
    <w:rsid w:val="00772298"/>
    <w:rsid w:val="00773350"/>
    <w:rsid w:val="00773BA6"/>
    <w:rsid w:val="007818AD"/>
    <w:rsid w:val="0079090E"/>
    <w:rsid w:val="007C5B94"/>
    <w:rsid w:val="007D26A4"/>
    <w:rsid w:val="007E237F"/>
    <w:rsid w:val="007E35C1"/>
    <w:rsid w:val="007F7455"/>
    <w:rsid w:val="00804DCA"/>
    <w:rsid w:val="00805EAE"/>
    <w:rsid w:val="0082152F"/>
    <w:rsid w:val="00824D18"/>
    <w:rsid w:val="00826322"/>
    <w:rsid w:val="0082685C"/>
    <w:rsid w:val="00833B95"/>
    <w:rsid w:val="00843299"/>
    <w:rsid w:val="0087323B"/>
    <w:rsid w:val="00884A46"/>
    <w:rsid w:val="00891050"/>
    <w:rsid w:val="00894D51"/>
    <w:rsid w:val="00897E6B"/>
    <w:rsid w:val="008A2CFD"/>
    <w:rsid w:val="008B12BE"/>
    <w:rsid w:val="008B38C9"/>
    <w:rsid w:val="008B452B"/>
    <w:rsid w:val="008C1976"/>
    <w:rsid w:val="00906406"/>
    <w:rsid w:val="0090670F"/>
    <w:rsid w:val="00913C08"/>
    <w:rsid w:val="00915BB6"/>
    <w:rsid w:val="009176DA"/>
    <w:rsid w:val="009203A0"/>
    <w:rsid w:val="0095244D"/>
    <w:rsid w:val="00963653"/>
    <w:rsid w:val="00974435"/>
    <w:rsid w:val="00990856"/>
    <w:rsid w:val="00991862"/>
    <w:rsid w:val="0099200C"/>
    <w:rsid w:val="0099537F"/>
    <w:rsid w:val="009A0C6E"/>
    <w:rsid w:val="009A2AD0"/>
    <w:rsid w:val="009A4881"/>
    <w:rsid w:val="009B11F2"/>
    <w:rsid w:val="009C641D"/>
    <w:rsid w:val="009D143E"/>
    <w:rsid w:val="009E3D4D"/>
    <w:rsid w:val="00A00EDD"/>
    <w:rsid w:val="00A274E0"/>
    <w:rsid w:val="00A3184C"/>
    <w:rsid w:val="00A34A4D"/>
    <w:rsid w:val="00A41456"/>
    <w:rsid w:val="00A475A9"/>
    <w:rsid w:val="00A73411"/>
    <w:rsid w:val="00A748A8"/>
    <w:rsid w:val="00A81DFF"/>
    <w:rsid w:val="00A855DB"/>
    <w:rsid w:val="00A86505"/>
    <w:rsid w:val="00AA1732"/>
    <w:rsid w:val="00AA7D7D"/>
    <w:rsid w:val="00AB5EFA"/>
    <w:rsid w:val="00AD5762"/>
    <w:rsid w:val="00AF0B6D"/>
    <w:rsid w:val="00B02F00"/>
    <w:rsid w:val="00B139AD"/>
    <w:rsid w:val="00B23503"/>
    <w:rsid w:val="00B4352A"/>
    <w:rsid w:val="00B46007"/>
    <w:rsid w:val="00B5471F"/>
    <w:rsid w:val="00B6591A"/>
    <w:rsid w:val="00B72EE0"/>
    <w:rsid w:val="00B83A3B"/>
    <w:rsid w:val="00B85CFD"/>
    <w:rsid w:val="00B90EEE"/>
    <w:rsid w:val="00B93E73"/>
    <w:rsid w:val="00B96268"/>
    <w:rsid w:val="00B97CC9"/>
    <w:rsid w:val="00BF4219"/>
    <w:rsid w:val="00C069AF"/>
    <w:rsid w:val="00C1333C"/>
    <w:rsid w:val="00C21F18"/>
    <w:rsid w:val="00C353F6"/>
    <w:rsid w:val="00C74922"/>
    <w:rsid w:val="00C778FC"/>
    <w:rsid w:val="00CB2A30"/>
    <w:rsid w:val="00CB74DA"/>
    <w:rsid w:val="00CC09D4"/>
    <w:rsid w:val="00CC5037"/>
    <w:rsid w:val="00CD0C4F"/>
    <w:rsid w:val="00CD1F48"/>
    <w:rsid w:val="00CE4603"/>
    <w:rsid w:val="00CE533B"/>
    <w:rsid w:val="00CE53F7"/>
    <w:rsid w:val="00CE574F"/>
    <w:rsid w:val="00CE7E8D"/>
    <w:rsid w:val="00CF0D70"/>
    <w:rsid w:val="00D0452D"/>
    <w:rsid w:val="00D12310"/>
    <w:rsid w:val="00D30C4C"/>
    <w:rsid w:val="00D31035"/>
    <w:rsid w:val="00D33668"/>
    <w:rsid w:val="00D33E50"/>
    <w:rsid w:val="00D57BEF"/>
    <w:rsid w:val="00D7229A"/>
    <w:rsid w:val="00D85B29"/>
    <w:rsid w:val="00D9021F"/>
    <w:rsid w:val="00DB1F8A"/>
    <w:rsid w:val="00DB5D20"/>
    <w:rsid w:val="00DD5C8A"/>
    <w:rsid w:val="00DD61DF"/>
    <w:rsid w:val="00DF3835"/>
    <w:rsid w:val="00E03D4F"/>
    <w:rsid w:val="00E23C95"/>
    <w:rsid w:val="00E258DD"/>
    <w:rsid w:val="00E2658E"/>
    <w:rsid w:val="00E27C4F"/>
    <w:rsid w:val="00E32A9C"/>
    <w:rsid w:val="00E37995"/>
    <w:rsid w:val="00E40516"/>
    <w:rsid w:val="00E4114E"/>
    <w:rsid w:val="00E45BEF"/>
    <w:rsid w:val="00E54FED"/>
    <w:rsid w:val="00E8355F"/>
    <w:rsid w:val="00E87CAC"/>
    <w:rsid w:val="00EA28CA"/>
    <w:rsid w:val="00EC0BFF"/>
    <w:rsid w:val="00EC6CFD"/>
    <w:rsid w:val="00ED479C"/>
    <w:rsid w:val="00F01422"/>
    <w:rsid w:val="00F41603"/>
    <w:rsid w:val="00F852A1"/>
    <w:rsid w:val="00F93125"/>
    <w:rsid w:val="00FA0E8D"/>
    <w:rsid w:val="00FA4FF1"/>
    <w:rsid w:val="00FA70AF"/>
    <w:rsid w:val="00FC1525"/>
    <w:rsid w:val="00FE16D6"/>
    <w:rsid w:val="00FE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CDF4B"/>
  <w15:chartTrackingRefBased/>
  <w15:docId w15:val="{C7251C5E-2CCC-F449-8A6B-96BC4DF20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3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3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3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3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8C9"/>
    <w:rPr>
      <w:rFonts w:eastAsiaTheme="majorEastAsia" w:cstheme="majorBidi"/>
      <w:color w:val="272727" w:themeColor="text1" w:themeTint="D8"/>
    </w:rPr>
  </w:style>
  <w:style w:type="paragraph" w:styleId="Title">
    <w:name w:val="Title"/>
    <w:basedOn w:val="Normal"/>
    <w:next w:val="Normal"/>
    <w:link w:val="TitleChar"/>
    <w:uiPriority w:val="10"/>
    <w:qFormat/>
    <w:rsid w:val="008B3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8C9"/>
    <w:pPr>
      <w:spacing w:before="160"/>
      <w:jc w:val="center"/>
    </w:pPr>
    <w:rPr>
      <w:i/>
      <w:iCs/>
      <w:color w:val="404040" w:themeColor="text1" w:themeTint="BF"/>
    </w:rPr>
  </w:style>
  <w:style w:type="character" w:customStyle="1" w:styleId="QuoteChar">
    <w:name w:val="Quote Char"/>
    <w:basedOn w:val="DefaultParagraphFont"/>
    <w:link w:val="Quote"/>
    <w:uiPriority w:val="29"/>
    <w:rsid w:val="008B38C9"/>
    <w:rPr>
      <w:i/>
      <w:iCs/>
      <w:color w:val="404040" w:themeColor="text1" w:themeTint="BF"/>
    </w:rPr>
  </w:style>
  <w:style w:type="paragraph" w:styleId="ListParagraph">
    <w:name w:val="List Paragraph"/>
    <w:basedOn w:val="Normal"/>
    <w:uiPriority w:val="34"/>
    <w:qFormat/>
    <w:rsid w:val="008B38C9"/>
    <w:pPr>
      <w:ind w:left="720"/>
      <w:contextualSpacing/>
    </w:pPr>
  </w:style>
  <w:style w:type="character" w:styleId="IntenseEmphasis">
    <w:name w:val="Intense Emphasis"/>
    <w:basedOn w:val="DefaultParagraphFont"/>
    <w:uiPriority w:val="21"/>
    <w:qFormat/>
    <w:rsid w:val="008B38C9"/>
    <w:rPr>
      <w:i/>
      <w:iCs/>
      <w:color w:val="0F4761" w:themeColor="accent1" w:themeShade="BF"/>
    </w:rPr>
  </w:style>
  <w:style w:type="paragraph" w:styleId="IntenseQuote">
    <w:name w:val="Intense Quote"/>
    <w:basedOn w:val="Normal"/>
    <w:next w:val="Normal"/>
    <w:link w:val="IntenseQuoteChar"/>
    <w:uiPriority w:val="30"/>
    <w:qFormat/>
    <w:rsid w:val="008B3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8C9"/>
    <w:rPr>
      <w:i/>
      <w:iCs/>
      <w:color w:val="0F4761" w:themeColor="accent1" w:themeShade="BF"/>
    </w:rPr>
  </w:style>
  <w:style w:type="character" w:styleId="IntenseReference">
    <w:name w:val="Intense Reference"/>
    <w:basedOn w:val="DefaultParagraphFont"/>
    <w:uiPriority w:val="32"/>
    <w:qFormat/>
    <w:rsid w:val="008B38C9"/>
    <w:rPr>
      <w:b/>
      <w:bCs/>
      <w:smallCaps/>
      <w:color w:val="0F4761" w:themeColor="accent1" w:themeShade="BF"/>
      <w:spacing w:val="5"/>
    </w:rPr>
  </w:style>
  <w:style w:type="paragraph" w:styleId="NormalWeb">
    <w:name w:val="Normal (Web)"/>
    <w:basedOn w:val="Normal"/>
    <w:uiPriority w:val="99"/>
    <w:unhideWhenUsed/>
    <w:rsid w:val="001D50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D500D"/>
    <w:rPr>
      <w:b/>
      <w:bCs/>
    </w:rPr>
  </w:style>
  <w:style w:type="paragraph" w:styleId="Header">
    <w:name w:val="header"/>
    <w:basedOn w:val="Normal"/>
    <w:link w:val="HeaderChar"/>
    <w:uiPriority w:val="99"/>
    <w:unhideWhenUsed/>
    <w:rsid w:val="00400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730"/>
  </w:style>
  <w:style w:type="paragraph" w:styleId="Footer">
    <w:name w:val="footer"/>
    <w:basedOn w:val="Normal"/>
    <w:link w:val="FooterChar"/>
    <w:uiPriority w:val="99"/>
    <w:unhideWhenUsed/>
    <w:rsid w:val="00400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730"/>
  </w:style>
  <w:style w:type="paragraph" w:styleId="NoSpacing">
    <w:name w:val="No Spacing"/>
    <w:link w:val="NoSpacingChar"/>
    <w:uiPriority w:val="1"/>
    <w:qFormat/>
    <w:rsid w:val="0040073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0073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6199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199E"/>
    <w:pPr>
      <w:spacing w:before="120" w:after="120"/>
    </w:pPr>
    <w:rPr>
      <w:b/>
      <w:bCs/>
      <w:caps/>
      <w:sz w:val="20"/>
      <w:szCs w:val="20"/>
    </w:rPr>
  </w:style>
  <w:style w:type="paragraph" w:styleId="TOC2">
    <w:name w:val="toc 2"/>
    <w:basedOn w:val="Normal"/>
    <w:next w:val="Normal"/>
    <w:autoRedefine/>
    <w:uiPriority w:val="39"/>
    <w:unhideWhenUsed/>
    <w:rsid w:val="0066199E"/>
    <w:pPr>
      <w:spacing w:after="0"/>
      <w:ind w:left="240"/>
    </w:pPr>
    <w:rPr>
      <w:smallCaps/>
      <w:sz w:val="20"/>
      <w:szCs w:val="20"/>
    </w:rPr>
  </w:style>
  <w:style w:type="paragraph" w:styleId="TOC3">
    <w:name w:val="toc 3"/>
    <w:basedOn w:val="Normal"/>
    <w:next w:val="Normal"/>
    <w:autoRedefine/>
    <w:uiPriority w:val="39"/>
    <w:unhideWhenUsed/>
    <w:rsid w:val="0066199E"/>
    <w:pPr>
      <w:spacing w:after="0"/>
      <w:ind w:left="480"/>
    </w:pPr>
    <w:rPr>
      <w:i/>
      <w:iCs/>
      <w:sz w:val="20"/>
      <w:szCs w:val="20"/>
    </w:rPr>
  </w:style>
  <w:style w:type="paragraph" w:styleId="TOC4">
    <w:name w:val="toc 4"/>
    <w:basedOn w:val="Normal"/>
    <w:next w:val="Normal"/>
    <w:autoRedefine/>
    <w:uiPriority w:val="39"/>
    <w:unhideWhenUsed/>
    <w:rsid w:val="0066199E"/>
    <w:pPr>
      <w:spacing w:after="0"/>
      <w:ind w:left="720"/>
    </w:pPr>
    <w:rPr>
      <w:sz w:val="18"/>
      <w:szCs w:val="18"/>
    </w:rPr>
  </w:style>
  <w:style w:type="paragraph" w:styleId="TOC5">
    <w:name w:val="toc 5"/>
    <w:basedOn w:val="Normal"/>
    <w:next w:val="Normal"/>
    <w:autoRedefine/>
    <w:uiPriority w:val="39"/>
    <w:unhideWhenUsed/>
    <w:rsid w:val="0066199E"/>
    <w:pPr>
      <w:spacing w:after="0"/>
      <w:ind w:left="960"/>
    </w:pPr>
    <w:rPr>
      <w:sz w:val="18"/>
      <w:szCs w:val="18"/>
    </w:rPr>
  </w:style>
  <w:style w:type="paragraph" w:styleId="TOC6">
    <w:name w:val="toc 6"/>
    <w:basedOn w:val="Normal"/>
    <w:next w:val="Normal"/>
    <w:autoRedefine/>
    <w:uiPriority w:val="39"/>
    <w:unhideWhenUsed/>
    <w:rsid w:val="0066199E"/>
    <w:pPr>
      <w:spacing w:after="0"/>
      <w:ind w:left="1200"/>
    </w:pPr>
    <w:rPr>
      <w:sz w:val="18"/>
      <w:szCs w:val="18"/>
    </w:rPr>
  </w:style>
  <w:style w:type="paragraph" w:styleId="TOC7">
    <w:name w:val="toc 7"/>
    <w:basedOn w:val="Normal"/>
    <w:next w:val="Normal"/>
    <w:autoRedefine/>
    <w:uiPriority w:val="39"/>
    <w:unhideWhenUsed/>
    <w:rsid w:val="0066199E"/>
    <w:pPr>
      <w:spacing w:after="0"/>
      <w:ind w:left="1440"/>
    </w:pPr>
    <w:rPr>
      <w:sz w:val="18"/>
      <w:szCs w:val="18"/>
    </w:rPr>
  </w:style>
  <w:style w:type="paragraph" w:styleId="TOC8">
    <w:name w:val="toc 8"/>
    <w:basedOn w:val="Normal"/>
    <w:next w:val="Normal"/>
    <w:autoRedefine/>
    <w:uiPriority w:val="39"/>
    <w:unhideWhenUsed/>
    <w:rsid w:val="0066199E"/>
    <w:pPr>
      <w:spacing w:after="0"/>
      <w:ind w:left="1680"/>
    </w:pPr>
    <w:rPr>
      <w:sz w:val="18"/>
      <w:szCs w:val="18"/>
    </w:rPr>
  </w:style>
  <w:style w:type="paragraph" w:styleId="TOC9">
    <w:name w:val="toc 9"/>
    <w:basedOn w:val="Normal"/>
    <w:next w:val="Normal"/>
    <w:autoRedefine/>
    <w:uiPriority w:val="39"/>
    <w:unhideWhenUsed/>
    <w:rsid w:val="0066199E"/>
    <w:pPr>
      <w:spacing w:after="0"/>
      <w:ind w:left="1920"/>
    </w:pPr>
    <w:rPr>
      <w:sz w:val="18"/>
      <w:szCs w:val="18"/>
    </w:rPr>
  </w:style>
  <w:style w:type="character" w:styleId="PageNumber">
    <w:name w:val="page number"/>
    <w:basedOn w:val="DefaultParagraphFont"/>
    <w:uiPriority w:val="99"/>
    <w:semiHidden/>
    <w:unhideWhenUsed/>
    <w:rsid w:val="002B6880"/>
  </w:style>
  <w:style w:type="character" w:styleId="Hyperlink">
    <w:name w:val="Hyperlink"/>
    <w:basedOn w:val="DefaultParagraphFont"/>
    <w:uiPriority w:val="99"/>
    <w:unhideWhenUsed/>
    <w:rsid w:val="005B4BE2"/>
    <w:rPr>
      <w:color w:val="467886" w:themeColor="hyperlink"/>
      <w:u w:val="single"/>
    </w:rPr>
  </w:style>
  <w:style w:type="paragraph" w:styleId="FootnoteText">
    <w:name w:val="footnote text"/>
    <w:basedOn w:val="Normal"/>
    <w:link w:val="FootnoteTextChar"/>
    <w:uiPriority w:val="99"/>
    <w:semiHidden/>
    <w:unhideWhenUsed/>
    <w:rsid w:val="008268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685C"/>
    <w:rPr>
      <w:sz w:val="20"/>
      <w:szCs w:val="20"/>
    </w:rPr>
  </w:style>
  <w:style w:type="character" w:styleId="FootnoteReference">
    <w:name w:val="footnote reference"/>
    <w:basedOn w:val="DefaultParagraphFont"/>
    <w:uiPriority w:val="99"/>
    <w:semiHidden/>
    <w:unhideWhenUsed/>
    <w:rsid w:val="0082685C"/>
    <w:rPr>
      <w:vertAlign w:val="superscript"/>
    </w:rPr>
  </w:style>
  <w:style w:type="character" w:styleId="Emphasis">
    <w:name w:val="Emphasis"/>
    <w:basedOn w:val="DefaultParagraphFont"/>
    <w:uiPriority w:val="20"/>
    <w:qFormat/>
    <w:rsid w:val="00B46007"/>
    <w:rPr>
      <w:i/>
      <w:iCs/>
    </w:rPr>
  </w:style>
  <w:style w:type="paragraph" w:customStyle="1" w:styleId="py-1">
    <w:name w:val="py-1"/>
    <w:basedOn w:val="Normal"/>
    <w:rsid w:val="007F74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B235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50CF7-8F13-4143-BEDA-91CDDB33E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22</Pages>
  <Words>4223</Words>
  <Characters>24962</Characters>
  <Application>Microsoft Office Word</Application>
  <DocSecurity>0</DocSecurity>
  <Lines>531</Lines>
  <Paragraphs>199</Paragraphs>
  <ScaleCrop>false</ScaleCrop>
  <HeadingPairs>
    <vt:vector size="2" baseType="variant">
      <vt:variant>
        <vt:lpstr>Title</vt:lpstr>
      </vt:variant>
      <vt:variant>
        <vt:i4>1</vt:i4>
      </vt:variant>
    </vt:vector>
  </HeadingPairs>
  <TitlesOfParts>
    <vt:vector size="1" baseType="lpstr">
      <vt:lpstr>PREPARATION FOR PRACTICE COURSEWORK personal injury and clinical negligence</vt:lpstr>
    </vt:vector>
  </TitlesOfParts>
  <Company/>
  <LinksUpToDate>false</LinksUpToDate>
  <CharactersWithSpaces>28986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PREPARATION FOR PRACTICE COURSEWORK: Personal Injury and Clinical Negligence</dc:title>
  <dc:subject>Secondary Victim Claims and the impact of Paul v Royal Wolverhampton NHS Trust [2024]</dc:subject>
  <dc:creator>Olivia Masih</dc:creator>
  <cp:keywords/>
  <dc:description/>
  <cp:lastModifiedBy>Olivia Masih</cp:lastModifiedBy>
  <cp:revision>68</cp:revision>
  <cp:lastPrinted>2026-04-09T23:19:00Z</cp:lastPrinted>
  <dcterms:created xsi:type="dcterms:W3CDTF">2026-05-01T21:54:00Z</dcterms:created>
  <dcterms:modified xsi:type="dcterms:W3CDTF">2026-07-19T21:34:00Z</dcterms:modified>
</cp:coreProperties>
</file>