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B602E0" w14:textId="77777777" w:rsidR="0081391A" w:rsidRDefault="0081391A">
      <w:r>
        <w:t>HPAH6058 Assignment 1 [1000 words]</w:t>
      </w:r>
    </w:p>
    <w:p w14:paraId="2EC7DB05" w14:textId="68A04523" w:rsidR="002F6F07" w:rsidRPr="00BA7097" w:rsidRDefault="002F6F07">
      <w:r>
        <w:t>Alexander’s supposed meeting with the mythical queen of the Amazons, Thalestris, is often regarded as more of a legend than fact according to most ancient and modern scholars</w:t>
      </w:r>
      <w:r w:rsidR="00077EE8">
        <w:t>.</w:t>
      </w:r>
      <w:r>
        <w:t xml:space="preserve"> </w:t>
      </w:r>
      <w:r w:rsidR="00077EE8">
        <w:t>T</w:t>
      </w:r>
      <w:r>
        <w:t>his is more than likely an exaggeration of the Scythian king’s proposal of the marriage to his daughter, possibly for propaganda reasons</w:t>
      </w:r>
      <w:r w:rsidR="00077EE8">
        <w:t>, as the Amazons are prominent figures in Greek culture and myth who have been associated with Heracles, Achilles and Theseus.</w:t>
      </w:r>
      <w:r>
        <w:rPr>
          <w:rStyle w:val="FootnoteReference"/>
        </w:rPr>
        <w:footnoteReference w:id="2"/>
      </w:r>
      <w:r>
        <w:t xml:space="preserve"> On the other hand, there are some ancient sources </w:t>
      </w:r>
      <w:r w:rsidR="1A6930FE">
        <w:t xml:space="preserve">(Antigenes, Cleitarchus, and Justin) </w:t>
      </w:r>
      <w:r w:rsidR="00DE731F">
        <w:t>that do believe that the romantic liaison between Alexander and Thalestris happened.</w:t>
      </w:r>
      <w:r w:rsidR="007E3A83">
        <w:t xml:space="preserve"> Strabo accepted the existence of the Amazons, just not in the time period of Alexander</w:t>
      </w:r>
      <w:r w:rsidR="003C0C53">
        <w:t xml:space="preserve">, and also the geography </w:t>
      </w:r>
      <w:r w:rsidR="001041E8">
        <w:t>mentioned by Cleitarchus</w:t>
      </w:r>
      <w:r w:rsidR="007E0062">
        <w:t xml:space="preserve"> was factually incorrect</w:t>
      </w:r>
      <w:r w:rsidR="007E3A83">
        <w:t>.</w:t>
      </w:r>
      <w:r w:rsidR="007E3A83">
        <w:rPr>
          <w:rStyle w:val="FootnoteReference"/>
        </w:rPr>
        <w:footnoteReference w:id="3"/>
      </w:r>
      <w:r w:rsidR="00BA7097">
        <w:t xml:space="preserve"> Nonetheless, the Amazonian queen appears in almost every source on Alexander from the </w:t>
      </w:r>
      <w:r w:rsidR="00BA7097">
        <w:rPr>
          <w:i/>
        </w:rPr>
        <w:t xml:space="preserve">Alexander </w:t>
      </w:r>
      <w:r w:rsidR="00BA7097" w:rsidRPr="1A6930FE">
        <w:rPr>
          <w:i/>
          <w:iCs/>
        </w:rPr>
        <w:t>Romance</w:t>
      </w:r>
      <w:r w:rsidR="00BA7097">
        <w:t xml:space="preserve"> to Arrian.</w:t>
      </w:r>
      <w:r w:rsidR="00BA7097">
        <w:rPr>
          <w:rStyle w:val="FootnoteReference"/>
        </w:rPr>
        <w:footnoteReference w:id="4"/>
      </w:r>
    </w:p>
    <w:p w14:paraId="3888DC55" w14:textId="3FA5299A" w:rsidR="0080614B" w:rsidRDefault="00BA7097">
      <w:r>
        <w:t>It is generally accepted by the sources that mention Alexander and Thalestris’ meeting, that it happened after Alexander and his army had passed through the Caspian Gates</w:t>
      </w:r>
      <w:r w:rsidR="003E0006">
        <w:t xml:space="preserve"> in roughly 330-328 BCE. In</w:t>
      </w:r>
      <w:r w:rsidR="003E0006">
        <w:t xml:space="preserve"> o</w:t>
      </w:r>
      <w:r w:rsidR="003E0006">
        <w:t>ur main</w:t>
      </w:r>
      <w:r w:rsidR="004E703F">
        <w:t xml:space="preserve"> surviving</w:t>
      </w:r>
      <w:r w:rsidR="003E0006">
        <w:t xml:space="preserve"> sources for this event,</w:t>
      </w:r>
      <w:r w:rsidR="003E0006">
        <w:t xml:space="preserve"> </w:t>
      </w:r>
      <w:r w:rsidR="00EB6176">
        <w:t xml:space="preserve">Thalestris is described differently: </w:t>
      </w:r>
      <w:r w:rsidR="00EB6176">
        <w:rPr>
          <w:i/>
        </w:rPr>
        <w:t>regina</w:t>
      </w:r>
      <w:r w:rsidR="00EB6176">
        <w:t xml:space="preserve"> in Curtius, </w:t>
      </w:r>
      <w:r w:rsidR="00EB6176">
        <w:rPr>
          <w:i/>
        </w:rPr>
        <w:t>basilissa</w:t>
      </w:r>
      <w:r w:rsidR="00EB6176">
        <w:t xml:space="preserve"> in Diodorus, and </w:t>
      </w:r>
      <w:r w:rsidR="00EB6176" w:rsidRPr="6819AF4F">
        <w:rPr>
          <w:i/>
        </w:rPr>
        <w:t xml:space="preserve">Minythyia </w:t>
      </w:r>
      <w:r w:rsidR="00EB6176">
        <w:t>in Justin.</w:t>
      </w:r>
      <w:r w:rsidR="00EB6176">
        <w:rPr>
          <w:rStyle w:val="FootnoteReference"/>
        </w:rPr>
        <w:footnoteReference w:id="5"/>
      </w:r>
      <w:r w:rsidR="00EB6176">
        <w:t xml:space="preserve"> The </w:t>
      </w:r>
      <w:r w:rsidR="00EB6176">
        <w:rPr>
          <w:i/>
        </w:rPr>
        <w:t xml:space="preserve">Historia de </w:t>
      </w:r>
      <w:r w:rsidR="00EB6176" w:rsidRPr="7DADE160">
        <w:rPr>
          <w:i/>
          <w:iCs/>
        </w:rPr>
        <w:t>Preliis</w:t>
      </w:r>
      <w:r w:rsidR="00EB6176">
        <w:t xml:space="preserve"> differs in its account, as it details that Alexander wrote to Thalestris</w:t>
      </w:r>
      <w:r w:rsidR="003F6928">
        <w:t xml:space="preserve"> several times, with her also writing back</w:t>
      </w:r>
      <w:r w:rsidR="00F32ED6">
        <w:t>, and this is a more likely occurrence than</w:t>
      </w:r>
      <w:r w:rsidR="00210310">
        <w:t xml:space="preserve"> their meeting</w:t>
      </w:r>
      <w:r w:rsidR="00C14B54">
        <w:t>.</w:t>
      </w:r>
      <w:r w:rsidR="0080614B">
        <w:t xml:space="preserve"> </w:t>
      </w:r>
      <w:r w:rsidR="001D64FC">
        <w:t xml:space="preserve">Alexander’s first letter to Thalestris </w:t>
      </w:r>
      <w:r w:rsidR="00BA4FF8">
        <w:t xml:space="preserve">is arguably the </w:t>
      </w:r>
      <w:r w:rsidR="00C63F18">
        <w:t xml:space="preserve">most believable, but still curious in its nature, as </w:t>
      </w:r>
      <w:r w:rsidR="00A27DF4">
        <w:t xml:space="preserve">it details the negotiation of </w:t>
      </w:r>
      <w:r w:rsidR="00A50AA2">
        <w:t xml:space="preserve">access to the Amazonian territory, an appropriate tribute and the </w:t>
      </w:r>
      <w:r w:rsidR="00950F04">
        <w:t xml:space="preserve">service of the Amazonian cavalry; this were likely demands </w:t>
      </w:r>
      <w:r w:rsidR="00CE4C68">
        <w:t xml:space="preserve">of a king who wanted to </w:t>
      </w:r>
      <w:r w:rsidR="00740A9F">
        <w:t>expand his empire as far as possible</w:t>
      </w:r>
      <w:r w:rsidR="002C266D">
        <w:t xml:space="preserve">, </w:t>
      </w:r>
      <w:r w:rsidR="00740A9F">
        <w:t>but</w:t>
      </w:r>
      <w:r w:rsidR="002C266D">
        <w:t xml:space="preserve"> </w:t>
      </w:r>
      <w:r w:rsidR="002C266D">
        <w:t xml:space="preserve">makes </w:t>
      </w:r>
      <w:r w:rsidR="001E7294">
        <w:t>no mention of any sexual encounter.</w:t>
      </w:r>
      <w:r w:rsidR="00412325">
        <w:rPr>
          <w:rStyle w:val="FootnoteReference"/>
        </w:rPr>
        <w:footnoteReference w:id="6"/>
      </w:r>
      <w:r w:rsidR="00A86D2E">
        <w:t xml:space="preserve"> However, if this encounter were to be true </w:t>
      </w:r>
      <w:r w:rsidR="00E251C9">
        <w:t>why is there no future mention of Thalestris</w:t>
      </w:r>
      <w:r w:rsidR="00FA5D83">
        <w:t xml:space="preserve"> or a child of hers and Alexanders</w:t>
      </w:r>
      <w:r w:rsidR="00254227">
        <w:t>?</w:t>
      </w:r>
      <w:r w:rsidR="00C2395C">
        <w:t xml:space="preserve"> </w:t>
      </w:r>
      <w:r w:rsidR="006E6B84">
        <w:t xml:space="preserve">Walter’s </w:t>
      </w:r>
      <w:r w:rsidR="006E6B84">
        <w:rPr>
          <w:i/>
        </w:rPr>
        <w:t>Alexa</w:t>
      </w:r>
      <w:r w:rsidR="00A741E8">
        <w:rPr>
          <w:i/>
        </w:rPr>
        <w:t>ndreis</w:t>
      </w:r>
      <w:r w:rsidR="00EE3C4F">
        <w:t xml:space="preserve">, </w:t>
      </w:r>
      <w:r w:rsidR="00EC5CA5">
        <w:t xml:space="preserve">also mentions Thalestris’ encounter with Alexander having the purpose </w:t>
      </w:r>
      <w:r w:rsidR="00E05CD9">
        <w:t>of having a child with Alexander</w:t>
      </w:r>
      <w:r w:rsidR="00510950">
        <w:t>, “</w:t>
      </w:r>
      <w:r w:rsidR="006A3998">
        <w:rPr>
          <w:i/>
        </w:rPr>
        <w:t xml:space="preserve">She’d come to fill her womb and leave again to </w:t>
      </w:r>
      <w:r w:rsidR="00274712">
        <w:rPr>
          <w:i/>
        </w:rPr>
        <w:t>bear</w:t>
      </w:r>
      <w:r w:rsidR="006A3998">
        <w:rPr>
          <w:i/>
        </w:rPr>
        <w:t xml:space="preserve"> an offspring shared</w:t>
      </w:r>
      <w:r w:rsidR="00274712">
        <w:rPr>
          <w:i/>
        </w:rPr>
        <w:t xml:space="preserve"> with such a prince</w:t>
      </w:r>
      <w:r w:rsidR="00274712">
        <w:t>”</w:t>
      </w:r>
      <w:r w:rsidR="00037096">
        <w:t>, although this account comments on the stature of Alexander, and her surprise at it</w:t>
      </w:r>
      <w:r w:rsidR="005144D2">
        <w:t xml:space="preserve"> this is documented in Curtius’ account of this event as well</w:t>
      </w:r>
      <w:r w:rsidR="00AB3077">
        <w:t xml:space="preserve">, likely an attack on Alexander’s character </w:t>
      </w:r>
      <w:r w:rsidR="000C3CF1">
        <w:t>by Walter</w:t>
      </w:r>
      <w:r w:rsidR="00C33954">
        <w:t>, “</w:t>
      </w:r>
      <w:r w:rsidR="00C33954">
        <w:rPr>
          <w:i/>
        </w:rPr>
        <w:t>But sometimes mightier courage dwells inside a middling body</w:t>
      </w:r>
      <w:r w:rsidR="00C33954">
        <w:t>”</w:t>
      </w:r>
      <w:r w:rsidR="000C3CF1">
        <w:t>.</w:t>
      </w:r>
      <w:r w:rsidR="000C3CF1">
        <w:rPr>
          <w:rStyle w:val="FootnoteReference"/>
        </w:rPr>
        <w:footnoteReference w:id="7"/>
      </w:r>
    </w:p>
    <w:p w14:paraId="39B3352C" w14:textId="4FF1FE56" w:rsidR="007E3A83" w:rsidRDefault="00132FE6">
      <w:r>
        <w:t xml:space="preserve"> </w:t>
      </w:r>
      <w:r w:rsidR="007D5AE5">
        <w:t xml:space="preserve">The accounts of Diodorus and Curtius Rufus differ greatly </w:t>
      </w:r>
      <w:r w:rsidR="005A51E7">
        <w:t xml:space="preserve">as Thalestris supposedly arrived with three hundred </w:t>
      </w:r>
      <w:r w:rsidR="002D6E69">
        <w:t>fully armed Amazonians</w:t>
      </w:r>
      <w:r w:rsidR="001D5F89">
        <w:t xml:space="preserve"> for the sole reason of them conceiving a child together</w:t>
      </w:r>
      <w:r w:rsidR="00B66535">
        <w:t>.</w:t>
      </w:r>
      <w:r w:rsidR="00B66535">
        <w:rPr>
          <w:rStyle w:val="FootnoteReference"/>
        </w:rPr>
        <w:footnoteReference w:id="8"/>
      </w:r>
      <w:r w:rsidR="00B66535">
        <w:t xml:space="preserve"> </w:t>
      </w:r>
      <w:r w:rsidR="00762D34">
        <w:t>However, this could be seen as controversial as t</w:t>
      </w:r>
      <w:r w:rsidR="007D1D81">
        <w:t>he Amazons did not live with men or rely on them on providers</w:t>
      </w:r>
      <w:r w:rsidR="00211EE7" w:rsidRPr="00211EE7">
        <w:t>.</w:t>
      </w:r>
      <w:r w:rsidR="00CB0D23">
        <w:t xml:space="preserve"> This account of Alexander and Thalestris </w:t>
      </w:r>
      <w:r w:rsidR="00466D1E">
        <w:t>could have been created as propaganda for Alexander to compare himself to</w:t>
      </w:r>
      <w:r w:rsidR="000B7EF3">
        <w:t xml:space="preserve"> the Greek heroes:</w:t>
      </w:r>
      <w:r w:rsidR="00466D1E">
        <w:t xml:space="preserve"> Achilles, </w:t>
      </w:r>
      <w:r w:rsidR="00D57EF2">
        <w:t xml:space="preserve">who </w:t>
      </w:r>
      <w:r w:rsidR="00444C33">
        <w:t>is said to have killed Penthesilea</w:t>
      </w:r>
      <w:r w:rsidR="00DA33E9">
        <w:t>, a queen of the Amazons, in the Trojan war;</w:t>
      </w:r>
      <w:r w:rsidR="00D82857">
        <w:t xml:space="preserve"> </w:t>
      </w:r>
      <w:r w:rsidR="00466D1E">
        <w:t>Heracles</w:t>
      </w:r>
      <w:r w:rsidR="00D82857">
        <w:t xml:space="preserve">, who </w:t>
      </w:r>
      <w:r w:rsidR="00811965">
        <w:t xml:space="preserve">encountered the </w:t>
      </w:r>
      <w:r w:rsidR="002D5F36">
        <w:t>Amazonian queen, Hippolyta, and was tasked in retrieving her magical</w:t>
      </w:r>
      <w:r w:rsidR="004F69C0">
        <w:t xml:space="preserve"> girdle as one of his labours;</w:t>
      </w:r>
      <w:r w:rsidR="00706A9F">
        <w:t xml:space="preserve"> </w:t>
      </w:r>
      <w:r w:rsidR="00466D1E">
        <w:t xml:space="preserve">and Theseus, who </w:t>
      </w:r>
      <w:r w:rsidR="00136F88">
        <w:t>fell in love with Antiope and abducted her.</w:t>
      </w:r>
      <w:r w:rsidR="004B2D1C">
        <w:t xml:space="preserve"> All </w:t>
      </w:r>
      <w:r w:rsidR="004B2D1C">
        <w:t xml:space="preserve">these </w:t>
      </w:r>
      <w:r w:rsidR="004B2D1C">
        <w:t>men</w:t>
      </w:r>
      <w:r w:rsidR="00466D1E">
        <w:t xml:space="preserve"> </w:t>
      </w:r>
      <w:r w:rsidR="00466D1E">
        <w:t xml:space="preserve">had sexual relationships with </w:t>
      </w:r>
      <w:r w:rsidR="006D6AC0">
        <w:t>Amazons</w:t>
      </w:r>
      <w:r w:rsidR="00612099">
        <w:t xml:space="preserve"> supposedly like Alexander</w:t>
      </w:r>
      <w:r w:rsidR="006D6AC0">
        <w:t>.</w:t>
      </w:r>
      <w:r w:rsidR="00833128">
        <w:t xml:space="preserve"> </w:t>
      </w:r>
    </w:p>
    <w:p w14:paraId="5C69ABB1" w14:textId="3289707B" w:rsidR="007E3A83" w:rsidRDefault="003B6A90">
      <w:r>
        <w:t xml:space="preserve">Plutarch’s </w:t>
      </w:r>
      <w:r w:rsidR="006248D6">
        <w:t>account mainly details the sources</w:t>
      </w:r>
      <w:r w:rsidR="00F1199B">
        <w:t xml:space="preserve"> and whether they thought the event was fiction or not but does not conclusively </w:t>
      </w:r>
      <w:r w:rsidR="00ED4234">
        <w:t>take one side or the other</w:t>
      </w:r>
      <w:r w:rsidR="00EA3917">
        <w:t xml:space="preserve">, </w:t>
      </w:r>
      <w:r w:rsidR="00ED4234">
        <w:t xml:space="preserve">which is </w:t>
      </w:r>
      <w:r w:rsidR="00EA3917">
        <w:t>similar to Strabo’s account</w:t>
      </w:r>
      <w:r w:rsidR="00B20E35">
        <w:t>.</w:t>
      </w:r>
      <w:r w:rsidR="00FA3688">
        <w:t xml:space="preserve"> Arrian</w:t>
      </w:r>
      <w:r w:rsidR="008E7E58">
        <w:t xml:space="preserve"> </w:t>
      </w:r>
      <w:r w:rsidR="008E7E58">
        <w:t>has seemingly omitted the account of Thalestris from his history of Alexander</w:t>
      </w:r>
      <w:r w:rsidR="00B86DED">
        <w:t xml:space="preserve"> </w:t>
      </w:r>
      <w:r w:rsidR="00B86DED">
        <w:t>but does occasionally mention the Amazons</w:t>
      </w:r>
      <w:r w:rsidR="008C6941">
        <w:t xml:space="preserve">. </w:t>
      </w:r>
      <w:r w:rsidR="00DD1C8B">
        <w:t>Chugg claims</w:t>
      </w:r>
      <w:r w:rsidR="00DD1C8B">
        <w:t xml:space="preserve"> </w:t>
      </w:r>
      <w:r w:rsidR="00DD1C8B">
        <w:t>that Arrian often suppressed some of the more colourful stories</w:t>
      </w:r>
      <w:r w:rsidR="0034392A">
        <w:t>,</w:t>
      </w:r>
      <w:r w:rsidR="0034392A">
        <w:t xml:space="preserve"> </w:t>
      </w:r>
      <w:r w:rsidR="0034392A">
        <w:t>because they conflicted with his idealistic view of Alexander as a hero</w:t>
      </w:r>
      <w:r w:rsidR="00B74F24">
        <w:t xml:space="preserve"> </w:t>
      </w:r>
      <w:r w:rsidR="00FD748E">
        <w:t>and was unwilling to detail his love life because of his moral stance as a historian to avoid such matters.</w:t>
      </w:r>
      <w:r w:rsidR="00DB4EF7">
        <w:t xml:space="preserve"> However, Arrian does confirm Plutarch’s </w:t>
      </w:r>
      <w:r w:rsidR="00617911">
        <w:t>account of a marriage offer from a Scythian king around this time</w:t>
      </w:r>
      <w:r w:rsidR="00FD748E">
        <w:t>.</w:t>
      </w:r>
      <w:r w:rsidR="00FD748E">
        <w:rPr>
          <w:rStyle w:val="FootnoteReference"/>
        </w:rPr>
        <w:footnoteReference w:id="9"/>
      </w:r>
      <w:r w:rsidR="00B86DED">
        <w:t xml:space="preserve"> </w:t>
      </w:r>
    </w:p>
    <w:p w14:paraId="32712704" w14:textId="39F3955C" w:rsidR="00B20E35" w:rsidRDefault="00B20E35">
      <w:r>
        <w:t>The modern scholarly view of the event is similar to Plutarch’s view -</w:t>
      </w:r>
      <w:r w:rsidR="00AE00A0">
        <w:t xml:space="preserve"> </w:t>
      </w:r>
      <w:r w:rsidR="00CD626D">
        <w:t>the Amazons existed but</w:t>
      </w:r>
      <w:r w:rsidR="00CD626D">
        <w:t xml:space="preserve"> </w:t>
      </w:r>
      <w:r w:rsidR="00CD626D">
        <w:t xml:space="preserve">did not meet Alexander at any point. </w:t>
      </w:r>
      <w:r w:rsidR="00652C5A">
        <w:t>Furthermore, Plutarch writes about</w:t>
      </w:r>
      <w:r w:rsidR="00652C5A">
        <w:t xml:space="preserve"> </w:t>
      </w:r>
      <w:r w:rsidR="00652C5A">
        <w:t>Alexander’s letter to Antipater</w:t>
      </w:r>
      <w:r w:rsidR="00A46AA9">
        <w:t xml:space="preserve"> and how it only mentioned </w:t>
      </w:r>
      <w:r w:rsidR="000F3B60">
        <w:t xml:space="preserve">a Scythian king offering his daughter’s hand in marriage. Had an event with Thalestris occurred, this would have surely been mentioned </w:t>
      </w:r>
      <w:r w:rsidR="00691BFB">
        <w:t>to one of his generals</w:t>
      </w:r>
      <w:r w:rsidR="000F3B60">
        <w:t>, although</w:t>
      </w:r>
      <w:r w:rsidR="00973ABC">
        <w:t xml:space="preserve"> </w:t>
      </w:r>
      <w:r w:rsidR="00973ABC">
        <w:lastRenderedPageBreak/>
        <w:t xml:space="preserve">Plutarch’s </w:t>
      </w:r>
      <w:r w:rsidR="000F3B60" w:rsidRPr="67B86F50">
        <w:rPr>
          <w:i/>
          <w:iCs/>
        </w:rPr>
        <w:t>L</w:t>
      </w:r>
      <w:r w:rsidR="00973ABC" w:rsidRPr="67B86F50">
        <w:rPr>
          <w:i/>
          <w:iCs/>
        </w:rPr>
        <w:t>ife</w:t>
      </w:r>
      <w:r w:rsidR="00973ABC">
        <w:rPr>
          <w:i/>
        </w:rPr>
        <w:t xml:space="preserve"> of Alexander</w:t>
      </w:r>
      <w:r w:rsidR="00E07248">
        <w:t xml:space="preserve"> </w:t>
      </w:r>
      <w:r w:rsidR="00F85DAD">
        <w:t>becomes disorientated with its location and chronology around these chapters so his account is also not the most reliable</w:t>
      </w:r>
      <w:r w:rsidR="00691BFB">
        <w:t>.</w:t>
      </w:r>
      <w:r w:rsidR="00F85DAD">
        <w:rPr>
          <w:rStyle w:val="FootnoteReference"/>
        </w:rPr>
        <w:footnoteReference w:id="10"/>
      </w:r>
    </w:p>
    <w:p w14:paraId="50B5BE31" w14:textId="327A4AA3" w:rsidR="00C33954" w:rsidRPr="00EB6176" w:rsidRDefault="00C33954">
      <w:r>
        <w:t xml:space="preserve">The encounter between Alexander and Thalestris is probably a work of fiction created by those within his court for propaganda purposes connecting the king to the heroes of Greek myth whose achievements he would strive to emulate. The most likely </w:t>
      </w:r>
      <w:r w:rsidR="002325C9">
        <w:t>reason behind this story would be the factual occurrence of the Alexander meeting a Scythian group led by a woman with the purpose of a marriage proposal and with the story of Cyrus’ fate at the hands of Tomyris, Alexander is hospitable to this ‘Amazonian party’, this event ‘created’ by Onesicritus would have enhanced Alexander’s and his own stature.</w:t>
      </w:r>
      <w:r w:rsidR="002325C9">
        <w:rPr>
          <w:rStyle w:val="FootnoteReference"/>
        </w:rPr>
        <w:footnoteReference w:id="11"/>
      </w:r>
    </w:p>
    <w:p w14:paraId="322415EB" w14:textId="4B4D7A55" w:rsidR="0081391A" w:rsidRDefault="0081391A"/>
    <w:p w14:paraId="765AFF58" w14:textId="1C02C576" w:rsidR="00A95579" w:rsidRDefault="00A95579"/>
    <w:p w14:paraId="315E0853" w14:textId="7F72246D" w:rsidR="00A95579" w:rsidRDefault="00A95579"/>
    <w:p w14:paraId="58EC665A" w14:textId="001F752C" w:rsidR="00A95579" w:rsidRDefault="00A95579"/>
    <w:p w14:paraId="51DED0BB" w14:textId="6BFA752B" w:rsidR="00A95579" w:rsidRDefault="00A95579"/>
    <w:p w14:paraId="026DD5AE" w14:textId="4AAB2CC8" w:rsidR="00A95579" w:rsidRDefault="00A95579"/>
    <w:p w14:paraId="23E1D3D2" w14:textId="2987DDA2" w:rsidR="00A95579" w:rsidRDefault="00A95579"/>
    <w:p w14:paraId="5C4E481F" w14:textId="4231B6E9" w:rsidR="00A95579" w:rsidRDefault="00A95579"/>
    <w:p w14:paraId="0842E6D5" w14:textId="099E3939" w:rsidR="00A95579" w:rsidRDefault="00A95579"/>
    <w:p w14:paraId="1605E9E5" w14:textId="7BEAB3C7" w:rsidR="00A95579" w:rsidRDefault="00A95579"/>
    <w:p w14:paraId="75FFE555" w14:textId="750DDA72" w:rsidR="00A95579" w:rsidRDefault="00A95579"/>
    <w:p w14:paraId="2F824F43" w14:textId="35277CF4" w:rsidR="00A95579" w:rsidRDefault="00A95579"/>
    <w:p w14:paraId="46F17EA6" w14:textId="39947042" w:rsidR="00A95579" w:rsidRDefault="00A95579"/>
    <w:p w14:paraId="0EA37889" w14:textId="3053CA1B" w:rsidR="00A95579" w:rsidRDefault="00A95579"/>
    <w:p w14:paraId="197D3957" w14:textId="740D75AD" w:rsidR="00A95579" w:rsidRDefault="00A95579"/>
    <w:p w14:paraId="43685B18" w14:textId="157B7B44" w:rsidR="00A95579" w:rsidRDefault="00A95579"/>
    <w:p w14:paraId="3D34A77C" w14:textId="5B1BA179" w:rsidR="00A95579" w:rsidRDefault="00A95579">
      <w:pPr>
        <w:rPr>
          <w:b/>
          <w:sz w:val="24"/>
          <w:szCs w:val="24"/>
          <w:u w:val="single"/>
        </w:rPr>
      </w:pPr>
      <w:r w:rsidRPr="00A95579">
        <w:rPr>
          <w:b/>
          <w:sz w:val="24"/>
          <w:szCs w:val="24"/>
          <w:u w:val="single"/>
        </w:rPr>
        <w:t>Bibliography:</w:t>
      </w:r>
    </w:p>
    <w:p w14:paraId="4E0E8948" w14:textId="2259DDF2" w:rsidR="00A95579" w:rsidRDefault="00A95579">
      <w:pPr>
        <w:rPr>
          <w:b/>
          <w:sz w:val="24"/>
          <w:szCs w:val="24"/>
          <w:u w:val="single"/>
        </w:rPr>
      </w:pPr>
      <w:r>
        <w:rPr>
          <w:b/>
          <w:sz w:val="24"/>
          <w:szCs w:val="24"/>
          <w:u w:val="single"/>
        </w:rPr>
        <w:t>Ancient sources:</w:t>
      </w:r>
    </w:p>
    <w:p w14:paraId="25EFCEF2" w14:textId="49154E73" w:rsidR="00A95579" w:rsidRDefault="00A95579" w:rsidP="00A95579">
      <w:pPr>
        <w:spacing w:line="480" w:lineRule="auto"/>
        <w:rPr>
          <w:rFonts w:cstheme="minorHAnsi"/>
        </w:rPr>
      </w:pPr>
      <w:r w:rsidRPr="00A95579">
        <w:rPr>
          <w:rFonts w:cstheme="minorHAnsi"/>
        </w:rPr>
        <w:t xml:space="preserve">Arrian. </w:t>
      </w:r>
      <w:r w:rsidRPr="00A95579">
        <w:rPr>
          <w:rFonts w:cstheme="minorHAnsi"/>
          <w:i/>
        </w:rPr>
        <w:t>Anabasis of Alexander, Volume I: Books 1-4.</w:t>
      </w:r>
      <w:r w:rsidRPr="00A95579">
        <w:rPr>
          <w:rFonts w:cstheme="minorHAnsi"/>
        </w:rPr>
        <w:t xml:space="preserve"> P.A. Brunt (trans.). 1976. Loeb Classical Library 236. Cambridge, MA: Harvard University Press.</w:t>
      </w:r>
    </w:p>
    <w:p w14:paraId="516F65B2" w14:textId="6AA15E3F" w:rsidR="00A95579" w:rsidRPr="00A95579" w:rsidRDefault="00A95579" w:rsidP="00A95579">
      <w:pPr>
        <w:spacing w:line="480" w:lineRule="auto"/>
        <w:rPr>
          <w:rFonts w:cstheme="minorHAnsi"/>
        </w:rPr>
      </w:pPr>
      <w:r>
        <w:rPr>
          <w:rFonts w:cstheme="minorHAnsi"/>
        </w:rPr>
        <w:t xml:space="preserve">Curtius Rufus. </w:t>
      </w:r>
      <w:r>
        <w:rPr>
          <w:rFonts w:cstheme="minorHAnsi"/>
          <w:i/>
        </w:rPr>
        <w:t>Life of Alexander the Great</w:t>
      </w:r>
      <w:r>
        <w:rPr>
          <w:rFonts w:cstheme="minorHAnsi"/>
        </w:rPr>
        <w:t xml:space="preserve">. J. Yardley (trans.). 1984. </w:t>
      </w:r>
      <w:r w:rsidR="001C3391">
        <w:rPr>
          <w:rFonts w:cstheme="minorHAnsi"/>
        </w:rPr>
        <w:t>London: Penguin Classics.</w:t>
      </w:r>
    </w:p>
    <w:p w14:paraId="5ABD8167" w14:textId="5AE96BAA" w:rsidR="00A95579" w:rsidRDefault="00A95579" w:rsidP="00A95579">
      <w:pPr>
        <w:spacing w:line="480" w:lineRule="auto"/>
        <w:rPr>
          <w:rFonts w:cstheme="minorHAnsi"/>
        </w:rPr>
      </w:pPr>
      <w:r w:rsidRPr="00A95579">
        <w:rPr>
          <w:rFonts w:cstheme="minorHAnsi"/>
        </w:rPr>
        <w:t xml:space="preserve">Diodorus Siculus. </w:t>
      </w:r>
      <w:r w:rsidRPr="00A95579">
        <w:rPr>
          <w:rFonts w:cstheme="minorHAnsi"/>
          <w:i/>
        </w:rPr>
        <w:t xml:space="preserve">Diodorus of Sicily in twelve volumes. </w:t>
      </w:r>
      <w:r w:rsidRPr="00A95579">
        <w:rPr>
          <w:rFonts w:cstheme="minorHAnsi"/>
        </w:rPr>
        <w:t>C.H. Oldfather (trans.). 1989. London: William Heinemann, Ltd.</w:t>
      </w:r>
    </w:p>
    <w:p w14:paraId="47D44195" w14:textId="31FEC9B4" w:rsidR="001C3391" w:rsidRPr="001C3391" w:rsidRDefault="001C3391" w:rsidP="00A95579">
      <w:pPr>
        <w:spacing w:line="480" w:lineRule="auto"/>
        <w:rPr>
          <w:rFonts w:cstheme="minorHAnsi"/>
        </w:rPr>
      </w:pPr>
      <w:r>
        <w:rPr>
          <w:rFonts w:cstheme="minorHAnsi"/>
        </w:rPr>
        <w:t xml:space="preserve">Justin. </w:t>
      </w:r>
      <w:r>
        <w:rPr>
          <w:rFonts w:cstheme="minorHAnsi"/>
          <w:i/>
        </w:rPr>
        <w:t>The Epitome of the Philippic History of Pompeius Trogus.</w:t>
      </w:r>
      <w:r>
        <w:rPr>
          <w:rFonts w:cstheme="minorHAnsi"/>
        </w:rPr>
        <w:t xml:space="preserve">  J.C. Yardley (trans.). </w:t>
      </w:r>
      <w:r w:rsidR="003E0082">
        <w:rPr>
          <w:rFonts w:cstheme="minorHAnsi"/>
        </w:rPr>
        <w:t>1997. Oxford: Oxford University Press.</w:t>
      </w:r>
      <w:r>
        <w:rPr>
          <w:rFonts w:cstheme="minorHAnsi"/>
        </w:rPr>
        <w:t xml:space="preserve"> </w:t>
      </w:r>
    </w:p>
    <w:p w14:paraId="75037497" w14:textId="6DE82E2B" w:rsidR="00A95579" w:rsidRPr="00A95579" w:rsidRDefault="00A95579" w:rsidP="00A95579">
      <w:pPr>
        <w:spacing w:line="480" w:lineRule="auto"/>
        <w:rPr>
          <w:rFonts w:cstheme="minorHAnsi"/>
        </w:rPr>
      </w:pPr>
      <w:r w:rsidRPr="00A95579">
        <w:rPr>
          <w:rFonts w:cstheme="minorHAnsi"/>
        </w:rPr>
        <w:t xml:space="preserve">Plutarch. </w:t>
      </w:r>
      <w:r w:rsidRPr="00A95579">
        <w:rPr>
          <w:rFonts w:cstheme="minorHAnsi"/>
          <w:i/>
        </w:rPr>
        <w:t>Hellenistic Lives including Alexander the Great.</w:t>
      </w:r>
      <w:r w:rsidRPr="00A95579">
        <w:rPr>
          <w:rFonts w:cstheme="minorHAnsi"/>
        </w:rPr>
        <w:t xml:space="preserve"> R. Waterfield (trans.). 2016. Oxford: Oxford University Press.</w:t>
      </w:r>
    </w:p>
    <w:p w14:paraId="0DA6239D" w14:textId="306AADFC" w:rsidR="00A95579" w:rsidRPr="00A95579" w:rsidRDefault="00A95579" w:rsidP="00A95579">
      <w:pPr>
        <w:spacing w:line="480" w:lineRule="auto"/>
        <w:rPr>
          <w:rFonts w:cstheme="minorHAnsi"/>
        </w:rPr>
      </w:pPr>
      <w:r w:rsidRPr="00A95579">
        <w:rPr>
          <w:rFonts w:cstheme="minorHAnsi"/>
        </w:rPr>
        <w:t xml:space="preserve">Quintus Curtius Rufus. </w:t>
      </w:r>
      <w:r w:rsidRPr="00A95579">
        <w:rPr>
          <w:rFonts w:cstheme="minorHAnsi"/>
          <w:i/>
        </w:rPr>
        <w:t xml:space="preserve">Life of Alexander the Great. </w:t>
      </w:r>
      <w:r w:rsidRPr="00A95579">
        <w:rPr>
          <w:rFonts w:cstheme="minorHAnsi"/>
        </w:rPr>
        <w:t>J.</w:t>
      </w:r>
      <w:r w:rsidR="003E0082">
        <w:rPr>
          <w:rFonts w:cstheme="minorHAnsi"/>
        </w:rPr>
        <w:t>C.</w:t>
      </w:r>
      <w:r w:rsidRPr="00A95579">
        <w:rPr>
          <w:rFonts w:cstheme="minorHAnsi"/>
        </w:rPr>
        <w:t xml:space="preserve"> Yardley (trans.). 1984. Middlesex: England Penguin Books.</w:t>
      </w:r>
    </w:p>
    <w:p w14:paraId="39B0FACD" w14:textId="4BA98029" w:rsidR="00A95579" w:rsidRDefault="00A95579" w:rsidP="00A95579">
      <w:pPr>
        <w:spacing w:line="480" w:lineRule="auto"/>
        <w:rPr>
          <w:rFonts w:cstheme="minorHAnsi"/>
        </w:rPr>
      </w:pPr>
      <w:r w:rsidRPr="00A95579">
        <w:rPr>
          <w:rFonts w:cstheme="minorHAnsi"/>
        </w:rPr>
        <w:t xml:space="preserve">Strabo. </w:t>
      </w:r>
      <w:r w:rsidRPr="00A95579">
        <w:rPr>
          <w:rFonts w:cstheme="minorHAnsi"/>
          <w:i/>
        </w:rPr>
        <w:t>The Geography</w:t>
      </w:r>
      <w:r w:rsidRPr="00A95579">
        <w:rPr>
          <w:rFonts w:cstheme="minorHAnsi"/>
        </w:rPr>
        <w:t>. H.L. Jones (trans.). 1924. London: William Heinemann, Ltd.</w:t>
      </w:r>
    </w:p>
    <w:p w14:paraId="40A6869A" w14:textId="097A7A92" w:rsidR="001C3391" w:rsidRDefault="001C3391" w:rsidP="00A95579">
      <w:pPr>
        <w:spacing w:line="480" w:lineRule="auto"/>
        <w:rPr>
          <w:rFonts w:cstheme="minorHAnsi"/>
          <w:b/>
          <w:sz w:val="24"/>
          <w:u w:val="single"/>
        </w:rPr>
      </w:pPr>
      <w:r>
        <w:rPr>
          <w:rFonts w:cstheme="minorHAnsi"/>
          <w:b/>
          <w:sz w:val="24"/>
          <w:u w:val="single"/>
        </w:rPr>
        <w:t>Modern Sources:</w:t>
      </w:r>
    </w:p>
    <w:p w14:paraId="724EDBE9" w14:textId="7338CF10" w:rsidR="00EB08D4" w:rsidRPr="00364ACA" w:rsidRDefault="00EB08D4" w:rsidP="00A95579">
      <w:pPr>
        <w:spacing w:line="480" w:lineRule="auto"/>
        <w:rPr>
          <w:rFonts w:cstheme="minorHAnsi"/>
        </w:rPr>
      </w:pPr>
      <w:r>
        <w:rPr>
          <w:rFonts w:cstheme="minorHAnsi"/>
        </w:rPr>
        <w:t>Archi</w:t>
      </w:r>
      <w:r w:rsidR="00364ACA">
        <w:rPr>
          <w:rFonts w:cstheme="minorHAnsi"/>
        </w:rPr>
        <w:t xml:space="preserve">presbyter, L. 1992. </w:t>
      </w:r>
      <w:r w:rsidR="00364ACA">
        <w:rPr>
          <w:rFonts w:cstheme="minorHAnsi"/>
          <w:i/>
        </w:rPr>
        <w:t>The Histroy of Alexander’s battle: Historia de Preliis, the J1 Version</w:t>
      </w:r>
      <w:r w:rsidR="00364ACA">
        <w:rPr>
          <w:rFonts w:cstheme="minorHAnsi"/>
        </w:rPr>
        <w:t>. Toronto: Pontificial Institute of Medieval Studies.</w:t>
      </w:r>
      <w:bookmarkStart w:id="0" w:name="_GoBack"/>
      <w:bookmarkEnd w:id="0"/>
    </w:p>
    <w:p w14:paraId="1F17F08A" w14:textId="2ABEBC69" w:rsidR="00EB08D4" w:rsidRDefault="00EB08D4" w:rsidP="00A95579">
      <w:pPr>
        <w:spacing w:line="480" w:lineRule="auto"/>
        <w:rPr>
          <w:rFonts w:cstheme="minorHAnsi"/>
        </w:rPr>
      </w:pPr>
      <w:r>
        <w:rPr>
          <w:rFonts w:cstheme="minorHAnsi"/>
        </w:rPr>
        <w:t xml:space="preserve">Baynham, E. 2001. ‘Alexander and the Amazons’, </w:t>
      </w:r>
      <w:r>
        <w:rPr>
          <w:rFonts w:cstheme="minorHAnsi"/>
          <w:i/>
        </w:rPr>
        <w:t>The Classical Quarterly</w:t>
      </w:r>
      <w:r>
        <w:rPr>
          <w:rFonts w:cstheme="minorHAnsi"/>
        </w:rPr>
        <w:t xml:space="preserve">, 55.1, 115-126. </w:t>
      </w:r>
    </w:p>
    <w:p w14:paraId="0C941684" w14:textId="66BE39DD" w:rsidR="00EB08D4" w:rsidRPr="00EB08D4" w:rsidRDefault="00EB08D4" w:rsidP="00A95579">
      <w:pPr>
        <w:spacing w:line="480" w:lineRule="auto"/>
        <w:rPr>
          <w:rFonts w:cstheme="minorHAnsi"/>
        </w:rPr>
      </w:pPr>
      <w:r>
        <w:rPr>
          <w:rFonts w:cstheme="minorHAnsi"/>
        </w:rPr>
        <w:t xml:space="preserve">Chatilon, W. </w:t>
      </w:r>
      <w:r>
        <w:rPr>
          <w:rFonts w:cstheme="minorHAnsi"/>
          <w:i/>
        </w:rPr>
        <w:t>The Alexandreis: A Twelfth-Century Epic</w:t>
      </w:r>
      <w:r>
        <w:rPr>
          <w:rFonts w:cstheme="minorHAnsi"/>
        </w:rPr>
        <w:t>. D. Townsend. (trans.). 2006. Peterborough, ON: Broadview Press.</w:t>
      </w:r>
    </w:p>
    <w:p w14:paraId="7473A4F1" w14:textId="64A7988C" w:rsidR="00EB08D4" w:rsidRDefault="00EB08D4" w:rsidP="00A95579">
      <w:pPr>
        <w:spacing w:line="480" w:lineRule="auto"/>
        <w:rPr>
          <w:rFonts w:cstheme="minorHAnsi"/>
        </w:rPr>
      </w:pPr>
      <w:r>
        <w:rPr>
          <w:rFonts w:cstheme="minorHAnsi"/>
        </w:rPr>
        <w:t xml:space="preserve">Chugg, A. 2012. </w:t>
      </w:r>
      <w:r>
        <w:rPr>
          <w:rFonts w:cstheme="minorHAnsi"/>
          <w:i/>
        </w:rPr>
        <w:t xml:space="preserve">Alexander’s Lovers (Second Edition) </w:t>
      </w:r>
      <w:r>
        <w:rPr>
          <w:rFonts w:cstheme="minorHAnsi"/>
        </w:rPr>
        <w:t>AMC Publications.</w:t>
      </w:r>
    </w:p>
    <w:p w14:paraId="138B94FC" w14:textId="77777777" w:rsidR="00EB08D4" w:rsidRDefault="00EB08D4" w:rsidP="00A95579">
      <w:pPr>
        <w:spacing w:line="480" w:lineRule="auto"/>
        <w:rPr>
          <w:rFonts w:cstheme="minorHAnsi"/>
        </w:rPr>
      </w:pPr>
      <w:r>
        <w:rPr>
          <w:rFonts w:cstheme="minorHAnsi"/>
        </w:rPr>
        <w:t xml:space="preserve">Man, J. 2017. </w:t>
      </w:r>
      <w:r>
        <w:rPr>
          <w:rFonts w:cstheme="minorHAnsi"/>
          <w:i/>
        </w:rPr>
        <w:t>Amazons: The Real Warrior Women of the Ancient World</w:t>
      </w:r>
      <w:r>
        <w:rPr>
          <w:rFonts w:cstheme="minorHAnsi"/>
        </w:rPr>
        <w:t>. London: Bantam Press.</w:t>
      </w:r>
    </w:p>
    <w:p w14:paraId="6CDF3C85" w14:textId="77777777" w:rsidR="00EB08D4" w:rsidRPr="00EB08D4" w:rsidRDefault="00EB08D4" w:rsidP="00A95579">
      <w:pPr>
        <w:spacing w:line="480" w:lineRule="auto"/>
        <w:rPr>
          <w:rFonts w:cstheme="minorHAnsi"/>
        </w:rPr>
      </w:pPr>
      <w:r>
        <w:rPr>
          <w:rFonts w:cstheme="minorHAnsi"/>
        </w:rPr>
        <w:t>Mayor, A. 2015. ‘</w:t>
      </w:r>
      <w:r w:rsidRPr="00EB08D4">
        <w:rPr>
          <w:rFonts w:cstheme="minorHAnsi"/>
        </w:rPr>
        <w:t>When Alexander met Thalestris</w:t>
      </w:r>
      <w:r>
        <w:rPr>
          <w:rFonts w:cstheme="minorHAnsi"/>
        </w:rPr>
        <w:t xml:space="preserve">’, </w:t>
      </w:r>
      <w:r>
        <w:rPr>
          <w:rFonts w:cstheme="minorHAnsi"/>
          <w:i/>
        </w:rPr>
        <w:t>History Today</w:t>
      </w:r>
      <w:r>
        <w:rPr>
          <w:rFonts w:cstheme="minorHAnsi"/>
        </w:rPr>
        <w:t>. 65. 10-27.</w:t>
      </w:r>
      <w:r w:rsidRPr="00EB08D4">
        <w:rPr>
          <w:rFonts w:cstheme="minorHAnsi"/>
        </w:rPr>
        <w:t xml:space="preserve"> </w:t>
      </w:r>
    </w:p>
    <w:p w14:paraId="4B21A444" w14:textId="77777777" w:rsidR="00EB08D4" w:rsidRPr="00EB08D4" w:rsidRDefault="00EB08D4" w:rsidP="00A95579">
      <w:pPr>
        <w:spacing w:line="480" w:lineRule="auto"/>
        <w:rPr>
          <w:rFonts w:cstheme="minorHAnsi"/>
        </w:rPr>
      </w:pPr>
      <w:r>
        <w:rPr>
          <w:rFonts w:cstheme="minorHAnsi"/>
        </w:rPr>
        <w:t xml:space="preserve">Zuwiyya, D. 2011. </w:t>
      </w:r>
      <w:r>
        <w:rPr>
          <w:rFonts w:cstheme="minorHAnsi"/>
          <w:i/>
        </w:rPr>
        <w:t>A Companion to Alexander Literature in the Middle Ages (Brill’s companions to the Christian Tradition).</w:t>
      </w:r>
      <w:r>
        <w:rPr>
          <w:rFonts w:cstheme="minorHAnsi"/>
        </w:rPr>
        <w:t xml:space="preserve"> Lieden: Brill.</w:t>
      </w:r>
    </w:p>
    <w:p w14:paraId="6CA43F30" w14:textId="77777777" w:rsidR="00A95579" w:rsidRPr="00A95579" w:rsidRDefault="00A95579">
      <w:pPr>
        <w:rPr>
          <w:szCs w:val="24"/>
        </w:rPr>
      </w:pPr>
    </w:p>
    <w:sectPr w:rsidR="00A95579" w:rsidRPr="00A955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41DF8" w14:textId="77777777" w:rsidR="002F6F07" w:rsidRDefault="002F6F07" w:rsidP="002F6F07">
      <w:pPr>
        <w:spacing w:after="0" w:line="240" w:lineRule="auto"/>
      </w:pPr>
      <w:r>
        <w:separator/>
      </w:r>
    </w:p>
  </w:endnote>
  <w:endnote w:type="continuationSeparator" w:id="0">
    <w:p w14:paraId="3BF9190C" w14:textId="77777777" w:rsidR="002F6F07" w:rsidRDefault="002F6F07" w:rsidP="002F6F07">
      <w:pPr>
        <w:spacing w:after="0" w:line="240" w:lineRule="auto"/>
      </w:pPr>
      <w:r>
        <w:continuationSeparator/>
      </w:r>
    </w:p>
  </w:endnote>
  <w:endnote w:type="continuationNotice" w:id="1">
    <w:p w14:paraId="42D4D106" w14:textId="77777777" w:rsidR="00F30421" w:rsidRDefault="00F304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90D12" w14:textId="77777777" w:rsidR="002F6F07" w:rsidRDefault="002F6F07" w:rsidP="002F6F07">
      <w:pPr>
        <w:spacing w:after="0" w:line="240" w:lineRule="auto"/>
      </w:pPr>
      <w:r>
        <w:separator/>
      </w:r>
    </w:p>
  </w:footnote>
  <w:footnote w:type="continuationSeparator" w:id="0">
    <w:p w14:paraId="5FF82EB2" w14:textId="77777777" w:rsidR="002F6F07" w:rsidRDefault="002F6F07" w:rsidP="002F6F07">
      <w:pPr>
        <w:spacing w:after="0" w:line="240" w:lineRule="auto"/>
      </w:pPr>
      <w:r>
        <w:continuationSeparator/>
      </w:r>
    </w:p>
  </w:footnote>
  <w:footnote w:type="continuationNotice" w:id="1">
    <w:p w14:paraId="414817F3" w14:textId="77777777" w:rsidR="00F30421" w:rsidRDefault="00F30421">
      <w:pPr>
        <w:spacing w:after="0" w:line="240" w:lineRule="auto"/>
      </w:pPr>
    </w:p>
  </w:footnote>
  <w:footnote w:id="2">
    <w:p w14:paraId="5FD280C8" w14:textId="7E34EBA9" w:rsidR="002F6F07" w:rsidRPr="002F6F07" w:rsidRDefault="002F6F07">
      <w:pPr>
        <w:pStyle w:val="FootnoteText"/>
      </w:pPr>
      <w:r>
        <w:rPr>
          <w:rStyle w:val="FootnoteReference"/>
        </w:rPr>
        <w:footnoteRef/>
      </w:r>
      <w:r>
        <w:t xml:space="preserve"> Plut. </w:t>
      </w:r>
      <w:r>
        <w:rPr>
          <w:i/>
        </w:rPr>
        <w:t>Alexander</w:t>
      </w:r>
      <w:r>
        <w:t>. 46.3</w:t>
      </w:r>
      <w:r w:rsidR="00077EE8">
        <w:t>; Baynham, E. 2001: 116.</w:t>
      </w:r>
    </w:p>
  </w:footnote>
  <w:footnote w:id="3">
    <w:p w14:paraId="1D15BC3F" w14:textId="6CD8EB9F" w:rsidR="007E3A83" w:rsidRPr="007E3A83" w:rsidRDefault="007E3A83">
      <w:pPr>
        <w:pStyle w:val="FootnoteText"/>
      </w:pPr>
      <w:r>
        <w:rPr>
          <w:rStyle w:val="FootnoteReference"/>
        </w:rPr>
        <w:footnoteRef/>
      </w:r>
      <w:r>
        <w:t xml:space="preserve"> Plut. </w:t>
      </w:r>
      <w:r>
        <w:rPr>
          <w:i/>
        </w:rPr>
        <w:t>Alexander.</w:t>
      </w:r>
      <w:r>
        <w:t xml:space="preserve"> 46; Strabo. </w:t>
      </w:r>
      <w:r>
        <w:rPr>
          <w:i/>
        </w:rPr>
        <w:t>Geography</w:t>
      </w:r>
      <w:r>
        <w:t xml:space="preserve"> 11.5.4.</w:t>
      </w:r>
      <w:r w:rsidR="007E0062">
        <w:t xml:space="preserve"> Baynham, E. 2001: 117.</w:t>
      </w:r>
    </w:p>
  </w:footnote>
  <w:footnote w:id="4">
    <w:p w14:paraId="321DBE08" w14:textId="7D5643F8" w:rsidR="00BA7097" w:rsidRDefault="00BA7097">
      <w:pPr>
        <w:pStyle w:val="FootnoteText"/>
      </w:pPr>
      <w:r>
        <w:rPr>
          <w:rStyle w:val="FootnoteReference"/>
        </w:rPr>
        <w:footnoteRef/>
      </w:r>
      <w:r>
        <w:t xml:space="preserve"> Baynham, E. 2001: 115.</w:t>
      </w:r>
    </w:p>
  </w:footnote>
  <w:footnote w:id="5">
    <w:p w14:paraId="194CD00E" w14:textId="664EBD49" w:rsidR="00EB6176" w:rsidRDefault="00EB6176">
      <w:pPr>
        <w:pStyle w:val="FootnoteText"/>
      </w:pPr>
      <w:r>
        <w:rPr>
          <w:rStyle w:val="FootnoteReference"/>
        </w:rPr>
        <w:footnoteRef/>
      </w:r>
      <w:r>
        <w:t xml:space="preserve"> Baynham, E. 2001: 116; Curt. 6.5.25; Diod. 17.77.1; Justin. 12.3.5.</w:t>
      </w:r>
    </w:p>
  </w:footnote>
  <w:footnote w:id="6">
    <w:p w14:paraId="7A403195" w14:textId="030E763B" w:rsidR="00412325" w:rsidRDefault="00412325">
      <w:pPr>
        <w:pStyle w:val="FootnoteText"/>
      </w:pPr>
      <w:r>
        <w:rPr>
          <w:rStyle w:val="FootnoteReference"/>
        </w:rPr>
        <w:footnoteRef/>
      </w:r>
      <w:r>
        <w:t xml:space="preserve"> </w:t>
      </w:r>
      <w:r w:rsidR="002D4975">
        <w:t>Historia de preliis</w:t>
      </w:r>
      <w:r w:rsidR="00EE2B8D">
        <w:t xml:space="preserve">. P.77; Chugg, A. </w:t>
      </w:r>
      <w:r w:rsidR="001B4B2F">
        <w:t>2012: 168.</w:t>
      </w:r>
    </w:p>
  </w:footnote>
  <w:footnote w:id="7">
    <w:p w14:paraId="2D75AA42" w14:textId="0A2EA16D" w:rsidR="000C3CF1" w:rsidRPr="00BF6726" w:rsidRDefault="000C3CF1">
      <w:pPr>
        <w:pStyle w:val="FootnoteText"/>
      </w:pPr>
      <w:r>
        <w:rPr>
          <w:rStyle w:val="FootnoteReference"/>
        </w:rPr>
        <w:footnoteRef/>
      </w:r>
      <w:r>
        <w:t xml:space="preserve"> Zuwiyya, D. </w:t>
      </w:r>
      <w:r w:rsidR="0036465A">
        <w:t>2011: 197.</w:t>
      </w:r>
      <w:r w:rsidR="00274712">
        <w:t xml:space="preserve"> Cha</w:t>
      </w:r>
      <w:r w:rsidR="00BF6726">
        <w:t xml:space="preserve">tillon, W. </w:t>
      </w:r>
      <w:r w:rsidR="00BF6726">
        <w:rPr>
          <w:i/>
        </w:rPr>
        <w:t>Alexandreis</w:t>
      </w:r>
      <w:r w:rsidR="00BF6726">
        <w:t xml:space="preserve">. </w:t>
      </w:r>
      <w:r w:rsidR="007E7CA3">
        <w:t>L. 44-46</w:t>
      </w:r>
      <w:r w:rsidR="00C33954">
        <w:t>; 38-40.</w:t>
      </w:r>
    </w:p>
  </w:footnote>
  <w:footnote w:id="8">
    <w:p w14:paraId="593DF0EE" w14:textId="69D4ABD5" w:rsidR="00B66535" w:rsidRDefault="00B66535">
      <w:pPr>
        <w:pStyle w:val="FootnoteText"/>
      </w:pPr>
      <w:r>
        <w:rPr>
          <w:rStyle w:val="FootnoteReference"/>
        </w:rPr>
        <w:footnoteRef/>
      </w:r>
      <w:r>
        <w:t xml:space="preserve"> Diod. 17.77; Curt. 6.5.26.</w:t>
      </w:r>
    </w:p>
  </w:footnote>
  <w:footnote w:id="9">
    <w:p w14:paraId="2F19AEED" w14:textId="424018FF" w:rsidR="00FD748E" w:rsidRDefault="00FD748E">
      <w:pPr>
        <w:pStyle w:val="FootnoteText"/>
      </w:pPr>
      <w:r>
        <w:rPr>
          <w:rStyle w:val="FootnoteReference"/>
        </w:rPr>
        <w:footnoteRef/>
      </w:r>
      <w:r>
        <w:t xml:space="preserve"> </w:t>
      </w:r>
      <w:r w:rsidR="00265195">
        <w:t>Chugg, A. 2012: 169.</w:t>
      </w:r>
    </w:p>
  </w:footnote>
  <w:footnote w:id="10">
    <w:p w14:paraId="4BFB2456" w14:textId="762D097E" w:rsidR="00F85DAD" w:rsidRPr="00F85DAD" w:rsidRDefault="00F85DAD">
      <w:pPr>
        <w:pStyle w:val="FootnoteText"/>
      </w:pPr>
      <w:r>
        <w:rPr>
          <w:rStyle w:val="FootnoteReference"/>
        </w:rPr>
        <w:footnoteRef/>
      </w:r>
      <w:r>
        <w:t xml:space="preserve"> Plut. </w:t>
      </w:r>
      <w:r>
        <w:rPr>
          <w:i/>
        </w:rPr>
        <w:t>Alexander</w:t>
      </w:r>
      <w:r>
        <w:t xml:space="preserve">. </w:t>
      </w:r>
      <w:r w:rsidR="00CB468A">
        <w:t>45-47; Baynham, E. 2001: 119.</w:t>
      </w:r>
    </w:p>
  </w:footnote>
  <w:footnote w:id="11">
    <w:p w14:paraId="188E0E62" w14:textId="4C0B82A3" w:rsidR="002325C9" w:rsidRDefault="002325C9">
      <w:pPr>
        <w:pStyle w:val="FootnoteText"/>
      </w:pPr>
      <w:r>
        <w:rPr>
          <w:rStyle w:val="FootnoteReference"/>
        </w:rPr>
        <w:footnoteRef/>
      </w:r>
      <w:r>
        <w:t xml:space="preserve"> Man, J. 2017: 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91A"/>
    <w:rsid w:val="00037096"/>
    <w:rsid w:val="00075484"/>
    <w:rsid w:val="00077EE8"/>
    <w:rsid w:val="000B703E"/>
    <w:rsid w:val="000B7EF3"/>
    <w:rsid w:val="000C3CF1"/>
    <w:rsid w:val="000F3B60"/>
    <w:rsid w:val="001041E8"/>
    <w:rsid w:val="00132FE6"/>
    <w:rsid w:val="00136F88"/>
    <w:rsid w:val="00186B02"/>
    <w:rsid w:val="001B4B2F"/>
    <w:rsid w:val="001C3391"/>
    <w:rsid w:val="001C7498"/>
    <w:rsid w:val="001D5F89"/>
    <w:rsid w:val="001D64FC"/>
    <w:rsid w:val="001E7294"/>
    <w:rsid w:val="00207E7B"/>
    <w:rsid w:val="00210310"/>
    <w:rsid w:val="00211EE7"/>
    <w:rsid w:val="002325C9"/>
    <w:rsid w:val="00254227"/>
    <w:rsid w:val="00265195"/>
    <w:rsid w:val="00274712"/>
    <w:rsid w:val="002842E7"/>
    <w:rsid w:val="002C266D"/>
    <w:rsid w:val="002D4975"/>
    <w:rsid w:val="002D5F36"/>
    <w:rsid w:val="002D6E69"/>
    <w:rsid w:val="002F6F07"/>
    <w:rsid w:val="002F7951"/>
    <w:rsid w:val="00313CFD"/>
    <w:rsid w:val="00323FEC"/>
    <w:rsid w:val="00342BFF"/>
    <w:rsid w:val="0034392A"/>
    <w:rsid w:val="0036465A"/>
    <w:rsid w:val="00364ACA"/>
    <w:rsid w:val="003700F6"/>
    <w:rsid w:val="003B6A90"/>
    <w:rsid w:val="003C0C53"/>
    <w:rsid w:val="003E0006"/>
    <w:rsid w:val="003E0082"/>
    <w:rsid w:val="003F6928"/>
    <w:rsid w:val="00406E52"/>
    <w:rsid w:val="00412325"/>
    <w:rsid w:val="00444C33"/>
    <w:rsid w:val="004517AD"/>
    <w:rsid w:val="00466D1E"/>
    <w:rsid w:val="0048062E"/>
    <w:rsid w:val="00492C28"/>
    <w:rsid w:val="004B2D1C"/>
    <w:rsid w:val="004E703F"/>
    <w:rsid w:val="004F69C0"/>
    <w:rsid w:val="00510950"/>
    <w:rsid w:val="005144D2"/>
    <w:rsid w:val="005263FA"/>
    <w:rsid w:val="00543369"/>
    <w:rsid w:val="00585C20"/>
    <w:rsid w:val="005A51E7"/>
    <w:rsid w:val="00612099"/>
    <w:rsid w:val="00617911"/>
    <w:rsid w:val="006248D6"/>
    <w:rsid w:val="00652C5A"/>
    <w:rsid w:val="00691BFB"/>
    <w:rsid w:val="006A3998"/>
    <w:rsid w:val="006D6AC0"/>
    <w:rsid w:val="006E6B84"/>
    <w:rsid w:val="00706A9F"/>
    <w:rsid w:val="00731A19"/>
    <w:rsid w:val="00740A9F"/>
    <w:rsid w:val="00762D34"/>
    <w:rsid w:val="007D1D81"/>
    <w:rsid w:val="007D5AE5"/>
    <w:rsid w:val="007E0062"/>
    <w:rsid w:val="007E3A83"/>
    <w:rsid w:val="007E7CA3"/>
    <w:rsid w:val="007F2C3D"/>
    <w:rsid w:val="0080614B"/>
    <w:rsid w:val="00811965"/>
    <w:rsid w:val="0081391A"/>
    <w:rsid w:val="00833128"/>
    <w:rsid w:val="008459BB"/>
    <w:rsid w:val="008C6941"/>
    <w:rsid w:val="008E71CA"/>
    <w:rsid w:val="008E7E58"/>
    <w:rsid w:val="00950F04"/>
    <w:rsid w:val="00973ABC"/>
    <w:rsid w:val="00995556"/>
    <w:rsid w:val="009F6A42"/>
    <w:rsid w:val="00A05BBE"/>
    <w:rsid w:val="00A27DF4"/>
    <w:rsid w:val="00A46AA9"/>
    <w:rsid w:val="00A50AA2"/>
    <w:rsid w:val="00A741E8"/>
    <w:rsid w:val="00A86D2E"/>
    <w:rsid w:val="00A9067B"/>
    <w:rsid w:val="00A95579"/>
    <w:rsid w:val="00AB3077"/>
    <w:rsid w:val="00AE00A0"/>
    <w:rsid w:val="00AF630F"/>
    <w:rsid w:val="00B012DD"/>
    <w:rsid w:val="00B16DFF"/>
    <w:rsid w:val="00B20E35"/>
    <w:rsid w:val="00B31026"/>
    <w:rsid w:val="00B66535"/>
    <w:rsid w:val="00B74F24"/>
    <w:rsid w:val="00B86DED"/>
    <w:rsid w:val="00BA4FF8"/>
    <w:rsid w:val="00BA7097"/>
    <w:rsid w:val="00BF16E1"/>
    <w:rsid w:val="00BF6726"/>
    <w:rsid w:val="00C14B54"/>
    <w:rsid w:val="00C2395C"/>
    <w:rsid w:val="00C24890"/>
    <w:rsid w:val="00C33954"/>
    <w:rsid w:val="00C63F18"/>
    <w:rsid w:val="00CB0D23"/>
    <w:rsid w:val="00CB468A"/>
    <w:rsid w:val="00CD626D"/>
    <w:rsid w:val="00CE439A"/>
    <w:rsid w:val="00CE4C68"/>
    <w:rsid w:val="00D16BD7"/>
    <w:rsid w:val="00D57EF2"/>
    <w:rsid w:val="00D66062"/>
    <w:rsid w:val="00D82857"/>
    <w:rsid w:val="00D94504"/>
    <w:rsid w:val="00DA33E9"/>
    <w:rsid w:val="00DB4EF7"/>
    <w:rsid w:val="00DD1C8B"/>
    <w:rsid w:val="00DE731F"/>
    <w:rsid w:val="00E05CD9"/>
    <w:rsid w:val="00E07248"/>
    <w:rsid w:val="00E251C9"/>
    <w:rsid w:val="00E306FD"/>
    <w:rsid w:val="00E855A1"/>
    <w:rsid w:val="00EA3917"/>
    <w:rsid w:val="00EB08D4"/>
    <w:rsid w:val="00EB2CEB"/>
    <w:rsid w:val="00EB6176"/>
    <w:rsid w:val="00EC5CA5"/>
    <w:rsid w:val="00ED4234"/>
    <w:rsid w:val="00EE2B8D"/>
    <w:rsid w:val="00EE3C4F"/>
    <w:rsid w:val="00F0751D"/>
    <w:rsid w:val="00F1199B"/>
    <w:rsid w:val="00F30421"/>
    <w:rsid w:val="00F32ED6"/>
    <w:rsid w:val="00F740B4"/>
    <w:rsid w:val="00F85DAD"/>
    <w:rsid w:val="00FA3688"/>
    <w:rsid w:val="00FA5D83"/>
    <w:rsid w:val="00FC6420"/>
    <w:rsid w:val="00FD748E"/>
    <w:rsid w:val="084DAC81"/>
    <w:rsid w:val="08E63D5D"/>
    <w:rsid w:val="1018A817"/>
    <w:rsid w:val="1A6930FE"/>
    <w:rsid w:val="209756DF"/>
    <w:rsid w:val="24C518B4"/>
    <w:rsid w:val="251999E1"/>
    <w:rsid w:val="36524647"/>
    <w:rsid w:val="37EB14F9"/>
    <w:rsid w:val="3B7373E2"/>
    <w:rsid w:val="51D67078"/>
    <w:rsid w:val="577DDAB9"/>
    <w:rsid w:val="605A0378"/>
    <w:rsid w:val="67B86F50"/>
    <w:rsid w:val="6819AF4F"/>
    <w:rsid w:val="7DADE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10F1E"/>
  <w15:chartTrackingRefBased/>
  <w15:docId w15:val="{571A2BA7-65E2-4AF2-934B-D9C162F2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F6F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6F07"/>
    <w:rPr>
      <w:sz w:val="20"/>
      <w:szCs w:val="20"/>
    </w:rPr>
  </w:style>
  <w:style w:type="character" w:styleId="FootnoteReference">
    <w:name w:val="footnote reference"/>
    <w:basedOn w:val="DefaultParagraphFont"/>
    <w:uiPriority w:val="99"/>
    <w:semiHidden/>
    <w:unhideWhenUsed/>
    <w:rsid w:val="002F6F07"/>
    <w:rPr>
      <w:vertAlign w:val="superscript"/>
    </w:rPr>
  </w:style>
  <w:style w:type="paragraph" w:styleId="Header">
    <w:name w:val="header"/>
    <w:basedOn w:val="Normal"/>
    <w:link w:val="HeaderChar"/>
    <w:uiPriority w:val="99"/>
    <w:semiHidden/>
    <w:unhideWhenUsed/>
    <w:rsid w:val="00F3042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30421"/>
  </w:style>
  <w:style w:type="paragraph" w:styleId="Footer">
    <w:name w:val="footer"/>
    <w:basedOn w:val="Normal"/>
    <w:link w:val="FooterChar"/>
    <w:uiPriority w:val="99"/>
    <w:semiHidden/>
    <w:unhideWhenUsed/>
    <w:rsid w:val="00F3042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30421"/>
  </w:style>
  <w:style w:type="paragraph" w:styleId="Revision">
    <w:name w:val="Revision"/>
    <w:hidden/>
    <w:uiPriority w:val="99"/>
    <w:semiHidden/>
    <w:rsid w:val="00543369"/>
    <w:pPr>
      <w:spacing w:after="0" w:line="240" w:lineRule="auto"/>
    </w:pPr>
  </w:style>
  <w:style w:type="paragraph" w:styleId="BalloonText">
    <w:name w:val="Balloon Text"/>
    <w:basedOn w:val="Normal"/>
    <w:link w:val="BalloonTextChar"/>
    <w:uiPriority w:val="99"/>
    <w:semiHidden/>
    <w:unhideWhenUsed/>
    <w:rsid w:val="005433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3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6" ma:contentTypeDescription="Create a new document." ma:contentTypeScope="" ma:versionID="8dfb093fb6ac4197c5d26e1bba1aade1">
  <xsd:schema xmlns:xsd="http://www.w3.org/2001/XMLSchema" xmlns:xs="http://www.w3.org/2001/XMLSchema" xmlns:p="http://schemas.microsoft.com/office/2006/metadata/properties" xmlns:ns3="7ac54d59-15ae-468f-8833-3c6b8f4d3013" xmlns:ns4="21682d76-7fed-41ad-9dab-ad3c63b4cd86" targetNamespace="http://schemas.microsoft.com/office/2006/metadata/properties" ma:root="true" ma:fieldsID="efefebc59c1109a61083f6625eb89fdc" ns3:_="" ns4:_="">
    <xsd:import namespace="7ac54d59-15ae-468f-8833-3c6b8f4d3013"/>
    <xsd:import namespace="21682d76-7fed-41ad-9dab-ad3c63b4cd8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58799-0BB6-40BB-BC97-960CA226E38B}">
  <ds:schemaRefs>
    <ds:schemaRef ds:uri="http://schemas.microsoft.com/sharepoint/v3/contenttype/forms"/>
  </ds:schemaRefs>
</ds:datastoreItem>
</file>

<file path=customXml/itemProps2.xml><?xml version="1.0" encoding="utf-8"?>
<ds:datastoreItem xmlns:ds="http://schemas.openxmlformats.org/officeDocument/2006/customXml" ds:itemID="{42BDA172-F733-486A-BA54-483EE9CD7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6D40E7-5A7B-4947-9DCE-B4273DC91962}">
  <ds:schemaRefs>
    <ds:schemaRef ds:uri="http://schemas.microsoft.com/office/2006/documentManagement/types"/>
    <ds:schemaRef ds:uri="21682d76-7fed-41ad-9dab-ad3c63b4cd86"/>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7ac54d59-15ae-468f-8833-3c6b8f4d3013"/>
    <ds:schemaRef ds:uri="http://www.w3.org/XML/1998/namespace"/>
    <ds:schemaRef ds:uri="http://purl.org/dc/terms/"/>
  </ds:schemaRefs>
</ds:datastoreItem>
</file>

<file path=customXml/itemProps4.xml><?xml version="1.0" encoding="utf-8"?>
<ds:datastoreItem xmlns:ds="http://schemas.openxmlformats.org/officeDocument/2006/customXml" ds:itemID="{97EDE5C6-2A30-469A-98EF-89D23F9A8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4</Pages>
  <Words>997</Words>
  <Characters>5687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 (1500425)</dc:creator>
  <cp:keywords/>
  <dc:description/>
  <cp:lastModifiedBy>James Mills (1500425)</cp:lastModifiedBy>
  <cp:revision>123</cp:revision>
  <dcterms:created xsi:type="dcterms:W3CDTF">2020-01-12T12:46:00Z</dcterms:created>
  <dcterms:modified xsi:type="dcterms:W3CDTF">2020-01-13T16:56:00Z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