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ectPr>
          <w:headerReference r:id="rId3" w:type="default"/>
          <w:footerReference r:id="rId4" w:type="default"/>
          <w:pgSz w:w="11900" w:h="16840"/>
          <w:pgMar w:top="1440" w:right="1440" w:bottom="1440" w:left="1440" w:header="720" w:footer="720" w:gutter="0"/>
          <w:cols w:space="720" w:num="1"/>
          <w:docGrid w:linePitch="360" w:charSpace="0"/>
        </w:sectPr>
      </w:pPr>
    </w:p>
    <w:p>
      <w:pPr>
        <w:pStyle w:val="2"/>
        <w:rPr>
          <w:rFonts w:asciiTheme="minorHAnsi"/>
          <w:sz w:val="28"/>
          <w:szCs w:val="28"/>
        </w:rPr>
        <w:sectPr>
          <w:type w:val="continuous"/>
          <w:pgSz w:w="11900" w:h="16840"/>
          <w:pgMar w:top="1440" w:right="1440" w:bottom="1440" w:left="1440" w:header="720" w:footer="720" w:gutter="0"/>
          <w:cols w:space="720" w:num="1"/>
          <w:docGrid w:linePitch="360" w:charSpace="0"/>
        </w:sectPr>
      </w:pPr>
      <w:r>
        <w:rPr>
          <w:rFonts w:asciiTheme="minorHAnsi"/>
          <w:b/>
          <w:sz w:val="28"/>
          <w:szCs w:val="28"/>
        </w:rPr>
        <w:t>Lesson Plan: Monday 9</w:t>
      </w:r>
      <w:r>
        <w:rPr>
          <w:rFonts w:asciiTheme="minorHAnsi"/>
          <w:b/>
          <w:sz w:val="28"/>
          <w:szCs w:val="28"/>
          <w:vertAlign w:val="superscript"/>
        </w:rPr>
        <w:t>th</w:t>
      </w:r>
      <w:r>
        <w:rPr>
          <w:rFonts w:asciiTheme="minorHAnsi"/>
          <w:b/>
          <w:sz w:val="28"/>
          <w:szCs w:val="28"/>
        </w:rPr>
        <w:t xml:space="preserve"> March 2020</w:t>
      </w:r>
    </w:p>
    <w:p>
      <w:pPr>
        <w:rPr>
          <w:b/>
          <w:sz w:val="28"/>
          <w:szCs w:val="28"/>
        </w:rPr>
      </w:pPr>
      <w:r>
        <w:rPr>
          <w:b/>
          <w:sz w:val="28"/>
          <w:szCs w:val="28"/>
        </w:rPr>
        <w:t>Lesson Plan – Step 1 Cynllun Gwers – Cam 1</w:t>
      </w: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252"/>
        <w:gridCol w:w="3555"/>
        <w:gridCol w:w="950"/>
        <w:gridCol w:w="225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52" w:type="dxa"/>
            <w:shd w:val="clear" w:color="auto" w:fill="auto"/>
          </w:tcPr>
          <w:p>
            <w:r>
              <w:t>Student-teacher</w:t>
            </w:r>
          </w:p>
        </w:tc>
        <w:tc>
          <w:tcPr>
            <w:tcW w:w="3555" w:type="dxa"/>
          </w:tcPr>
          <w:p>
            <w:r>
              <w:t>Rosie Evans</w:t>
            </w:r>
          </w:p>
        </w:tc>
        <w:tc>
          <w:tcPr>
            <w:tcW w:w="950" w:type="dxa"/>
            <w:shd w:val="clear" w:color="auto" w:fill="auto"/>
          </w:tcPr>
          <w:p>
            <w:r>
              <w:t>Class:</w:t>
            </w:r>
          </w:p>
        </w:tc>
        <w:tc>
          <w:tcPr>
            <w:tcW w:w="2253" w:type="dxa"/>
          </w:tcPr>
          <w:p>
            <w:r>
              <w:t>Year 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52" w:type="dxa"/>
            <w:shd w:val="clear" w:color="auto" w:fill="auto"/>
          </w:tcPr>
          <w:p>
            <w:r>
              <w:t>AoLE or Subject</w:t>
            </w:r>
          </w:p>
        </w:tc>
        <w:tc>
          <w:tcPr>
            <w:tcW w:w="3555" w:type="dxa"/>
          </w:tcPr>
          <w:p>
            <w:r>
              <w:t>Welsh Development</w:t>
            </w:r>
          </w:p>
        </w:tc>
        <w:tc>
          <w:tcPr>
            <w:tcW w:w="950" w:type="dxa"/>
            <w:shd w:val="clear" w:color="auto" w:fill="auto"/>
          </w:tcPr>
          <w:p>
            <w:r>
              <w:t>Date:</w:t>
            </w:r>
          </w:p>
        </w:tc>
        <w:tc>
          <w:tcPr>
            <w:tcW w:w="2253" w:type="dxa"/>
          </w:tcPr>
          <w:p>
            <w:r>
              <w:t>9.3.20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52" w:type="dxa"/>
            <w:shd w:val="clear" w:color="auto" w:fill="auto"/>
          </w:tcPr>
          <w:p>
            <w:r>
              <w:t>Lesson Focus:</w:t>
            </w:r>
          </w:p>
        </w:tc>
        <w:tc>
          <w:tcPr>
            <w:tcW w:w="6758" w:type="dxa"/>
            <w:gridSpan w:val="3"/>
          </w:tcPr>
          <w:p>
            <w:r>
              <w:t>Show an understanding of Syrpreis Handa by role playing the characters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52" w:type="dxa"/>
            <w:shd w:val="clear" w:color="auto" w:fill="auto"/>
          </w:tcPr>
          <w:p>
            <w:r>
              <w:t xml:space="preserve">Meaningful links to Curriculum </w:t>
            </w:r>
          </w:p>
        </w:tc>
        <w:tc>
          <w:tcPr>
            <w:tcW w:w="6758" w:type="dxa"/>
            <w:gridSpan w:val="3"/>
          </w:tcPr>
          <w:p>
            <w:pPr>
              <w:rPr>
                <w:b/>
                <w:bCs/>
              </w:rPr>
            </w:pPr>
            <w:r>
              <w:rPr>
                <w:b/>
                <w:bCs/>
              </w:rPr>
              <w:t>Welsh Development : Oracy</w:t>
            </w:r>
          </w:p>
          <w:p>
            <w:r>
              <w:rPr>
                <w:rFonts w:hAnsi="SimSun" w:eastAsia="SimSun" w:cs="SimSun"/>
              </w:rPr>
              <w:t>Use appropriate language in spontaneous and structured play activities and when conveying meaning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52" w:type="dxa"/>
            <w:shd w:val="clear" w:color="auto" w:fill="auto"/>
          </w:tcPr>
          <w:p>
            <w:r>
              <w:t>Meaningful links to:</w:t>
            </w:r>
          </w:p>
          <w:p>
            <w:r>
              <w:t>Cross Curricular Responsibilities</w:t>
            </w:r>
          </w:p>
        </w:tc>
        <w:tc>
          <w:tcPr>
            <w:tcW w:w="6758" w:type="dxa"/>
            <w:gridSpan w:val="3"/>
          </w:tcPr>
          <w:p>
            <w:pPr>
              <w:rPr>
                <w:b/>
                <w:bCs/>
              </w:rPr>
            </w:pPr>
            <w:r>
              <w:rPr>
                <w:b/>
                <w:bCs/>
              </w:rPr>
              <w:t>Language, Literacy and Communication Skills - Oracy: Developing and presenting information and ideas</w:t>
            </w:r>
          </w:p>
          <w:p>
            <w:pPr>
              <w:rPr>
                <w:rFonts w:hAnsi="SimSun" w:eastAsia="SimSun" w:cs="SimSun"/>
              </w:rPr>
            </w:pPr>
            <w:r>
              <w:rPr>
                <w:rFonts w:hAnsi="SimSun" w:eastAsia="SimSun" w:cs="SimSun"/>
              </w:rPr>
              <w:t xml:space="preserve">Prepare and ask a variety of questions e.g. Who?, What?, Why?, When?, and How?, for a variety of purposes and to clarify understanding. </w:t>
            </w:r>
          </w:p>
          <w:p>
            <w:pPr>
              <w:rPr>
                <w:rFonts w:hAnsi="SimSun" w:eastAsia="SimSun" w:cs="SimSun"/>
                <w:b/>
                <w:bCs/>
              </w:rPr>
            </w:pPr>
            <w:r>
              <w:rPr>
                <w:rFonts w:hAnsi="SimSun" w:eastAsia="SimSun" w:cs="SimSun"/>
                <w:b/>
                <w:bCs/>
              </w:rPr>
              <w:t>Welsh Language Development - Oracy: Skills</w:t>
            </w:r>
          </w:p>
          <w:p>
            <w:r>
              <w:rPr>
                <w:rFonts w:hAnsi="SimSun" w:eastAsia="SimSun" w:cs="SimSun"/>
              </w:rPr>
              <w:t>Listen and respond simply to what they hear in familiar circumstances, with growing attention and concentration.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0" w:type="dxa"/>
            <w:gridSpan w:val="4"/>
            <w:shd w:val="clear" w:color="auto" w:fill="auto"/>
          </w:tcPr>
          <w:p>
            <w:pPr>
              <w:rPr>
                <w:rFonts w:hint="default"/>
                <w:lang w:val="en-GB"/>
              </w:rPr>
            </w:pPr>
            <w:r>
              <w:t>Personal Targets (Linked to QTS and identified in weekly review</w:t>
            </w:r>
            <w:r>
              <w:rPr>
                <w:rFonts w:hint="default"/>
                <w:lang w:val="en-GB"/>
              </w:rPr>
              <w:t>)</w:t>
            </w:r>
          </w:p>
          <w:p/>
          <w:p/>
        </w:tc>
      </w:tr>
    </w:tbl>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0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0" w:type="dxa"/>
            <w:shd w:val="clear" w:color="auto" w:fill="D9E2F3" w:themeFill="accent1" w:themeFillTint="33"/>
          </w:tcPr>
          <w:p>
            <w:r>
              <w:t>Learning Objectives (focus on Learning- use accessible vocabulary):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0" w:type="dxa"/>
          </w:tcPr>
          <w:p>
            <w:r>
              <w:t>The pupils will learn to:</w:t>
            </w:r>
          </w:p>
          <w:p>
            <w:r>
              <w:t>-Show an understanding of what they have read in the book</w:t>
            </w:r>
          </w:p>
          <w:p>
            <w:pPr>
              <w:rPr>
                <w:rFonts w:hAnsi="SimSun" w:eastAsia="SimSun" w:cs="SimSun"/>
              </w:rPr>
            </w:pPr>
            <w:r>
              <w:t>- C</w:t>
            </w:r>
            <w:r>
              <w:rPr>
                <w:rFonts w:hAnsi="SimSun" w:eastAsia="SimSun" w:cs="SimSun"/>
              </w:rPr>
              <w:t>ommunicate by using words, phrases and short sentences in Welsh</w:t>
            </w:r>
          </w:p>
          <w:p>
            <w:r>
              <w:rPr>
                <w:rFonts w:eastAsia="SimSun" w:hAnsiTheme="minorEastAsia" w:cstheme="minorEastAsia"/>
              </w:rPr>
              <w:t>- Follow stories read to them and respond as appropriate</w:t>
            </w:r>
          </w:p>
        </w:tc>
      </w:tr>
    </w:tbl>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5"/>
        <w:gridCol w:w="450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505" w:type="dxa"/>
            <w:shd w:val="clear" w:color="auto" w:fill="D9E2F3" w:themeFill="accent1" w:themeFillTint="33"/>
          </w:tcPr>
          <w:p>
            <w:r>
              <w:t>Success Criteria (clearly linked to each Learning Objective and related to the process and/or product of learning)</w:t>
            </w:r>
          </w:p>
        </w:tc>
        <w:tc>
          <w:tcPr>
            <w:tcW w:w="4505" w:type="dxa"/>
            <w:shd w:val="clear" w:color="auto" w:fill="D9E2F3" w:themeFill="accent1" w:themeFillTint="33"/>
          </w:tcPr>
          <w:p>
            <w:r>
              <w:t>Assessment of Pupils’ Learning</w:t>
            </w:r>
          </w:p>
          <w:p>
            <w:r>
              <w:t>Evidence</w:t>
            </w:r>
          </w:p>
          <w:p>
            <w:r>
              <w:t>(What have the learners to say/write/do/produce – to demonstrate learning)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0" w:hRule="atLeast"/>
        </w:trPr>
        <w:tc>
          <w:tcPr>
            <w:tcW w:w="4505" w:type="dxa"/>
          </w:tcPr>
          <w:p>
            <w:r>
              <w:t>- Show an understand of Syrpeis Handa</w:t>
            </w:r>
          </w:p>
          <w:p>
            <w:r>
              <w:t>- Speak short Welsh phrases</w:t>
            </w:r>
          </w:p>
          <w:p>
            <w:r>
              <w:t xml:space="preserve">- Recall a Welsh story </w:t>
            </w:r>
          </w:p>
          <w:p/>
        </w:tc>
        <w:tc>
          <w:tcPr>
            <w:tcW w:w="4505" w:type="dxa"/>
          </w:tcPr>
          <w:p>
            <w:r>
              <w:t>- Where does Handa live?</w:t>
            </w:r>
          </w:p>
          <w:p>
            <w:r>
              <w:t>- What animals were in the book?</w:t>
            </w:r>
          </w:p>
          <w:p>
            <w:r>
              <w:t>- What fruit was shown in the book?</w:t>
            </w:r>
          </w:p>
          <w:p>
            <w:r>
              <w:t>- Would we carry fruit like Handa did?</w:t>
            </w:r>
          </w:p>
        </w:tc>
      </w:tr>
    </w:tbl>
    <w:p>
      <w:pPr>
        <w:sectPr>
          <w:headerReference r:id="rId5" w:type="default"/>
          <w:type w:val="continuous"/>
          <w:pgSz w:w="11900" w:h="16840"/>
          <w:pgMar w:top="1440" w:right="1440" w:bottom="795" w:left="1440" w:header="720" w:footer="720" w:gutter="0"/>
          <w:cols w:space="720" w:num="1"/>
          <w:docGrid w:linePitch="360" w:charSpace="0"/>
        </w:sectPr>
      </w:pPr>
    </w:p>
    <w:tbl>
      <w:tblPr>
        <w:tblStyle w:val="17"/>
        <w:tblpPr w:leftFromText="180" w:rightFromText="180" w:horzAnchor="page" w:tblpX="1570" w:tblpY="108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249"/>
        <w:gridCol w:w="4971"/>
        <w:gridCol w:w="4971"/>
        <w:gridCol w:w="290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624" w:hRule="atLeast"/>
        </w:trPr>
        <w:tc>
          <w:tcPr>
            <w:tcW w:w="1249" w:type="dxa"/>
          </w:tcPr>
          <w:p>
            <w:pPr>
              <w:jc w:val="center"/>
              <w:rPr>
                <w:b/>
              </w:rPr>
            </w:pPr>
            <w:r>
              <w:rPr>
                <w:b/>
              </w:rPr>
              <w:t>Time</w:t>
            </w:r>
          </w:p>
        </w:tc>
        <w:tc>
          <w:tcPr>
            <w:tcW w:w="4971" w:type="dxa"/>
          </w:tcPr>
          <w:p>
            <w:pPr>
              <w:jc w:val="center"/>
              <w:rPr>
                <w:b/>
              </w:rPr>
            </w:pPr>
            <w:r>
              <w:rPr>
                <w:b/>
              </w:rPr>
              <w:t>Activities/Methodology/Key Concepts</w:t>
            </w:r>
          </w:p>
          <w:p>
            <w:pPr>
              <w:jc w:val="center"/>
            </w:pPr>
            <w:r>
              <w:t>(Teacher’s Role – including key teaching points,  differentiation strategies and key questions)</w:t>
            </w:r>
          </w:p>
        </w:tc>
        <w:tc>
          <w:tcPr>
            <w:tcW w:w="4971" w:type="dxa"/>
          </w:tcPr>
          <w:p>
            <w:pPr>
              <w:jc w:val="center"/>
              <w:rPr>
                <w:b/>
              </w:rPr>
            </w:pPr>
            <w:r>
              <w:rPr>
                <w:b/>
              </w:rPr>
              <w:t>Pupil Tasks</w:t>
            </w:r>
          </w:p>
          <w:p>
            <w:pPr>
              <w:jc w:val="center"/>
            </w:pPr>
            <w:r>
              <w:t>(Pupils’ role –including differentiation, engagement in formative assessment and homework)</w:t>
            </w:r>
          </w:p>
          <w:p>
            <w:pPr>
              <w:jc w:val="center"/>
            </w:pPr>
          </w:p>
        </w:tc>
        <w:tc>
          <w:tcPr>
            <w:tcW w:w="2903" w:type="dxa"/>
          </w:tcPr>
          <w:p>
            <w:pPr>
              <w:jc w:val="center"/>
              <w:rPr>
                <w:b/>
              </w:rPr>
            </w:pPr>
            <w:r>
              <w:rPr>
                <w:b/>
              </w:rPr>
              <w:t>Resources</w:t>
            </w:r>
          </w:p>
          <w:p>
            <w:pPr>
              <w:jc w:val="center"/>
            </w:pPr>
            <w:r>
              <w:t>(Including Health and Safety requirement)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391" w:hRule="atLeast"/>
        </w:trPr>
        <w:tc>
          <w:tcPr>
            <w:tcW w:w="1249" w:type="dxa"/>
          </w:tcPr>
          <w:p>
            <w:pPr>
              <w:jc w:val="center"/>
              <w:rPr>
                <w:b/>
              </w:rPr>
            </w:pPr>
          </w:p>
          <w:p>
            <w:pPr>
              <w:jc w:val="center"/>
              <w:rPr>
                <w:b/>
              </w:rPr>
            </w:pPr>
          </w:p>
          <w:p>
            <w:pPr>
              <w:jc w:val="center"/>
              <w:rPr>
                <w:b/>
              </w:rPr>
            </w:pPr>
            <w:r>
              <w:rPr>
                <w:b/>
              </w:rPr>
              <w:t xml:space="preserve">Opening phase </w:t>
            </w:r>
            <w:r>
              <w:t xml:space="preserve"> (with links to  prior learning)</w:t>
            </w:r>
          </w:p>
        </w:tc>
        <w:tc>
          <w:tcPr>
            <w:tcW w:w="4971" w:type="dxa"/>
          </w:tcPr>
          <w:p>
            <w:pPr>
              <w:spacing w:line="240" w:lineRule="auto"/>
              <w:rPr>
                <w:lang w:eastAsia="zh-CN"/>
              </w:rPr>
            </w:pPr>
            <w:r>
              <w:rPr>
                <w:lang w:eastAsia="zh-CN"/>
              </w:rPr>
              <w:t>- I will activate the children’s prior knowledge by asking them whether they remember the story, Syrpreis Handa. I will encourage the c</w:t>
            </w:r>
            <w:r>
              <w:rPr>
                <w:lang w:val="en-US" w:eastAsia="zh-CN"/>
              </w:rPr>
              <w:t xml:space="preserve">hildren to think, and share their </w:t>
            </w:r>
            <w:r>
              <w:rPr>
                <w:lang w:eastAsia="zh-CN"/>
              </w:rPr>
              <w:t xml:space="preserve">thoughts with the rest of the group using the lollipop sticks in the jar to ensure everybody has a fair share of contributing. </w:t>
            </w:r>
          </w:p>
          <w:p>
            <w:pPr>
              <w:jc w:val="both"/>
              <w:rPr>
                <w:lang w:eastAsia="zh-CN"/>
              </w:rPr>
            </w:pPr>
            <w:r>
              <w:rPr>
                <w:lang w:eastAsia="zh-CN"/>
              </w:rPr>
              <w:t>-</w:t>
            </w:r>
            <w:r>
              <w:rPr>
                <w:lang w:val="en-US" w:eastAsia="zh-CN"/>
              </w:rPr>
              <w:t xml:space="preserve"> </w:t>
            </w:r>
            <w:r>
              <w:rPr>
                <w:lang w:eastAsia="zh-CN"/>
              </w:rPr>
              <w:t>It will be followed up by me posing the questions: What animals are in the book? What fruit is shown in the book.</w:t>
            </w:r>
          </w:p>
          <w:p>
            <w:pPr>
              <w:jc w:val="both"/>
              <w:rPr>
                <w:lang w:eastAsia="zh-CN"/>
              </w:rPr>
            </w:pPr>
            <w:r>
              <w:rPr>
                <w:lang w:eastAsia="zh-CN"/>
              </w:rPr>
              <w:t>I will also go over welsh phrases and sentences such as ‘Pwy wyt ti?’, ‘Ble wyt ti’n byw?’, ‘Beth wyt ti’n hoffi bwyta?’ and ‘Beth wyt ti’n ddim yn hoffi bwyta?’.</w:t>
            </w:r>
          </w:p>
        </w:tc>
        <w:tc>
          <w:tcPr>
            <w:tcW w:w="4971" w:type="dxa"/>
          </w:tcPr>
          <w:p>
            <w:pPr>
              <w:spacing w:line="240" w:lineRule="auto"/>
              <w:rPr>
                <w:lang w:eastAsia="zh-CN"/>
              </w:rPr>
            </w:pPr>
            <w:r>
              <w:rPr>
                <w:lang w:eastAsia="zh-CN"/>
              </w:rPr>
              <w:t>-</w:t>
            </w:r>
            <w:r>
              <w:t xml:space="preserve"> While I am introducing the lesson for the session, the children will sit on the carpet and concentrate for a lengthening period of time while we discuss Handa’s surprise story book in Welsh</w:t>
            </w:r>
          </w:p>
          <w:p>
            <w:pPr>
              <w:jc w:val="both"/>
            </w:pPr>
            <w:r>
              <w:rPr>
                <w:lang w:eastAsia="zh-CN"/>
              </w:rPr>
              <w:t>-</w:t>
            </w:r>
            <w:r>
              <w:t xml:space="preserve"> The children will think, and share their ideas as well as help one another with their Welsh vocabulary and familiarise themselves with the story.</w:t>
            </w:r>
          </w:p>
        </w:tc>
        <w:tc>
          <w:tcPr>
            <w:tcW w:w="2903" w:type="dxa"/>
          </w:tcPr>
          <w:p>
            <w:pPr>
              <w:jc w:val="both"/>
            </w:pPr>
            <w:r>
              <w:t>- Flash cards of sentences and stentence starters</w:t>
            </w:r>
          </w:p>
          <w:p>
            <w:pPr>
              <w:jc w:val="both"/>
            </w:pPr>
          </w:p>
          <w:p>
            <w:pPr>
              <w:jc w:val="both"/>
            </w:pPr>
          </w:p>
          <w:p>
            <w:pPr>
              <w:jc w:val="both"/>
            </w:pPr>
          </w:p>
          <w:p>
            <w:pPr>
              <w:jc w:val="both"/>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93" w:hRule="atLeast"/>
        </w:trPr>
        <w:tc>
          <w:tcPr>
            <w:tcW w:w="1249" w:type="dxa"/>
          </w:tcPr>
          <w:p>
            <w:pPr>
              <w:jc w:val="center"/>
              <w:rPr>
                <w:b/>
              </w:rPr>
            </w:pPr>
          </w:p>
          <w:p>
            <w:pPr>
              <w:jc w:val="center"/>
              <w:rPr>
                <w:b/>
              </w:rPr>
            </w:pPr>
          </w:p>
          <w:p>
            <w:pPr>
              <w:jc w:val="center"/>
              <w:rPr>
                <w:b/>
              </w:rPr>
            </w:pPr>
            <w:r>
              <w:rPr>
                <w:b/>
              </w:rPr>
              <w:t>Teaching &amp; Core Learning</w:t>
            </w:r>
          </w:p>
        </w:tc>
        <w:tc>
          <w:tcPr>
            <w:tcW w:w="4971" w:type="dxa"/>
          </w:tcPr>
          <w:p>
            <w:pPr>
              <w:rPr>
                <w:rFonts w:hAnsi="ArialMT" w:eastAsia="ArialMT" w:cs="ArialMT"/>
                <w:color w:val="000000"/>
                <w:lang w:eastAsia="zh-CN"/>
              </w:rPr>
            </w:pPr>
            <w:r>
              <w:rPr>
                <w:rFonts w:hAnsi="ArialMT" w:eastAsia="ArialMT" w:cs="ArialMT"/>
                <w:b/>
                <w:bCs/>
                <w:color w:val="000000"/>
                <w:sz w:val="28"/>
                <w:szCs w:val="28"/>
                <w:lang w:eastAsia="zh-CN"/>
              </w:rPr>
              <w:t>-</w:t>
            </w:r>
            <w:r>
              <w:rPr>
                <w:rFonts w:hAnsi="ArialMT" w:eastAsia="ArialMT" w:cs="ArialMT"/>
                <w:color w:val="000000"/>
                <w:lang w:eastAsia="zh-CN"/>
              </w:rPr>
              <w:t xml:space="preserve"> </w:t>
            </w:r>
            <w:r>
              <w:rPr>
                <w:rFonts w:hAnsi="ArialMT" w:eastAsia="ArialMT" w:cs="ArialMT"/>
                <w:color w:val="000000"/>
                <w:lang w:val="en-US" w:eastAsia="zh-CN"/>
              </w:rPr>
              <w:t xml:space="preserve">Provide children with </w:t>
            </w:r>
            <w:r>
              <w:rPr>
                <w:rFonts w:hAnsi="ArialMT" w:eastAsia="ArialMT" w:cs="ArialMT"/>
                <w:color w:val="000000"/>
                <w:lang w:eastAsia="zh-CN"/>
              </w:rPr>
              <w:t>support to help them speak Welsh that they have recalled from the story and previous welsh lessons.</w:t>
            </w:r>
          </w:p>
          <w:p>
            <w:pPr>
              <w:rPr>
                <w:rFonts w:hAnsi="ArialMT" w:eastAsia="ArialMT" w:cs="ArialMT"/>
                <w:color w:val="000000"/>
                <w:lang w:eastAsia="zh-CN"/>
              </w:rPr>
            </w:pPr>
            <w:r>
              <w:rPr>
                <w:rFonts w:hAnsi="ArialMT" w:eastAsia="ArialMT" w:cs="ArialMT"/>
                <w:b/>
                <w:bCs/>
                <w:color w:val="000000"/>
                <w:sz w:val="28"/>
                <w:szCs w:val="28"/>
                <w:lang w:eastAsia="zh-CN"/>
              </w:rPr>
              <w:t>-</w:t>
            </w:r>
            <w:r>
              <w:rPr>
                <w:rFonts w:hAnsi="ArialMT" w:eastAsia="ArialMT" w:cs="ArialMT"/>
                <w:color w:val="000000"/>
                <w:lang w:eastAsia="zh-CN"/>
              </w:rPr>
              <w:t xml:space="preserve"> </w:t>
            </w:r>
            <w:r>
              <w:rPr>
                <w:rFonts w:hAnsi="ArialMT" w:eastAsia="ArialMT" w:cs="ArialMT"/>
                <w:color w:val="000000"/>
                <w:lang w:val="en-US" w:eastAsia="zh-CN"/>
              </w:rPr>
              <w:t xml:space="preserve">Provide children with </w:t>
            </w:r>
            <w:r>
              <w:rPr>
                <w:rFonts w:hAnsi="ArialMT" w:eastAsia="ArialMT" w:cs="ArialMT"/>
                <w:color w:val="000000"/>
                <w:lang w:eastAsia="zh-CN"/>
              </w:rPr>
              <w:t>animal faces on lollipop sticks related to the Welsh story to help them understand their Welsh vocabulary and the characters in the book, before building on their knowledge of Welsh and helping them translate words.</w:t>
            </w:r>
          </w:p>
          <w:p>
            <w:r>
              <w:rPr>
                <w:rFonts w:hAnsi="ArialMT" w:eastAsia="ArialMT" w:cs="ArialMT"/>
                <w:color w:val="000000"/>
                <w:lang w:eastAsia="zh-CN"/>
              </w:rPr>
              <w:t xml:space="preserve">- The children will be encouraged to build upon their welsh knowledge and vocabulary from previous experiences. </w:t>
            </w:r>
          </w:p>
          <w:p>
            <w:pPr>
              <w:jc w:val="both"/>
            </w:pPr>
          </w:p>
          <w:p>
            <w:pPr>
              <w:jc w:val="center"/>
            </w:pPr>
          </w:p>
          <w:p>
            <w:pPr>
              <w:jc w:val="center"/>
            </w:pPr>
          </w:p>
          <w:p>
            <w:pPr>
              <w:jc w:val="center"/>
            </w:pPr>
          </w:p>
          <w:p>
            <w:pPr>
              <w:jc w:val="center"/>
            </w:pPr>
          </w:p>
        </w:tc>
        <w:tc>
          <w:tcPr>
            <w:tcW w:w="4971" w:type="dxa"/>
          </w:tcPr>
          <w:p>
            <w:pPr>
              <w:spacing w:line="240" w:lineRule="auto"/>
              <w:rPr>
                <w:rFonts w:hAnsi="ArialMT" w:eastAsia="ArialMT" w:cs="ArialMT"/>
                <w:color w:val="000000"/>
                <w:lang w:eastAsia="zh-CN"/>
              </w:rPr>
            </w:pPr>
            <w:r>
              <w:rPr>
                <w:rFonts w:hAnsi="ArialMT" w:eastAsia="ArialMT" w:cs="ArialMT"/>
                <w:color w:val="000000"/>
                <w:lang w:eastAsia="zh-CN"/>
              </w:rPr>
              <w:t xml:space="preserve">- All ability groups will have the opportunity to role play this Welsh story and understand the characters from the book. They will all have the Welsh knowledge and understanding to speak welsh to one another and build upon their oral welsh skills. </w:t>
            </w:r>
          </w:p>
          <w:p>
            <w:pPr>
              <w:spacing w:line="240" w:lineRule="auto"/>
              <w:rPr>
                <w:rFonts w:hAnsi="ArialMT" w:eastAsia="ArialMT" w:cs="ArialMT"/>
                <w:color w:val="000000"/>
                <w:lang w:val="en-US" w:eastAsia="zh-CN"/>
              </w:rPr>
            </w:pPr>
            <w:r>
              <w:rPr>
                <w:rFonts w:hAnsi="ArialMT" w:eastAsia="ArialMT" w:cs="ArialMT"/>
                <w:color w:val="000000"/>
                <w:u w:val="single"/>
                <w:lang w:val="en-US" w:eastAsia="zh-CN"/>
              </w:rPr>
              <w:t xml:space="preserve">Lower ability: </w:t>
            </w:r>
          </w:p>
          <w:p>
            <w:pPr>
              <w:spacing w:line="240" w:lineRule="auto"/>
              <w:rPr>
                <w:rFonts w:hAnsi="ArialMT" w:eastAsia="ArialMT" w:cs="ArialMT"/>
                <w:color w:val="000000"/>
                <w:lang w:eastAsia="zh-CN"/>
              </w:rPr>
            </w:pPr>
            <w:r>
              <w:rPr>
                <w:rFonts w:hAnsi="ArialMT" w:eastAsia="ArialMT" w:cs="ArialMT"/>
                <w:color w:val="000000"/>
                <w:lang w:eastAsia="zh-CN"/>
              </w:rPr>
              <w:t>- This group of children will use very basic Welsh when recalling the story and understanding the characters from the book. They will use questions such as ‘Pwy wyt ti?’, ‘Ble wyt ti’n byw?’ and ‘Beth wyt ti’n hoffi bwyta?’</w:t>
            </w:r>
          </w:p>
          <w:p>
            <w:pPr>
              <w:spacing w:line="240" w:lineRule="auto"/>
              <w:rPr>
                <w:rFonts w:hAnsi="ArialMT" w:eastAsia="ArialMT" w:cs="ArialMT"/>
                <w:color w:val="000000"/>
                <w:u w:val="single"/>
                <w:lang w:val="en-US" w:eastAsia="zh-CN"/>
              </w:rPr>
            </w:pPr>
            <w:r>
              <w:rPr>
                <w:rFonts w:hAnsi="ArialMT" w:eastAsia="ArialMT" w:cs="ArialMT"/>
                <w:color w:val="000000"/>
                <w:u w:val="single"/>
                <w:lang w:val="en-US" w:eastAsia="zh-CN"/>
              </w:rPr>
              <w:t xml:space="preserve">Middle ability: </w:t>
            </w:r>
          </w:p>
          <w:p>
            <w:pPr>
              <w:spacing w:line="240" w:lineRule="auto"/>
              <w:rPr>
                <w:rFonts w:hAnsi="ArialMT" w:eastAsia="ArialMT" w:cs="ArialMT"/>
                <w:color w:val="000000"/>
                <w:lang w:eastAsia="zh-CN"/>
              </w:rPr>
            </w:pPr>
            <w:r>
              <w:rPr>
                <w:rFonts w:hAnsi="ArialMT" w:eastAsia="ArialMT" w:cs="ArialMT"/>
                <w:color w:val="000000"/>
                <w:lang w:eastAsia="zh-CN"/>
              </w:rPr>
              <w:t>- This group of children will use basic Welsh when recalling the story and understanding the characters from the book. They will use questions such as ‘Pwy wyt ti?’, ‘Ble wyt ti’n byw?’ and ‘Beth wyt ti’n hoffi bwyta?’ ‘Beth wyt ti’n ddim yn hoffi bwyta?’, ‘Beth mae’r mwnci yn hoffi bwyta?’, ‘Beth mae’r sebra yn hoffi bwyta?’, ‘Beth mae’r elifant yn hoffi bwyta?’, and ‘Beth mae’r giraff yn hoffi bwyta?’.</w:t>
            </w:r>
          </w:p>
          <w:p>
            <w:pPr>
              <w:spacing w:line="240" w:lineRule="auto"/>
              <w:rPr>
                <w:rFonts w:hAnsi="ArialMT" w:eastAsia="ArialMT" w:cs="ArialMT"/>
                <w:color w:val="000000"/>
                <w:u w:val="single"/>
                <w:lang w:val="en-US" w:eastAsia="zh-CN"/>
              </w:rPr>
            </w:pPr>
            <w:r>
              <w:rPr>
                <w:rFonts w:hAnsi="ArialMT" w:eastAsia="ArialMT" w:cs="ArialMT"/>
                <w:color w:val="000000"/>
                <w:u w:val="single"/>
                <w:lang w:val="en-US" w:eastAsia="zh-CN"/>
              </w:rPr>
              <w:t xml:space="preserve">Higher ability: </w:t>
            </w:r>
          </w:p>
          <w:p>
            <w:r>
              <w:rPr>
                <w:rFonts w:hAnsi="ArialMT" w:eastAsia="ArialMT" w:cs="ArialMT"/>
                <w:color w:val="000000"/>
                <w:lang w:eastAsia="zh-CN"/>
              </w:rPr>
              <w:t>- This group of children will use basic Welsh when recalling the story and understanding the characters from the book. They will use questions such as ‘Pwy wyt ti?’, ‘Ble wyt ti’n byw?’ and ‘Beth wyt ti’n hoffi bwyta?’, ‘Beth mae’r mwnci yn hoffi bwyta?’, ‘Beth mae’r sebra yn hoffi bwyta?’, ‘Beth mae’r elifant yn hoffi bwyta?’, ‘Beth mae’r giraff yn hoffi bwyta?’ and ‘Beth mae’r Handa ac Akeyo yn hoffi bwyta?’.</w:t>
            </w:r>
          </w:p>
        </w:tc>
        <w:tc>
          <w:tcPr>
            <w:tcW w:w="2903" w:type="dxa"/>
          </w:tcPr>
          <w:p>
            <w:pPr>
              <w:jc w:val="both"/>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54" w:hRule="atLeast"/>
        </w:trPr>
        <w:tc>
          <w:tcPr>
            <w:tcW w:w="1249" w:type="dxa"/>
          </w:tcPr>
          <w:p>
            <w:pPr>
              <w:jc w:val="center"/>
              <w:rPr>
                <w:b/>
              </w:rPr>
            </w:pPr>
          </w:p>
          <w:p>
            <w:pPr>
              <w:jc w:val="center"/>
              <w:rPr>
                <w:b/>
              </w:rPr>
            </w:pPr>
          </w:p>
          <w:p>
            <w:pPr>
              <w:jc w:val="center"/>
              <w:rPr>
                <w:b/>
              </w:rPr>
            </w:pPr>
            <w:r>
              <w:rPr>
                <w:b/>
              </w:rPr>
              <w:t>Plenary</w:t>
            </w:r>
          </w:p>
        </w:tc>
        <w:tc>
          <w:tcPr>
            <w:tcW w:w="4971" w:type="dxa"/>
          </w:tcPr>
          <w:p>
            <w:pPr>
              <w:spacing w:line="240" w:lineRule="auto"/>
            </w:pPr>
            <w:r>
              <w:t xml:space="preserve">At the end of the lesson I will do a thumbs up plenary. This will include welsh phrases such as bendegedig, iawn and ddiflas. </w:t>
            </w:r>
          </w:p>
          <w:p>
            <w:pPr>
              <w:spacing w:line="240" w:lineRule="auto"/>
            </w:pPr>
            <w:r>
              <w:t>I will also ask questions such as:</w:t>
            </w:r>
          </w:p>
          <w:p>
            <w:pPr>
              <w:spacing w:line="240" w:lineRule="auto"/>
            </w:pPr>
            <w:r>
              <w:t>- Did you enjoy?</w:t>
            </w:r>
          </w:p>
          <w:p>
            <w:pPr>
              <w:spacing w:line="240" w:lineRule="auto"/>
            </w:pPr>
            <w:r>
              <w:t>- What did you find interesting?</w:t>
            </w:r>
          </w:p>
          <w:p>
            <w:pPr>
              <w:jc w:val="both"/>
            </w:pPr>
            <w:r>
              <w:t>- What did you learn?</w:t>
            </w:r>
          </w:p>
        </w:tc>
        <w:tc>
          <w:tcPr>
            <w:tcW w:w="4971" w:type="dxa"/>
          </w:tcPr>
          <w:p>
            <w:pPr>
              <w:jc w:val="center"/>
            </w:pPr>
          </w:p>
          <w:p>
            <w:pPr>
              <w:jc w:val="center"/>
            </w:pPr>
          </w:p>
          <w:p>
            <w:pPr>
              <w:jc w:val="center"/>
            </w:pPr>
          </w:p>
          <w:p>
            <w:pPr>
              <w:jc w:val="center"/>
            </w:pPr>
          </w:p>
          <w:p>
            <w:pPr>
              <w:jc w:val="center"/>
            </w:pPr>
          </w:p>
        </w:tc>
        <w:tc>
          <w:tcPr>
            <w:tcW w:w="2903" w:type="dxa"/>
          </w:tcPr>
          <w:p>
            <w:pPr>
              <w:jc w:val="center"/>
            </w:pPr>
          </w:p>
        </w:tc>
      </w:tr>
    </w:tbl>
    <w:p/>
    <w:p/>
    <w:p/>
    <w:p/>
    <w:p/>
    <w:p/>
    <w:p/>
    <w:p/>
    <w:p/>
    <w:p/>
    <w:p/>
    <w:p/>
    <w:p/>
    <w:p/>
    <w:p/>
    <w:p/>
    <w:p>
      <w:pPr>
        <w:sectPr>
          <w:pgSz w:w="16840" w:h="11900" w:orient="landscape"/>
          <w:pgMar w:top="1440" w:right="1440" w:bottom="1440" w:left="794" w:header="720" w:footer="720" w:gutter="0"/>
          <w:cols w:space="720" w:num="1"/>
          <w:docGrid w:linePitch="360" w:charSpace="0"/>
        </w:sectPr>
      </w:pPr>
    </w:p>
    <w:p>
      <w:pPr>
        <w:jc w:val="center"/>
        <w:rPr>
          <w:b/>
        </w:rPr>
      </w:pPr>
      <w:r>
        <w:rPr>
          <w:b/>
        </w:rPr>
        <w:t>Lesson Plan – Phase 1</w:t>
      </w:r>
    </w:p>
    <w:p>
      <w:pPr>
        <w:jc w:val="center"/>
        <w:rPr>
          <w:b/>
        </w:rPr>
      </w:pPr>
      <w:r>
        <w:rPr>
          <w:b/>
        </w:rPr>
        <w:t>Evaluation of the Learning Experience</w:t>
      </w:r>
    </w:p>
    <w:p>
      <w:pPr>
        <w:jc w:val="center"/>
        <w:rPr>
          <w:b/>
        </w:rPr>
      </w:pPr>
      <w:r>
        <w:rPr>
          <w:b/>
        </w:rPr>
        <w:t>(include references to QTS)</w:t>
      </w:r>
    </w:p>
    <w:tbl>
      <w:tblPr>
        <w:tblStyle w:val="1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980"/>
        <w:gridCol w:w="703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0" w:type="dxa"/>
            <w:gridSpan w:val="2"/>
            <w:shd w:val="clear" w:color="auto" w:fill="D9E2F3" w:themeFill="accent1" w:themeFillTint="33"/>
          </w:tcPr>
          <w:p>
            <w:r>
              <w:rPr>
                <w:b/>
              </w:rPr>
              <w:t>Evaluation of Pupil Learning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80" w:type="dxa"/>
            <w:shd w:val="clear" w:color="auto" w:fill="D9E2F3" w:themeFill="accent1" w:themeFillTint="33"/>
          </w:tcPr>
          <w:p>
            <w:r>
              <w:t>Evidence of Learning (including attitude to learning over time)</w:t>
            </w:r>
          </w:p>
        </w:tc>
        <w:tc>
          <w:tcPr>
            <w:tcW w:w="7030" w:type="dxa"/>
          </w:tcPr>
          <w:p>
            <w:r>
              <w:rPr>
                <w:sz w:val="22"/>
                <w:szCs w:val="20"/>
              </w:rPr>
              <w:t xml:space="preserve">I completed this activity with </w:t>
            </w:r>
            <w:r>
              <w:rPr>
                <w:rFonts w:hint="default"/>
                <w:sz w:val="22"/>
                <w:szCs w:val="20"/>
                <w:lang w:val="en-GB"/>
              </w:rPr>
              <w:t xml:space="preserve">everyone in Year 2. They all </w:t>
            </w:r>
            <w:r>
              <w:rPr>
                <w:sz w:val="22"/>
                <w:szCs w:val="20"/>
                <w:lang w:val="cy-GB"/>
              </w:rPr>
              <w:t xml:space="preserve">listened to my </w:t>
            </w:r>
            <w:r>
              <w:rPr>
                <w:sz w:val="22"/>
                <w:szCs w:val="20"/>
              </w:rPr>
              <w:t xml:space="preserve">instructions and interacted with the task requirements. </w:t>
            </w:r>
            <w:r>
              <w:rPr>
                <w:sz w:val="22"/>
                <w:szCs w:val="20"/>
                <w:lang w:val="cy-GB"/>
              </w:rPr>
              <w:t xml:space="preserve"> They all participated and understood what </w:t>
            </w:r>
            <w:r>
              <w:rPr>
                <w:sz w:val="22"/>
                <w:szCs w:val="20"/>
              </w:rPr>
              <w:t xml:space="preserve">needed to be included when </w:t>
            </w:r>
            <w:r>
              <w:rPr>
                <w:rFonts w:hint="default"/>
                <w:sz w:val="22"/>
                <w:szCs w:val="20"/>
                <w:lang w:val="en-GB"/>
              </w:rPr>
              <w:t>recalling the story and the characters from the book</w:t>
            </w:r>
            <w:r>
              <w:rPr>
                <w:sz w:val="22"/>
                <w:szCs w:val="20"/>
              </w:rPr>
              <w:t xml:space="preserve">. </w:t>
            </w:r>
            <w:r>
              <w:rPr>
                <w:sz w:val="22"/>
                <w:szCs w:val="20"/>
                <w:lang w:val="cy-GB"/>
              </w:rPr>
              <w:t xml:space="preserve"> They all </w:t>
            </w:r>
            <w:r>
              <w:rPr>
                <w:sz w:val="22"/>
                <w:szCs w:val="20"/>
              </w:rPr>
              <w:t xml:space="preserve">participated accordingly and when they were stuck on </w:t>
            </w:r>
            <w:r>
              <w:rPr>
                <w:rFonts w:hint="default"/>
                <w:sz w:val="22"/>
                <w:szCs w:val="20"/>
                <w:lang w:val="en-GB"/>
              </w:rPr>
              <w:t>welsh words, they needed a gentle prompt from me for them to remember all of the sentence. There were come children who</w:t>
            </w:r>
            <w:r>
              <w:rPr>
                <w:sz w:val="22"/>
                <w:szCs w:val="20"/>
              </w:rPr>
              <w:t xml:space="preserve"> helped each other rather than asking me for help which showed how well the</w:t>
            </w:r>
            <w:r>
              <w:rPr>
                <w:rFonts w:hint="default"/>
                <w:sz w:val="22"/>
                <w:szCs w:val="20"/>
                <w:lang w:val="en-GB"/>
              </w:rPr>
              <w:t>y</w:t>
            </w:r>
            <w:r>
              <w:rPr>
                <w:sz w:val="22"/>
                <w:szCs w:val="20"/>
              </w:rPr>
              <w:t xml:space="preserve"> worked in pairs and groups. </w:t>
            </w:r>
            <w:r>
              <w:rPr>
                <w:sz w:val="22"/>
                <w:szCs w:val="20"/>
                <w:lang w:val="cy-GB"/>
              </w:rPr>
              <w:t>While I</w:t>
            </w:r>
            <w:r>
              <w:rPr>
                <w:sz w:val="22"/>
                <w:szCs w:val="20"/>
              </w:rPr>
              <w:t xml:space="preserve"> had some children who understood what they were meant to do and flew through the </w:t>
            </w:r>
            <w:r>
              <w:rPr>
                <w:rFonts w:hint="default"/>
                <w:sz w:val="22"/>
                <w:szCs w:val="20"/>
                <w:lang w:val="en-GB"/>
              </w:rPr>
              <w:t xml:space="preserve">oracy practice prior to using the green screen, whereas </w:t>
            </w:r>
            <w:r>
              <w:rPr>
                <w:sz w:val="22"/>
                <w:szCs w:val="20"/>
              </w:rPr>
              <w:t xml:space="preserve"> some children in the lower ability groups found it a little difficult and needed a little support to help them </w:t>
            </w:r>
            <w:r>
              <w:rPr>
                <w:rFonts w:hint="default"/>
                <w:sz w:val="22"/>
                <w:szCs w:val="20"/>
                <w:lang w:val="en-GB"/>
              </w:rPr>
              <w:t>with their welsh development</w:t>
            </w:r>
            <w:r>
              <w:rPr>
                <w:sz w:val="22"/>
                <w:szCs w:val="20"/>
              </w:rPr>
              <w:t xml:space="preserve">. </w:t>
            </w:r>
            <w:r>
              <w:rPr>
                <w:sz w:val="22"/>
                <w:szCs w:val="20"/>
                <w:lang w:val="cy-GB"/>
              </w:rPr>
              <w:t xml:space="preserve"> I could see </w:t>
            </w:r>
            <w:r>
              <w:rPr>
                <w:sz w:val="22"/>
                <w:szCs w:val="20"/>
              </w:rPr>
              <w:t>that all of the children tried because the</w:t>
            </w:r>
            <w:r>
              <w:rPr>
                <w:rFonts w:hint="default"/>
                <w:sz w:val="22"/>
                <w:szCs w:val="20"/>
                <w:lang w:val="en-GB"/>
              </w:rPr>
              <w:t>y made</w:t>
            </w:r>
            <w:r>
              <w:rPr>
                <w:sz w:val="22"/>
                <w:szCs w:val="20"/>
              </w:rPr>
              <w:t xml:space="preserve"> some mistakes </w:t>
            </w:r>
            <w:r>
              <w:rPr>
                <w:rFonts w:hint="default"/>
                <w:sz w:val="22"/>
                <w:szCs w:val="20"/>
                <w:lang w:val="en-GB"/>
              </w:rPr>
              <w:t>but this</w:t>
            </w:r>
            <w:r>
              <w:rPr>
                <w:sz w:val="22"/>
                <w:szCs w:val="20"/>
              </w:rPr>
              <w:t xml:space="preserve"> show</w:t>
            </w:r>
            <w:r>
              <w:rPr>
                <w:rFonts w:hint="default"/>
                <w:sz w:val="22"/>
                <w:szCs w:val="20"/>
                <w:lang w:val="en-GB"/>
              </w:rPr>
              <w:t>s</w:t>
            </w:r>
            <w:r>
              <w:rPr>
                <w:sz w:val="22"/>
                <w:szCs w:val="20"/>
              </w:rPr>
              <w:t xml:space="preserve"> that they had a go independently. </w:t>
            </w:r>
            <w:r>
              <w:rPr>
                <w:sz w:val="22"/>
                <w:szCs w:val="20"/>
                <w:lang w:val="cy-GB"/>
              </w:rPr>
              <w:t xml:space="preserve">Although I found they were all </w:t>
            </w:r>
            <w:r>
              <w:rPr>
                <w:sz w:val="22"/>
                <w:szCs w:val="20"/>
              </w:rPr>
              <w:t xml:space="preserve">interested in the </w:t>
            </w:r>
            <w:r>
              <w:rPr>
                <w:rFonts w:hint="default"/>
                <w:sz w:val="22"/>
                <w:szCs w:val="20"/>
                <w:lang w:val="en-GB"/>
              </w:rPr>
              <w:t>recalling the story, I didn’t feel as though they all understood the welsh phrases they were speaking about.</w:t>
            </w:r>
            <w:r>
              <w:rPr>
                <w:sz w:val="22"/>
                <w:szCs w:val="20"/>
              </w:rPr>
              <w:t xml:space="preserve"> </w:t>
            </w:r>
            <w:r>
              <w:rPr>
                <w:sz w:val="22"/>
                <w:szCs w:val="20"/>
                <w:lang w:val="cy-GB"/>
              </w:rPr>
              <w:t xml:space="preserve"> I was very impressed with their </w:t>
            </w:r>
            <w:r>
              <w:rPr>
                <w:sz w:val="22"/>
                <w:szCs w:val="20"/>
              </w:rPr>
              <w:t xml:space="preserve">concentration, </w:t>
            </w:r>
            <w:r>
              <w:rPr>
                <w:sz w:val="22"/>
                <w:szCs w:val="20"/>
                <w:lang w:val="cy-GB"/>
              </w:rPr>
              <w:t xml:space="preserve">attention and work </w:t>
            </w:r>
            <w:r>
              <w:rPr>
                <w:sz w:val="22"/>
                <w:szCs w:val="20"/>
              </w:rPr>
              <w:t xml:space="preserve">they had produced during my lesson.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1980" w:type="dxa"/>
            <w:shd w:val="clear" w:color="auto" w:fill="D9E2F3" w:themeFill="accent1" w:themeFillTint="33"/>
          </w:tcPr>
          <w:p>
            <w:r>
              <w:t>Next Steps for Progress</w:t>
            </w:r>
          </w:p>
          <w:p/>
        </w:tc>
        <w:tc>
          <w:tcPr>
            <w:tcW w:w="7030" w:type="dxa"/>
          </w:tcPr>
          <w:p>
            <w:r>
              <w:rPr>
                <w:rFonts w:hint="default"/>
                <w:sz w:val="22"/>
                <w:szCs w:val="20"/>
                <w:lang w:val="en-GB"/>
              </w:rPr>
              <w:t xml:space="preserve">Year 2 were all on </w:t>
            </w:r>
            <w:r>
              <w:rPr>
                <w:sz w:val="22"/>
                <w:szCs w:val="20"/>
              </w:rPr>
              <w:t>task</w:t>
            </w:r>
            <w:r>
              <w:rPr>
                <w:sz w:val="22"/>
                <w:szCs w:val="20"/>
                <w:lang w:val="cy-GB"/>
              </w:rPr>
              <w:t xml:space="preserve"> </w:t>
            </w:r>
            <w:r>
              <w:rPr>
                <w:rFonts w:hint="default"/>
                <w:sz w:val="22"/>
                <w:szCs w:val="20"/>
                <w:lang w:val="en-GB"/>
              </w:rPr>
              <w:t xml:space="preserve">and </w:t>
            </w:r>
            <w:r>
              <w:rPr>
                <w:sz w:val="22"/>
                <w:szCs w:val="20"/>
                <w:lang w:val="cy-GB"/>
              </w:rPr>
              <w:t>all behaved appropriately and listened and res</w:t>
            </w:r>
            <w:r>
              <w:rPr>
                <w:sz w:val="22"/>
                <w:szCs w:val="20"/>
              </w:rPr>
              <w:t>p</w:t>
            </w:r>
            <w:r>
              <w:rPr>
                <w:sz w:val="22"/>
                <w:szCs w:val="20"/>
                <w:lang w:val="cy-GB"/>
              </w:rPr>
              <w:t xml:space="preserve">onded to the </w:t>
            </w:r>
            <w:r>
              <w:rPr>
                <w:sz w:val="22"/>
                <w:szCs w:val="20"/>
              </w:rPr>
              <w:t>task</w:t>
            </w:r>
            <w:r>
              <w:rPr>
                <w:sz w:val="22"/>
                <w:szCs w:val="20"/>
                <w:lang w:val="cy-GB"/>
              </w:rPr>
              <w:t xml:space="preserve"> willingly. Next time, I would give all of these children a reward such as a house point to encourage positive behaviour and excellent concentration skills. Hopefully, this behaviour will be ongoing and the behaviour policy would not have to come into action or be followed where appropriate. </w:t>
            </w:r>
          </w:p>
        </w:tc>
      </w:tr>
    </w:tbl>
    <w:p/>
    <w:tbl>
      <w:tblPr>
        <w:tblStyle w:val="1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126"/>
        <w:gridCol w:w="81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010" w:type="dxa"/>
            <w:gridSpan w:val="2"/>
            <w:shd w:val="clear" w:color="auto" w:fill="D9E2F3" w:themeFill="accent1" w:themeFillTint="33"/>
          </w:tcPr>
          <w:p>
            <w:r>
              <w:rPr>
                <w:b/>
              </w:rPr>
              <w:t>Reflective Analysis of Teaching and Strategies For Development – including justification/rationale for pedagogical choices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38" w:type="dxa"/>
            <w:shd w:val="clear" w:color="auto" w:fill="D9E2F3" w:themeFill="accent1" w:themeFillTint="33"/>
          </w:tcPr>
          <w:p>
            <w:r>
              <w:t xml:space="preserve">Evidence of my Effective Practice </w:t>
            </w:r>
          </w:p>
          <w:p/>
          <w:p/>
        </w:tc>
        <w:tc>
          <w:tcPr>
            <w:tcW w:w="7172" w:type="dxa"/>
          </w:tcPr>
          <w:p>
            <w:r>
              <w:t xml:space="preserve">Prior to me starting my lesson, I planned nearly a week in advance. In my PPA lesson the previous week, I discussed with my class teachers that I would be doing this </w:t>
            </w:r>
            <w:r>
              <w:rPr>
                <w:rFonts w:hint="default"/>
                <w:lang w:val="en-GB"/>
              </w:rPr>
              <w:t>Welsh</w:t>
            </w:r>
            <w:r>
              <w:t xml:space="preserve">  lesson this </w:t>
            </w:r>
            <w:r>
              <w:rPr>
                <w:rFonts w:hint="default"/>
                <w:lang w:val="en-GB"/>
              </w:rPr>
              <w:t>afternoon</w:t>
            </w:r>
            <w:r>
              <w:t xml:space="preserve"> and therefore it helped when preparing myself for the lesson. I p</w:t>
            </w:r>
            <w:r>
              <w:rPr>
                <w:rFonts w:hint="default"/>
                <w:lang w:val="en-GB"/>
              </w:rPr>
              <w:t>rinted</w:t>
            </w:r>
            <w:r>
              <w:t xml:space="preserve"> the </w:t>
            </w:r>
            <w:r>
              <w:rPr>
                <w:rFonts w:hint="default"/>
                <w:lang w:val="en-GB"/>
              </w:rPr>
              <w:t>masks and stuck them to lollipop sticks so they could</w:t>
            </w:r>
            <w:r>
              <w:t xml:space="preserve"> all </w:t>
            </w:r>
            <w:r>
              <w:rPr>
                <w:rFonts w:hint="default"/>
                <w:lang w:val="en-GB"/>
              </w:rPr>
              <w:t>have the opportunity to role play an animal. They enjoyed liked it that I brought the fruit in for the children as well as the baskets. The energy that they showed when learning and performing the book showed me that my planning was excellent as everybody knew what they were doing. E</w:t>
            </w:r>
            <w:r>
              <w:t xml:space="preserve">ach group discussed </w:t>
            </w:r>
            <w:r>
              <w:rPr>
                <w:rFonts w:hint="default"/>
                <w:lang w:val="en-GB"/>
              </w:rPr>
              <w:t xml:space="preserve">their welsh sentences and therefore were prepared for when they performed to other groups, this </w:t>
            </w:r>
            <w:r>
              <w:t>helped to  aid the children when collating their thoughts and ideas. The less able children need</w:t>
            </w:r>
            <w:r>
              <w:rPr>
                <w:rFonts w:hint="default"/>
                <w:lang w:val="en-GB"/>
              </w:rPr>
              <w:t>ed</w:t>
            </w:r>
            <w:r>
              <w:t xml:space="preserve"> more guidance to help them have a better understanding of </w:t>
            </w:r>
            <w:r>
              <w:rPr>
                <w:rFonts w:hint="default"/>
                <w:lang w:val="en-GB"/>
              </w:rPr>
              <w:t xml:space="preserve">Welsh </w:t>
            </w:r>
            <w:r>
              <w:t xml:space="preserve">and the uses of it. </w:t>
            </w:r>
            <w:r>
              <w:rPr>
                <w:rFonts w:hint="default"/>
                <w:lang w:val="en-GB"/>
              </w:rPr>
              <w:t>All</w:t>
            </w:r>
            <w:r>
              <w:t xml:space="preserve"> abilities in my class found these sessions very helpful which I then felt happy about my lesson and proud that it all went to plan.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1838" w:type="dxa"/>
            <w:shd w:val="clear" w:color="auto" w:fill="D9E2F3" w:themeFill="accent1" w:themeFillTint="33"/>
          </w:tcPr>
          <w:p>
            <w:r>
              <w:t>Areas for my Development</w:t>
            </w:r>
          </w:p>
          <w:p/>
          <w:p>
            <w:r>
              <w:t>Personal Targets for Progress</w:t>
            </w:r>
          </w:p>
          <w:p/>
        </w:tc>
        <w:tc>
          <w:tcPr>
            <w:tcW w:w="7172" w:type="dxa"/>
          </w:tcPr>
          <w:p>
            <w:r>
              <w:t xml:space="preserve">If I was to do this lesson again, I would have more of an introduction to the lesson. We did not produce a powerpoint for this lesson and therefore I feel that if I was to do this both the children and myself would have had a better understanding of </w:t>
            </w:r>
            <w:r>
              <w:rPr>
                <w:rFonts w:hint="default"/>
                <w:lang w:val="en-GB"/>
              </w:rPr>
              <w:t>green screen</w:t>
            </w:r>
            <w:r>
              <w:t xml:space="preserve"> and it would help me to get my thoughts together before </w:t>
            </w:r>
            <w:r>
              <w:rPr>
                <w:rFonts w:hint="default"/>
                <w:lang w:val="en-GB"/>
              </w:rPr>
              <w:t>letting the children perform.</w:t>
            </w:r>
            <w:r>
              <w:t xml:space="preserve"> I feel that this is priority as next time I do a lesson, I will do a clear introduction so I can understand what each group will clearly do during that lesson. </w:t>
            </w:r>
          </w:p>
          <w:p>
            <w:r>
              <w:t xml:space="preserve">After this lesson, I will progress by making myself more clear and understanding during my teaching lesson. </w:t>
            </w:r>
          </w:p>
          <w:p>
            <w:pPr>
              <w:rPr>
                <w:rFonts w:hint="default"/>
                <w:lang w:val="en-GB"/>
              </w:rPr>
            </w:pPr>
            <w:r>
              <w:rPr>
                <w:rFonts w:hint="default"/>
              </w:rPr>
              <w:fldChar w:fldCharType="begin"/>
            </w:r>
            <w:r>
              <w:rPr>
                <w:rFonts w:hint="default"/>
              </w:rPr>
              <w:instrText xml:space="preserve"> HYPERLINK "https://uowtsd-my.sharepoint.com/:v:/g/personal/1900565_student_uwtsd_ac_uk/ETFSXG9y2MtJjQc926KhaGYBjxKMu3wI268v2bY-fRKQkQ?e=cIXdN7" </w:instrText>
            </w:r>
            <w:r>
              <w:rPr>
                <w:rFonts w:hint="default"/>
              </w:rPr>
              <w:fldChar w:fldCharType="separate"/>
            </w:r>
            <w:r>
              <w:rPr>
                <w:rStyle w:val="10"/>
                <w:rFonts w:hint="default"/>
              </w:rPr>
              <w:t>https://uowtsd-my.sharepoint.com/:v:/g/personal/1900565_student_uwtsd_ac_uk/ETFSXG9y2MtJjQc926KhaGYBjxKMu3wI268v2bY-fRKQkQ?e=cIXdN7</w:t>
            </w:r>
            <w:r>
              <w:rPr>
                <w:rFonts w:hint="default"/>
              </w:rPr>
              <w:fldChar w:fldCharType="end"/>
            </w:r>
            <w:r>
              <w:rPr>
                <w:rFonts w:hint="default"/>
                <w:lang w:val="en-GB"/>
              </w:rPr>
              <w:t xml:space="preserve"> </w:t>
            </w:r>
            <w:bookmarkStart w:id="0" w:name="_GoBack"/>
            <w:bookmarkEnd w:id="0"/>
          </w:p>
        </w:tc>
      </w:tr>
    </w:tbl>
    <w:p/>
    <w:p/>
    <w:p/>
    <w:p/>
    <w:p/>
    <w:p/>
    <w:p/>
    <w:p/>
    <w:p/>
    <w:p/>
    <w:p/>
    <w:p/>
    <w:sectPr>
      <w:pgSz w:w="11900" w:h="16840"/>
      <w:pgMar w:top="1440" w:right="1440" w:bottom="794"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DengXian Light">
    <w:altName w:val="Segoe Print"/>
    <w:panose1 w:val="00000000000000000000"/>
    <w:charset w:val="00"/>
    <w:family w:val="auto"/>
    <w:pitch w:val="default"/>
    <w:sig w:usb0="00000000" w:usb1="00000000" w:usb2="00000000" w:usb3="00000000" w:csb0="00000000" w:csb1="00000000"/>
  </w:font>
  <w:font w:name="Segoe UI">
    <w:panose1 w:val="020B0502040204020203"/>
    <w:charset w:val="00"/>
    <w:family w:val="swiss"/>
    <w:pitch w:val="default"/>
    <w:sig w:usb0="E4002EFF" w:usb1="C000E47F" w:usb2="00000009" w:usb3="00000000" w:csb0="200001FF" w:csb1="00000000"/>
  </w:font>
  <w:font w:name="DengXian">
    <w:altName w:val="Segoe Print"/>
    <w:panose1 w:val="00000000000000000000"/>
    <w:charset w:val="00"/>
    <w:family w:val="auto"/>
    <w:pitch w:val="default"/>
    <w:sig w:usb0="00000000" w:usb1="00000000" w:usb2="00000000" w:usb3="00000000" w:csb0="00000000" w:csb1="00000000"/>
  </w:font>
  <w:font w:name="ArialM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391236413"/>
    </w:sdtPr>
    <w:sdtContent>
      <w:p>
        <w:pPr>
          <w:pStyle w:val="6"/>
        </w:pPr>
        <w:r>
          <w:fldChar w:fldCharType="begin"/>
        </w:r>
        <w:r>
          <w:instrText xml:space="preserve"> PAGE   \* MERGEFORMAT </w:instrText>
        </w:r>
        <w:r>
          <w:fldChar w:fldCharType="separate"/>
        </w:r>
        <w:r>
          <w:t>1</w:t>
        </w:r>
        <w:r>
          <w:fldChar w:fldCharType="end"/>
        </w:r>
      </w:p>
    </w:sdtContent>
  </w:sdt>
  <w:p>
    <w:pPr>
      <w:pStyle w:val="6"/>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lang w:eastAsia="en-GB"/>
      </w:rPr>
      <w:drawing>
        <wp:anchor distT="0" distB="0" distL="114300" distR="114300" simplePos="0" relativeHeight="251658240" behindDoc="1" locked="0" layoutInCell="1" allowOverlap="1">
          <wp:simplePos x="0" y="0"/>
          <wp:positionH relativeFrom="column">
            <wp:posOffset>-913765</wp:posOffset>
          </wp:positionH>
          <wp:positionV relativeFrom="page">
            <wp:posOffset>22225</wp:posOffset>
          </wp:positionV>
          <wp:extent cx="7538085" cy="10654665"/>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anchor>
      </w:drawing>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ttachedTemplate r:id="rId1"/>
  <w:documentProtection w:enforcement="0"/>
  <w:defaultTabStop w:val="720"/>
  <w:noPunctuationKerning w:val="1"/>
  <w:characterSpacingControl w:val="doNotCompress"/>
  <w:compat>
    <w:doNotExpandShiftReturn/>
    <w:doNotWrapTextWithPunct/>
    <w:doNotUseEastAsianBreakRules/>
    <w:doNotUseIndentAsNumberingTabStop/>
    <w:useAltKinsokuLineBreakRules/>
    <w:compatSetting w:name="compatibilityMode" w:uri="http://schemas.microsoft.com/office/word" w:val="12"/>
  </w:compat>
  <w:rsids>
    <w:rsidRoot w:val="004847B6"/>
    <w:rsid w:val="000432F2"/>
    <w:rsid w:val="00045D70"/>
    <w:rsid w:val="00063D4A"/>
    <w:rsid w:val="000973E5"/>
    <w:rsid w:val="000B6B62"/>
    <w:rsid w:val="000E5C05"/>
    <w:rsid w:val="00167F75"/>
    <w:rsid w:val="002B2D5B"/>
    <w:rsid w:val="002F72F8"/>
    <w:rsid w:val="0031228F"/>
    <w:rsid w:val="003502C7"/>
    <w:rsid w:val="0037014D"/>
    <w:rsid w:val="003770F9"/>
    <w:rsid w:val="00390681"/>
    <w:rsid w:val="003B005D"/>
    <w:rsid w:val="003D443E"/>
    <w:rsid w:val="0040291F"/>
    <w:rsid w:val="00405745"/>
    <w:rsid w:val="00467647"/>
    <w:rsid w:val="004847B6"/>
    <w:rsid w:val="00486733"/>
    <w:rsid w:val="004B73CD"/>
    <w:rsid w:val="004E1B77"/>
    <w:rsid w:val="005404E0"/>
    <w:rsid w:val="005A07F2"/>
    <w:rsid w:val="005B35CE"/>
    <w:rsid w:val="005B7769"/>
    <w:rsid w:val="00610C4A"/>
    <w:rsid w:val="006243FA"/>
    <w:rsid w:val="00645E24"/>
    <w:rsid w:val="00665C7C"/>
    <w:rsid w:val="006953EE"/>
    <w:rsid w:val="006E32EF"/>
    <w:rsid w:val="00713823"/>
    <w:rsid w:val="007B65F8"/>
    <w:rsid w:val="00816DB9"/>
    <w:rsid w:val="00825827"/>
    <w:rsid w:val="00825DEF"/>
    <w:rsid w:val="008723DA"/>
    <w:rsid w:val="008758ED"/>
    <w:rsid w:val="00896514"/>
    <w:rsid w:val="008A387E"/>
    <w:rsid w:val="008B2B15"/>
    <w:rsid w:val="009A03EA"/>
    <w:rsid w:val="009A2BD7"/>
    <w:rsid w:val="009C26DA"/>
    <w:rsid w:val="009D68DF"/>
    <w:rsid w:val="00A46632"/>
    <w:rsid w:val="00A53AE4"/>
    <w:rsid w:val="00AA5380"/>
    <w:rsid w:val="00AF532A"/>
    <w:rsid w:val="00B02BEF"/>
    <w:rsid w:val="00B0430A"/>
    <w:rsid w:val="00B24C18"/>
    <w:rsid w:val="00B85948"/>
    <w:rsid w:val="00BB582B"/>
    <w:rsid w:val="00BC35BE"/>
    <w:rsid w:val="00BE4F5A"/>
    <w:rsid w:val="00BE5E13"/>
    <w:rsid w:val="00BF5170"/>
    <w:rsid w:val="00D060A6"/>
    <w:rsid w:val="00D46A8E"/>
    <w:rsid w:val="00D91956"/>
    <w:rsid w:val="00DB1D3B"/>
    <w:rsid w:val="00E75960"/>
    <w:rsid w:val="00EB3D18"/>
    <w:rsid w:val="00EB6268"/>
    <w:rsid w:val="00EC0A98"/>
    <w:rsid w:val="00EE0418"/>
    <w:rsid w:val="00EE0AC1"/>
    <w:rsid w:val="00EF0BE1"/>
    <w:rsid w:val="00F636FF"/>
    <w:rsid w:val="00F707F4"/>
    <w:rsid w:val="00F8496A"/>
    <w:rsid w:val="00FB79B2"/>
    <w:rsid w:val="20C13F80"/>
    <w:rsid w:val="271E3503"/>
    <w:rsid w:val="2D27446D"/>
    <w:rsid w:val="339238C9"/>
    <w:rsid w:val="55013AA1"/>
    <w:rsid w:val="5A0C0BA5"/>
    <w:rsid w:val="6A9647AD"/>
    <w:rsid w:val="78A801E7"/>
    <w:rsid w:val="7AB55F30"/>
    <w:rsid w:val="7B38454A"/>
    <w:rsid w:val="7B72004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sz w:val="24"/>
      <w:szCs w:val="24"/>
      <w:lang w:val="en-GB" w:eastAsia="en-US" w:bidi="ar-SA"/>
    </w:rPr>
  </w:style>
  <w:style w:type="paragraph" w:styleId="2">
    <w:name w:val="heading 1"/>
    <w:basedOn w:val="1"/>
    <w:next w:val="1"/>
    <w:link w:val="15"/>
    <w:qFormat/>
    <w:uiPriority w:val="9"/>
    <w:pPr>
      <w:keepNext/>
      <w:keepLines/>
      <w:spacing w:before="240"/>
      <w:outlineLvl w:val="0"/>
    </w:pPr>
    <w:rPr>
      <w:rFonts w:asciiTheme="majorHAnsi" w:hAnsiTheme="majorHAnsi" w:eastAsiaTheme="majorEastAsia" w:cstheme="majorBidi"/>
      <w:color w:val="2F5496" w:themeColor="accent1" w:themeShade="BF"/>
      <w:sz w:val="32"/>
      <w:szCs w:val="32"/>
    </w:rPr>
  </w:style>
  <w:style w:type="character" w:default="1" w:styleId="8">
    <w:name w:val="Default Paragraph Font"/>
    <w:semiHidden/>
    <w:unhideWhenUsed/>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3">
    <w:name w:val="Balloon Text"/>
    <w:basedOn w:val="1"/>
    <w:link w:val="21"/>
    <w:semiHidden/>
    <w:unhideWhenUsed/>
    <w:qFormat/>
    <w:uiPriority w:val="99"/>
    <w:rPr>
      <w:rFonts w:ascii="Segoe UI" w:hAnsi="Segoe UI" w:cs="Segoe UI"/>
      <w:sz w:val="18"/>
      <w:szCs w:val="18"/>
    </w:rPr>
  </w:style>
  <w:style w:type="paragraph" w:styleId="4">
    <w:name w:val="annotation text"/>
    <w:basedOn w:val="1"/>
    <w:link w:val="19"/>
    <w:semiHidden/>
    <w:unhideWhenUsed/>
    <w:qFormat/>
    <w:uiPriority w:val="99"/>
    <w:rPr>
      <w:sz w:val="20"/>
      <w:szCs w:val="20"/>
    </w:rPr>
  </w:style>
  <w:style w:type="paragraph" w:styleId="5">
    <w:name w:val="annotation subject"/>
    <w:basedOn w:val="4"/>
    <w:next w:val="4"/>
    <w:link w:val="20"/>
    <w:semiHidden/>
    <w:unhideWhenUsed/>
    <w:qFormat/>
    <w:uiPriority w:val="99"/>
    <w:rPr>
      <w:b/>
      <w:bCs/>
    </w:rPr>
  </w:style>
  <w:style w:type="paragraph" w:styleId="6">
    <w:name w:val="footer"/>
    <w:basedOn w:val="1"/>
    <w:link w:val="14"/>
    <w:unhideWhenUsed/>
    <w:qFormat/>
    <w:uiPriority w:val="99"/>
    <w:pPr>
      <w:tabs>
        <w:tab w:val="center" w:pos="4680"/>
        <w:tab w:val="right" w:pos="9360"/>
      </w:tabs>
    </w:pPr>
  </w:style>
  <w:style w:type="paragraph" w:styleId="7">
    <w:name w:val="header"/>
    <w:basedOn w:val="1"/>
    <w:link w:val="13"/>
    <w:unhideWhenUsed/>
    <w:qFormat/>
    <w:uiPriority w:val="99"/>
    <w:pPr>
      <w:tabs>
        <w:tab w:val="center" w:pos="4680"/>
        <w:tab w:val="right" w:pos="9360"/>
      </w:tabs>
    </w:pPr>
  </w:style>
  <w:style w:type="character" w:styleId="9">
    <w:name w:val="annotation reference"/>
    <w:basedOn w:val="8"/>
    <w:semiHidden/>
    <w:unhideWhenUsed/>
    <w:qFormat/>
    <w:uiPriority w:val="99"/>
    <w:rPr>
      <w:sz w:val="16"/>
      <w:szCs w:val="16"/>
    </w:rPr>
  </w:style>
  <w:style w:type="character" w:styleId="10">
    <w:name w:val="Hyperlink"/>
    <w:basedOn w:val="8"/>
    <w:semiHidden/>
    <w:unhideWhenUsed/>
    <w:uiPriority w:val="99"/>
    <w:rPr>
      <w:color w:val="0000FF"/>
      <w:u w:val="single"/>
    </w:rPr>
  </w:style>
  <w:style w:type="table" w:styleId="12">
    <w:name w:val="Table Grid"/>
    <w:basedOn w:val="11"/>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character" w:customStyle="1" w:styleId="13">
    <w:name w:val="Header Char"/>
    <w:basedOn w:val="8"/>
    <w:link w:val="7"/>
    <w:qFormat/>
    <w:uiPriority w:val="99"/>
  </w:style>
  <w:style w:type="character" w:customStyle="1" w:styleId="14">
    <w:name w:val="Footer Char"/>
    <w:basedOn w:val="8"/>
    <w:link w:val="6"/>
    <w:qFormat/>
    <w:uiPriority w:val="99"/>
  </w:style>
  <w:style w:type="character" w:customStyle="1" w:styleId="15">
    <w:name w:val="Heading 1 Char"/>
    <w:basedOn w:val="8"/>
    <w:link w:val="2"/>
    <w:qFormat/>
    <w:uiPriority w:val="9"/>
    <w:rPr>
      <w:rFonts w:asciiTheme="majorHAnsi" w:hAnsiTheme="majorHAnsi" w:eastAsiaTheme="majorEastAsia" w:cstheme="majorBidi"/>
      <w:color w:val="2F5496" w:themeColor="accent1" w:themeShade="BF"/>
      <w:sz w:val="32"/>
      <w:szCs w:val="32"/>
    </w:rPr>
  </w:style>
  <w:style w:type="table" w:customStyle="1" w:styleId="16">
    <w:name w:val="Table Grid1"/>
    <w:basedOn w:val="11"/>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customStyle="1" w:styleId="17">
    <w:name w:val="Table Grid2"/>
    <w:basedOn w:val="11"/>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customStyle="1" w:styleId="18">
    <w:name w:val="Table Grid3"/>
    <w:basedOn w:val="11"/>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character" w:customStyle="1" w:styleId="19">
    <w:name w:val="Comment Text Char"/>
    <w:basedOn w:val="8"/>
    <w:link w:val="4"/>
    <w:semiHidden/>
    <w:qFormat/>
    <w:uiPriority w:val="99"/>
    <w:rPr>
      <w:sz w:val="20"/>
      <w:szCs w:val="20"/>
    </w:rPr>
  </w:style>
  <w:style w:type="character" w:customStyle="1" w:styleId="20">
    <w:name w:val="Comment Subject Char"/>
    <w:basedOn w:val="19"/>
    <w:link w:val="5"/>
    <w:semiHidden/>
    <w:qFormat/>
    <w:uiPriority w:val="99"/>
    <w:rPr>
      <w:b/>
      <w:bCs/>
      <w:sz w:val="20"/>
      <w:szCs w:val="20"/>
    </w:rPr>
  </w:style>
  <w:style w:type="character" w:customStyle="1" w:styleId="21">
    <w:name w:val="Balloon Text Char"/>
    <w:basedOn w:val="8"/>
    <w:link w:val="3"/>
    <w:semiHidden/>
    <w:qFormat/>
    <w:uiPriority w:val="99"/>
    <w:rPr>
      <w:rFonts w:ascii="Segoe UI" w:hAnsi="Segoe UI" w:cs="Segoe UI"/>
      <w:sz w:val="18"/>
      <w:szCs w:val="18"/>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header" Target="header2.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Athrofa Acc. header and blank page - darker blue</Template>
  <Pages>7</Pages>
  <Words>830</Words>
  <Characters>4732</Characters>
  <Lines>39</Lines>
  <Paragraphs>11</Paragraphs>
  <TotalTime>1</TotalTime>
  <ScaleCrop>false</ScaleCrop>
  <LinksUpToDate>false</LinksUpToDate>
  <CharactersWithSpaces>5551</CharactersWithSpaces>
  <Application>WPS Office_11.2.0.9232_F1E327BC-269C-435d-A152-05C5408002CA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2019-10-01T08:38:00Z</dcterms:created>
  <dc:creator>Gareth Evans</dc:creator>
  <cp:lastModifiedBy>Rosie Evans</cp:lastModifiedBy>
  <cp:lastPrinted>2020-03-10T18:15:00Z</cp:lastPrinted>
  <dcterms:modified xsi:type="dcterms:W3CDTF">2020-03-24T10:31:39Z</dcterms:modified>
  <cp:revision>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2057-11.2.0.9232</vt:lpwstr>
  </property>
</Properties>
</file>