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3ADE8" w14:textId="77777777" w:rsidR="00CB1FB6" w:rsidRPr="00CB1FB6" w:rsidRDefault="00CB1FB6" w:rsidP="00CB1FB6">
      <w:pPr>
        <w:pStyle w:val="NormalWeb"/>
        <w:rPr>
          <w:rFonts w:ascii="Arial" w:hAnsi="Arial" w:cs="Arial"/>
        </w:rPr>
      </w:pPr>
      <w:r w:rsidRPr="00CB1FB6">
        <w:rPr>
          <w:rStyle w:val="Strong"/>
          <w:rFonts w:ascii="Arial" w:hAnsi="Arial" w:cs="Arial"/>
        </w:rPr>
        <w:t xml:space="preserve">Stakeholder Engagement for the Successful Launch of the </w:t>
      </w:r>
      <w:proofErr w:type="spellStart"/>
      <w:r w:rsidRPr="00CB1FB6">
        <w:rPr>
          <w:rStyle w:val="Strong"/>
          <w:rFonts w:ascii="Arial" w:hAnsi="Arial" w:cs="Arial"/>
        </w:rPr>
        <w:t>GreenPath</w:t>
      </w:r>
      <w:proofErr w:type="spellEnd"/>
      <w:r w:rsidRPr="00CB1FB6">
        <w:rPr>
          <w:rStyle w:val="Strong"/>
          <w:rFonts w:ascii="Arial" w:hAnsi="Arial" w:cs="Arial"/>
        </w:rPr>
        <w:t xml:space="preserve"> 360 Sustainable Retail and Circular Economy Initiative</w:t>
      </w:r>
    </w:p>
    <w:p w14:paraId="5B238F8C" w14:textId="77777777" w:rsidR="00CB1FB6" w:rsidRDefault="00CB1FB6" w:rsidP="00CB1FB6">
      <w:pPr>
        <w:pStyle w:val="NormalWeb"/>
      </w:pPr>
      <w:r w:rsidRPr="00CB1FB6">
        <w:rPr>
          <w:rStyle w:val="Strong"/>
          <w:rFonts w:ascii="Arial" w:hAnsi="Arial" w:cs="Arial"/>
        </w:rPr>
        <w:t>Module Code:</w:t>
      </w:r>
      <w:r w:rsidRPr="00CB1FB6">
        <w:rPr>
          <w:rFonts w:ascii="Arial" w:hAnsi="Arial" w:cs="Arial"/>
        </w:rPr>
        <w:t xml:space="preserve"> </w:t>
      </w:r>
      <w:r>
        <w:t>LCLM5001</w:t>
      </w:r>
    </w:p>
    <w:p w14:paraId="7E46C7D8" w14:textId="77777777" w:rsidR="00CB1FB6" w:rsidRPr="00CB1FB6" w:rsidRDefault="00CB1FB6" w:rsidP="00CB1FB6">
      <w:pPr>
        <w:pStyle w:val="NormalWeb"/>
        <w:rPr>
          <w:rFonts w:ascii="Arial" w:hAnsi="Arial" w:cs="Arial"/>
        </w:rPr>
      </w:pPr>
      <w:r w:rsidRPr="00CB1FB6">
        <w:rPr>
          <w:rStyle w:val="Strong"/>
          <w:rFonts w:ascii="Arial" w:hAnsi="Arial" w:cs="Arial"/>
        </w:rPr>
        <w:t>Module:</w:t>
      </w:r>
      <w:r>
        <w:rPr>
          <w:rStyle w:val="Strong"/>
          <w:rFonts w:ascii="Arial" w:hAnsi="Arial" w:cs="Arial"/>
        </w:rPr>
        <w:t xml:space="preserve"> </w:t>
      </w:r>
      <w:r w:rsidRPr="00CB1FB6">
        <w:rPr>
          <w:rStyle w:val="Strong"/>
          <w:rFonts w:ascii="Arial" w:hAnsi="Arial" w:cs="Arial"/>
          <w:b w:val="0"/>
          <w:bCs w:val="0"/>
        </w:rPr>
        <w:t>Understanding and</w:t>
      </w:r>
      <w:r>
        <w:rPr>
          <w:rStyle w:val="Strong"/>
          <w:rFonts w:ascii="Arial" w:hAnsi="Arial" w:cs="Arial"/>
        </w:rPr>
        <w:t xml:space="preserve"> </w:t>
      </w:r>
      <w:r w:rsidRPr="00CB1FB6">
        <w:rPr>
          <w:rFonts w:ascii="Arial" w:hAnsi="Arial" w:cs="Arial"/>
        </w:rPr>
        <w:t>Engagement</w:t>
      </w:r>
      <w:r w:rsidRPr="00CB1FB6">
        <w:rPr>
          <w:rStyle w:val="Strong"/>
          <w:rFonts w:ascii="Arial" w:hAnsi="Arial" w:cs="Arial"/>
        </w:rPr>
        <w:t xml:space="preserve"> </w:t>
      </w:r>
      <w:r w:rsidRPr="00CB1FB6">
        <w:rPr>
          <w:rFonts w:ascii="Arial" w:hAnsi="Arial" w:cs="Arial"/>
        </w:rPr>
        <w:t>Stakeholder</w:t>
      </w:r>
    </w:p>
    <w:p w14:paraId="7C6DAF70" w14:textId="77777777" w:rsidR="00CB1FB6" w:rsidRDefault="00CB1FB6" w:rsidP="00CB1FB6">
      <w:pPr>
        <w:pStyle w:val="NormalWeb"/>
        <w:rPr>
          <w:rFonts w:ascii="Arial" w:hAnsi="Arial" w:cs="Arial"/>
        </w:rPr>
      </w:pPr>
      <w:r w:rsidRPr="00CB1FB6">
        <w:rPr>
          <w:rStyle w:val="Strong"/>
          <w:rFonts w:ascii="Arial" w:hAnsi="Arial" w:cs="Arial"/>
        </w:rPr>
        <w:t>Student Name:</w:t>
      </w:r>
      <w:r w:rsidRPr="00CB1FB6">
        <w:rPr>
          <w:rFonts w:ascii="Arial" w:hAnsi="Arial" w:cs="Arial"/>
        </w:rPr>
        <w:t xml:space="preserve"> </w:t>
      </w:r>
      <w:r>
        <w:rPr>
          <w:rFonts w:ascii="Arial" w:hAnsi="Arial" w:cs="Arial"/>
        </w:rPr>
        <w:t xml:space="preserve">Maria </w:t>
      </w:r>
      <w:proofErr w:type="spellStart"/>
      <w:r>
        <w:rPr>
          <w:rFonts w:ascii="Arial" w:hAnsi="Arial" w:cs="Arial"/>
        </w:rPr>
        <w:t>Atanasia</w:t>
      </w:r>
      <w:proofErr w:type="spellEnd"/>
      <w:r>
        <w:rPr>
          <w:rFonts w:ascii="Arial" w:hAnsi="Arial" w:cs="Arial"/>
        </w:rPr>
        <w:t xml:space="preserve"> </w:t>
      </w:r>
      <w:proofErr w:type="spellStart"/>
      <w:r>
        <w:rPr>
          <w:rFonts w:ascii="Arial" w:hAnsi="Arial" w:cs="Arial"/>
        </w:rPr>
        <w:t>Guta</w:t>
      </w:r>
      <w:proofErr w:type="spellEnd"/>
      <w:r>
        <w:rPr>
          <w:rFonts w:ascii="Arial" w:hAnsi="Arial" w:cs="Arial"/>
        </w:rPr>
        <w:t xml:space="preserve"> </w:t>
      </w:r>
    </w:p>
    <w:p w14:paraId="16F05333" w14:textId="77777777" w:rsidR="00CB1FB6" w:rsidRPr="00CB1FB6" w:rsidRDefault="00CB1FB6" w:rsidP="00CB1FB6">
      <w:pPr>
        <w:pStyle w:val="NormalWeb"/>
        <w:rPr>
          <w:rFonts w:ascii="Arial" w:hAnsi="Arial" w:cs="Arial"/>
        </w:rPr>
      </w:pPr>
      <w:r w:rsidRPr="00CB1FB6">
        <w:rPr>
          <w:rStyle w:val="Strong"/>
          <w:rFonts w:ascii="Arial" w:hAnsi="Arial" w:cs="Arial"/>
        </w:rPr>
        <w:t>Student ID:</w:t>
      </w:r>
      <w:r w:rsidRPr="00CB1FB6">
        <w:rPr>
          <w:rFonts w:ascii="Arial" w:hAnsi="Arial" w:cs="Arial"/>
        </w:rPr>
        <w:t xml:space="preserve"> </w:t>
      </w:r>
      <w:r>
        <w:rPr>
          <w:rFonts w:ascii="Arial" w:hAnsi="Arial" w:cs="Arial"/>
        </w:rPr>
        <w:t>2435672</w:t>
      </w:r>
    </w:p>
    <w:p w14:paraId="1CB49A94" w14:textId="77777777" w:rsidR="00CB1FB6" w:rsidRDefault="00CB1FB6" w:rsidP="00CB1FB6">
      <w:pPr>
        <w:pStyle w:val="NormalWeb"/>
        <w:rPr>
          <w:rFonts w:ascii="Arial" w:hAnsi="Arial" w:cs="Arial"/>
        </w:rPr>
      </w:pPr>
      <w:r w:rsidRPr="00CB1FB6">
        <w:rPr>
          <w:rStyle w:val="Strong"/>
          <w:rFonts w:ascii="Arial" w:hAnsi="Arial" w:cs="Arial"/>
        </w:rPr>
        <w:t>Lecturer:</w:t>
      </w:r>
      <w:r w:rsidRPr="00CB1FB6">
        <w:rPr>
          <w:rFonts w:ascii="Arial" w:hAnsi="Arial" w:cs="Arial"/>
        </w:rPr>
        <w:t xml:space="preserve"> </w:t>
      </w:r>
      <w:r>
        <w:rPr>
          <w:rFonts w:ascii="Arial" w:hAnsi="Arial" w:cs="Arial"/>
        </w:rPr>
        <w:t>Mohammad Rahman</w:t>
      </w:r>
    </w:p>
    <w:p w14:paraId="579AEB71" w14:textId="77777777" w:rsidR="00CB1FB6" w:rsidRPr="00CB1FB6" w:rsidRDefault="00CB1FB6" w:rsidP="00CB1FB6">
      <w:pPr>
        <w:pStyle w:val="NormalWeb"/>
        <w:rPr>
          <w:rFonts w:ascii="Arial" w:hAnsi="Arial" w:cs="Arial"/>
        </w:rPr>
      </w:pPr>
      <w:r w:rsidRPr="00CB1FB6">
        <w:rPr>
          <w:rStyle w:val="Strong"/>
          <w:rFonts w:ascii="Arial" w:hAnsi="Arial" w:cs="Arial"/>
        </w:rPr>
        <w:t>University:</w:t>
      </w:r>
      <w:r w:rsidRPr="00CB1FB6">
        <w:rPr>
          <w:rFonts w:ascii="Arial" w:hAnsi="Arial" w:cs="Arial"/>
        </w:rPr>
        <w:t xml:space="preserve"> University of Wales Trinity Saint David</w:t>
      </w:r>
    </w:p>
    <w:p w14:paraId="6D47396C" w14:textId="77777777" w:rsidR="00CB1FB6" w:rsidRPr="00CB1FB6" w:rsidRDefault="00CB1FB6" w:rsidP="00CB1FB6">
      <w:pPr>
        <w:pStyle w:val="NormalWeb"/>
        <w:rPr>
          <w:rFonts w:ascii="Arial" w:hAnsi="Arial" w:cs="Arial"/>
        </w:rPr>
      </w:pPr>
      <w:r w:rsidRPr="00CB1FB6">
        <w:rPr>
          <w:rStyle w:val="Strong"/>
          <w:rFonts w:ascii="Arial" w:hAnsi="Arial" w:cs="Arial"/>
        </w:rPr>
        <w:t>Submission Date:</w:t>
      </w:r>
      <w:r w:rsidRPr="00CB1FB6">
        <w:rPr>
          <w:rFonts w:ascii="Arial" w:hAnsi="Arial" w:cs="Arial"/>
        </w:rPr>
        <w:t xml:space="preserve"> 4 December 2026</w:t>
      </w:r>
    </w:p>
    <w:p w14:paraId="6072C93C" w14:textId="77777777" w:rsidR="00CB1FB6" w:rsidRDefault="00CB1FB6" w:rsidP="00CB1FB6">
      <w:pPr>
        <w:rPr>
          <w:rFonts w:ascii="Arial" w:hAnsi="Arial" w:cs="Arial"/>
          <w:b/>
          <w:bCs/>
        </w:rPr>
      </w:pPr>
    </w:p>
    <w:p w14:paraId="2E9EFD4E" w14:textId="77777777" w:rsidR="00CB1FB6" w:rsidRDefault="00CB1FB6" w:rsidP="00CB1FB6">
      <w:pPr>
        <w:rPr>
          <w:rFonts w:ascii="Arial" w:hAnsi="Arial" w:cs="Arial"/>
          <w:b/>
          <w:bCs/>
        </w:rPr>
      </w:pPr>
    </w:p>
    <w:p w14:paraId="24687281" w14:textId="77777777" w:rsidR="00CB1FB6" w:rsidRDefault="00CB1FB6" w:rsidP="00CB1FB6">
      <w:pPr>
        <w:rPr>
          <w:rFonts w:ascii="Arial" w:hAnsi="Arial" w:cs="Arial"/>
          <w:b/>
          <w:bCs/>
        </w:rPr>
      </w:pPr>
    </w:p>
    <w:p w14:paraId="55FD782F" w14:textId="77777777" w:rsidR="00CB1FB6" w:rsidRDefault="00CB1FB6" w:rsidP="00CB1FB6">
      <w:pPr>
        <w:rPr>
          <w:rFonts w:ascii="Arial" w:hAnsi="Arial" w:cs="Arial"/>
          <w:b/>
          <w:bCs/>
        </w:rPr>
      </w:pPr>
    </w:p>
    <w:p w14:paraId="77F87B30" w14:textId="77777777" w:rsidR="00CB1FB6" w:rsidRDefault="00CB1FB6" w:rsidP="00CB1FB6">
      <w:pPr>
        <w:rPr>
          <w:rFonts w:ascii="Arial" w:hAnsi="Arial" w:cs="Arial"/>
          <w:b/>
          <w:bCs/>
        </w:rPr>
      </w:pPr>
    </w:p>
    <w:p w14:paraId="129AD1A8" w14:textId="77777777" w:rsidR="00CB1FB6" w:rsidRDefault="00CB1FB6" w:rsidP="00CB1FB6">
      <w:pPr>
        <w:rPr>
          <w:rFonts w:ascii="Arial" w:hAnsi="Arial" w:cs="Arial"/>
          <w:b/>
          <w:bCs/>
        </w:rPr>
      </w:pPr>
    </w:p>
    <w:p w14:paraId="5869DF30" w14:textId="77777777" w:rsidR="00CB1FB6" w:rsidRDefault="00CB1FB6" w:rsidP="00CB1FB6">
      <w:pPr>
        <w:rPr>
          <w:rFonts w:ascii="Arial" w:hAnsi="Arial" w:cs="Arial"/>
          <w:b/>
          <w:bCs/>
        </w:rPr>
      </w:pPr>
    </w:p>
    <w:p w14:paraId="70A42760" w14:textId="77777777" w:rsidR="00CB1FB6" w:rsidRDefault="00CB1FB6" w:rsidP="00CB1FB6">
      <w:pPr>
        <w:rPr>
          <w:rFonts w:ascii="Arial" w:hAnsi="Arial" w:cs="Arial"/>
          <w:b/>
          <w:bCs/>
        </w:rPr>
      </w:pPr>
    </w:p>
    <w:p w14:paraId="64878024" w14:textId="77777777" w:rsidR="00CB1FB6" w:rsidRDefault="00CB1FB6" w:rsidP="00CB1FB6">
      <w:pPr>
        <w:rPr>
          <w:rFonts w:ascii="Arial" w:hAnsi="Arial" w:cs="Arial"/>
          <w:b/>
          <w:bCs/>
        </w:rPr>
      </w:pPr>
    </w:p>
    <w:p w14:paraId="3D4BBF11" w14:textId="77777777" w:rsidR="00CB1FB6" w:rsidRDefault="00CB1FB6" w:rsidP="00CB1FB6">
      <w:pPr>
        <w:rPr>
          <w:rFonts w:ascii="Arial" w:hAnsi="Arial" w:cs="Arial"/>
          <w:b/>
          <w:bCs/>
        </w:rPr>
      </w:pPr>
    </w:p>
    <w:p w14:paraId="1DEDCEC9" w14:textId="77777777" w:rsidR="00CB1FB6" w:rsidRDefault="00CB1FB6" w:rsidP="00CB1FB6">
      <w:pPr>
        <w:rPr>
          <w:rFonts w:ascii="Arial" w:hAnsi="Arial" w:cs="Arial"/>
          <w:b/>
          <w:bCs/>
        </w:rPr>
      </w:pPr>
    </w:p>
    <w:p w14:paraId="4722C62B" w14:textId="77777777" w:rsidR="00CB1FB6" w:rsidRDefault="00CB1FB6" w:rsidP="00CB1FB6">
      <w:pPr>
        <w:rPr>
          <w:rFonts w:ascii="Arial" w:hAnsi="Arial" w:cs="Arial"/>
          <w:b/>
          <w:bCs/>
        </w:rPr>
      </w:pPr>
    </w:p>
    <w:p w14:paraId="1C192E99" w14:textId="77777777" w:rsidR="00CB1FB6" w:rsidRDefault="00CB1FB6" w:rsidP="00CB1FB6">
      <w:pPr>
        <w:rPr>
          <w:rFonts w:ascii="Arial" w:hAnsi="Arial" w:cs="Arial"/>
          <w:b/>
          <w:bCs/>
        </w:rPr>
      </w:pPr>
    </w:p>
    <w:p w14:paraId="0D1D684B" w14:textId="77777777" w:rsidR="00CB1FB6" w:rsidRDefault="00CB1FB6" w:rsidP="00CB1FB6">
      <w:pPr>
        <w:rPr>
          <w:rFonts w:ascii="Arial" w:hAnsi="Arial" w:cs="Arial"/>
          <w:b/>
          <w:bCs/>
        </w:rPr>
      </w:pPr>
    </w:p>
    <w:p w14:paraId="3C36CE60" w14:textId="77777777" w:rsidR="00CB1FB6" w:rsidRDefault="00CB1FB6" w:rsidP="00CB1FB6">
      <w:pPr>
        <w:rPr>
          <w:rFonts w:ascii="Arial" w:hAnsi="Arial" w:cs="Arial"/>
          <w:b/>
          <w:bCs/>
        </w:rPr>
      </w:pPr>
    </w:p>
    <w:p w14:paraId="1D981D82" w14:textId="77777777" w:rsidR="00CB1FB6" w:rsidRDefault="00CB1FB6" w:rsidP="00CB1FB6">
      <w:pPr>
        <w:rPr>
          <w:rFonts w:ascii="Arial" w:hAnsi="Arial" w:cs="Arial"/>
          <w:b/>
          <w:bCs/>
        </w:rPr>
      </w:pPr>
    </w:p>
    <w:p w14:paraId="6FB0B587" w14:textId="77777777" w:rsidR="00CB1FB6" w:rsidRDefault="00CB1FB6" w:rsidP="00CB1FB6">
      <w:pPr>
        <w:rPr>
          <w:rFonts w:ascii="Arial" w:hAnsi="Arial" w:cs="Arial"/>
          <w:b/>
          <w:bCs/>
        </w:rPr>
      </w:pPr>
    </w:p>
    <w:p w14:paraId="6930E9D0" w14:textId="77777777" w:rsidR="00CB1FB6" w:rsidRDefault="00CB1FB6" w:rsidP="00CB1FB6">
      <w:pPr>
        <w:rPr>
          <w:rFonts w:ascii="Arial" w:hAnsi="Arial" w:cs="Arial"/>
          <w:b/>
          <w:bCs/>
        </w:rPr>
      </w:pPr>
    </w:p>
    <w:p w14:paraId="1486AE73" w14:textId="77777777" w:rsidR="00CB1FB6" w:rsidRDefault="00CB1FB6" w:rsidP="00CB1FB6">
      <w:pPr>
        <w:rPr>
          <w:rFonts w:ascii="Arial" w:hAnsi="Arial" w:cs="Arial"/>
          <w:b/>
          <w:bCs/>
        </w:rPr>
      </w:pPr>
    </w:p>
    <w:p w14:paraId="0DDF3C1C" w14:textId="77777777" w:rsidR="00CB1FB6" w:rsidRDefault="00CB1FB6" w:rsidP="00CB1FB6">
      <w:pPr>
        <w:rPr>
          <w:rFonts w:ascii="Arial" w:hAnsi="Arial" w:cs="Arial"/>
          <w:b/>
          <w:bCs/>
        </w:rPr>
      </w:pPr>
    </w:p>
    <w:p w14:paraId="4811B8D7" w14:textId="77777777" w:rsidR="00CB1FB6" w:rsidRDefault="00CB1FB6" w:rsidP="00CB1FB6">
      <w:pPr>
        <w:rPr>
          <w:rFonts w:ascii="Arial" w:hAnsi="Arial" w:cs="Arial"/>
          <w:b/>
          <w:bCs/>
        </w:rPr>
      </w:pPr>
    </w:p>
    <w:p w14:paraId="6AECF28F" w14:textId="77777777" w:rsidR="00CB1FB6" w:rsidRDefault="00CB1FB6" w:rsidP="00CB1FB6">
      <w:pPr>
        <w:rPr>
          <w:rFonts w:ascii="Arial" w:hAnsi="Arial" w:cs="Arial"/>
          <w:b/>
          <w:bCs/>
        </w:rPr>
      </w:pPr>
    </w:p>
    <w:p w14:paraId="1F224BB7" w14:textId="77777777" w:rsidR="00CB1FB6" w:rsidRDefault="00CB1FB6" w:rsidP="00CB1FB6">
      <w:pPr>
        <w:rPr>
          <w:rFonts w:ascii="Arial" w:hAnsi="Arial" w:cs="Arial"/>
          <w:b/>
          <w:bCs/>
        </w:rPr>
      </w:pPr>
    </w:p>
    <w:p w14:paraId="01BF7763" w14:textId="77777777" w:rsidR="00CB1FB6" w:rsidRDefault="00CB1FB6" w:rsidP="00CB1FB6">
      <w:pPr>
        <w:rPr>
          <w:rFonts w:ascii="Arial" w:hAnsi="Arial" w:cs="Arial"/>
          <w:b/>
          <w:bCs/>
        </w:rPr>
      </w:pPr>
    </w:p>
    <w:p w14:paraId="2953C484" w14:textId="77777777" w:rsidR="00CB1FB6" w:rsidRDefault="00CB1FB6" w:rsidP="00CB1FB6">
      <w:pPr>
        <w:rPr>
          <w:rFonts w:ascii="Arial" w:hAnsi="Arial" w:cs="Arial"/>
          <w:b/>
          <w:bCs/>
        </w:rPr>
      </w:pPr>
    </w:p>
    <w:p w14:paraId="0DA6D499" w14:textId="77777777" w:rsidR="00CB1FB6" w:rsidRDefault="00CB1FB6" w:rsidP="00CB1FB6">
      <w:pPr>
        <w:rPr>
          <w:rFonts w:ascii="Arial" w:hAnsi="Arial" w:cs="Arial"/>
          <w:b/>
          <w:bCs/>
        </w:rPr>
      </w:pPr>
    </w:p>
    <w:p w14:paraId="5436B77D" w14:textId="77777777" w:rsidR="00CB1FB6" w:rsidRDefault="00CB1FB6" w:rsidP="00CB1FB6">
      <w:pPr>
        <w:rPr>
          <w:rFonts w:ascii="Arial" w:hAnsi="Arial" w:cs="Arial"/>
          <w:b/>
          <w:bCs/>
        </w:rPr>
      </w:pPr>
    </w:p>
    <w:p w14:paraId="522A224E" w14:textId="77777777" w:rsidR="00CB1FB6" w:rsidRDefault="00CB1FB6" w:rsidP="00CB1FB6">
      <w:pPr>
        <w:rPr>
          <w:rFonts w:ascii="Arial" w:hAnsi="Arial" w:cs="Arial"/>
          <w:b/>
          <w:bCs/>
        </w:rPr>
      </w:pPr>
    </w:p>
    <w:p w14:paraId="3572F9C1" w14:textId="77777777" w:rsidR="00CB1FB6" w:rsidRDefault="00CB1FB6" w:rsidP="00CB1FB6">
      <w:pPr>
        <w:rPr>
          <w:rFonts w:ascii="Arial" w:hAnsi="Arial" w:cs="Arial"/>
          <w:b/>
          <w:bCs/>
        </w:rPr>
      </w:pPr>
    </w:p>
    <w:p w14:paraId="16E43EC7" w14:textId="77777777" w:rsidR="00CB1FB6" w:rsidRDefault="00CB1FB6" w:rsidP="00CB1FB6">
      <w:pPr>
        <w:rPr>
          <w:rFonts w:ascii="Arial" w:hAnsi="Arial" w:cs="Arial"/>
          <w:b/>
          <w:bCs/>
        </w:rPr>
      </w:pPr>
    </w:p>
    <w:p w14:paraId="4D490DB7" w14:textId="77777777" w:rsidR="00CB1FB6" w:rsidRDefault="00CB1FB6" w:rsidP="00CB1FB6">
      <w:pPr>
        <w:rPr>
          <w:rFonts w:ascii="Arial" w:hAnsi="Arial" w:cs="Arial"/>
          <w:b/>
          <w:bCs/>
        </w:rPr>
      </w:pPr>
    </w:p>
    <w:p w14:paraId="06A012E1" w14:textId="77777777" w:rsidR="00CB1FB6" w:rsidRDefault="00CB1FB6" w:rsidP="00CB1FB6">
      <w:pPr>
        <w:rPr>
          <w:rFonts w:ascii="Arial" w:hAnsi="Arial" w:cs="Arial"/>
          <w:b/>
          <w:bCs/>
        </w:rPr>
      </w:pPr>
    </w:p>
    <w:p w14:paraId="4600FCB5" w14:textId="77777777" w:rsidR="00CB1FB6" w:rsidRDefault="00CB1FB6" w:rsidP="00CB1FB6">
      <w:pPr>
        <w:rPr>
          <w:rFonts w:ascii="Arial" w:hAnsi="Arial" w:cs="Arial"/>
          <w:b/>
          <w:bCs/>
        </w:rPr>
      </w:pPr>
    </w:p>
    <w:p w14:paraId="2EEB83B9" w14:textId="77777777" w:rsidR="00CB1FB6" w:rsidRPr="00CB1FB6" w:rsidRDefault="00CB1FB6" w:rsidP="00CB1FB6">
      <w:pPr>
        <w:pStyle w:val="Heading1"/>
      </w:pPr>
      <w:r w:rsidRPr="00CB1FB6">
        <w:lastRenderedPageBreak/>
        <w:t>Executive Summary</w:t>
      </w:r>
    </w:p>
    <w:p w14:paraId="1C290D20"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This report examines the importance of stakeholder engagement in the successful implementation of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a proposed sustainability initiative for an international retail and e-commerce organisation operating in the United Kingdom. The initiative aims to promote responsible purchasing, product repair, recycling, supply-chain transparency and customer participation in circular economy activities. The report identifies key internal and external stakeholders and evaluates their interests, influence, responsibilities and potential challenges. Stakeholder management theories, including Freeman's stakeholder theory, </w:t>
      </w:r>
      <w:proofErr w:type="spellStart"/>
      <w:r w:rsidRPr="00CB1FB6">
        <w:rPr>
          <w:rFonts w:ascii="Arial" w:hAnsi="Arial" w:cs="Arial"/>
          <w:sz w:val="22"/>
          <w:szCs w:val="22"/>
        </w:rPr>
        <w:t>Mendelow's</w:t>
      </w:r>
      <w:proofErr w:type="spellEnd"/>
      <w:r w:rsidRPr="00CB1FB6">
        <w:rPr>
          <w:rFonts w:ascii="Arial" w:hAnsi="Arial" w:cs="Arial"/>
          <w:sz w:val="22"/>
          <w:szCs w:val="22"/>
        </w:rPr>
        <w:t xml:space="preserve"> Power–Interest Matrix and Mitchell, </w:t>
      </w:r>
      <w:proofErr w:type="spellStart"/>
      <w:r w:rsidRPr="00CB1FB6">
        <w:rPr>
          <w:rFonts w:ascii="Arial" w:hAnsi="Arial" w:cs="Arial"/>
          <w:sz w:val="22"/>
          <w:szCs w:val="22"/>
        </w:rPr>
        <w:t>Agle</w:t>
      </w:r>
      <w:proofErr w:type="spellEnd"/>
      <w:r w:rsidRPr="00CB1FB6">
        <w:rPr>
          <w:rFonts w:ascii="Arial" w:hAnsi="Arial" w:cs="Arial"/>
          <w:sz w:val="22"/>
          <w:szCs w:val="22"/>
        </w:rPr>
        <w:t xml:space="preserve"> and Wood's stakeholder salience model, provide a theoretical foundation for the analysis. The report also considers communication, consultation, collaboration, conflict management and project management tools that can support effective engagement. Although stakeholder engagement can improve trust, coordination, innovation and project delivery, it also involves challenges, including conflicting interests, additional costs and the risk of superficial consultation. The report recommends establishing a stakeholder engagement plan, setting measurable objectives, maintaining transparent communication, supporting suppliers and employees, and evaluating progress regularly. These measures could help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achieve credible environmental and social outcomes while supporting long-term organisational performance.</w:t>
      </w:r>
    </w:p>
    <w:p w14:paraId="6DE951F3" w14:textId="77777777" w:rsidR="00CB1FB6" w:rsidRPr="00CB1FB6" w:rsidRDefault="00CB1FB6" w:rsidP="00CB1FB6">
      <w:pPr>
        <w:pStyle w:val="Heading1"/>
      </w:pPr>
      <w:r w:rsidRPr="00CB1FB6">
        <w:t>1</w:t>
      </w:r>
      <w:r w:rsidRPr="00CB1FB6">
        <w:t>. Introduction and SMART Objectives</w:t>
      </w:r>
    </w:p>
    <w:p w14:paraId="2AF9C280" w14:textId="77777777" w:rsidR="00CB1FB6" w:rsidRPr="00CB1FB6" w:rsidRDefault="00CB1FB6" w:rsidP="00CB1FB6">
      <w:pPr>
        <w:pStyle w:val="Heading2"/>
      </w:pPr>
      <w:r w:rsidRPr="00CB1FB6">
        <w:t>1.1 Introduction</w:t>
      </w:r>
    </w:p>
    <w:p w14:paraId="4AA77FA4"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Retail organisations influence environmental and social outcomes through their purchasing decisions, product design, packaging, transportation and waste management practices. Traditional linear economic models generally follow a take–make–dispose approach, in which products are manufactured, purchased and eventually discarded. In contrast, a circular economy aims to maintain the value of products and materials for longer through durability, repair, reuse, refurbishment and recycling.</w:t>
      </w:r>
    </w:p>
    <w:p w14:paraId="16D899F0" w14:textId="77777777" w:rsidR="00CB1FB6" w:rsidRPr="00CB1FB6" w:rsidRDefault="00CB1FB6" w:rsidP="00CB1FB6">
      <w:pPr>
        <w:pStyle w:val="NormalWeb"/>
        <w:spacing w:line="276" w:lineRule="auto"/>
        <w:rPr>
          <w:rFonts w:ascii="Arial" w:hAnsi="Arial" w:cs="Arial"/>
          <w:sz w:val="22"/>
          <w:szCs w:val="22"/>
        </w:rPr>
      </w:pP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is a proposed initiative designed to help an international retail and e-commerce organisation operating in the United Kingdom adopt more sustainable business practices. The initiative includes responsible purchasing, improved supply-chain transparency, product repair and recycling services, and partnerships with customers, suppliers and local communities. Its success depends on cooperation between people and organisations with different responsibilities, expectations and levels of influence.</w:t>
      </w:r>
    </w:p>
    <w:p w14:paraId="0E963A1F"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Stakeholder engagement is therefore an important aspect of project management. Freeman (1984) argues that organisations should consider the interests of stakeholders who affect or are affected by their activities. Applying this perspective to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means recognising that project success should not be measured exclusively through financial performance. It should also consider employee participation, supplier cooperation, customer satisfaction, environmental performance and community benefits.</w:t>
      </w:r>
    </w:p>
    <w:p w14:paraId="34407800"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This report identifies and analyses the initiative's stakeholders, examines their roles and responsibilities, evaluates appropriate engagement strategies and critically discusses the potential benefits and challenges of sustainable stakeholder engagement.</w:t>
      </w:r>
    </w:p>
    <w:p w14:paraId="28486F71" w14:textId="77777777" w:rsidR="00CB1FB6" w:rsidRPr="00CB1FB6" w:rsidRDefault="00CB1FB6" w:rsidP="00CB1FB6">
      <w:pPr>
        <w:pStyle w:val="Heading2"/>
      </w:pPr>
      <w:r w:rsidRPr="00CB1FB6">
        <w:lastRenderedPageBreak/>
        <w:t>1.2 SMART Objectives</w:t>
      </w:r>
    </w:p>
    <w:p w14:paraId="7DE81AEA"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The SMART framework provides a practical method for establishing objectives that are Specific, Measurable, Achievable, Relevant and Time-bound.</w:t>
      </w:r>
    </w:p>
    <w:p w14:paraId="4C5D6D2E"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The first objective is to identify and document the main internal and external stakeholders during the first month of the project. This will involve creating a stakeholder register that records each stakeholder's interests, influence, expectations and preferred communication channels.</w:t>
      </w:r>
    </w:p>
    <w:p w14:paraId="37326663"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The second objective is to consult priority stakeholder groups before finalising the implementation plan. Consultation could involve employee workshops, supplier meetings, customer surveys and discussions with environmental organisations.</w:t>
      </w:r>
    </w:p>
    <w:p w14:paraId="238EB44A"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The third objective is to establish a stakeholder communication plan within the first two months. The plan will identify communication methods, responsibilities, frequency and procedures for responding to concerns.</w:t>
      </w:r>
    </w:p>
    <w:p w14:paraId="34A749EF"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The fourth objective is to introduce measurable indicators for evaluating stakeholder participation, training completion, supplier compliance, customer engagement and satisfaction.</w:t>
      </w:r>
    </w:p>
    <w:p w14:paraId="10CC2181"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The fifth objective is to review stakeholder engagement performance monthly throughout the initial six-month implementation period and record corrective actions where targets are not achieved.</w:t>
      </w:r>
    </w:p>
    <w:p w14:paraId="022E16E0"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These objectives are proposed for the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scenario. The project team should establish realistic numerical targets after collecting baseline information. This approach makes progress measurable without assuming that particular results have already been achieved.</w:t>
      </w:r>
    </w:p>
    <w:p w14:paraId="3D304E04" w14:textId="77777777" w:rsidR="00CB1FB6" w:rsidRPr="00CB1FB6" w:rsidRDefault="00CB1FB6" w:rsidP="00CB1FB6">
      <w:pPr>
        <w:pStyle w:val="Heading1"/>
      </w:pPr>
      <w:r w:rsidRPr="00CB1FB6">
        <w:t>2. Stakeholder Identification and Analysis</w:t>
      </w:r>
    </w:p>
    <w:p w14:paraId="012DC39B" w14:textId="77777777" w:rsidR="00CB1FB6" w:rsidRPr="00CB1FB6" w:rsidRDefault="00CB1FB6" w:rsidP="00CB1FB6">
      <w:pPr>
        <w:pStyle w:val="Heading2"/>
      </w:pPr>
      <w:r w:rsidRPr="00CB1FB6">
        <w:t>2.1 Internal Stakeholders</w:t>
      </w:r>
    </w:p>
    <w:p w14:paraId="53B5B4C0"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Internal stakeholders are individuals or groups within the organisation who contribute to the planning, implementation and monitoring of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They include senior management, the project sponsor, the project manager, sustainability specialists, procurement employees, store managers, customer-service teams, information technology staff and other employees.</w:t>
      </w:r>
    </w:p>
    <w:p w14:paraId="7CE4005D"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Senior management has significant influence because it approves budgets, establishes strategic priorities and determines whether sustainability objectives receive sufficient organisational support. Senior managers may be concerned about implementation costs, operational efficiency, regulatory compliance and the potential impact on brand reputation. They should therefore receive regular progress reports, risk assessments and performance information.</w:t>
      </w:r>
    </w:p>
    <w:p w14:paraId="51EEFA8D"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lastRenderedPageBreak/>
        <w:t xml:space="preserve">The project manager is responsible for coordinating activities, allocating resources, monitoring deadlines and maintaining communication between stakeholders. Effective project management is necessary because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involves several departments and external partners. Poor coordination could result in duplicated work, missed deadlines or inconsistent communication.</w:t>
      </w:r>
    </w:p>
    <w:p w14:paraId="580EDC59"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Sustainability and procurement teams have important responsibilities for translating environmental objectives into practical purchasing standards and supplier requirements. They must consider product durability, material selection, waste reduction and supply-chain transparency. However, these objectives may conflict with purchasing priorities such as low prices and reliable supply. Cross-functional discussions can help stakeholders understand these competing requirements and agree on realistic solutions.</w:t>
      </w:r>
    </w:p>
    <w:p w14:paraId="4D28161A"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Employees and store managers are also essential stakeholders because they implement new procedures and interact with customers. Their practical experience can reveal problems that senior managers may overlook, such as insufficient storage space, inadequate training or inconvenient recycling arrangements. Early employee consultation can improve implementation and reduce resistance to change.</w:t>
      </w:r>
    </w:p>
    <w:p w14:paraId="15E4C022"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Information technology and marketing teams also contribute to project success. IT employees may develop systems for tracking products, collecting sustainability information and monitoring performance. Marketing employees must communicate the initiative accurately and ensure that environmental claims are supported by evidence.</w:t>
      </w:r>
    </w:p>
    <w:p w14:paraId="03ABA648" w14:textId="77777777" w:rsidR="00CB1FB6" w:rsidRPr="00CB1FB6" w:rsidRDefault="00CB1FB6" w:rsidP="00CB1FB6">
      <w:pPr>
        <w:pStyle w:val="Heading2"/>
      </w:pPr>
      <w:r w:rsidRPr="00CB1FB6">
        <w:t>2.2 External Stakeholders</w:t>
      </w:r>
    </w:p>
    <w:p w14:paraId="6B16C808"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External stakeholders include customers, suppliers, manufacturers, logistics providers, recycling partners, regulators, investors, local communities and environmental organisations.</w:t>
      </w:r>
    </w:p>
    <w:p w14:paraId="6404DDBB"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Customers influence the success of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through their purchasing decisions and participation in repair, reuse and recycling services. Many customers may support environmental responsibility, but participation can depend on convenience, affordability and trust. Customer surveys and pilot programmes can help the organisation understand these factors.</w:t>
      </w:r>
    </w:p>
    <w:p w14:paraId="29BB2E78"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Suppliers and manufacturers are responsible for providing products and materials that meet agreed quality, environmental and ethical standards. They may need to improve traceability, modify production processes or provide additional information about materials. These requirements can create costs, particularly for smaller suppliers. The organisation should communicate expectations clearly and consider reasonable implementation support while maintaining essential standards.</w:t>
      </w:r>
    </w:p>
    <w:p w14:paraId="0CF27BC7"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Logistics providers and recycling partners support the movement, collection, repair and recovery of products. Their involvement is important because sustainability services require appropriate infrastructure and reliable operating arrangements. Clear agreements should define responsibilities, service standards, collection schedules and reporting requirements.</w:t>
      </w:r>
    </w:p>
    <w:p w14:paraId="4D832E06"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lastRenderedPageBreak/>
        <w:t>Regulators have an interest in ensuring that the organisation complies with relevant legislation. Investors may be concerned about financial performance, long-term risks and the credibility of sustainability reporting. Environmental organisations and local communities can provide independent perspectives and identify environmental or social concerns that the organisation may not recognise internally.</w:t>
      </w:r>
    </w:p>
    <w:p w14:paraId="3C8986E1"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These stakeholders should not all be managed in the same way. Their interests, influence, expectations and preferred communication channels differ, making systematic stakeholder analysis necessary.</w:t>
      </w:r>
    </w:p>
    <w:p w14:paraId="03083265" w14:textId="77777777" w:rsidR="00CB1FB6" w:rsidRPr="00CB1FB6" w:rsidRDefault="00CB1FB6" w:rsidP="00CB1FB6">
      <w:pPr>
        <w:pStyle w:val="Heading2"/>
      </w:pPr>
      <w:r w:rsidRPr="00CB1FB6">
        <w:t>2.3 Stakeholder Mapping and Prioritisation</w:t>
      </w:r>
    </w:p>
    <w:p w14:paraId="6C81F932" w14:textId="77777777" w:rsidR="00CB1FB6" w:rsidRPr="00CB1FB6" w:rsidRDefault="00CB1FB6" w:rsidP="00CB1FB6">
      <w:pPr>
        <w:pStyle w:val="NormalWeb"/>
        <w:spacing w:line="276" w:lineRule="auto"/>
        <w:rPr>
          <w:rFonts w:ascii="Arial" w:hAnsi="Arial" w:cs="Arial"/>
          <w:sz w:val="22"/>
          <w:szCs w:val="22"/>
        </w:rPr>
      </w:pPr>
      <w:proofErr w:type="spellStart"/>
      <w:r w:rsidRPr="00CB1FB6">
        <w:rPr>
          <w:rFonts w:ascii="Arial" w:hAnsi="Arial" w:cs="Arial"/>
          <w:sz w:val="22"/>
          <w:szCs w:val="22"/>
        </w:rPr>
        <w:t>Mendelow's</w:t>
      </w:r>
      <w:proofErr w:type="spellEnd"/>
      <w:r w:rsidRPr="00CB1FB6">
        <w:rPr>
          <w:rFonts w:ascii="Arial" w:hAnsi="Arial" w:cs="Arial"/>
          <w:sz w:val="22"/>
          <w:szCs w:val="22"/>
        </w:rPr>
        <w:t xml:space="preserve"> Power–Interest Matrix (1981) provides a framework for classifying stakeholders according to their power and interest.</w:t>
      </w:r>
    </w:p>
    <w:p w14:paraId="5141EF52"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Stakeholders with high power and high interest should be managed closely. For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these may include the project sponsor, senior management and strategically important suppliers. Regular meetings, joint planning and timely decision-making can help maintain their support.</w:t>
      </w:r>
    </w:p>
    <w:p w14:paraId="69870CCE"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Stakeholders with high power but lower day-to-day interest should be kept satisfied. Depending on the issue, this group may include senior decision-makers who are not involved in daily project activities. Concise reports, clear evidence and escalation of significant risks can help maintain their confidence.</w:t>
      </w:r>
    </w:p>
    <w:p w14:paraId="7D0329E0"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Stakeholders with high interest but less formal power should be kept informed and given meaningful opportunities to contribute. Customers, employees and community groups may fall into this category. Surveys, consultation sessions and feedback channels can help the organisation understand their needs.</w:t>
      </w:r>
    </w:p>
    <w:p w14:paraId="7D6A7DEB"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Stakeholders with lower power and interest may require less intensive communication, although their position should be reviewed when circumstances change.</w:t>
      </w:r>
    </w:p>
    <w:p w14:paraId="796D90D6"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The matrix has limitations because stakeholder power and interest are not fixed. A customer group may become influential following a product problem, while a supplier may become more important when alternative sources are limited. The organisation should therefore review its stakeholder map throughout the project.</w:t>
      </w:r>
    </w:p>
    <w:p w14:paraId="7B5A544E"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Mitchell, </w:t>
      </w:r>
      <w:proofErr w:type="spellStart"/>
      <w:r w:rsidRPr="00CB1FB6">
        <w:rPr>
          <w:rFonts w:ascii="Arial" w:hAnsi="Arial" w:cs="Arial"/>
          <w:sz w:val="22"/>
          <w:szCs w:val="22"/>
        </w:rPr>
        <w:t>Agle</w:t>
      </w:r>
      <w:proofErr w:type="spellEnd"/>
      <w:r w:rsidRPr="00CB1FB6">
        <w:rPr>
          <w:rFonts w:ascii="Arial" w:hAnsi="Arial" w:cs="Arial"/>
          <w:sz w:val="22"/>
          <w:szCs w:val="22"/>
        </w:rPr>
        <w:t xml:space="preserve"> and Wood (1997) offer an additional framework based on power, legitimacy and urgency. This model helps explain why a stakeholder's concern may require immediate attention even when that stakeholder does not have the greatest formal influence. For example, an urgent safety concern or a legitimate complaint about environmental harm should not be ignored simply because the stakeholder has limited commercial power.</w:t>
      </w:r>
    </w:p>
    <w:p w14:paraId="53612A33"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Combining these frameworks enables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to prioritise engagement while considering both practical influence and ethical responsibility.</w:t>
      </w:r>
    </w:p>
    <w:p w14:paraId="519CB5BA" w14:textId="77777777" w:rsidR="00CB1FB6" w:rsidRPr="00CB1FB6" w:rsidRDefault="00CB1FB6" w:rsidP="00CB1FB6">
      <w:pPr>
        <w:pStyle w:val="Heading1"/>
      </w:pPr>
      <w:r w:rsidRPr="00CB1FB6">
        <w:lastRenderedPageBreak/>
        <w:t>3. Stakeholder Roles and Responsibilities</w:t>
      </w:r>
    </w:p>
    <w:p w14:paraId="03F47A30" w14:textId="77777777" w:rsidR="00CB1FB6" w:rsidRPr="00CB1FB6" w:rsidRDefault="00CB1FB6" w:rsidP="00CB1FB6">
      <w:pPr>
        <w:pStyle w:val="Heading2"/>
      </w:pPr>
      <w:r w:rsidRPr="00CB1FB6">
        <w:t>3.1 Key Stakeholder Responsibilities</w:t>
      </w:r>
    </w:p>
    <w:p w14:paraId="55004034"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The project sponsor should approve the business case, provide resources and ensure that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aligns with organisational objectives. The project manager should coordinate implementation, maintain the stakeholder register, monitor risks and ensure that actions are completed.</w:t>
      </w:r>
    </w:p>
    <w:p w14:paraId="05ABF0A6"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Procurement employees should communicate supplier requirements, assess compliance and coordinate corrective action where necessary. Sustainability specialists should help establish environmental indicators and ensure that sustainability claims are supported by evidence.</w:t>
      </w:r>
    </w:p>
    <w:p w14:paraId="303BB70B"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IT teams should provide appropriate data systems, while marketing employees should explain the initiative accurately to customers. Store managers and customer-service employees should implement new procedures, explain services and communicate customer concerns to the project team.</w:t>
      </w:r>
    </w:p>
    <w:p w14:paraId="7DE9F74F"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Suppliers must provide agreed product and supply-chain information and cooperate with improvement activities. Recycling and repair partners should meet agreed service and safety standards. Customers can contribute through feedback and participation in available services, while community organisations can provide local knowledge and independent perspectives.</w:t>
      </w:r>
    </w:p>
    <w:p w14:paraId="13C19B7F"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Clearly defined responsibilities reduce confusion and make it easier to hold individuals accountable for project outcomes.</w:t>
      </w:r>
    </w:p>
    <w:p w14:paraId="05770C1D" w14:textId="77777777" w:rsidR="00CB1FB6" w:rsidRPr="00CB1FB6" w:rsidRDefault="00CB1FB6" w:rsidP="00CB1FB6">
      <w:pPr>
        <w:pStyle w:val="Heading2"/>
      </w:pPr>
      <w:r w:rsidRPr="00CB1FB6">
        <w:t>3.2 Stakeholder Benefits and Challenges</w:t>
      </w:r>
    </w:p>
    <w:p w14:paraId="4318781F"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Stakeholder engagement can generate benefits for different groups. The organisation may improve resource efficiency, strengthen customer relationships and identify opportunities for innovation. Customers may gain access to repair services and clearer product information. Suppliers may develop stronger business relationships, while communities may benefit from local partnerships and waste-reduction activities.</w:t>
      </w:r>
    </w:p>
    <w:p w14:paraId="1CC510F6"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However, stakeholders may also experience challenges. Employees may require additional </w:t>
      </w:r>
      <w:proofErr w:type="gramStart"/>
      <w:r w:rsidRPr="00CB1FB6">
        <w:rPr>
          <w:rFonts w:ascii="Arial" w:hAnsi="Arial" w:cs="Arial"/>
          <w:sz w:val="22"/>
          <w:szCs w:val="22"/>
        </w:rPr>
        <w:t>training,</w:t>
      </w:r>
      <w:proofErr w:type="gramEnd"/>
      <w:r w:rsidRPr="00CB1FB6">
        <w:rPr>
          <w:rFonts w:ascii="Arial" w:hAnsi="Arial" w:cs="Arial"/>
          <w:sz w:val="22"/>
          <w:szCs w:val="22"/>
        </w:rPr>
        <w:t xml:space="preserve"> suppliers may face higher compliance costs and customers may find new services inconvenient. Senior managers may be concerned about financial investment and uncertain returns.</w:t>
      </w:r>
    </w:p>
    <w:p w14:paraId="4F285CB9"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A RACI matrix can clarify responsibilities. RACI stands for Responsible, Accountable, Consulted and Informed. For example, procurement employees could be responsible for supplier assessments, the procurement director accountable for approval, sustainability specialists consulted and the project sponsor informed.</w:t>
      </w:r>
    </w:p>
    <w:p w14:paraId="5A79F741"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Using this approach can reduce duplicated responsibilities and improve coordination. Nevertheless, the matrix must be maintained and communicated clearly. Assigning </w:t>
      </w:r>
      <w:r w:rsidRPr="00CB1FB6">
        <w:rPr>
          <w:rFonts w:ascii="Arial" w:hAnsi="Arial" w:cs="Arial"/>
          <w:sz w:val="22"/>
          <w:szCs w:val="22"/>
        </w:rPr>
        <w:lastRenderedPageBreak/>
        <w:t>responsibilities on paper will not guarantee accountability unless individuals have the necessary authority, resources and support.</w:t>
      </w:r>
    </w:p>
    <w:p w14:paraId="140F4E7C" w14:textId="77777777" w:rsidR="00CB1FB6" w:rsidRPr="00CB1FB6" w:rsidRDefault="00CB1FB6" w:rsidP="00CB1FB6">
      <w:pPr>
        <w:pStyle w:val="Heading1"/>
      </w:pPr>
      <w:r w:rsidRPr="00CB1FB6">
        <w:t>4. Stakeholder Engagement Strategies</w:t>
      </w:r>
    </w:p>
    <w:p w14:paraId="2A42A4AB" w14:textId="77777777" w:rsidR="00CB1FB6" w:rsidRPr="00CB1FB6" w:rsidRDefault="00CB1FB6" w:rsidP="00CB1FB6">
      <w:pPr>
        <w:pStyle w:val="Heading2"/>
      </w:pPr>
      <w:r w:rsidRPr="00CB1FB6">
        <w:t>4.1 Communication and Consultation</w:t>
      </w:r>
    </w:p>
    <w:p w14:paraId="59B401BF"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Effective communication is essential for ensuring that stakeholders understand the objectives, responsibilities and progress of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The organisation should develop a communication plan identifying each stakeholder group, the purpose of communication, the channel, frequency and responsible person.</w:t>
      </w:r>
    </w:p>
    <w:p w14:paraId="69B3DD1E"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Senior management may prefer concise reports and performance dashboards, whereas employees may benefit from team meetings and practical training. Suppliers may require technical guidance and individual discussions. Customers may respond to accessible website information, in-store communication and short surveys.</w:t>
      </w:r>
    </w:p>
    <w:p w14:paraId="3436B4D8"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Communication should be two-way wherever possible. Providing information is important, but the organisation must also create opportunities for stakeholders to express concerns and influence decisions.</w:t>
      </w:r>
    </w:p>
    <w:p w14:paraId="31C4A05B"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Consultation should take place early enough to affect project design. For example, the organisation could consult store employees about the practical requirements of collecting returned products before introducing a recycling service. Customers could be asked about convenient collection arrangements, while recycling partners could advise on transport and processing capacity.</w:t>
      </w:r>
    </w:p>
    <w:p w14:paraId="5F488D63"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The project team should explain how consultation findings influence decisions. If a suggestion cannot be implemented, the organisation should explain why. This feedback process can strengthen trust and demonstrate that stakeholder participation has genuine value.</w:t>
      </w:r>
    </w:p>
    <w:p w14:paraId="7D64EFFE" w14:textId="77777777" w:rsidR="00CB1FB6" w:rsidRPr="00CB1FB6" w:rsidRDefault="00CB1FB6" w:rsidP="00CB1FB6">
      <w:pPr>
        <w:pStyle w:val="Heading2"/>
      </w:pPr>
      <w:r w:rsidRPr="00CB1FB6">
        <w:t>4.2 Collaboration and Stakeholder Commitment</w:t>
      </w:r>
    </w:p>
    <w:p w14:paraId="2457EC18"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Collaboration involves stakeholders working together to develop solutions and achieve shared objectives.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could establish a cross-functional steering group involving representatives from project management, procurement, sustainability, IT, operations and customer service.</w:t>
      </w:r>
    </w:p>
    <w:p w14:paraId="5C092245"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Additional working groups could address supplier standards, customer participation and recycling arrangements. Workshops would enable participants to identify shared objectives, discuss operational difficulties and agree on practical actions.</w:t>
      </w:r>
    </w:p>
    <w:p w14:paraId="65748AD4"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Pilot programmes could also be introduced in selected stores before expanding the initiative across the organisation. For example, a limited repair or product-return service could be tested to evaluate customer demand, employee workload, collection arrangements and operating costs.</w:t>
      </w:r>
    </w:p>
    <w:p w14:paraId="42FED815"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lastRenderedPageBreak/>
        <w:t>Commitment requires more than attending meetings. Senior managers must provide resources, employees need training, suppliers require clear expectations and customers need convenient services. Progress should therefore be evaluated using completed actions and measurable results rather than relying exclusively on participation figures.</w:t>
      </w:r>
    </w:p>
    <w:p w14:paraId="45B47B24"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Collaboration can improve decision-making, but it requires careful coordination. The project manager should establish clear meeting objectives, decision-making responsibilities and deadlines to prevent discussions from delaying implementation.</w:t>
      </w:r>
    </w:p>
    <w:p w14:paraId="37E4E1EE" w14:textId="77777777" w:rsidR="00CB1FB6" w:rsidRPr="00CB1FB6" w:rsidRDefault="00CB1FB6" w:rsidP="00CB1FB6">
      <w:pPr>
        <w:pStyle w:val="Heading2"/>
      </w:pPr>
      <w:r w:rsidRPr="00CB1FB6">
        <w:t>4.3 Conflict Management</w:t>
      </w:r>
    </w:p>
    <w:p w14:paraId="62BC36BC"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Conflicting interests are likely during the implementation of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Suppliers may be concerned about the cost of meeting new standards, while finance employees may question the financial benefits of sustainability investments. Employees may worry about additional responsibilities, and environmental organisations may consider the initiative insufficiently ambitious.</w:t>
      </w:r>
    </w:p>
    <w:p w14:paraId="698CAAE1"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The project manager should establish a clear process for recording concerns, examining evidence and agreeing on solutions. Stakeholders should be encouraged to explain their underlying interests rather than focus only on opposing positions.</w:t>
      </w:r>
    </w:p>
    <w:p w14:paraId="548458BF"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For example, if a smaller supplier struggles to introduce new reporting procedures, the organisation could provide guidance and a phased implementation schedule. However, flexibility should not undermine essential legal, safety or ethical requirements.</w:t>
      </w:r>
    </w:p>
    <w:p w14:paraId="744D7D83"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Where disagreements remain unresolved, the project manager should escalate the issue to the appropriate decision-maker. Decisions and their reasons should be documented to support transparency and consistency.</w:t>
      </w:r>
    </w:p>
    <w:p w14:paraId="5BD4FA88"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Conflict management is important because unresolved disagreements can damage relationships and delay delivery. Nevertheless, disagreement is not always harmful. Constructive challenge can identify weaknesses in project plans and encourage more effective solutions.</w:t>
      </w:r>
    </w:p>
    <w:p w14:paraId="149C1BA2" w14:textId="77777777" w:rsidR="00CB1FB6" w:rsidRPr="00CB1FB6" w:rsidRDefault="00CB1FB6" w:rsidP="00CB1FB6">
      <w:pPr>
        <w:pStyle w:val="Heading2"/>
      </w:pPr>
      <w:r w:rsidRPr="00CB1FB6">
        <w:t>4.4 Ethical Considerations and Cultural Differences</w:t>
      </w:r>
    </w:p>
    <w:p w14:paraId="43DCE2BA"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Ethical stakeholder engagement requires honesty, inclusion, confidentiality and respect.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should ensure that environmental claims are accurate and supported by evidence. Unsupported claims could mislead customers and damage organisational credibility.</w:t>
      </w:r>
    </w:p>
    <w:p w14:paraId="0BF2E159"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The organisation should also consider accessibility and inclusion. Stakeholders may have different language needs, working schedules, digital access or communication preferences. Providing alternative consultation methods can help prevent important groups from being excluded.</w:t>
      </w:r>
    </w:p>
    <w:p w14:paraId="7FBBDCC2"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International operations create additional challenges because stakeholders may have different cultural expectations and communication styles. The organisation should avoid </w:t>
      </w:r>
      <w:r w:rsidRPr="00CB1FB6">
        <w:rPr>
          <w:rFonts w:ascii="Arial" w:hAnsi="Arial" w:cs="Arial"/>
          <w:sz w:val="22"/>
          <w:szCs w:val="22"/>
        </w:rPr>
        <w:lastRenderedPageBreak/>
        <w:t>making assumptions about individuals and instead ask participants how they prefer to communicate and contribute.</w:t>
      </w:r>
    </w:p>
    <w:p w14:paraId="6510FEFA"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Clear written information, translation where appropriate, confidential feedback channels and opportunities to raise concerns safely can improve participation.</w:t>
      </w:r>
    </w:p>
    <w:p w14:paraId="5812AA70"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Personal information collected through surveys or digital services should be handled securely and in accordance with applicable data-protection requirements. Ethical engagement also requires the organisation to balance legitimate commercial confidentiality with the need for stakeholders to receive enough information to contribute meaningfully.</w:t>
      </w:r>
    </w:p>
    <w:p w14:paraId="5F2180EC" w14:textId="77777777" w:rsidR="00CB1FB6" w:rsidRPr="00CB1FB6" w:rsidRDefault="00CB1FB6" w:rsidP="00CB1FB6">
      <w:pPr>
        <w:pStyle w:val="Heading2"/>
      </w:pPr>
      <w:r w:rsidRPr="00CB1FB6">
        <w:t>4.5 Project Management Tools and Engagement Evaluation</w:t>
      </w:r>
    </w:p>
    <w:p w14:paraId="235BCFB4"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Several project management tools can support stakeholder engagement.</w:t>
      </w:r>
    </w:p>
    <w:p w14:paraId="143BEA6F"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A stakeholder </w:t>
      </w:r>
      <w:proofErr w:type="gramStart"/>
      <w:r w:rsidRPr="00CB1FB6">
        <w:rPr>
          <w:rFonts w:ascii="Arial" w:hAnsi="Arial" w:cs="Arial"/>
          <w:sz w:val="22"/>
          <w:szCs w:val="22"/>
        </w:rPr>
        <w:t>register</w:t>
      </w:r>
      <w:proofErr w:type="gramEnd"/>
      <w:r w:rsidRPr="00CB1FB6">
        <w:rPr>
          <w:rFonts w:ascii="Arial" w:hAnsi="Arial" w:cs="Arial"/>
          <w:sz w:val="22"/>
          <w:szCs w:val="22"/>
        </w:rPr>
        <w:t xml:space="preserve"> records stakeholder interests, influence, concerns and communication preferences. A communication matrix identifies the messages, channels and frequency appropriate for each group. A RACI matrix clarifies responsibilities, while a risk </w:t>
      </w:r>
      <w:proofErr w:type="gramStart"/>
      <w:r w:rsidRPr="00CB1FB6">
        <w:rPr>
          <w:rFonts w:ascii="Arial" w:hAnsi="Arial" w:cs="Arial"/>
          <w:sz w:val="22"/>
          <w:szCs w:val="22"/>
        </w:rPr>
        <w:t>register</w:t>
      </w:r>
      <w:proofErr w:type="gramEnd"/>
      <w:r w:rsidRPr="00CB1FB6">
        <w:rPr>
          <w:rFonts w:ascii="Arial" w:hAnsi="Arial" w:cs="Arial"/>
          <w:sz w:val="22"/>
          <w:szCs w:val="22"/>
        </w:rPr>
        <w:t xml:space="preserve"> records potential problems, their likelihood, impact and mitigation measures.</w:t>
      </w:r>
    </w:p>
    <w:p w14:paraId="599D6716"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An issue log can record stakeholder concerns, responsible owners, deadlines and actions taken. These tools should be updated regularly so that they reflect changing project conditions.</w:t>
      </w:r>
    </w:p>
    <w:p w14:paraId="06888AC4"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Engagement performance should be assessed using both quantitative and qualitative measures. Quantitative indicators could include consultation attendance, response rates, employee training completion, supplier assessment coverage and customer participation in repair or recycling services.</w:t>
      </w:r>
    </w:p>
    <w:p w14:paraId="3F403787"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Qualitative evidence could include customer comments, employee feedback, supplier interviews and community concerns. The project team should also assess whether feedback resulted in changes to project decisions.</w:t>
      </w:r>
    </w:p>
    <w:p w14:paraId="1D9F03F9"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For example, low participation in a recycling programme may indicate that collection arrangements are inconvenient rather than that customers lack environmental awareness. Understanding the underlying reasons allows the organisation to make appropriate improvements.</w:t>
      </w:r>
    </w:p>
    <w:p w14:paraId="78681755"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Monthly reviews should compare actual performance with agreed targets and identify corrective actions. This approach supports continuous improvement and helps ensure that engagement contributes to project outcomes.</w:t>
      </w:r>
    </w:p>
    <w:p w14:paraId="4C541AB4" w14:textId="77777777" w:rsidR="00CB1FB6" w:rsidRPr="00CB1FB6" w:rsidRDefault="00CB1FB6" w:rsidP="00CB1FB6">
      <w:pPr>
        <w:pStyle w:val="Heading1"/>
      </w:pPr>
      <w:r w:rsidRPr="00CB1FB6">
        <w:t>5. Critical Evaluation of Sustainable Stakeholder Engagement</w:t>
      </w:r>
    </w:p>
    <w:p w14:paraId="51914AEC" w14:textId="77777777" w:rsidR="00CB1FB6" w:rsidRPr="00CB1FB6" w:rsidRDefault="00CB1FB6" w:rsidP="00CB1FB6">
      <w:pPr>
        <w:pStyle w:val="Heading2"/>
      </w:pPr>
      <w:r w:rsidRPr="00CB1FB6">
        <w:t>5.1 Benefits to Business Performance</w:t>
      </w:r>
    </w:p>
    <w:p w14:paraId="4DF43047"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Effective stakeholder engagement can improve project implementation by identifying risks and operational barriers at an early stage. Employee consultation may reveal practical </w:t>
      </w:r>
      <w:r w:rsidRPr="00CB1FB6">
        <w:rPr>
          <w:rFonts w:ascii="Arial" w:hAnsi="Arial" w:cs="Arial"/>
          <w:sz w:val="22"/>
          <w:szCs w:val="22"/>
        </w:rPr>
        <w:lastRenderedPageBreak/>
        <w:t>problems, supplier discussions may improve purchasing requirements and customer research may identify services that are likely to be used.</w:t>
      </w:r>
    </w:p>
    <w:p w14:paraId="2BECE6E4"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Engagement can also improve coordination between departments and encourage innovation. Stakeholders often possess different types of knowledge, so involving them in planning can produce solutions that a single department might overlook.</w:t>
      </w:r>
    </w:p>
    <w:p w14:paraId="3A627D2A"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Potential business benefits include stronger customer relationships, improved supply-chain resilience and greater confidence in sustainability commitments. However, these benefits should not be assumed. They depend on whether the organisation acts on stakeholder feedback and delivers services that meet genuine needs.</w:t>
      </w:r>
    </w:p>
    <w:p w14:paraId="6F6880E8"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Engagement also involves costs, including staff time, consultation activities, training and monitoring systems. Management must therefore assess whether engagement methods are proportionate to the project's risks and objectives.</w:t>
      </w:r>
    </w:p>
    <w:p w14:paraId="17263D85" w14:textId="77777777" w:rsidR="00CB1FB6" w:rsidRPr="00CB1FB6" w:rsidRDefault="00CB1FB6" w:rsidP="00CB1FB6">
      <w:pPr>
        <w:pStyle w:val="Heading2"/>
      </w:pPr>
      <w:r w:rsidRPr="00CB1FB6">
        <w:t>5.2 Risks and Challenges</w:t>
      </w:r>
    </w:p>
    <w:p w14:paraId="3112C6E6"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One significant challenge is the possibility of tokenistic engagement. This occurs when an organisation asks stakeholders for their opinions but has little intention of allowing those opinions to influence decisions.</w:t>
      </w:r>
    </w:p>
    <w:p w14:paraId="38652625"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Such practices can damage trust and reduce future participation. To prevent this,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should document consultation findings, explain decisions and report completed actions.</w:t>
      </w:r>
    </w:p>
    <w:p w14:paraId="1B7522F3"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Another challenge is unequal representation. Powerful suppliers or senior executives may dominate discussions, while employees, smaller suppliers or community representatives have fewer opportunities to contribute.</w:t>
      </w:r>
    </w:p>
    <w:p w14:paraId="77CA7F05"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The organisation should provide accessible consultation methods and establish transparent criteria for selecting participants. Where appropriate, independent facilitation may help ensure that different perspectives are considered.</w:t>
      </w:r>
    </w:p>
    <w:p w14:paraId="2E77CC3E"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Stakeholder engagement can also delay decisions when interests conflict. However, avoiding consultation may create greater problems later through resistance, operational failures or reputational damage. The appropriate response is to match engagement intensity to the significance of each decision while maintaining clear accountability.</w:t>
      </w:r>
    </w:p>
    <w:p w14:paraId="44E32FE1" w14:textId="77777777" w:rsidR="00CB1FB6" w:rsidRPr="00CB1FB6" w:rsidRDefault="00CB1FB6" w:rsidP="00CB1FB6">
      <w:pPr>
        <w:pStyle w:val="Heading2"/>
      </w:pPr>
      <w:r w:rsidRPr="00CB1FB6">
        <w:t>5.3 Trust, Responsible Supply Chains and Reputation</w:t>
      </w:r>
    </w:p>
    <w:p w14:paraId="5AB09DE8"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Trust depends on consistency between organisational statements and actual behaviour.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should therefore connect public commitments to measurable indicators and credible evidence.</w:t>
      </w:r>
    </w:p>
    <w:p w14:paraId="44A6BEF3"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Supply-chain transparency can be difficult because information may be incomplete or inconsistent across different suppliers and manufacturing locations. Supplier questionnaires can provide useful information, but they may need to be supported by risk-based assessments, verification and corrective action plans.</w:t>
      </w:r>
    </w:p>
    <w:p w14:paraId="4BF838CF"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lastRenderedPageBreak/>
        <w:t>The organisation should also communicate limitations honestly. It should not claim that all products are sustainable or fully traceable unless reliable evidence supports that statement.</w:t>
      </w:r>
    </w:p>
    <w:p w14:paraId="0CA83073"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Stakeholder engagement can strengthen accountability by creating opportunities to raise concerns and review organisational responses. Nevertheless, engagement cannot replace effective governance, legal compliance or independent evidence.</w:t>
      </w:r>
    </w:p>
    <w:p w14:paraId="2B5757B0"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Combining stakeholder feedback with operational data and appropriate environmental measures provides a stronger basis for evaluating progress and maintaining credibility.</w:t>
      </w:r>
    </w:p>
    <w:p w14:paraId="50CBBF59" w14:textId="77777777" w:rsidR="00CB1FB6" w:rsidRPr="00CB1FB6" w:rsidRDefault="00CB1FB6" w:rsidP="00CB1FB6">
      <w:pPr>
        <w:pStyle w:val="Heading2"/>
      </w:pPr>
      <w:r w:rsidRPr="00CB1FB6">
        <w:t>5.4 Long-Term Sustainability and Social Value</w:t>
      </w:r>
    </w:p>
    <w:p w14:paraId="33788CF4" w14:textId="77777777" w:rsidR="00CB1FB6" w:rsidRPr="00CB1FB6" w:rsidRDefault="00CB1FB6" w:rsidP="00CB1FB6">
      <w:pPr>
        <w:pStyle w:val="NormalWeb"/>
        <w:spacing w:line="276" w:lineRule="auto"/>
        <w:rPr>
          <w:rFonts w:ascii="Arial" w:hAnsi="Arial" w:cs="Arial"/>
          <w:sz w:val="22"/>
          <w:szCs w:val="22"/>
        </w:rPr>
      </w:pP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should consider the full life cycle of products rather than focusing only on recycling. Product durability, repairability, reuse, transportation and material recovery all affect environmental performance.</w:t>
      </w:r>
    </w:p>
    <w:p w14:paraId="32C43B64"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For example, repairing a product may extend its useful life, but the service requires suitable spare parts, trained technicians and accessible collection arrangements. Recycling can recover valuable materials, but preventing waste and extending product life may be preferable in some circumstances.</w:t>
      </w:r>
    </w:p>
    <w:p w14:paraId="2D27417F"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Stakeholder engagement can help the organisation identify these trade-offs and understand their practical consequences.</w:t>
      </w:r>
    </w:p>
    <w:p w14:paraId="56087AA1"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The initiative should also consider fairness. Smaller suppliers may struggle with new reporting requirements, while some customers may have limited access to digital services or nearby stores. The organisation should examine these barriers and develop proportionate support where possible.</w:t>
      </w:r>
    </w:p>
    <w:p w14:paraId="1E5555FF"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Long-term success requires environmental objectives to be integrated with commercial feasibility, employee needs and community interests. Stakeholder engagement can contribute to this balance, provided that concerns are addressed transparently and sustainability commitments are supported by measurable evidence.</w:t>
      </w:r>
    </w:p>
    <w:p w14:paraId="4AD0D381" w14:textId="77777777" w:rsidR="00CB1FB6" w:rsidRPr="00CB1FB6" w:rsidRDefault="00CB1FB6" w:rsidP="00CB1FB6">
      <w:pPr>
        <w:pStyle w:val="Heading1"/>
      </w:pPr>
      <w:r w:rsidRPr="00CB1FB6">
        <w:t>6. Recommendations and Conclusion</w:t>
      </w:r>
    </w:p>
    <w:p w14:paraId="484EDAB9" w14:textId="77777777" w:rsidR="00CB1FB6" w:rsidRPr="00CB1FB6" w:rsidRDefault="00CB1FB6" w:rsidP="00CB1FB6">
      <w:pPr>
        <w:pStyle w:val="Heading2"/>
      </w:pPr>
      <w:r w:rsidRPr="00CB1FB6">
        <w:t>6.1 Recommendations</w:t>
      </w:r>
    </w:p>
    <w:p w14:paraId="1429C367"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The following recommendations are proposed for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w:t>
      </w:r>
    </w:p>
    <w:p w14:paraId="2139F1E1" w14:textId="77777777" w:rsidR="00CB1FB6" w:rsidRPr="00CB1FB6" w:rsidRDefault="00CB1FB6" w:rsidP="00CB1FB6">
      <w:pPr>
        <w:pStyle w:val="NormalWeb"/>
        <w:spacing w:line="276" w:lineRule="auto"/>
        <w:rPr>
          <w:rFonts w:ascii="Arial" w:hAnsi="Arial" w:cs="Arial"/>
          <w:sz w:val="22"/>
          <w:szCs w:val="22"/>
        </w:rPr>
      </w:pPr>
      <w:r w:rsidRPr="00CB1FB6">
        <w:rPr>
          <w:rStyle w:val="Strong"/>
          <w:rFonts w:ascii="Arial" w:hAnsi="Arial" w:cs="Arial"/>
          <w:sz w:val="22"/>
          <w:szCs w:val="22"/>
        </w:rPr>
        <w:t>First, establish a stakeholder engagement plan.</w:t>
      </w:r>
      <w:r w:rsidRPr="00CB1FB6">
        <w:rPr>
          <w:rFonts w:ascii="Arial" w:hAnsi="Arial" w:cs="Arial"/>
          <w:sz w:val="22"/>
          <w:szCs w:val="22"/>
        </w:rPr>
        <w:t xml:space="preserve"> Create a stakeholder register and use </w:t>
      </w:r>
      <w:proofErr w:type="spellStart"/>
      <w:r w:rsidRPr="00CB1FB6">
        <w:rPr>
          <w:rFonts w:ascii="Arial" w:hAnsi="Arial" w:cs="Arial"/>
          <w:sz w:val="22"/>
          <w:szCs w:val="22"/>
        </w:rPr>
        <w:t>Mendelow's</w:t>
      </w:r>
      <w:proofErr w:type="spellEnd"/>
      <w:r w:rsidRPr="00CB1FB6">
        <w:rPr>
          <w:rFonts w:ascii="Arial" w:hAnsi="Arial" w:cs="Arial"/>
          <w:sz w:val="22"/>
          <w:szCs w:val="22"/>
        </w:rPr>
        <w:t xml:space="preserve"> Power–Interest Matrix to prioritise engagement. Review the register regularly as stakeholder interests and project risks change.</w:t>
      </w:r>
    </w:p>
    <w:p w14:paraId="470105B3" w14:textId="77777777" w:rsidR="00CB1FB6" w:rsidRPr="00CB1FB6" w:rsidRDefault="00CB1FB6" w:rsidP="00CB1FB6">
      <w:pPr>
        <w:pStyle w:val="NormalWeb"/>
        <w:spacing w:line="276" w:lineRule="auto"/>
        <w:rPr>
          <w:rFonts w:ascii="Arial" w:hAnsi="Arial" w:cs="Arial"/>
          <w:sz w:val="22"/>
          <w:szCs w:val="22"/>
        </w:rPr>
      </w:pPr>
      <w:r w:rsidRPr="00CB1FB6">
        <w:rPr>
          <w:rStyle w:val="Strong"/>
          <w:rFonts w:ascii="Arial" w:hAnsi="Arial" w:cs="Arial"/>
          <w:sz w:val="22"/>
          <w:szCs w:val="22"/>
        </w:rPr>
        <w:t>Second, improve communication and accountability.</w:t>
      </w:r>
      <w:r w:rsidRPr="00CB1FB6">
        <w:rPr>
          <w:rFonts w:ascii="Arial" w:hAnsi="Arial" w:cs="Arial"/>
          <w:sz w:val="22"/>
          <w:szCs w:val="22"/>
        </w:rPr>
        <w:t xml:space="preserve"> Introduce a communication schedule that identifies the purpose, channel, frequency and responsible person for each stakeholder group. Use a RACI matrix to clarify responsibilities.</w:t>
      </w:r>
    </w:p>
    <w:p w14:paraId="0D449061" w14:textId="77777777" w:rsidR="00CB1FB6" w:rsidRPr="00CB1FB6" w:rsidRDefault="00CB1FB6" w:rsidP="00CB1FB6">
      <w:pPr>
        <w:pStyle w:val="NormalWeb"/>
        <w:spacing w:line="276" w:lineRule="auto"/>
        <w:rPr>
          <w:rFonts w:ascii="Arial" w:hAnsi="Arial" w:cs="Arial"/>
          <w:sz w:val="22"/>
          <w:szCs w:val="22"/>
        </w:rPr>
      </w:pPr>
      <w:r w:rsidRPr="00CB1FB6">
        <w:rPr>
          <w:rStyle w:val="Strong"/>
          <w:rFonts w:ascii="Arial" w:hAnsi="Arial" w:cs="Arial"/>
          <w:sz w:val="22"/>
          <w:szCs w:val="22"/>
        </w:rPr>
        <w:lastRenderedPageBreak/>
        <w:t>Third, consult stakeholders early.</w:t>
      </w:r>
      <w:r w:rsidRPr="00CB1FB6">
        <w:rPr>
          <w:rFonts w:ascii="Arial" w:hAnsi="Arial" w:cs="Arial"/>
          <w:sz w:val="22"/>
          <w:szCs w:val="22"/>
        </w:rPr>
        <w:t xml:space="preserve"> Involve employees, suppliers, customers and community representatives before finalising important implementation decisions. Publish summaries explaining how feedback has influenced the project.</w:t>
      </w:r>
    </w:p>
    <w:p w14:paraId="1A637F61" w14:textId="77777777" w:rsidR="00CB1FB6" w:rsidRPr="00CB1FB6" w:rsidRDefault="00CB1FB6" w:rsidP="00CB1FB6">
      <w:pPr>
        <w:pStyle w:val="NormalWeb"/>
        <w:spacing w:line="276" w:lineRule="auto"/>
        <w:rPr>
          <w:rFonts w:ascii="Arial" w:hAnsi="Arial" w:cs="Arial"/>
          <w:sz w:val="22"/>
          <w:szCs w:val="22"/>
        </w:rPr>
      </w:pPr>
      <w:r w:rsidRPr="00CB1FB6">
        <w:rPr>
          <w:rStyle w:val="Strong"/>
          <w:rFonts w:ascii="Arial" w:hAnsi="Arial" w:cs="Arial"/>
          <w:sz w:val="22"/>
          <w:szCs w:val="22"/>
        </w:rPr>
        <w:t>Fourth, introduce pilot programmes.</w:t>
      </w:r>
      <w:r w:rsidRPr="00CB1FB6">
        <w:rPr>
          <w:rFonts w:ascii="Arial" w:hAnsi="Arial" w:cs="Arial"/>
          <w:sz w:val="22"/>
          <w:szCs w:val="22"/>
        </w:rPr>
        <w:t xml:space="preserve"> Test repair, reuse and recycling services in selected locations before wider implementation. Evaluate participation, operating costs, customer experiences and environmental outcomes.</w:t>
      </w:r>
    </w:p>
    <w:p w14:paraId="761A712B" w14:textId="77777777" w:rsidR="00CB1FB6" w:rsidRPr="00CB1FB6" w:rsidRDefault="00CB1FB6" w:rsidP="00CB1FB6">
      <w:pPr>
        <w:pStyle w:val="NormalWeb"/>
        <w:spacing w:line="276" w:lineRule="auto"/>
        <w:rPr>
          <w:rFonts w:ascii="Arial" w:hAnsi="Arial" w:cs="Arial"/>
          <w:sz w:val="22"/>
          <w:szCs w:val="22"/>
        </w:rPr>
      </w:pPr>
      <w:r w:rsidRPr="00CB1FB6">
        <w:rPr>
          <w:rStyle w:val="Strong"/>
          <w:rFonts w:ascii="Arial" w:hAnsi="Arial" w:cs="Arial"/>
          <w:sz w:val="22"/>
          <w:szCs w:val="22"/>
        </w:rPr>
        <w:t>Fifth, strengthen performance monitoring.</w:t>
      </w:r>
      <w:r w:rsidRPr="00CB1FB6">
        <w:rPr>
          <w:rFonts w:ascii="Arial" w:hAnsi="Arial" w:cs="Arial"/>
          <w:sz w:val="22"/>
          <w:szCs w:val="22"/>
        </w:rPr>
        <w:t xml:space="preserve"> Establish baseline measures and review engagement indicators monthly. Record stakeholder concerns, corrective actions and outstanding risks.</w:t>
      </w:r>
    </w:p>
    <w:p w14:paraId="6F748304" w14:textId="77777777" w:rsidR="00CB1FB6" w:rsidRPr="00CB1FB6" w:rsidRDefault="00CB1FB6" w:rsidP="00CB1FB6">
      <w:pPr>
        <w:pStyle w:val="NormalWeb"/>
        <w:spacing w:line="276" w:lineRule="auto"/>
        <w:rPr>
          <w:rFonts w:ascii="Arial" w:hAnsi="Arial" w:cs="Arial"/>
          <w:sz w:val="22"/>
          <w:szCs w:val="22"/>
        </w:rPr>
      </w:pPr>
      <w:r w:rsidRPr="00CB1FB6">
        <w:rPr>
          <w:rStyle w:val="Strong"/>
          <w:rFonts w:ascii="Arial" w:hAnsi="Arial" w:cs="Arial"/>
          <w:sz w:val="22"/>
          <w:szCs w:val="22"/>
        </w:rPr>
        <w:t>Sixth, maintain ethical and transparent practices.</w:t>
      </w:r>
      <w:r w:rsidRPr="00CB1FB6">
        <w:rPr>
          <w:rFonts w:ascii="Arial" w:hAnsi="Arial" w:cs="Arial"/>
          <w:sz w:val="22"/>
          <w:szCs w:val="22"/>
        </w:rPr>
        <w:t xml:space="preserve"> Ensure that sustainability claims are supported by evidence, consultation is accessible and personal information is handled appropriately.</w:t>
      </w:r>
    </w:p>
    <w:p w14:paraId="63D32F28" w14:textId="77777777" w:rsidR="00CB1FB6" w:rsidRPr="00CB1FB6" w:rsidRDefault="00CB1FB6" w:rsidP="00CB1FB6">
      <w:pPr>
        <w:pStyle w:val="NormalWeb"/>
        <w:spacing w:line="276" w:lineRule="auto"/>
        <w:rPr>
          <w:rFonts w:ascii="Arial" w:hAnsi="Arial" w:cs="Arial"/>
          <w:sz w:val="22"/>
          <w:szCs w:val="22"/>
        </w:rPr>
      </w:pPr>
      <w:r w:rsidRPr="00CB1FB6">
        <w:rPr>
          <w:rStyle w:val="Strong"/>
          <w:rFonts w:ascii="Arial" w:hAnsi="Arial" w:cs="Arial"/>
          <w:sz w:val="22"/>
          <w:szCs w:val="22"/>
        </w:rPr>
        <w:t>Finally, support continuous improvement.</w:t>
      </w:r>
      <w:r w:rsidRPr="00CB1FB6">
        <w:rPr>
          <w:rFonts w:ascii="Arial" w:hAnsi="Arial" w:cs="Arial"/>
          <w:sz w:val="22"/>
          <w:szCs w:val="22"/>
        </w:rPr>
        <w:t xml:space="preserve"> Use stakeholder feedback and project performance data to refine services and improve the initiative over time.</w:t>
      </w:r>
    </w:p>
    <w:p w14:paraId="37C4F15E" w14:textId="77777777" w:rsidR="00CB1FB6" w:rsidRPr="00CB1FB6" w:rsidRDefault="00CB1FB6" w:rsidP="00CB1FB6">
      <w:pPr>
        <w:pStyle w:val="Heading2"/>
      </w:pPr>
      <w:r w:rsidRPr="00CB1FB6">
        <w:t>6.2 Conclusion</w:t>
      </w:r>
    </w:p>
    <w:p w14:paraId="196C62D7"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The successful implementation of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depends on effective cooperation between internal and external stakeholders. Stakeholder theory highlights the importance of considering different interests, while </w:t>
      </w:r>
      <w:proofErr w:type="spellStart"/>
      <w:r w:rsidRPr="00CB1FB6">
        <w:rPr>
          <w:rFonts w:ascii="Arial" w:hAnsi="Arial" w:cs="Arial"/>
          <w:sz w:val="22"/>
          <w:szCs w:val="22"/>
        </w:rPr>
        <w:t>Mendelow's</w:t>
      </w:r>
      <w:proofErr w:type="spellEnd"/>
      <w:r w:rsidRPr="00CB1FB6">
        <w:rPr>
          <w:rFonts w:ascii="Arial" w:hAnsi="Arial" w:cs="Arial"/>
          <w:sz w:val="22"/>
          <w:szCs w:val="22"/>
        </w:rPr>
        <w:t xml:space="preserve"> Power–Interest Matrix and the stakeholder salience model provide useful methods for prioritising engagement.</w:t>
      </w:r>
    </w:p>
    <w:p w14:paraId="6E1894B7"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Communication, consultation, collaboration and conflict management can improve coordination, identify risks and strengthen trust. However, engagement also creates challenges, including additional costs, competing interests and the possibility of tokenistic participation.</w:t>
      </w:r>
    </w:p>
    <w:p w14:paraId="400E1CAD" w14:textId="77777777" w:rsidR="00CB1FB6" w:rsidRPr="00CB1FB6" w:rsidRDefault="00CB1FB6" w:rsidP="00CB1FB6">
      <w:pPr>
        <w:pStyle w:val="NormalWeb"/>
        <w:spacing w:line="276" w:lineRule="auto"/>
        <w:rPr>
          <w:rFonts w:ascii="Arial" w:hAnsi="Arial" w:cs="Arial"/>
          <w:sz w:val="22"/>
          <w:szCs w:val="22"/>
        </w:rPr>
      </w:pPr>
      <w:r w:rsidRPr="00CB1FB6">
        <w:rPr>
          <w:rFonts w:ascii="Arial" w:hAnsi="Arial" w:cs="Arial"/>
          <w:sz w:val="22"/>
          <w:szCs w:val="22"/>
        </w:rPr>
        <w:t xml:space="preserve">The organisation should therefore adopt a structured, inclusive and transparent approach supported by clear responsibilities, measurable objectives and regular performance reviews. By acting on stakeholder feedback and evaluating environmental and social outcomes alongside business performance, </w:t>
      </w:r>
      <w:proofErr w:type="spellStart"/>
      <w:r w:rsidRPr="00CB1FB6">
        <w:rPr>
          <w:rFonts w:ascii="Arial" w:hAnsi="Arial" w:cs="Arial"/>
          <w:sz w:val="22"/>
          <w:szCs w:val="22"/>
        </w:rPr>
        <w:t>GreenPath</w:t>
      </w:r>
      <w:proofErr w:type="spellEnd"/>
      <w:r w:rsidRPr="00CB1FB6">
        <w:rPr>
          <w:rFonts w:ascii="Arial" w:hAnsi="Arial" w:cs="Arial"/>
          <w:sz w:val="22"/>
          <w:szCs w:val="22"/>
        </w:rPr>
        <w:t xml:space="preserve"> 360 could establish a stronger foundation for long-term sustainability and organisational success.</w:t>
      </w:r>
    </w:p>
    <w:p w14:paraId="786EFDC6" w14:textId="77777777" w:rsidR="00C53DBF" w:rsidRDefault="00C53DBF" w:rsidP="00CB1FB6">
      <w:pPr>
        <w:rPr>
          <w:rFonts w:ascii="Arial" w:hAnsi="Arial" w:cs="Arial"/>
        </w:rPr>
      </w:pPr>
    </w:p>
    <w:p w14:paraId="550A8878" w14:textId="77777777" w:rsidR="00AA2DDE" w:rsidRDefault="00AA2DDE" w:rsidP="00CB1FB6">
      <w:pPr>
        <w:rPr>
          <w:rFonts w:ascii="Arial" w:hAnsi="Arial" w:cs="Arial"/>
        </w:rPr>
      </w:pPr>
    </w:p>
    <w:p w14:paraId="10224108" w14:textId="77777777" w:rsidR="00AA2DDE" w:rsidRDefault="00AA2DDE" w:rsidP="00CB1FB6">
      <w:pPr>
        <w:rPr>
          <w:rFonts w:ascii="Arial" w:hAnsi="Arial" w:cs="Arial"/>
        </w:rPr>
      </w:pPr>
    </w:p>
    <w:p w14:paraId="0D2596CB" w14:textId="77777777" w:rsidR="00AA2DDE" w:rsidRDefault="00AA2DDE" w:rsidP="00CB1FB6">
      <w:pPr>
        <w:rPr>
          <w:rFonts w:ascii="Arial" w:hAnsi="Arial" w:cs="Arial"/>
        </w:rPr>
      </w:pPr>
    </w:p>
    <w:p w14:paraId="761696C6" w14:textId="77777777" w:rsidR="00AA2DDE" w:rsidRDefault="00AA2DDE" w:rsidP="00AA2DDE">
      <w:pPr>
        <w:pStyle w:val="Heading1"/>
      </w:pPr>
      <w:r>
        <w:t>Reference List</w:t>
      </w:r>
    </w:p>
    <w:p w14:paraId="5BA33080" w14:textId="77777777" w:rsidR="00AA2DDE" w:rsidRDefault="00AA2DDE" w:rsidP="00AA2DDE">
      <w:pPr>
        <w:pStyle w:val="NormalWeb"/>
      </w:pPr>
      <w:r>
        <w:t xml:space="preserve">Carter, C.R. and Rogers, D.S. (2008) ‘A framework of sustainable supply chain management: Moving toward new theory’, </w:t>
      </w:r>
      <w:r>
        <w:rPr>
          <w:rStyle w:val="Emphasis"/>
          <w:rFonts w:eastAsiaTheme="majorEastAsia"/>
        </w:rPr>
        <w:t>International Journal of Physical Distribution &amp; Logistics Management</w:t>
      </w:r>
      <w:r>
        <w:t xml:space="preserve">, 38(5), pp. 360–387. </w:t>
      </w:r>
    </w:p>
    <w:p w14:paraId="1E888108" w14:textId="77777777" w:rsidR="00AA2DDE" w:rsidRDefault="00AA2DDE" w:rsidP="00AA2DDE">
      <w:pPr>
        <w:pStyle w:val="NormalWeb"/>
      </w:pPr>
      <w:r>
        <w:lastRenderedPageBreak/>
        <w:t xml:space="preserve">Freeman, R.E. (1984) </w:t>
      </w:r>
      <w:r>
        <w:rPr>
          <w:rStyle w:val="Emphasis"/>
          <w:rFonts w:eastAsiaTheme="majorEastAsia"/>
        </w:rPr>
        <w:t>Strategic Management: A Stakeholder Approach</w:t>
      </w:r>
      <w:r>
        <w:t>. Boston: Pitman.</w:t>
      </w:r>
    </w:p>
    <w:p w14:paraId="75CAE446" w14:textId="77777777" w:rsidR="00AA2DDE" w:rsidRDefault="00AA2DDE" w:rsidP="00AA2DDE">
      <w:pPr>
        <w:pStyle w:val="NormalWeb"/>
      </w:pPr>
      <w:proofErr w:type="spellStart"/>
      <w:r>
        <w:t>Geissdoerfer</w:t>
      </w:r>
      <w:proofErr w:type="spellEnd"/>
      <w:r>
        <w:t xml:space="preserve">, M., </w:t>
      </w:r>
      <w:proofErr w:type="spellStart"/>
      <w:r>
        <w:t>Savaget</w:t>
      </w:r>
      <w:proofErr w:type="spellEnd"/>
      <w:r>
        <w:t xml:space="preserve">, P., </w:t>
      </w:r>
      <w:proofErr w:type="spellStart"/>
      <w:r>
        <w:t>Bocken</w:t>
      </w:r>
      <w:proofErr w:type="spellEnd"/>
      <w:r>
        <w:t xml:space="preserve">, N.M.P. and </w:t>
      </w:r>
      <w:proofErr w:type="spellStart"/>
      <w:r>
        <w:t>Hultink</w:t>
      </w:r>
      <w:proofErr w:type="spellEnd"/>
      <w:r>
        <w:t xml:space="preserve">, E.J. (2017) ‘The Circular Economy – A new sustainability paradigm?’, </w:t>
      </w:r>
      <w:r>
        <w:rPr>
          <w:rStyle w:val="Emphasis"/>
          <w:rFonts w:eastAsiaTheme="majorEastAsia"/>
        </w:rPr>
        <w:t>Journal of Cleaner Production</w:t>
      </w:r>
      <w:r>
        <w:t xml:space="preserve">, 143, pp. 757–768. </w:t>
      </w:r>
    </w:p>
    <w:p w14:paraId="03A43F81" w14:textId="77777777" w:rsidR="00AA2DDE" w:rsidRDefault="00AA2DDE" w:rsidP="00AA2DDE">
      <w:pPr>
        <w:pStyle w:val="NormalWeb"/>
      </w:pPr>
      <w:proofErr w:type="spellStart"/>
      <w:r>
        <w:t>Mendelow</w:t>
      </w:r>
      <w:proofErr w:type="spellEnd"/>
      <w:r>
        <w:t xml:space="preserve">, A.L. (1981) ‘Environmental scanning—The impact of the stakeholder concept’. </w:t>
      </w:r>
      <w:r>
        <w:rPr>
          <w:rStyle w:val="Emphasis"/>
          <w:rFonts w:eastAsiaTheme="majorEastAsia"/>
        </w:rPr>
        <w:t>Proceedings of the Second International Conference on Information Systems</w:t>
      </w:r>
      <w:r>
        <w:t>.</w:t>
      </w:r>
    </w:p>
    <w:p w14:paraId="4F24E4E5" w14:textId="77777777" w:rsidR="00AA2DDE" w:rsidRDefault="00AA2DDE" w:rsidP="00AA2DDE">
      <w:pPr>
        <w:pStyle w:val="NormalWeb"/>
      </w:pPr>
      <w:r>
        <w:t xml:space="preserve">Mitchell, R.K., </w:t>
      </w:r>
      <w:proofErr w:type="spellStart"/>
      <w:r>
        <w:t>Agle</w:t>
      </w:r>
      <w:proofErr w:type="spellEnd"/>
      <w:r>
        <w:t xml:space="preserve">, B.R. and Wood, D.J. (1997) ‘Toward a theory of stakeholder identification and salience: Defining the principle of who and what really counts’, </w:t>
      </w:r>
      <w:r>
        <w:rPr>
          <w:rStyle w:val="Emphasis"/>
          <w:rFonts w:eastAsiaTheme="majorEastAsia"/>
        </w:rPr>
        <w:t>Academy of Management Review</w:t>
      </w:r>
      <w:r>
        <w:t>, 22(4), pp. 853–886.</w:t>
      </w:r>
    </w:p>
    <w:p w14:paraId="556E0566" w14:textId="77777777" w:rsidR="00AA2DDE" w:rsidRDefault="00AA2DDE" w:rsidP="00AA2DDE">
      <w:pPr>
        <w:pStyle w:val="NormalWeb"/>
      </w:pPr>
      <w:proofErr w:type="spellStart"/>
      <w:r>
        <w:t>Seuring</w:t>
      </w:r>
      <w:proofErr w:type="spellEnd"/>
      <w:r>
        <w:t xml:space="preserve">, S. and Müller, M. (2008) ‘From a literature review to a conceptual framework for sustainable supply chain management’, </w:t>
      </w:r>
      <w:r>
        <w:rPr>
          <w:rStyle w:val="Emphasis"/>
          <w:rFonts w:eastAsiaTheme="majorEastAsia"/>
        </w:rPr>
        <w:t>Journal of Cleaner Production</w:t>
      </w:r>
      <w:r>
        <w:t xml:space="preserve">, 16(15), pp. 1699–1710. </w:t>
      </w:r>
    </w:p>
    <w:p w14:paraId="78D1FC95" w14:textId="77777777" w:rsidR="00AA2DDE" w:rsidRDefault="00AA2DDE" w:rsidP="00AA2DDE">
      <w:pPr>
        <w:pStyle w:val="NormalWeb"/>
      </w:pPr>
      <w:proofErr w:type="spellStart"/>
      <w:r>
        <w:t>Siems</w:t>
      </w:r>
      <w:proofErr w:type="spellEnd"/>
      <w:r>
        <w:t xml:space="preserve">, E. (2021) ‘Stakeholder management in sustainable supply chains: A case study of the bioenergy industry’, </w:t>
      </w:r>
      <w:r>
        <w:rPr>
          <w:rStyle w:val="Emphasis"/>
          <w:rFonts w:eastAsiaTheme="majorEastAsia"/>
        </w:rPr>
        <w:t>Business Strategy and the Environment</w:t>
      </w:r>
      <w:r>
        <w:t xml:space="preserve">, 30(7), pp. 3105–3119. </w:t>
      </w:r>
    </w:p>
    <w:p w14:paraId="2AD3DADD" w14:textId="77777777" w:rsidR="00AA2DDE" w:rsidRDefault="00AA2DDE" w:rsidP="00AA2DDE">
      <w:pPr>
        <w:pStyle w:val="NormalWeb"/>
      </w:pPr>
      <w:proofErr w:type="spellStart"/>
      <w:r>
        <w:t>Turkulainen</w:t>
      </w:r>
      <w:proofErr w:type="spellEnd"/>
      <w:r>
        <w:t xml:space="preserve">, V., </w:t>
      </w:r>
      <w:proofErr w:type="spellStart"/>
      <w:r>
        <w:t>Aaltonen</w:t>
      </w:r>
      <w:proofErr w:type="spellEnd"/>
      <w:r>
        <w:t xml:space="preserve">, K. and </w:t>
      </w:r>
      <w:proofErr w:type="spellStart"/>
      <w:r>
        <w:t>Lohikoski</w:t>
      </w:r>
      <w:proofErr w:type="spellEnd"/>
      <w:r>
        <w:t xml:space="preserve">, P. (2015) ‘Managing project stakeholder communication: The </w:t>
      </w:r>
      <w:proofErr w:type="spellStart"/>
      <w:r>
        <w:t>Qstock</w:t>
      </w:r>
      <w:proofErr w:type="spellEnd"/>
      <w:r>
        <w:t xml:space="preserve"> Festival case’, </w:t>
      </w:r>
      <w:r>
        <w:rPr>
          <w:rStyle w:val="Emphasis"/>
          <w:rFonts w:eastAsiaTheme="majorEastAsia"/>
        </w:rPr>
        <w:t>Project Management Journal</w:t>
      </w:r>
      <w:r>
        <w:t xml:space="preserve">, 46(6), pp. 74–91. </w:t>
      </w:r>
    </w:p>
    <w:p w14:paraId="1C801825" w14:textId="77777777" w:rsidR="00AA2DDE" w:rsidRPr="00CB1FB6" w:rsidRDefault="00AA2DDE" w:rsidP="00CB1FB6">
      <w:pPr>
        <w:rPr>
          <w:rFonts w:ascii="Arial" w:hAnsi="Arial" w:cs="Arial"/>
        </w:rPr>
      </w:pPr>
    </w:p>
    <w:sectPr w:rsidR="00AA2DDE" w:rsidRPr="00CB1F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FB6"/>
    <w:rsid w:val="00AA2DDE"/>
    <w:rsid w:val="00C53DBF"/>
    <w:rsid w:val="00CB1FB6"/>
    <w:rsid w:val="00CC5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EDE3CE"/>
  <w15:chartTrackingRefBased/>
  <w15:docId w15:val="{B2AFFF87-E35A-1940-94CA-4A6ABD5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FB6"/>
    <w:pPr>
      <w:keepNext/>
      <w:keepLines/>
      <w:spacing w:before="240" w:line="276" w:lineRule="auto"/>
      <w:outlineLvl w:val="0"/>
    </w:pPr>
    <w:rPr>
      <w:rFonts w:ascii="Arial" w:eastAsiaTheme="majorEastAsia" w:hAnsi="Arial" w:cs="Arial"/>
      <w:b/>
      <w:bCs/>
      <w:color w:val="000000" w:themeColor="text1"/>
      <w:sz w:val="22"/>
      <w:szCs w:val="22"/>
    </w:rPr>
  </w:style>
  <w:style w:type="paragraph" w:styleId="Heading2">
    <w:name w:val="heading 2"/>
    <w:basedOn w:val="Normal"/>
    <w:next w:val="Normal"/>
    <w:link w:val="Heading2Char"/>
    <w:uiPriority w:val="9"/>
    <w:unhideWhenUsed/>
    <w:qFormat/>
    <w:rsid w:val="00CB1FB6"/>
    <w:pPr>
      <w:spacing w:line="276" w:lineRule="auto"/>
      <w:outlineLvl w:val="1"/>
    </w:pPr>
    <w:rPr>
      <w:rFonts w:ascii="Arial" w:hAnsi="Arial" w:cs="Arial"/>
      <w:b/>
      <w:bCs/>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B1FB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B1FB6"/>
    <w:rPr>
      <w:b/>
      <w:bCs/>
    </w:rPr>
  </w:style>
  <w:style w:type="character" w:customStyle="1" w:styleId="Heading2Char">
    <w:name w:val="Heading 2 Char"/>
    <w:basedOn w:val="DefaultParagraphFont"/>
    <w:link w:val="Heading2"/>
    <w:uiPriority w:val="9"/>
    <w:rsid w:val="00CB1FB6"/>
    <w:rPr>
      <w:rFonts w:ascii="Arial" w:hAnsi="Arial" w:cs="Arial"/>
      <w:b/>
      <w:bCs/>
      <w:sz w:val="22"/>
      <w:szCs w:val="22"/>
    </w:rPr>
  </w:style>
  <w:style w:type="character" w:customStyle="1" w:styleId="Heading1Char">
    <w:name w:val="Heading 1 Char"/>
    <w:basedOn w:val="DefaultParagraphFont"/>
    <w:link w:val="Heading1"/>
    <w:uiPriority w:val="9"/>
    <w:rsid w:val="00CB1FB6"/>
    <w:rPr>
      <w:rFonts w:ascii="Arial" w:eastAsiaTheme="majorEastAsia" w:hAnsi="Arial" w:cs="Arial"/>
      <w:b/>
      <w:bCs/>
      <w:color w:val="000000" w:themeColor="text1"/>
      <w:sz w:val="22"/>
      <w:szCs w:val="22"/>
    </w:rPr>
  </w:style>
  <w:style w:type="character" w:styleId="Emphasis">
    <w:name w:val="Emphasis"/>
    <w:basedOn w:val="DefaultParagraphFont"/>
    <w:uiPriority w:val="20"/>
    <w:qFormat/>
    <w:rsid w:val="00AA2DDE"/>
    <w:rPr>
      <w:i/>
      <w:iCs/>
    </w:rPr>
  </w:style>
  <w:style w:type="character" w:styleId="Hyperlink">
    <w:name w:val="Hyperlink"/>
    <w:basedOn w:val="DefaultParagraphFont"/>
    <w:uiPriority w:val="99"/>
    <w:semiHidden/>
    <w:unhideWhenUsed/>
    <w:rsid w:val="00AA2DD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767026">
      <w:bodyDiv w:val="1"/>
      <w:marLeft w:val="0"/>
      <w:marRight w:val="0"/>
      <w:marTop w:val="0"/>
      <w:marBottom w:val="0"/>
      <w:divBdr>
        <w:top w:val="none" w:sz="0" w:space="0" w:color="auto"/>
        <w:left w:val="none" w:sz="0" w:space="0" w:color="auto"/>
        <w:bottom w:val="none" w:sz="0" w:space="0" w:color="auto"/>
        <w:right w:val="none" w:sz="0" w:space="0" w:color="auto"/>
      </w:divBdr>
    </w:div>
    <w:div w:id="402873271">
      <w:bodyDiv w:val="1"/>
      <w:marLeft w:val="0"/>
      <w:marRight w:val="0"/>
      <w:marTop w:val="0"/>
      <w:marBottom w:val="0"/>
      <w:divBdr>
        <w:top w:val="none" w:sz="0" w:space="0" w:color="auto"/>
        <w:left w:val="none" w:sz="0" w:space="0" w:color="auto"/>
        <w:bottom w:val="none" w:sz="0" w:space="0" w:color="auto"/>
        <w:right w:val="none" w:sz="0" w:space="0" w:color="auto"/>
      </w:divBdr>
    </w:div>
    <w:div w:id="1260674715">
      <w:bodyDiv w:val="1"/>
      <w:marLeft w:val="0"/>
      <w:marRight w:val="0"/>
      <w:marTop w:val="0"/>
      <w:marBottom w:val="0"/>
      <w:divBdr>
        <w:top w:val="none" w:sz="0" w:space="0" w:color="auto"/>
        <w:left w:val="none" w:sz="0" w:space="0" w:color="auto"/>
        <w:bottom w:val="none" w:sz="0" w:space="0" w:color="auto"/>
        <w:right w:val="none" w:sz="0" w:space="0" w:color="auto"/>
      </w:divBdr>
    </w:div>
    <w:div w:id="1643997981">
      <w:bodyDiv w:val="1"/>
      <w:marLeft w:val="0"/>
      <w:marRight w:val="0"/>
      <w:marTop w:val="0"/>
      <w:marBottom w:val="0"/>
      <w:divBdr>
        <w:top w:val="none" w:sz="0" w:space="0" w:color="auto"/>
        <w:left w:val="none" w:sz="0" w:space="0" w:color="auto"/>
        <w:bottom w:val="none" w:sz="0" w:space="0" w:color="auto"/>
        <w:right w:val="none" w:sz="0" w:space="0" w:color="auto"/>
      </w:divBdr>
    </w:div>
    <w:div w:id="2078673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13</Pages>
  <Words>4597</Words>
  <Characters>26204</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2026-10-22T09:32:00Z</dcterms:created>
  <dcterms:modified xsi:type="dcterms:W3CDTF">2026-10-22T10:00:00Z</dcterms:modified>
</cp:coreProperties>
</file>