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left"/>
        <w:rPr>
          <w:rFonts w:ascii="Arial" w:hAnsi="Arial" w:cs="Arial" w:eastAsia="Arial"/>
          <w:color w:val="auto"/>
          <w:spacing w:val="0"/>
          <w:position w:val="0"/>
          <w:sz w:val="22"/>
          <w:shd w:fill="auto" w:val="clear"/>
        </w:rPr>
      </w:pPr>
      <w:r>
        <w:object w:dxaOrig="4089" w:dyaOrig="1656">
          <v:rect xmlns:o="urn:schemas-microsoft-com:office:office" xmlns:v="urn:schemas-microsoft-com:vml" id="rectole0000000000" style="width:204.450000pt;height:82.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CERTIFICATE OF HIGHER EDUCATION IN EMPLOYABILITY SKILLS</w:t>
      </w:r>
    </w:p>
    <w:p>
      <w:pPr>
        <w:spacing w:before="0" w:after="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BMSW4012-PROFESSIONAL CAREER DEVELOPMENT</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32"/>
          <w:shd w:fill="auto" w:val="clear"/>
        </w:rPr>
        <w:t xml:space="preserve">PART 1- REFLECTIVE ESSAY</w:t>
      </w:r>
      <w:r>
        <w:rPr>
          <w:rFonts w:ascii="Arial" w:hAnsi="Arial" w:cs="Arial" w:eastAsia="Arial"/>
          <w:color w:val="auto"/>
          <w:spacing w:val="0"/>
          <w:position w:val="0"/>
          <w:sz w:val="22"/>
          <w:shd w:fill="auto" w:val="clear"/>
        </w:rPr>
        <w:t xml:space="preserve"> </w:t>
        <w:t xml:space="preserve"> </w:t>
      </w: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essay aims to discuss the experiences of the researcher by using Gibb's reflective cycle. The essay aims to demonstrate the understanding of knowledge and skills of the researcher during the Professional Career Development Lectures by using Gibb’s reflective cycle. The essay aims to the way the researcher has applied various models such as SMART, SWOT, PDP and Johari Window during the participation in the lecture.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Main body</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Gibb’s reflective cycle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considered a popular cyclical model of reflection that leads the researcher or a student through six stages to explore his/her experience (</w:t>
      </w:r>
      <w:r>
        <w:rPr>
          <w:rFonts w:ascii="Arial" w:hAnsi="Arial" w:cs="Arial" w:eastAsia="Arial"/>
          <w:color w:val="auto"/>
          <w:spacing w:val="0"/>
          <w:position w:val="0"/>
          <w:sz w:val="24"/>
          <w:shd w:fill="FFFFFF" w:val="clear"/>
        </w:rPr>
        <w:t xml:space="preserve">Swann et al., 2023)</w:t>
      </w:r>
      <w:r>
        <w:rPr>
          <w:rFonts w:ascii="Arial" w:hAnsi="Arial" w:cs="Arial" w:eastAsia="Arial"/>
          <w:color w:val="auto"/>
          <w:spacing w:val="0"/>
          <w:position w:val="0"/>
          <w:sz w:val="24"/>
          <w:shd w:fill="auto" w:val="clear"/>
        </w:rPr>
        <w:t xml:space="preserve">. These six stages include description, feelings, evaluation, analysis, conclusion, and action plan (</w:t>
      </w:r>
      <w:r>
        <w:rPr>
          <w:rFonts w:ascii="Arial" w:hAnsi="Arial" w:cs="Arial" w:eastAsia="Arial"/>
          <w:color w:val="auto"/>
          <w:spacing w:val="0"/>
          <w:position w:val="0"/>
          <w:sz w:val="24"/>
          <w:shd w:fill="FFFFFF" w:val="clear"/>
        </w:rPr>
        <w:t xml:space="preserve">Markkanen et al., 2020)</w:t>
      </w:r>
      <w:r>
        <w:rPr>
          <w:rFonts w:ascii="Arial" w:hAnsi="Arial" w:cs="Arial" w:eastAsia="Arial"/>
          <w:color w:val="auto"/>
          <w:spacing w:val="0"/>
          <w:position w:val="0"/>
          <w:sz w:val="24"/>
          <w:shd w:fill="auto" w:val="clear"/>
        </w:rPr>
        <w:t xml:space="preserve">. The student or the researcher can gain a deeper understanding of his/her experiences through these stages, enhancing decision-making ability, emotional intelligence, and leadership skills (</w:t>
      </w:r>
      <w:r>
        <w:rPr>
          <w:rFonts w:ascii="Arial" w:hAnsi="Arial" w:cs="Arial" w:eastAsia="Arial"/>
          <w:color w:val="auto"/>
          <w:spacing w:val="0"/>
          <w:position w:val="0"/>
          <w:sz w:val="24"/>
          <w:shd w:fill="FFFFFF" w:val="clear"/>
        </w:rPr>
        <w:t xml:space="preserve">Adeani et al., 2020)</w:t>
      </w:r>
      <w:r>
        <w:rPr>
          <w:rFonts w:ascii="Arial" w:hAnsi="Arial" w:cs="Arial" w:eastAsia="Arial"/>
          <w:color w:val="auto"/>
          <w:spacing w:val="0"/>
          <w:position w:val="0"/>
          <w:sz w:val="24"/>
          <w:shd w:fill="auto" w:val="clear"/>
        </w:rPr>
        <w:t xml:space="preserve">. As a student, she has shared her personal experience using these six stages below.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Description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professional career development lectures, the student/researcher has tried to learn and seek knowledge from the lecturer on various models. She has communicated with the lecturer during the lectures and noted down the key points of using these models in her own personal and professional lives in the future (Dweck, 2017). For example, she has learned about the SWOT framework from the lecturer which helped her to determine her strengths and weaknesses. By using this framework during the lecture she has determined that she has used both verbal and written communication while discussing with the lecturer about the five models. She also tried to use the Cornell method while taking notes from the lecturers. It helped her to use SWOT and other models to determine her current abilities and knowledge regarding her personal and professional lives (Smale, 2015). From the SWOT analysis, She also identified that She did manage her time well by using Pomodoro Technique. It helped her to create a proper schedule and time which she did follow properly to complete the project. However, during the lectures, she was not able to critically think about the models due to the involvement in determining her strengths and weaknesses. She was also not able to maintain proper academic writing due to a lack of knowledge of using academic writing styles. It hampered the researcher while developing her personal development plan (P.J. Robertson et al., 2020). She thinks these weaknesses can be mitigated by taking advice from the teacher. However, she needs to focus on consistent practising to improve her abilities as the demands of employers are increasing and digital transformations are happening fast (Cottrell, 2021). On the other hand, she also learned about the SMART framework from the lecture. It helped to determine clear steps in achieving the objective by making them ‘specific’, ‘measurable’, ‘achievable’, ‘relevant’ and ‘time-bound’ (</w:t>
      </w:r>
      <w:r>
        <w:rPr>
          <w:rFonts w:ascii="Arial" w:hAnsi="Arial" w:cs="Arial" w:eastAsia="Arial"/>
          <w:color w:val="auto"/>
          <w:spacing w:val="0"/>
          <w:position w:val="0"/>
          <w:sz w:val="24"/>
          <w:shd w:fill="FFFFFF" w:val="clear"/>
        </w:rPr>
        <w:t xml:space="preserve">Bird et al., 2024)</w:t>
      </w:r>
      <w:r>
        <w:rPr>
          <w:rFonts w:ascii="Arial" w:hAnsi="Arial" w:cs="Arial" w:eastAsia="Arial"/>
          <w:color w:val="auto"/>
          <w:spacing w:val="0"/>
          <w:position w:val="0"/>
          <w:sz w:val="24"/>
          <w:shd w:fill="auto" w:val="clear"/>
        </w:rPr>
        <w:t xml:space="preserve">. This framework has helped her to identify her abilities, knowledge and skills regarding using the models. From Johari Windows, she tried to determine her personality which can help her in her future personal and professional lives (Gallagher, 2022). During the lectures, she tried to learn about Johari Windows and took a test online. The test helped her to identify that she is a helpful, giving, quiet person. Normally, she felt shy and silly and the majority agreed with this fact. To improve her current weaknesses she also created a personal development plan during the lecture. It helped her to set proper actions which she needs to take to improve her current weaknesses within the set timeframe (Cottrell, 2019). </w:t>
      </w:r>
      <w:r>
        <w:rPr>
          <w:rFonts w:ascii="Arial" w:hAnsi="Arial" w:cs="Arial" w:eastAsia="Arial"/>
          <w:b/>
          <w:i/>
          <w:color w:val="auto"/>
          <w:spacing w:val="0"/>
          <w:position w:val="0"/>
          <w:sz w:val="24"/>
          <w:shd w:fill="auto" w:val="clear"/>
        </w:rPr>
        <w:t xml:space="preserve">[Reffered to appendix 1,2 and 3]</w:t>
      </w: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Feelings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While learning about the models in the lectures, she felt happy to communicate with the lecturers and take notes regarding models before applications. She felt excited about implementing these models to determine her strengths, weaknesses, personalities and areas to improve for further career development. However, things were not the same before participating in the lectures. It is because of the lack of past experiences and knowledge related to models like PDP or Johari Windows. Therefore, she felt anxious and nervous about completing the lectures successfully. After finishing all the lectures, she felt confident enough to improve the areas where she still lacking by taking a proper action plan.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Evaluation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Things went well communicating with the lecturers, taking notes properly during the lectures, managing her time effectively, creating PDP and taking tests on the Johari Windows portal to identify her personality. On the other hand, things did not go well was not able to critically think about all the models for which she could not set SMART objectives, not able to use formal language in her academic writing and many more.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Analysis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Things went well because she tried to utilise her verbal and non-verbal communication while communicating with the lecturer. She tried to maintain proper eye contact and stay polite during verbal communication with the lecturer. She has used email and normal paper during written communication at the lectures. It helped her to make the conversation meaningful with the lecturer and seek advice from them regarding models. Things also went well because she has effectively utilised her note-taking skills to take notes during lectures. She also has applied the Cornell Method to take notes properly and effectively regarding the models. This helped her to apply the models properly to determine her skills, abilities, knowledge and understanding. Things went well because of utilised her time management and PDP skills. She tried to manage her time effectively while applying the models in the lectures. For effective time management, she tried to set a proper schedule by using the Pomodoro technique. This helped her to divide tasks into short parts and set time for each task. She did use a personal and professional development plan by taking advice from the lecturer. It helped her to identify proper actions to improve her current weaknesses.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other hand, things did not go well because she failed to implement critical thinking and academic writing skills. She failed to critically analyse each model at the lecture and was not able to determine important data on these models. She also was not able to use formal language while doing academic writing. Therefore, the quality of the project was hampered and required further improvement.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discussion above, she has learned that time management, communication, and note-taking skills are her strengths and critical thinking and academic skills are weaknesses. If she has to do a similar project again she will focus on improving her current weaknesses to complete it properly.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Action plan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She can improve her critical thinking abilities by maintaining active listening, applying logic and making decisions effectively. She can join online classes where she can seek advice from experts. This will take 9 months to improve this skill.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She can also improve her academic writing skills by creating proper writing habits and focusing on using highly readable academic language. She needs to be concise and avoid repetition during writing. She needs to use formal tones during writing for which she can seek advice from experts. She thinks consistent practice can help her to improve her academic writing abilities. This can take 6 months to improve this skill. </w:t>
      </w:r>
      <w:r>
        <w:rPr>
          <w:rFonts w:ascii="Arial" w:hAnsi="Arial" w:cs="Arial" w:eastAsia="Arial"/>
          <w:b/>
          <w:i/>
          <w:color w:val="auto"/>
          <w:spacing w:val="0"/>
          <w:position w:val="0"/>
          <w:sz w:val="24"/>
          <w:shd w:fill="auto" w:val="clear"/>
        </w:rPr>
        <w:t xml:space="preserve">[Reffered to appendix 4]</w:t>
      </w: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essay concludes for self-reflection the researcher uses Gibb's reflective cycle. The essay details about using various models like Johari Windows, SWOT or PDP. The essay also details the researcher has strengths such as communication, note-taking, time management skills and many more. The essay also concludes with the weaknesses of the researcher such as critical thinking and academic writing skills respectively. The researcher will take 6-9 months to improve these skills by taking proper action plans. </w:t>
        <w:t xml:space="preserve"> </w:t>
      </w: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Adeani, I.S., Febriani, R.B. and Syafryadin, S., (2020). Using GIBBS’reflective cycle in making reflections of literary analysis. </w:t>
      </w:r>
      <w:r>
        <w:rPr>
          <w:rFonts w:ascii="Arial" w:hAnsi="Arial" w:cs="Arial" w:eastAsia="Arial"/>
          <w:i/>
          <w:color w:val="auto"/>
          <w:spacing w:val="0"/>
          <w:position w:val="0"/>
          <w:sz w:val="24"/>
          <w:shd w:fill="FFFFFF" w:val="clear"/>
        </w:rPr>
        <w:t xml:space="preserve">Indonesian EFL Journal</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6</w:t>
      </w:r>
      <w:r>
        <w:rPr>
          <w:rFonts w:ascii="Arial" w:hAnsi="Arial" w:cs="Arial" w:eastAsia="Arial"/>
          <w:color w:val="auto"/>
          <w:spacing w:val="0"/>
          <w:position w:val="0"/>
          <w:sz w:val="24"/>
          <w:shd w:fill="FFFFFF" w:val="clear"/>
        </w:rPr>
        <w:t xml:space="preserve">(2), pp.139-148. </w:t>
      </w:r>
      <w:hyperlink xmlns:r="http://schemas.openxmlformats.org/officeDocument/2006/relationships" r:id="docRId2">
        <w:r>
          <w:rPr>
            <w:rFonts w:ascii="Arial" w:hAnsi="Arial" w:cs="Arial" w:eastAsia="Arial"/>
            <w:color w:val="0000FF"/>
            <w:spacing w:val="0"/>
            <w:position w:val="0"/>
            <w:sz w:val="24"/>
            <w:u w:val="single"/>
            <w:shd w:fill="FFFFFF" w:val="clear"/>
          </w:rPr>
          <w:t xml:space="preserve">https://journal.uniku.ac.id/index.php/IEFLJ/article/view/3382</w:t>
        </w:r>
      </w:hyperlink>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Bird, M.D., Swann, C. and Jackman, P.C., (2024). The what, why, and how of goal setting: A review of the goal-setting process in applied sport psychology practice. </w:t>
      </w:r>
      <w:r>
        <w:rPr>
          <w:rFonts w:ascii="Arial" w:hAnsi="Arial" w:cs="Arial" w:eastAsia="Arial"/>
          <w:i/>
          <w:color w:val="auto"/>
          <w:spacing w:val="0"/>
          <w:position w:val="0"/>
          <w:sz w:val="24"/>
          <w:shd w:fill="FFFFFF" w:val="clear"/>
        </w:rPr>
        <w:t xml:space="preserve">Journal of applied sport psychology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36</w:t>
      </w:r>
      <w:r>
        <w:rPr>
          <w:rFonts w:ascii="Arial" w:hAnsi="Arial" w:cs="Arial" w:eastAsia="Arial"/>
          <w:color w:val="auto"/>
          <w:spacing w:val="0"/>
          <w:position w:val="0"/>
          <w:sz w:val="24"/>
          <w:shd w:fill="FFFFFF" w:val="clear"/>
        </w:rPr>
        <w:t xml:space="preserve">(1), pp.75-97. </w:t>
      </w:r>
      <w:hyperlink xmlns:r="http://schemas.openxmlformats.org/officeDocument/2006/relationships" r:id="docRId3">
        <w:r>
          <w:rPr>
            <w:rFonts w:ascii="Arial" w:hAnsi="Arial" w:cs="Arial" w:eastAsia="Arial"/>
            <w:color w:val="0000FF"/>
            <w:spacing w:val="0"/>
            <w:position w:val="0"/>
            <w:sz w:val="24"/>
            <w:u w:val="single"/>
            <w:shd w:fill="FFFFFF" w:val="clear"/>
          </w:rPr>
          <w:t xml:space="preserve">https://www.tandfonline.com/doi/pdf/10.1080/10413200.2023.2185699</w:t>
        </w:r>
      </w:hyperlink>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Cottrell, S. (2019) The Study Skills Handbook. Fifth edition. London :, Macmillan International Higher Education/Red Globe Press an imprint of Springer Nature Limited.</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Cottrell, S. (2021) Skills for success: personal development and employability. 4th edition.London:, Red Globe Press.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Dweck, C.S. (2017) Mindset . Updated edition. London :, Robinson.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Gallagher, K. (2022) Essential study and employment skills for business and management students. Fourth edition. Oxford :, Oxford University Press.</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Markkanen, P., Välimäki, M., Anttila, M. and Kuuskorpi, M., (2020). A reflective cycle: Understanding challenging situations in a school setting. </w:t>
      </w:r>
      <w:r>
        <w:rPr>
          <w:rFonts w:ascii="Arial" w:hAnsi="Arial" w:cs="Arial" w:eastAsia="Arial"/>
          <w:i/>
          <w:color w:val="auto"/>
          <w:spacing w:val="0"/>
          <w:position w:val="0"/>
          <w:sz w:val="24"/>
          <w:shd w:fill="FFFFFF" w:val="clear"/>
        </w:rPr>
        <w:t xml:space="preserve">Educational Research</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62</w:t>
      </w:r>
      <w:r>
        <w:rPr>
          <w:rFonts w:ascii="Arial" w:hAnsi="Arial" w:cs="Arial" w:eastAsia="Arial"/>
          <w:color w:val="auto"/>
          <w:spacing w:val="0"/>
          <w:position w:val="0"/>
          <w:sz w:val="24"/>
          <w:shd w:fill="FFFFFF" w:val="clear"/>
        </w:rPr>
        <w:t xml:space="preserve">(1), pp.46-62. </w:t>
      </w:r>
      <w:hyperlink xmlns:r="http://schemas.openxmlformats.org/officeDocument/2006/relationships" r:id="docRId4">
        <w:r>
          <w:rPr>
            <w:rFonts w:ascii="Arial" w:hAnsi="Arial" w:cs="Arial" w:eastAsia="Arial"/>
            <w:color w:val="0000FF"/>
            <w:spacing w:val="0"/>
            <w:position w:val="0"/>
            <w:sz w:val="24"/>
            <w:u w:val="single"/>
            <w:shd w:fill="FFFFFF" w:val="clear"/>
          </w:rPr>
          <w:t xml:space="preserve">https://www.utupub.fi/bitstream/handle/10024/166237/Final_version_Markkanen%2001012020%20(2).pdf?sequence=1</w:t>
        </w:r>
      </w:hyperlink>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P.J. Robertson, T. Hooley, and P. McCash (eds.) (2020) The Oxford handbook of career development / [electronic resource]. New York:, Oxford University Press.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Smale, B. (2015) How to succeed at university: an essential guide to academic skills, personal development and employability. Second edition. London :, SAGE.</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Swann, C., Jackman, P.C., Lawrence, A., Hawkins, R.M., Goddard, S.G., Williamson, O., Schweickle, M.J., Vella, S.A., Rosenbaum, S. and Ekkekakis, P., (2023). The (over) use of SMART goals for physical activity promotion: A narrative review and critique. </w:t>
      </w:r>
      <w:r>
        <w:rPr>
          <w:rFonts w:ascii="Arial" w:hAnsi="Arial" w:cs="Arial" w:eastAsia="Arial"/>
          <w:i/>
          <w:color w:val="auto"/>
          <w:spacing w:val="0"/>
          <w:position w:val="0"/>
          <w:sz w:val="24"/>
          <w:shd w:fill="FFFFFF" w:val="clear"/>
        </w:rPr>
        <w:t xml:space="preserve">Health psychology review</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17</w:t>
      </w:r>
      <w:r>
        <w:rPr>
          <w:rFonts w:ascii="Arial" w:hAnsi="Arial" w:cs="Arial" w:eastAsia="Arial"/>
          <w:color w:val="auto"/>
          <w:spacing w:val="0"/>
          <w:position w:val="0"/>
          <w:sz w:val="24"/>
          <w:shd w:fill="FFFFFF" w:val="clear"/>
        </w:rPr>
        <w:t xml:space="preserve">(2), pp.211-226. </w:t>
      </w:r>
      <w:hyperlink xmlns:r="http://schemas.openxmlformats.org/officeDocument/2006/relationships" r:id="docRId5">
        <w:r>
          <w:rPr>
            <w:rFonts w:ascii="Arial" w:hAnsi="Arial" w:cs="Arial" w:eastAsia="Arial"/>
            <w:color w:val="0000FF"/>
            <w:spacing w:val="0"/>
            <w:position w:val="0"/>
            <w:sz w:val="24"/>
            <w:u w:val="single"/>
            <w:shd w:fill="FFFFFF" w:val="clear"/>
          </w:rPr>
          <w:t xml:space="preserve">https://www.tandfonline.com/doi/pdf/10.1080/17437199.2021.2023608</w:t>
        </w:r>
      </w:hyperlink>
    </w:p>
    <w:p>
      <w:pPr>
        <w:spacing w:before="0" w:after="0" w:line="360"/>
        <w:ind w:right="0" w:left="0" w:firstLine="0"/>
        <w:jc w:val="both"/>
        <w:rPr>
          <w:rFonts w:ascii="Arial" w:hAnsi="Arial" w:cs="Arial" w:eastAsia="Arial"/>
          <w:color w:val="222222"/>
          <w:spacing w:val="0"/>
          <w:position w:val="0"/>
          <w:sz w:val="20"/>
          <w:shd w:fill="FFFFFF"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Appendices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1- SWOT analysis </w:t>
      </w:r>
    </w:p>
    <w:tbl>
      <w:tblPr/>
      <w:tblGrid>
        <w:gridCol w:w="4514"/>
        <w:gridCol w:w="4515"/>
      </w:tblGrid>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Strengths- </w:t>
            </w:r>
          </w:p>
          <w:p>
            <w:pPr>
              <w:numPr>
                <w:ilvl w:val="0"/>
                <w:numId w:val="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Time management </w:t>
            </w:r>
          </w:p>
          <w:p>
            <w:pPr>
              <w:numPr>
                <w:ilvl w:val="0"/>
                <w:numId w:val="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Communication skill</w:t>
            </w:r>
          </w:p>
          <w:p>
            <w:pPr>
              <w:numPr>
                <w:ilvl w:val="0"/>
                <w:numId w:val="6"/>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Note-taking skill</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Weaknesses-</w:t>
            </w:r>
          </w:p>
          <w:p>
            <w:pPr>
              <w:numPr>
                <w:ilvl w:val="0"/>
                <w:numId w:val="8"/>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Critical thinking </w:t>
            </w:r>
          </w:p>
          <w:p>
            <w:pPr>
              <w:numPr>
                <w:ilvl w:val="0"/>
                <w:numId w:val="8"/>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Academic writing </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Opportunities- </w:t>
            </w:r>
          </w:p>
          <w:p>
            <w:pPr>
              <w:numPr>
                <w:ilvl w:val="0"/>
                <w:numId w:val="1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Participate in a training program </w:t>
            </w:r>
          </w:p>
          <w:p>
            <w:pPr>
              <w:numPr>
                <w:ilvl w:val="0"/>
                <w:numId w:val="12"/>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Seek advice from lecturers/teachers</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Threats-</w:t>
            </w:r>
          </w:p>
          <w:p>
            <w:pPr>
              <w:numPr>
                <w:ilvl w:val="0"/>
                <w:numId w:val="14"/>
              </w:numPr>
              <w:spacing w:before="0" w:after="0" w:line="360"/>
              <w:ind w:right="0" w:left="720" w:hanging="360"/>
              <w:jc w:val="both"/>
              <w:rPr>
                <w:rFonts w:ascii="Arial" w:hAnsi="Arial" w:cs="Arial" w:eastAsia="Arial"/>
                <w:b/>
                <w:color w:val="222222"/>
                <w:spacing w:val="0"/>
                <w:position w:val="0"/>
                <w:sz w:val="24"/>
                <w:shd w:fill="FFFFFF" w:val="clear"/>
              </w:rPr>
            </w:pPr>
            <w:r>
              <w:rPr>
                <w:rFonts w:ascii="Arial" w:hAnsi="Arial" w:cs="Arial" w:eastAsia="Arial"/>
                <w:color w:val="222222"/>
                <w:spacing w:val="0"/>
                <w:position w:val="0"/>
                <w:sz w:val="24"/>
                <w:shd w:fill="FFFFFF" w:val="clear"/>
              </w:rPr>
              <w:t xml:space="preserve">High demand from employers</w:t>
            </w:r>
          </w:p>
          <w:p>
            <w:pPr>
              <w:numPr>
                <w:ilvl w:val="0"/>
                <w:numId w:val="14"/>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Upgraded digital platforms  </w:t>
            </w:r>
          </w:p>
        </w:tc>
      </w:tr>
    </w:tbl>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2- SMART objectives</w:t>
      </w:r>
    </w:p>
    <w:tbl>
      <w:tblPr/>
      <w:tblGrid>
        <w:gridCol w:w="4514"/>
        <w:gridCol w:w="4515"/>
      </w:tblGrid>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b/>
                <w:color w:val="222222"/>
                <w:spacing w:val="0"/>
                <w:position w:val="0"/>
                <w:sz w:val="24"/>
                <w:shd w:fill="FFFFFF" w:val="clear"/>
              </w:rPr>
              <w:t xml:space="preserve">Specific-</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19"/>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To determine her current skills, knowledge and areas to improve </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b/>
                <w:color w:val="222222"/>
                <w:spacing w:val="0"/>
                <w:position w:val="0"/>
                <w:sz w:val="24"/>
                <w:shd w:fill="FFFFFF" w:val="clear"/>
              </w:rPr>
              <w:t xml:space="preserve">Measurable- </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3"/>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It can be measured by using various models during the lectures.</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b/>
                <w:color w:val="222222"/>
                <w:spacing w:val="0"/>
                <w:position w:val="0"/>
                <w:sz w:val="24"/>
                <w:shd w:fill="FFFFFF" w:val="clear"/>
              </w:rPr>
              <w:t xml:space="preserve">Achievable-</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6"/>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It can be achieved by understanding her current strengths and weaknesses while applying these models.  </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b/>
                <w:color w:val="222222"/>
                <w:spacing w:val="0"/>
                <w:position w:val="0"/>
                <w:sz w:val="24"/>
                <w:shd w:fill="FFFFFF" w:val="clear"/>
              </w:rPr>
              <w:t xml:space="preserve">Realistic- </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9"/>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Yes, by interacting with the lecturer during lectures and taking notes.</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b/>
                <w:color w:val="222222"/>
                <w:spacing w:val="0"/>
                <w:position w:val="0"/>
                <w:sz w:val="24"/>
                <w:shd w:fill="FFFFFF" w:val="clear"/>
              </w:rPr>
              <w:t xml:space="preserve">Time-</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32"/>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Two weeks </w:t>
            </w:r>
          </w:p>
        </w:tc>
      </w:tr>
    </w:tbl>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3- Johari Window</w:t>
      </w:r>
    </w:p>
    <w:p>
      <w:pPr>
        <w:spacing w:before="0" w:after="0" w:line="360"/>
        <w:ind w:right="0" w:left="0" w:firstLine="0"/>
        <w:jc w:val="both"/>
        <w:rPr>
          <w:rFonts w:ascii="Arial" w:hAnsi="Arial" w:cs="Arial" w:eastAsia="Arial"/>
          <w:b/>
          <w:color w:val="222222"/>
          <w:spacing w:val="0"/>
          <w:position w:val="0"/>
          <w:sz w:val="24"/>
          <w:shd w:fill="FFFFFF" w:val="clear"/>
        </w:rPr>
      </w:pPr>
      <w:r>
        <w:object w:dxaOrig="8664" w:dyaOrig="3436">
          <v:rect xmlns:o="urn:schemas-microsoft-com:office:office" xmlns:v="urn:schemas-microsoft-com:vml" id="rectole0000000001" style="width:433.200000pt;height:171.8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1" ShapeID="rectole0000000001" r:id="docRId6"/>
        </w:object>
      </w:r>
    </w:p>
    <w:p>
      <w:pPr>
        <w:spacing w:before="0" w:after="0" w:line="360"/>
        <w:ind w:right="0" w:left="0" w:firstLine="0"/>
        <w:jc w:val="center"/>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(Source: </w:t>
      </w:r>
      <w:hyperlink xmlns:r="http://schemas.openxmlformats.org/officeDocument/2006/relationships" r:id="docRId8">
        <w:r>
          <w:rPr>
            <w:rFonts w:ascii="Arial" w:hAnsi="Arial" w:cs="Arial" w:eastAsia="Arial"/>
            <w:color w:val="222222"/>
            <w:spacing w:val="0"/>
            <w:position w:val="0"/>
            <w:sz w:val="24"/>
            <w:u w:val="single"/>
            <w:shd w:fill="FFFFFF" w:val="clear"/>
          </w:rPr>
          <w:t xml:space="preserve">https://kevan.org/johari.cgi</w:t>
        </w:r>
      </w:hyperlink>
      <w:r>
        <w:rPr>
          <w:rFonts w:ascii="Arial" w:hAnsi="Arial" w:cs="Arial" w:eastAsia="Arial"/>
          <w:color w:val="222222"/>
          <w:spacing w:val="0"/>
          <w:position w:val="0"/>
          <w:sz w:val="24"/>
          <w:shd w:fill="FFFFFF" w:val="clear"/>
        </w:rPr>
        <w:t xml:space="preserve">)</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4- PDP</w:t>
      </w:r>
    </w:p>
    <w:p>
      <w:pPr>
        <w:spacing w:before="0" w:after="0" w:line="360"/>
        <w:ind w:right="0" w:left="0" w:firstLine="0"/>
        <w:jc w:val="both"/>
        <w:rPr>
          <w:rFonts w:ascii="Arial" w:hAnsi="Arial" w:cs="Arial" w:eastAsia="Arial"/>
          <w:b/>
          <w:color w:val="222222"/>
          <w:spacing w:val="0"/>
          <w:position w:val="0"/>
          <w:sz w:val="24"/>
          <w:shd w:fill="FFFFFF" w:val="clear"/>
        </w:rPr>
      </w:pPr>
    </w:p>
    <w:tbl>
      <w:tblPr/>
      <w:tblGrid>
        <w:gridCol w:w="2258"/>
        <w:gridCol w:w="2257"/>
        <w:gridCol w:w="2257"/>
        <w:gridCol w:w="2257"/>
      </w:tblGrid>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Areas to improve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Action required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Resources usage</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Timeframe </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Academic writing skill</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Participate in an online class </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Seeking advice from the experts</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Maintain consistent practice</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She needs to use active voice rather than passive</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She should focus on avoiding repetition </w:t>
            </w:r>
          </w:p>
          <w:p>
            <w:pPr>
              <w:numPr>
                <w:ilvl w:val="0"/>
                <w:numId w:val="41"/>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She needs to be concise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Internet</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Computer</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Chair</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Table</w:t>
            </w:r>
          </w:p>
          <w:p>
            <w:pPr>
              <w:numPr>
                <w:ilvl w:val="0"/>
                <w:numId w:val="41"/>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Pen </w:t>
            </w:r>
          </w:p>
          <w:p>
            <w:pPr>
              <w:numPr>
                <w:ilvl w:val="0"/>
                <w:numId w:val="41"/>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Paper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6 months from 20.11.2024</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Critical thinking skill</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She can take advice from the experts</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She needs to focus on consistent practice</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She also needs to ask questions </w:t>
            </w:r>
          </w:p>
          <w:p>
            <w:pPr>
              <w:numPr>
                <w:ilvl w:val="0"/>
                <w:numId w:val="45"/>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She should focus on improving active listening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Internet</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Computer</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Chair</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Table</w:t>
            </w:r>
          </w:p>
          <w:p>
            <w:pPr>
              <w:numPr>
                <w:ilvl w:val="0"/>
                <w:numId w:val="4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Pen </w:t>
            </w:r>
          </w:p>
          <w:p>
            <w:pPr>
              <w:numPr>
                <w:ilvl w:val="0"/>
                <w:numId w:val="45"/>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Paper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9 months from 20.11.2024</w:t>
            </w:r>
          </w:p>
        </w:tc>
      </w:tr>
    </w:tbl>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left"/>
        <w:rPr>
          <w:rFonts w:ascii="Arial" w:hAnsi="Arial" w:cs="Arial" w:eastAsia="Arial"/>
          <w:b/>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6">
    <w:abstractNumId w:val="60"/>
  </w:num>
  <w:num w:numId="8">
    <w:abstractNumId w:val="54"/>
  </w:num>
  <w:num w:numId="12">
    <w:abstractNumId w:val="48"/>
  </w:num>
  <w:num w:numId="14">
    <w:abstractNumId w:val="42"/>
  </w:num>
  <w:num w:numId="19">
    <w:abstractNumId w:val="36"/>
  </w:num>
  <w:num w:numId="23">
    <w:abstractNumId w:val="30"/>
  </w:num>
  <w:num w:numId="26">
    <w:abstractNumId w:val="24"/>
  </w:num>
  <w:num w:numId="29">
    <w:abstractNumId w:val="18"/>
  </w:num>
  <w:num w:numId="32">
    <w:abstractNumId w:val="12"/>
  </w:num>
  <w:num w:numId="41">
    <w:abstractNumId w:val="6"/>
  </w:num>
  <w:num w:numId="4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andfonline.com/doi/pdf/10.1080/10413200.2023.2185699" Id="docRId3" Type="http://schemas.openxmlformats.org/officeDocument/2006/relationships/hyperlink" /><Relationship Target="media/image1.wmf" Id="docRId7" Type="http://schemas.openxmlformats.org/officeDocument/2006/relationships/image" /><Relationship Target="embeddings/oleObject0.bin" Id="docRId0" Type="http://schemas.openxmlformats.org/officeDocument/2006/relationships/oleObject" /><Relationship Target="styles.xml" Id="docRId10" Type="http://schemas.openxmlformats.org/officeDocument/2006/relationships/styles" /><Relationship TargetMode="External" Target="https://journal.uniku.ac.id/index.php/IEFLJ/article/view/3382" Id="docRId2" Type="http://schemas.openxmlformats.org/officeDocument/2006/relationships/hyperlink" /><Relationship TargetMode="External" Target="https://www.utupub.fi/bitstream/handle/10024/166237/Final_version_Markkanen%2001012020%20(2).pdf?sequence=1" Id="docRId4" Type="http://schemas.openxmlformats.org/officeDocument/2006/relationships/hyperlink" /><Relationship Target="embeddings/oleObject1.bin" Id="docRId6" Type="http://schemas.openxmlformats.org/officeDocument/2006/relationships/oleObject" /><Relationship TargetMode="External" Target="https://kevan.org/johari.cgi" Id="docRId8" Type="http://schemas.openxmlformats.org/officeDocument/2006/relationships/hyperlink" /><Relationship Target="media/image0.wmf" Id="docRId1" Type="http://schemas.openxmlformats.org/officeDocument/2006/relationships/image" /><Relationship TargetMode="External" Target="https://www.tandfonline.com/doi/pdf/10.1080/17437199.2021.2023608" Id="docRId5" Type="http://schemas.openxmlformats.org/officeDocument/2006/relationships/hyperlink" /><Relationship Target="numbering.xml" Id="docRId9" Type="http://schemas.openxmlformats.org/officeDocument/2006/relationships/numbering" /></Relationships>
</file>