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63F26" w14:textId="77777777" w:rsidR="00F44C5D" w:rsidRDefault="00F44C5D" w:rsidP="00F44C5D">
      <w:pPr>
        <w:jc w:val="center"/>
        <w:rPr>
          <w:b/>
          <w:bCs/>
          <w:sz w:val="28"/>
          <w:szCs w:val="28"/>
          <w:u w:val="single"/>
        </w:rPr>
      </w:pPr>
      <w:r w:rsidRPr="008067CB">
        <w:rPr>
          <w:noProof/>
          <w:sz w:val="28"/>
          <w:szCs w:val="28"/>
        </w:rPr>
        <w:drawing>
          <wp:inline distT="0" distB="0" distL="0" distR="0" wp14:anchorId="2B0E99F9" wp14:editId="5B564609">
            <wp:extent cx="2823210" cy="511093"/>
            <wp:effectExtent l="0" t="0" r="0" b="3810"/>
            <wp:docPr id="56089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92715" name="Picture 5608927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1819" cy="523513"/>
                    </a:xfrm>
                    <a:prstGeom prst="rect">
                      <a:avLst/>
                    </a:prstGeom>
                  </pic:spPr>
                </pic:pic>
              </a:graphicData>
            </a:graphic>
          </wp:inline>
        </w:drawing>
      </w:r>
    </w:p>
    <w:p w14:paraId="3EF16EF2" w14:textId="77777777" w:rsidR="00F44C5D" w:rsidRDefault="00F44C5D" w:rsidP="00F44C5D">
      <w:pPr>
        <w:rPr>
          <w:b/>
          <w:bCs/>
          <w:sz w:val="28"/>
          <w:szCs w:val="28"/>
          <w:u w:val="single"/>
        </w:rPr>
      </w:pPr>
    </w:p>
    <w:p w14:paraId="4F3A0118" w14:textId="77777777" w:rsidR="00F44C5D" w:rsidRDefault="00F44C5D" w:rsidP="00F44C5D">
      <w:pPr>
        <w:rPr>
          <w:b/>
          <w:bCs/>
          <w:sz w:val="28"/>
          <w:szCs w:val="28"/>
          <w:u w:val="single"/>
        </w:rPr>
      </w:pPr>
    </w:p>
    <w:p w14:paraId="7F48E4FC" w14:textId="77777777" w:rsidR="00F44C5D" w:rsidRPr="00093CC6" w:rsidRDefault="00F44C5D" w:rsidP="00F44C5D">
      <w:pPr>
        <w:jc w:val="center"/>
        <w:rPr>
          <w:sz w:val="28"/>
          <w:szCs w:val="28"/>
          <w:u w:val="single"/>
        </w:rPr>
      </w:pPr>
      <w:r w:rsidRPr="00093CC6">
        <w:rPr>
          <w:b/>
          <w:bCs/>
          <w:sz w:val="28"/>
          <w:szCs w:val="28"/>
          <w:u w:val="single"/>
        </w:rPr>
        <w:t>Doctorate in Education (EdD)</w:t>
      </w:r>
    </w:p>
    <w:p w14:paraId="6306DBA5" w14:textId="77777777" w:rsidR="00073439" w:rsidRDefault="00073439" w:rsidP="00F44C5D">
      <w:pPr>
        <w:jc w:val="center"/>
        <w:rPr>
          <w:b/>
          <w:bCs/>
          <w:sz w:val="28"/>
          <w:szCs w:val="28"/>
        </w:rPr>
      </w:pPr>
      <w:r w:rsidRPr="00073439">
        <w:rPr>
          <w:b/>
          <w:bCs/>
          <w:sz w:val="28"/>
          <w:szCs w:val="28"/>
        </w:rPr>
        <w:t>Introduction to Research Methods in Education</w:t>
      </w:r>
    </w:p>
    <w:p w14:paraId="609763E1" w14:textId="5BC0C5FE" w:rsidR="00F44C5D" w:rsidRDefault="00F44C5D" w:rsidP="00F44C5D">
      <w:pPr>
        <w:jc w:val="center"/>
        <w:rPr>
          <w:b/>
          <w:bCs/>
          <w:sz w:val="28"/>
          <w:szCs w:val="28"/>
        </w:rPr>
      </w:pPr>
      <w:r w:rsidRPr="00093CC6">
        <w:rPr>
          <w:b/>
          <w:bCs/>
          <w:sz w:val="28"/>
          <w:szCs w:val="28"/>
        </w:rPr>
        <w:t>Module</w:t>
      </w:r>
      <w:r w:rsidR="00AE2B46">
        <w:rPr>
          <w:b/>
          <w:bCs/>
          <w:sz w:val="28"/>
          <w:szCs w:val="28"/>
        </w:rPr>
        <w:t xml:space="preserve">: </w:t>
      </w:r>
      <w:r w:rsidRPr="00093CC6">
        <w:rPr>
          <w:b/>
          <w:bCs/>
          <w:sz w:val="28"/>
          <w:szCs w:val="28"/>
        </w:rPr>
        <w:t>ECDE70</w:t>
      </w:r>
      <w:r w:rsidR="001241A0">
        <w:rPr>
          <w:b/>
          <w:bCs/>
          <w:sz w:val="28"/>
          <w:szCs w:val="28"/>
        </w:rPr>
        <w:t>02</w:t>
      </w:r>
    </w:p>
    <w:p w14:paraId="2ADF9B63" w14:textId="77777777" w:rsidR="00F44C5D" w:rsidRPr="00906E37" w:rsidRDefault="00F44C5D" w:rsidP="00F44C5D">
      <w:pPr>
        <w:rPr>
          <w:sz w:val="28"/>
          <w:szCs w:val="28"/>
        </w:rPr>
      </w:pPr>
    </w:p>
    <w:p w14:paraId="5F58E6FA" w14:textId="334095E1" w:rsidR="00F44C5D" w:rsidRDefault="00F44C5D" w:rsidP="00F44C5D">
      <w:pPr>
        <w:jc w:val="center"/>
        <w:rPr>
          <w:sz w:val="28"/>
          <w:szCs w:val="28"/>
        </w:rPr>
      </w:pPr>
      <w:r w:rsidRPr="00171A67">
        <w:rPr>
          <w:sz w:val="28"/>
          <w:szCs w:val="28"/>
        </w:rPr>
        <w:t xml:space="preserve">Assessment Component </w:t>
      </w:r>
      <w:r w:rsidR="001241A0">
        <w:rPr>
          <w:sz w:val="28"/>
          <w:szCs w:val="28"/>
        </w:rPr>
        <w:t>1</w:t>
      </w:r>
      <w:r w:rsidRPr="00171A67">
        <w:rPr>
          <w:sz w:val="28"/>
          <w:szCs w:val="28"/>
        </w:rPr>
        <w:t xml:space="preserve"> – (</w:t>
      </w:r>
      <w:r w:rsidR="00360DFC">
        <w:rPr>
          <w:sz w:val="28"/>
          <w:szCs w:val="28"/>
        </w:rPr>
        <w:t>4</w:t>
      </w:r>
      <w:r w:rsidR="00F1327F">
        <w:rPr>
          <w:sz w:val="28"/>
          <w:szCs w:val="28"/>
        </w:rPr>
        <w:t>5</w:t>
      </w:r>
      <w:r w:rsidRPr="00171A67">
        <w:rPr>
          <w:sz w:val="28"/>
          <w:szCs w:val="28"/>
        </w:rPr>
        <w:t>%)</w:t>
      </w:r>
    </w:p>
    <w:p w14:paraId="70A1DFA1" w14:textId="77777777" w:rsidR="00F44C5D" w:rsidRDefault="00F44C5D" w:rsidP="00F44C5D">
      <w:pPr>
        <w:jc w:val="center"/>
        <w:rPr>
          <w:rFonts w:hint="eastAsia"/>
          <w:sz w:val="28"/>
          <w:szCs w:val="28"/>
          <w:lang w:eastAsia="zh-CN"/>
        </w:rPr>
      </w:pPr>
    </w:p>
    <w:p w14:paraId="0D0D2963" w14:textId="77777777" w:rsidR="00F44C5D" w:rsidRPr="00171A67" w:rsidRDefault="00F44C5D" w:rsidP="00F44C5D">
      <w:pPr>
        <w:rPr>
          <w:sz w:val="28"/>
          <w:szCs w:val="28"/>
        </w:rPr>
      </w:pPr>
    </w:p>
    <w:p w14:paraId="4CF98538" w14:textId="77777777" w:rsidR="00F44C5D" w:rsidRDefault="00F44C5D" w:rsidP="00F44C5D">
      <w:pPr>
        <w:jc w:val="center"/>
        <w:rPr>
          <w:sz w:val="28"/>
          <w:szCs w:val="28"/>
        </w:rPr>
      </w:pPr>
    </w:p>
    <w:p w14:paraId="175A48F4" w14:textId="77777777" w:rsidR="00A24F2E" w:rsidRDefault="00A24F2E" w:rsidP="00F44C5D">
      <w:pPr>
        <w:jc w:val="center"/>
        <w:rPr>
          <w:sz w:val="28"/>
          <w:szCs w:val="28"/>
        </w:rPr>
      </w:pPr>
    </w:p>
    <w:p w14:paraId="1B788F69" w14:textId="55869A74" w:rsidR="00F44C5D" w:rsidRPr="00171A67" w:rsidRDefault="00481201" w:rsidP="00F44C5D">
      <w:pPr>
        <w:jc w:val="center"/>
        <w:rPr>
          <w:b/>
          <w:bCs/>
          <w:i/>
          <w:iCs/>
          <w:sz w:val="40"/>
          <w:szCs w:val="40"/>
          <w:u w:val="single"/>
        </w:rPr>
      </w:pPr>
      <w:r>
        <w:rPr>
          <w:b/>
          <w:bCs/>
          <w:i/>
          <w:iCs/>
          <w:sz w:val="40"/>
          <w:szCs w:val="40"/>
          <w:u w:val="single"/>
        </w:rPr>
        <w:t>3500</w:t>
      </w:r>
      <w:r w:rsidR="00F44C5D" w:rsidRPr="00171A67">
        <w:rPr>
          <w:b/>
          <w:bCs/>
          <w:i/>
          <w:iCs/>
          <w:sz w:val="40"/>
          <w:szCs w:val="40"/>
          <w:u w:val="single"/>
        </w:rPr>
        <w:t xml:space="preserve"> words</w:t>
      </w:r>
    </w:p>
    <w:p w14:paraId="7B226F5B" w14:textId="77777777" w:rsidR="00F44C5D" w:rsidRPr="00906E37" w:rsidRDefault="00F44C5D" w:rsidP="00F44C5D">
      <w:pPr>
        <w:jc w:val="center"/>
        <w:rPr>
          <w:sz w:val="28"/>
          <w:szCs w:val="28"/>
        </w:rPr>
      </w:pPr>
    </w:p>
    <w:p w14:paraId="7316E972" w14:textId="77777777" w:rsidR="00F44C5D" w:rsidRDefault="00F44C5D" w:rsidP="00F44C5D">
      <w:pPr>
        <w:jc w:val="center"/>
        <w:rPr>
          <w:sz w:val="28"/>
          <w:szCs w:val="28"/>
        </w:rPr>
      </w:pPr>
    </w:p>
    <w:p w14:paraId="5106B020" w14:textId="77777777" w:rsidR="00F44C5D" w:rsidRDefault="00F44C5D" w:rsidP="00F44C5D">
      <w:pPr>
        <w:jc w:val="center"/>
        <w:rPr>
          <w:sz w:val="28"/>
          <w:szCs w:val="28"/>
        </w:rPr>
      </w:pPr>
    </w:p>
    <w:p w14:paraId="315A0E74" w14:textId="77777777" w:rsidR="00A24F2E" w:rsidRDefault="00A24F2E" w:rsidP="00F44C5D">
      <w:pPr>
        <w:jc w:val="center"/>
        <w:rPr>
          <w:sz w:val="28"/>
          <w:szCs w:val="28"/>
        </w:rPr>
      </w:pPr>
    </w:p>
    <w:p w14:paraId="1B4C31C9" w14:textId="77777777" w:rsidR="00A24F2E" w:rsidRPr="00906E37" w:rsidRDefault="00A24F2E" w:rsidP="00F44C5D">
      <w:pPr>
        <w:jc w:val="center"/>
        <w:rPr>
          <w:sz w:val="28"/>
          <w:szCs w:val="28"/>
        </w:rPr>
      </w:pPr>
    </w:p>
    <w:p w14:paraId="6F46B01B" w14:textId="77777777" w:rsidR="00F44C5D" w:rsidRPr="00906E37" w:rsidRDefault="00F44C5D" w:rsidP="00F44C5D">
      <w:pPr>
        <w:jc w:val="center"/>
        <w:rPr>
          <w:sz w:val="28"/>
          <w:szCs w:val="28"/>
        </w:rPr>
      </w:pPr>
    </w:p>
    <w:p w14:paraId="05DEDE31" w14:textId="27D2D066" w:rsidR="00F44C5D" w:rsidRPr="00906E37" w:rsidRDefault="00F44C5D" w:rsidP="00F44C5D">
      <w:pPr>
        <w:spacing w:line="240" w:lineRule="auto"/>
        <w:jc w:val="center"/>
        <w:rPr>
          <w:b/>
          <w:bCs/>
          <w:sz w:val="28"/>
          <w:szCs w:val="28"/>
        </w:rPr>
      </w:pPr>
      <w:r w:rsidRPr="00906E37">
        <w:rPr>
          <w:sz w:val="28"/>
          <w:szCs w:val="28"/>
        </w:rPr>
        <w:t xml:space="preserve">Student: </w:t>
      </w:r>
      <w:r w:rsidR="00622962">
        <w:rPr>
          <w:b/>
          <w:bCs/>
          <w:sz w:val="28"/>
          <w:szCs w:val="28"/>
        </w:rPr>
        <w:t>Lifeng Chen</w:t>
      </w:r>
      <w:r w:rsidRPr="00906E37">
        <w:rPr>
          <w:b/>
          <w:bCs/>
          <w:sz w:val="28"/>
          <w:szCs w:val="28"/>
        </w:rPr>
        <w:t>, B</w:t>
      </w:r>
      <w:r w:rsidR="00140E2C">
        <w:rPr>
          <w:b/>
          <w:bCs/>
          <w:sz w:val="28"/>
          <w:szCs w:val="28"/>
        </w:rPr>
        <w:t>A</w:t>
      </w:r>
      <w:r w:rsidRPr="00906E37">
        <w:rPr>
          <w:b/>
          <w:bCs/>
          <w:sz w:val="28"/>
          <w:szCs w:val="28"/>
        </w:rPr>
        <w:t>, M</w:t>
      </w:r>
      <w:r w:rsidR="00140E2C">
        <w:rPr>
          <w:b/>
          <w:bCs/>
          <w:sz w:val="28"/>
          <w:szCs w:val="28"/>
        </w:rPr>
        <w:t>A</w:t>
      </w:r>
    </w:p>
    <w:p w14:paraId="51FEC44F" w14:textId="7DB1FDE0" w:rsidR="00F44C5D" w:rsidRPr="00906E37" w:rsidRDefault="00F44C5D" w:rsidP="000B1DFE">
      <w:pPr>
        <w:spacing w:line="240" w:lineRule="auto"/>
        <w:jc w:val="center"/>
        <w:rPr>
          <w:sz w:val="28"/>
          <w:szCs w:val="28"/>
        </w:rPr>
      </w:pPr>
      <w:r w:rsidRPr="00906E37">
        <w:rPr>
          <w:sz w:val="28"/>
          <w:szCs w:val="28"/>
        </w:rPr>
        <w:t>Student I</w:t>
      </w:r>
      <w:r>
        <w:rPr>
          <w:sz w:val="28"/>
          <w:szCs w:val="28"/>
        </w:rPr>
        <w:t>D</w:t>
      </w:r>
      <w:r w:rsidRPr="00906E37">
        <w:rPr>
          <w:sz w:val="28"/>
          <w:szCs w:val="28"/>
        </w:rPr>
        <w:t xml:space="preserve">: </w:t>
      </w:r>
      <w:r w:rsidR="000B1DFE" w:rsidRPr="000B1DFE">
        <w:rPr>
          <w:b/>
          <w:bCs/>
          <w:sz w:val="28"/>
          <w:szCs w:val="28"/>
        </w:rPr>
        <w:t>2242601</w:t>
      </w:r>
    </w:p>
    <w:p w14:paraId="21E2BD7E" w14:textId="77777777" w:rsidR="00F44C5D" w:rsidRPr="00906E37" w:rsidRDefault="00F44C5D" w:rsidP="00F44C5D">
      <w:pPr>
        <w:spacing w:line="240" w:lineRule="auto"/>
        <w:jc w:val="center"/>
        <w:rPr>
          <w:sz w:val="28"/>
          <w:szCs w:val="28"/>
        </w:rPr>
      </w:pPr>
      <w:r w:rsidRPr="00906E37">
        <w:rPr>
          <w:sz w:val="28"/>
          <w:szCs w:val="28"/>
        </w:rPr>
        <w:t>UWTSD</w:t>
      </w:r>
    </w:p>
    <w:p w14:paraId="128C4A64" w14:textId="77777777" w:rsidR="00F44C5D" w:rsidRPr="00906E37" w:rsidRDefault="00F44C5D" w:rsidP="00F44C5D">
      <w:pPr>
        <w:spacing w:line="240" w:lineRule="auto"/>
        <w:jc w:val="center"/>
        <w:rPr>
          <w:sz w:val="28"/>
          <w:szCs w:val="28"/>
        </w:rPr>
      </w:pPr>
      <w:r w:rsidRPr="00906E37">
        <w:rPr>
          <w:sz w:val="28"/>
          <w:szCs w:val="28"/>
        </w:rPr>
        <w:t>Swansea, SA1 Campus, IQ Building</w:t>
      </w:r>
    </w:p>
    <w:p w14:paraId="43DE5C88" w14:textId="77777777" w:rsidR="00F44C5D" w:rsidRDefault="00F44C5D"/>
    <w:p w14:paraId="1C56C457" w14:textId="77777777" w:rsidR="000B1DFE" w:rsidRDefault="000B1DFE"/>
    <w:p w14:paraId="55B764D3" w14:textId="3006A5E5" w:rsidR="00F1327F" w:rsidRPr="00750874" w:rsidRDefault="00F1327F" w:rsidP="00F1327F">
      <w:pPr>
        <w:rPr>
          <w:b/>
          <w:bCs/>
        </w:rPr>
      </w:pPr>
      <w:r w:rsidRPr="00750874">
        <w:rPr>
          <w:b/>
          <w:bCs/>
        </w:rPr>
        <w:lastRenderedPageBreak/>
        <w:t xml:space="preserve">A Study on Integrating the Chinese 24 Solar Terms into Welsh Primary School </w:t>
      </w:r>
      <w:r w:rsidR="00760AA4">
        <w:rPr>
          <w:b/>
          <w:bCs/>
        </w:rPr>
        <w:t>Chinese</w:t>
      </w:r>
      <w:r w:rsidRPr="00750874">
        <w:rPr>
          <w:b/>
          <w:bCs/>
        </w:rPr>
        <w:t xml:space="preserve"> Language Education</w:t>
      </w:r>
    </w:p>
    <w:p w14:paraId="01AEFA77" w14:textId="77777777" w:rsidR="005B3CC0" w:rsidRDefault="005B3CC0" w:rsidP="00F1327F">
      <w:pPr>
        <w:rPr>
          <w:b/>
          <w:bCs/>
        </w:rPr>
      </w:pPr>
    </w:p>
    <w:p w14:paraId="65C882D3" w14:textId="21778827" w:rsidR="00F1327F" w:rsidRPr="00750874" w:rsidRDefault="00F1327F" w:rsidP="00F1327F">
      <w:pPr>
        <w:rPr>
          <w:b/>
          <w:bCs/>
        </w:rPr>
      </w:pPr>
      <w:r w:rsidRPr="00750874">
        <w:rPr>
          <w:b/>
          <w:bCs/>
        </w:rPr>
        <w:t>Introduction</w:t>
      </w:r>
    </w:p>
    <w:p w14:paraId="584FD628" w14:textId="763C8DA8" w:rsidR="00F1327F" w:rsidRPr="00750874" w:rsidRDefault="00F1327F" w:rsidP="00F1327F">
      <w:pPr>
        <w:spacing w:line="480" w:lineRule="auto"/>
      </w:pPr>
      <w:r w:rsidRPr="00750874">
        <w:t xml:space="preserve">This research focuses on </w:t>
      </w:r>
      <w:r w:rsidR="00ED4BB0">
        <w:t>integrating</w:t>
      </w:r>
      <w:r w:rsidRPr="00750874">
        <w:t xml:space="preserve"> the Chinese Twenty-Four Solar Terms </w:t>
      </w:r>
      <w:r w:rsidR="004857BC">
        <w:t>into</w:t>
      </w:r>
      <w:r w:rsidRPr="00750874">
        <w:t xml:space="preserve"> Welsh primary school </w:t>
      </w:r>
      <w:r w:rsidR="004857BC">
        <w:t>Chinese language teaching</w:t>
      </w:r>
      <w:r w:rsidRPr="00750874">
        <w:t xml:space="preserve">, highlighting its </w:t>
      </w:r>
      <w:r>
        <w:t>importance</w:t>
      </w:r>
      <w:r w:rsidRPr="00750874">
        <w:t xml:space="preserve"> in the context of the 2022 Curriculum for Wales. According to Welsh Government (2023), this innovative approach aligns with the Curriculum's six Areas of Learning and Experience (AoLE), particularly in developing learners’ physical health and well-being, through understanding factors like sport, balanced diet, sleep and personal care and hygiene. The integration of language learning with an understanding of health-related cultural practices from other countries could promote children's health and well-being.</w:t>
      </w:r>
    </w:p>
    <w:p w14:paraId="09D79FE4" w14:textId="77777777" w:rsidR="00F1327F" w:rsidRPr="00750874" w:rsidRDefault="00F1327F" w:rsidP="00F1327F">
      <w:pPr>
        <w:spacing w:line="480" w:lineRule="auto"/>
      </w:pPr>
      <w:r w:rsidRPr="00750874">
        <w:t>Recognized by UNESCO in 2016 as world intangible cultural heritage, the Twenty-Four Solar Terms is a comprehensive knowledge system and an enduring cultural tradition originally established by ancient Chinese society. These terms represent time divisions based on the sun's position in the zodiac throughout the year.  Xue (2012) noted these solar terms guide agricultural activities and are closely interconnected with local customs and cultural practices, are traditionally used to educate children about festivals, seasonal changes, and associated health, science and nutrition. Teaching these terms to Chinese learners in Wales not only enriches their linguistic knowledge but also enhances cultural insights and ancient Chinese practices related to diet and health through the seasons.</w:t>
      </w:r>
    </w:p>
    <w:p w14:paraId="301D9BC3" w14:textId="77777777" w:rsidR="00F1327F" w:rsidRDefault="00F1327F" w:rsidP="00F1327F">
      <w:pPr>
        <w:spacing w:line="480" w:lineRule="auto"/>
      </w:pPr>
      <w:r w:rsidRPr="00750874">
        <w:t xml:space="preserve">My role as a Chinese teacher at University of Wales Trinity St David Confucius Institute (UWTSD CI) and the headteacher of the Confucius Institute Chinese School provides me with a strategic leadership opportunity. This project enables me to contribute significantly to the teaching development at the Institute, actively promoting Chinese culture and language. Through this research, I aim to offer exploratory references for Chinese language educators in Wales, the UK, and beyond. </w:t>
      </w:r>
    </w:p>
    <w:p w14:paraId="7479AB8F" w14:textId="77777777" w:rsidR="00255FED" w:rsidRPr="00750874" w:rsidRDefault="00255FED" w:rsidP="00F1327F">
      <w:pPr>
        <w:spacing w:line="480" w:lineRule="auto"/>
        <w:rPr>
          <w:strike/>
        </w:rPr>
      </w:pPr>
    </w:p>
    <w:p w14:paraId="7AED4893" w14:textId="77777777" w:rsidR="00F1327F" w:rsidRPr="00750874" w:rsidRDefault="00F1327F" w:rsidP="00F1327F">
      <w:pPr>
        <w:rPr>
          <w:b/>
          <w:bCs/>
        </w:rPr>
      </w:pPr>
      <w:r w:rsidRPr="00750874">
        <w:rPr>
          <w:b/>
          <w:bCs/>
        </w:rPr>
        <w:t>Literature review</w:t>
      </w:r>
    </w:p>
    <w:p w14:paraId="7C062D34" w14:textId="1250B930" w:rsidR="00F1327F" w:rsidRPr="002E2C53" w:rsidRDefault="00F1327F" w:rsidP="00F1327F">
      <w:pPr>
        <w:spacing w:line="480" w:lineRule="auto"/>
      </w:pPr>
      <w:r w:rsidRPr="002E2C53">
        <w:t xml:space="preserve">The Chinese Twenty-Four Solar Terms, deeply rooted in agricultural practices and natural cycles, have evolved into a significant world cultural heritage. In educational contexts, these terms offer a unique blend of historical, ecological, and scientific knowledge. Studies </w:t>
      </w:r>
      <w:r w:rsidR="001F05F4" w:rsidRPr="002E2C53">
        <w:t xml:space="preserve">emphasize </w:t>
      </w:r>
      <w:r w:rsidRPr="002E2C53">
        <w:t xml:space="preserve">the integration of traditional cultural elements in modern educational systems, </w:t>
      </w:r>
      <w:r w:rsidR="00230220" w:rsidRPr="002E2C53">
        <w:t>highlighting their importance</w:t>
      </w:r>
      <w:r w:rsidR="00C64518" w:rsidRPr="002E2C53">
        <w:t xml:space="preserve"> in promoting </w:t>
      </w:r>
      <w:r w:rsidRPr="002E2C53">
        <w:t>cultural understanding and awareness. This integration not only enhances students' knowledge about different cultures but also promotes global competence and respect for diverse worldviews. Emphasizing these benefits, Kramsch (1996) notes that the incorporation of such traditional knowledge into contemporary curri</w:t>
      </w:r>
      <w:r w:rsidR="00292728" w:rsidRPr="002E2C53">
        <w:t>culum</w:t>
      </w:r>
      <w:r w:rsidRPr="002E2C53">
        <w:t>, enriching the educational experience and fostering a broader cultural perspective among students. In the field of language learning, there has been significant focus on integrating cultural aspects, especially viewed through Intercultural Communicative Competence (ICC), a concept introduced by Michael Byram.</w:t>
      </w:r>
    </w:p>
    <w:p w14:paraId="71AC4552" w14:textId="70C35959" w:rsidR="00A033E1" w:rsidRPr="00750874" w:rsidRDefault="00F1327F" w:rsidP="00A033E1">
      <w:pPr>
        <w:spacing w:line="480" w:lineRule="auto"/>
      </w:pPr>
      <w:r w:rsidRPr="002E2C53">
        <w:t>Decades ago, Noam Chomsky (2014) introduced the concept of linguistic competence, describing it as the ability to understand and use the grammatical, syntactic, and phonetic aspects of a language.  In the 1970s, Hymes expanded on this concept with Communicative Competence(CC), adding the skill of using language appropriately in various contexts to</w:t>
      </w:r>
      <w:r w:rsidR="002104E8" w:rsidRPr="002E2C53">
        <w:t xml:space="preserve"> mere</w:t>
      </w:r>
      <w:r w:rsidRPr="002E2C53">
        <w:t xml:space="preserve"> linguistic ability. </w:t>
      </w:r>
      <w:r w:rsidR="00A563BC" w:rsidRPr="002E2C53">
        <w:t xml:space="preserve">Michael Byram, disagreeing with Hymes’ concept, expanded CC to Intercultural Communicative Competence (ICC) by adding an intercultural dimension. </w:t>
      </w:r>
      <w:r w:rsidRPr="002E2C53">
        <w:t xml:space="preserve">Byram (2020) notes that ICC involves sensitivity to cultural differences, empathy, and the ability to interpret and convey messages across cultural boundaries. </w:t>
      </w:r>
      <w:r w:rsidR="00C77E94" w:rsidRPr="00C77E94">
        <w:t>Both Intercultural Communicative Competence (ICC) and Communicative Competence (CC) prioritize proper and effective communication. However, ICC uniquely focuses on communication across diverse cultural contexts, acknowledging and adapting to cultural variations.</w:t>
      </w:r>
    </w:p>
    <w:p w14:paraId="14012332" w14:textId="78750BD0" w:rsidR="00F1327F" w:rsidRPr="002E2C53" w:rsidRDefault="008F5E3D" w:rsidP="00FE7918">
      <w:pPr>
        <w:spacing w:line="480" w:lineRule="auto"/>
      </w:pPr>
      <w:r w:rsidRPr="008F5E3D">
        <w:t>Th</w:t>
      </w:r>
      <w:r>
        <w:t>is</w:t>
      </w:r>
      <w:r w:rsidRPr="008F5E3D">
        <w:t xml:space="preserve"> </w:t>
      </w:r>
      <w:r w:rsidR="00051A74">
        <w:t>research</w:t>
      </w:r>
      <w:r w:rsidRPr="008F5E3D">
        <w:t xml:space="preserve"> aligns closely with the theoretical framework of </w:t>
      </w:r>
      <w:r w:rsidR="001224B5">
        <w:t>ICC</w:t>
      </w:r>
      <w:r w:rsidRPr="008F5E3D">
        <w:t xml:space="preserve">. </w:t>
      </w:r>
      <w:r w:rsidR="00FD78D2" w:rsidRPr="00FD78D2">
        <w:t xml:space="preserve">It explores the teaching of Chinese Solar Terms, aiming to deepen students' understanding and respect for Chinese culture and </w:t>
      </w:r>
      <w:r w:rsidR="00FD78D2" w:rsidRPr="00FD78D2">
        <w:lastRenderedPageBreak/>
        <w:t>language.</w:t>
      </w:r>
      <w:r w:rsidR="00FD78D2">
        <w:t xml:space="preserve"> </w:t>
      </w:r>
      <w:r w:rsidR="00F1327F" w:rsidRPr="002E2C53">
        <w:t xml:space="preserve">ICC is particularly relevant in our increasingly globalized world, where interactions frequently occur between individuals from diverse cultural backgrounds. According to Byram (2008), </w:t>
      </w:r>
      <w:r w:rsidR="00F00E3E" w:rsidRPr="002E2C53">
        <w:t>e</w:t>
      </w:r>
      <w:r w:rsidR="00F1327F" w:rsidRPr="002E2C53">
        <w:t xml:space="preserve">xamples in educational settings demonstrate how language learners benefit from ICC by gaining a deeper understanding of other cultures, which in turn improves their language skills and cultural empathy. </w:t>
      </w:r>
    </w:p>
    <w:p w14:paraId="1CFD84E7" w14:textId="77777777" w:rsidR="00F1327F" w:rsidRPr="00750874" w:rsidRDefault="00F1327F" w:rsidP="00F1327F">
      <w:pPr>
        <w:spacing w:line="480" w:lineRule="auto"/>
        <w:rPr>
          <w:b/>
          <w:bCs/>
        </w:rPr>
      </w:pPr>
      <w:r w:rsidRPr="00750874">
        <w:rPr>
          <w:b/>
          <w:bCs/>
        </w:rPr>
        <w:t>Similar Study</w:t>
      </w:r>
    </w:p>
    <w:p w14:paraId="44E05787" w14:textId="749A5977" w:rsidR="00F1327F" w:rsidRPr="00750874" w:rsidRDefault="00B45843" w:rsidP="00F1327F">
      <w:pPr>
        <w:spacing w:line="480" w:lineRule="auto"/>
      </w:pPr>
      <w:r w:rsidRPr="00750874">
        <w:t xml:space="preserve">Zhou, Li and Yeh (2022)’s study provides a </w:t>
      </w:r>
      <w:r>
        <w:t xml:space="preserve">similar </w:t>
      </w:r>
      <w:r w:rsidR="00D02ADB">
        <w:t>insight to</w:t>
      </w:r>
      <w:r w:rsidR="00F1327F" w:rsidRPr="00750874">
        <w:t xml:space="preserve"> my research on integrating the Chinese Twenty-Four Solar Terms in language teaching</w:t>
      </w:r>
      <w:r w:rsidR="0098678A">
        <w:t>.</w:t>
      </w:r>
      <w:r w:rsidR="00F1327F" w:rsidRPr="00750874">
        <w:t xml:space="preserve"> Their research </w:t>
      </w:r>
      <w:r w:rsidR="0098678A">
        <w:t>focus</w:t>
      </w:r>
      <w:r w:rsidR="002D7610">
        <w:t>es</w:t>
      </w:r>
      <w:r w:rsidR="0098678A">
        <w:t xml:space="preserve"> on</w:t>
      </w:r>
      <w:r w:rsidR="00F1327F" w:rsidRPr="00750874">
        <w:t xml:space="preserve"> how two Chinese preschoolers in Beijing and Taiwan learn English, integrat</w:t>
      </w:r>
      <w:r w:rsidR="00157799">
        <w:t>ed</w:t>
      </w:r>
      <w:r w:rsidR="00F1327F" w:rsidRPr="00750874">
        <w:t xml:space="preserve"> with the study of solar terms through the different multimodal ways</w:t>
      </w:r>
      <w:r w:rsidR="00F1327F" w:rsidRPr="00750874">
        <w:rPr>
          <w:rFonts w:hint="eastAsia"/>
        </w:rPr>
        <w:t>.</w:t>
      </w:r>
      <w:r w:rsidR="00F1327F" w:rsidRPr="00750874">
        <w:t xml:space="preserve"> In their research, they utilized qualitative case studies, classroom observations, and interviews with two Chinese lead teachers via Zoom. It also involved collecting secondary documentary data such as school curricula, lesson plans, and samples of students' work, both written and drawn. My study will replicate some research methods mentioned in their article. This includes collecting secondary documentary data and interviewing teachers.</w:t>
      </w:r>
    </w:p>
    <w:p w14:paraId="6D8AA610" w14:textId="0D0DAFAC" w:rsidR="00F1327F" w:rsidRPr="00750874" w:rsidRDefault="00F1327F" w:rsidP="00F1327F">
      <w:pPr>
        <w:spacing w:line="480" w:lineRule="auto"/>
      </w:pPr>
      <w:r w:rsidRPr="00750874">
        <w:t xml:space="preserve">However, this study had limitations in only employing qualitative data collection and conducting interviews only online with teachers. To enhance the research methodology, my approach will also include quantitative data collection. This dual approach is supported by Creswell (2014), who emphasizes the value of mixed-methods research in education for a holistic understanding. Quantitative data will be gathered through surveys, as recommended by Cohen, Manion, and Morrison (2018), who highlight the effectiveness of surveys in educational research. This allows for a broader data set and insights into students' learning experiences and outcomes. Additionally, my research will conduct face-to-face interviews with both teachers and students, ensuring more interactive data collection. Face-to-face interviews provide the advantage of observing non-verbal cues and fostering a more engaging conversation, leading to potentially more in-depth responses. This combination of methods aims to address the limitations noted in Zhou’s study and provide a </w:t>
      </w:r>
      <w:r w:rsidRPr="00750874">
        <w:lastRenderedPageBreak/>
        <w:t>more comprehensive understanding of the effectiveness of integrating cultural elements in language education.</w:t>
      </w:r>
    </w:p>
    <w:p w14:paraId="7B11B3B6" w14:textId="77777777" w:rsidR="00F1327F" w:rsidRPr="00750874" w:rsidRDefault="00F1327F" w:rsidP="00F1327F">
      <w:pPr>
        <w:spacing w:line="480" w:lineRule="auto"/>
        <w:rPr>
          <w:b/>
          <w:bCs/>
        </w:rPr>
      </w:pPr>
      <w:r w:rsidRPr="00750874">
        <w:rPr>
          <w:b/>
          <w:bCs/>
        </w:rPr>
        <w:t>Research Gaps</w:t>
      </w:r>
    </w:p>
    <w:p w14:paraId="71284FB7" w14:textId="77777777" w:rsidR="00F1327F" w:rsidRDefault="00F1327F" w:rsidP="00F1327F">
      <w:pPr>
        <w:spacing w:line="480" w:lineRule="auto"/>
      </w:pPr>
      <w:r w:rsidRPr="00750874">
        <w:t>Although there is extensive literature on the contents of Chinese Twenty-Four Solar Terms, researches on their application in language education are limited , especially outside Chinese-majority regions. Existing studies don't address their use in Welsh or broader UK contexts. Particularly, there's a notable gap in how these solar terms can be taught to British language learners and how their learning can enhance health and well-being. My research is dedicated to filling these gaps, exploring the multimodal teaching approach of the Twenty-Four Solar Terms in the Welsh primary school and their impact on learners' well-being.</w:t>
      </w:r>
    </w:p>
    <w:p w14:paraId="6E082A6A" w14:textId="77777777" w:rsidR="00255FED" w:rsidRPr="00750874" w:rsidRDefault="00255FED" w:rsidP="00F1327F">
      <w:pPr>
        <w:spacing w:line="480" w:lineRule="auto"/>
      </w:pPr>
    </w:p>
    <w:p w14:paraId="32871066" w14:textId="77777777" w:rsidR="00F1327F" w:rsidRPr="00750874" w:rsidRDefault="00F1327F" w:rsidP="00F1327F">
      <w:pPr>
        <w:spacing w:line="480" w:lineRule="auto"/>
        <w:rPr>
          <w:b/>
          <w:bCs/>
        </w:rPr>
      </w:pPr>
      <w:r w:rsidRPr="00750874">
        <w:rPr>
          <w:b/>
          <w:bCs/>
        </w:rPr>
        <w:t>Paradigm</w:t>
      </w:r>
    </w:p>
    <w:p w14:paraId="028CE8B5" w14:textId="36565AB0" w:rsidR="00F1327F" w:rsidRPr="00750874" w:rsidRDefault="00F1327F" w:rsidP="00F1327F">
      <w:pPr>
        <w:spacing w:line="480" w:lineRule="auto"/>
      </w:pPr>
      <w:r w:rsidRPr="00750874">
        <w:t>In the field of educational research, a paradigm refers to a researcher's overall perspective or worldview, as identified by Mackenzie &amp; Knipe (2006). Cohen, Manion, &amp; Morrison (2018) characterize paradigms as our methods of perceiving the world and the frameworks of ideas that aid our comprehension of it. These paradigms shape our approaches to studying the world, determine the central ideas we concentrate on, identify which knowledge is deemed significant, and guide the processes by which we validate and contemplate this knowledge. Lincoln, Lynham, and Guba (2011) state that a paradigm is composed of four key elements: epistemology, ontology, methodology, and axiology. These elements represent the fundamental assumptions, beliefs, standards, and values inherent in each paradigm.  In</w:t>
      </w:r>
      <w:r w:rsidR="002B5B9C">
        <w:t xml:space="preserve"> the</w:t>
      </w:r>
      <w:r w:rsidRPr="00750874">
        <w:t xml:space="preserve"> research, I have adopted a mixed methods approach, combining both qualitative and quantitative research methods.  Morgan (2014) emphasizes that in mixed methods studies, pragmatism as a philosophical foundation is crucial for focusing on the research problem. It encourages the use of varied, pluralistic approaches to gain a comprehensive </w:t>
      </w:r>
      <w:r w:rsidRPr="00750874">
        <w:lastRenderedPageBreak/>
        <w:t xml:space="preserve">understanding of the issue being studied. My choice of research philosophy is pragmatism, as it emphasizes flexibility and practical outcomes, making the study more comprehensive and adaptable. </w:t>
      </w:r>
    </w:p>
    <w:p w14:paraId="72C81E73" w14:textId="77777777" w:rsidR="00F1327F" w:rsidRPr="00750874" w:rsidRDefault="00F1327F" w:rsidP="00F1327F">
      <w:pPr>
        <w:spacing w:line="480" w:lineRule="auto"/>
        <w:rPr>
          <w:b/>
          <w:bCs/>
        </w:rPr>
      </w:pPr>
      <w:r w:rsidRPr="00750874">
        <w:rPr>
          <w:b/>
          <w:bCs/>
        </w:rPr>
        <w:t>Ontology of the Paradigm</w:t>
      </w:r>
    </w:p>
    <w:p w14:paraId="0245128D" w14:textId="68DD2D40" w:rsidR="00F1327F" w:rsidRPr="00750874" w:rsidRDefault="00F1327F" w:rsidP="00F1327F">
      <w:pPr>
        <w:spacing w:line="480" w:lineRule="auto"/>
      </w:pPr>
      <w:r w:rsidRPr="00750874">
        <w:t xml:space="preserve">Ontology is a branch of philosophy that examines the essence of existence or reality. It delves into the researcher's foundational beliefs about the nature of being and the essence of existence (Kivunja, &amp;Kuyini, 2017). In the context of my research on integrating the Twenty-Four </w:t>
      </w:r>
      <w:r w:rsidR="004242AD">
        <w:t>S</w:t>
      </w:r>
      <w:r w:rsidRPr="00750874">
        <w:t xml:space="preserve">olar </w:t>
      </w:r>
      <w:r w:rsidR="004242AD">
        <w:t>T</w:t>
      </w:r>
      <w:r w:rsidRPr="00750874">
        <w:t>erms in Welsh primary school foreign language education, the ontological stance aligns with pragmatism. This stance views reality as fluid and shaped by human experiences and actions, rather than fixed. It perfectly fits the study, as the perception and understanding of these cultural elements are subjective and evolve within the educational environment. The ontology acknowledges that students' experiences and interpretations of the Twenty-Four Solar Terms will continually reshape their understanding, reflecting the dynamic nature of cultural learning in an educational context.</w:t>
      </w:r>
    </w:p>
    <w:p w14:paraId="2EE55D80" w14:textId="77777777" w:rsidR="00F1327F" w:rsidRPr="00750874" w:rsidRDefault="00F1327F" w:rsidP="00F1327F">
      <w:pPr>
        <w:spacing w:line="480" w:lineRule="auto"/>
        <w:rPr>
          <w:b/>
          <w:bCs/>
        </w:rPr>
      </w:pPr>
      <w:r w:rsidRPr="00750874">
        <w:rPr>
          <w:b/>
          <w:bCs/>
        </w:rPr>
        <w:t>Epistemology of the Paradigm</w:t>
      </w:r>
    </w:p>
    <w:p w14:paraId="3040CCC6" w14:textId="77777777" w:rsidR="00F1327F" w:rsidRPr="00750874" w:rsidRDefault="00F1327F" w:rsidP="00F1327F">
      <w:pPr>
        <w:spacing w:line="480" w:lineRule="auto"/>
      </w:pPr>
      <w:r w:rsidRPr="00750874">
        <w:t>Epistemology is the branch of philosophy concerned with the theory of knowledge. Kivunja and Kuyini (2017) define epistemology in the context of research as the study of knowledge and understanding. It delves into how we ascertain the truth or reality, focusing on the essence, forms, acquisition, and communication of knowledge. Creswell (2017) noted pragmatism in epistemology suggests that truth is works at a given time and is not confined to a strict duality of reality being independent of or within the mind. This perspective allows mixed methods researchers to use both quantitative and qualitative data, as they collectively provide the best understanding of a research problem. This approach allows for flexibility in understanding and interpreting cultural concepts. In my research, the use of both quantitative and qualitative methods reflects the pragmatic belief in using what is most effective for understanding the research question.</w:t>
      </w:r>
    </w:p>
    <w:p w14:paraId="40FC872B" w14:textId="77777777" w:rsidR="00F1327F" w:rsidRPr="00750874" w:rsidRDefault="00F1327F" w:rsidP="00F1327F">
      <w:pPr>
        <w:spacing w:line="480" w:lineRule="auto"/>
        <w:rPr>
          <w:b/>
          <w:bCs/>
        </w:rPr>
      </w:pPr>
      <w:r w:rsidRPr="00750874">
        <w:rPr>
          <w:b/>
          <w:bCs/>
        </w:rPr>
        <w:t>Methodology of the Paradigm</w:t>
      </w:r>
    </w:p>
    <w:p w14:paraId="32DA6226" w14:textId="77777777" w:rsidR="00F1327F" w:rsidRPr="00750874" w:rsidRDefault="00F1327F" w:rsidP="00F1327F">
      <w:pPr>
        <w:spacing w:line="480" w:lineRule="auto"/>
      </w:pPr>
      <w:r w:rsidRPr="00750874">
        <w:lastRenderedPageBreak/>
        <w:t>Kivunja and Kuyini (2017) define the methodology outlines the rationale and sequence of structured procedures undertaken in a research project, aimed at acquiring understanding of the research question. Creswell (2017) identifies the methodology in pragmatism is characterized by freedom of choice in selecting research methods and procedures that best suit the research needs and purposes. Pragmatists promote the use of multiple methods in mixed methods research.</w:t>
      </w:r>
    </w:p>
    <w:p w14:paraId="7EF42A5C" w14:textId="77777777" w:rsidR="00F1327F" w:rsidRPr="00750874" w:rsidRDefault="00F1327F" w:rsidP="00F1327F">
      <w:pPr>
        <w:spacing w:line="480" w:lineRule="auto"/>
        <w:rPr>
          <w:b/>
          <w:bCs/>
        </w:rPr>
      </w:pPr>
      <w:r w:rsidRPr="00750874">
        <w:rPr>
          <w:b/>
          <w:bCs/>
        </w:rPr>
        <w:t>Axiology of the Paradigm</w:t>
      </w:r>
    </w:p>
    <w:p w14:paraId="780A1476" w14:textId="77777777" w:rsidR="00F1327F" w:rsidRDefault="00F1327F" w:rsidP="00F1327F">
      <w:pPr>
        <w:spacing w:line="480" w:lineRule="auto"/>
      </w:pPr>
      <w:r w:rsidRPr="00750874">
        <w:t>Kivunja and Kuyini (2017) describe axiology as the process of identifying, assessing, and comprehending the notions of ethical and unethical conduct in research. Pragmatism places value on outcomes and effects. Creswell (2017) noted pragmatism in axiology acknowledges that research is conducted within various contexts. The moral and ethical implications of research are judged based on their practical impacts.</w:t>
      </w:r>
    </w:p>
    <w:p w14:paraId="35BFFB9D" w14:textId="77777777" w:rsidR="00F1327F" w:rsidRPr="00750874" w:rsidRDefault="00F1327F" w:rsidP="00F1327F">
      <w:pPr>
        <w:spacing w:line="480" w:lineRule="auto"/>
        <w:rPr>
          <w:b/>
          <w:bCs/>
        </w:rPr>
      </w:pPr>
      <w:r w:rsidRPr="00750874">
        <w:rPr>
          <w:b/>
          <w:bCs/>
        </w:rPr>
        <w:t>Mix-methods Approach</w:t>
      </w:r>
    </w:p>
    <w:p w14:paraId="21247C8B" w14:textId="2102F98F" w:rsidR="00F1327F" w:rsidRPr="00750874" w:rsidRDefault="00F1327F" w:rsidP="00F1327F">
      <w:pPr>
        <w:spacing w:line="480" w:lineRule="auto"/>
      </w:pPr>
      <w:r w:rsidRPr="00750874">
        <w:t>Creswell and Plano (2011) propose that Mixed Methods Research (MMR) represents a type of research conducted by one or more individuals. This research merges both quantitative and qualitative methodologies</w:t>
      </w:r>
      <w:r w:rsidR="00AE1DE0">
        <w:t>, aiming</w:t>
      </w:r>
      <w:r w:rsidRPr="00750874">
        <w:t xml:space="preserve"> to achieve a more comprehensive and dependable </w:t>
      </w:r>
      <w:r w:rsidR="00856F19">
        <w:t>understanding</w:t>
      </w:r>
      <w:r w:rsidRPr="00750874">
        <w:t xml:space="preserve"> of a subject</w:t>
      </w:r>
      <w:r w:rsidR="000D2CFA">
        <w:t xml:space="preserve">. </w:t>
      </w:r>
      <w:r w:rsidRPr="00750874">
        <w:t xml:space="preserve">However, scholars argue that the scope of Mixed Methods Research (MMR) extends beyond methods or methodology; it </w:t>
      </w:r>
      <w:r w:rsidR="000D2CFA">
        <w:t>includes</w:t>
      </w:r>
      <w:r w:rsidRPr="00750874">
        <w:t xml:space="preserve"> a much broader range. Creswell and Tashakkori (2007) suggest four distinct domains of Mixed Methods Research (MMR), focusing on the elements being integrated: (a) methods (the combination of quantitative and qualitative techniques for research and types of data); (b) methodologies (the unique methodology of mixed methods that blends worldviews, research queries, methods, interpretations, and conclusions); (c) paradigms (the philosophical underpinnings and worldviews that support MMR); and (d) practice (the procedures of mixed methods in research execution).</w:t>
      </w:r>
    </w:p>
    <w:p w14:paraId="0FCAB76B" w14:textId="77777777" w:rsidR="00F1327F" w:rsidRPr="00750874" w:rsidRDefault="00F1327F" w:rsidP="00F1327F">
      <w:pPr>
        <w:spacing w:line="480" w:lineRule="auto"/>
        <w:rPr>
          <w:b/>
          <w:bCs/>
        </w:rPr>
      </w:pPr>
      <w:r w:rsidRPr="00750874">
        <w:rPr>
          <w:b/>
          <w:bCs/>
        </w:rPr>
        <w:t>Paradigm of mixed-methods research</w:t>
      </w:r>
    </w:p>
    <w:p w14:paraId="4F0236A9" w14:textId="33D6836E" w:rsidR="00F1327F" w:rsidRPr="00750874" w:rsidRDefault="00F1327F" w:rsidP="00C31E2C">
      <w:pPr>
        <w:spacing w:line="480" w:lineRule="auto"/>
      </w:pPr>
      <w:r w:rsidRPr="00750874">
        <w:lastRenderedPageBreak/>
        <w:t xml:space="preserve">MMR involves more than just combining data; it </w:t>
      </w:r>
      <w:r w:rsidR="004B42DA">
        <w:t>includes</w:t>
      </w:r>
      <w:r w:rsidRPr="00750874">
        <w:t xml:space="preserve"> the integration of paradigms, ontologies, epistemologies, and axiologies to provide a balanced and comprehensive view of the phenomenon being studied, as argued by Cohen, Manion, and Morrison (2018). Cohen, Manion, and Morrison (2018) </w:t>
      </w:r>
      <w:r w:rsidR="00DD553C">
        <w:t xml:space="preserve">also </w:t>
      </w:r>
      <w:r w:rsidRPr="00750874">
        <w:t xml:space="preserve">highlight that a frequently cited foundation of MMR is pragmatism, which is broadly understood as focusing on what is effective. The core principle of pragmatism is the belief that thought should result in action, enabling prediction and facilitating problem-solving. Pragmatism is fundamentally more practical than idealistic. </w:t>
      </w:r>
    </w:p>
    <w:p w14:paraId="22F7D786" w14:textId="77777777" w:rsidR="00F1327F" w:rsidRPr="00750874" w:rsidRDefault="00F1327F" w:rsidP="00F1327F">
      <w:pPr>
        <w:spacing w:line="480" w:lineRule="auto"/>
        <w:rPr>
          <w:b/>
          <w:bCs/>
        </w:rPr>
      </w:pPr>
      <w:r w:rsidRPr="00750874">
        <w:rPr>
          <w:b/>
          <w:bCs/>
        </w:rPr>
        <w:t>Strengths and Limitations of Mix-methods approach</w:t>
      </w:r>
    </w:p>
    <w:p w14:paraId="2E4E410E" w14:textId="573AB722" w:rsidR="00F1327F" w:rsidRPr="00750874" w:rsidRDefault="00F1327F" w:rsidP="00AE438B">
      <w:pPr>
        <w:spacing w:line="480" w:lineRule="auto"/>
      </w:pPr>
      <w:r w:rsidRPr="00750874">
        <w:t xml:space="preserve">Cohen, Manion, and Morrison (2018) suggest that MMR encompasses both quantitative and qualitative data, can enhance reliability. This approach incorporates various elements within both quantitative and qualitative methodologies. Additionally, the concept of reliability through triangulation extends to the integration of different methodological approaches. Mix-methods approach can also enhance the validity of the research and the conclusions drawn from it. Furthermore, MMR demonstrates adaptability in its application, reflecting the dynamic and interconnected nature of the world and the phenomena being investigated. </w:t>
      </w:r>
      <w:r w:rsidR="00B87D64">
        <w:t xml:space="preserve">However, </w:t>
      </w:r>
      <w:r w:rsidRPr="00750874">
        <w:t>Denscombe (2014) points out that MMR may increase the time required for research and demands researchers skills in various methodologies.  Additionally, MMR can present challenges if findings from different methods do not agree, requiring researchers to delve into the reasons for these inconsistencies.</w:t>
      </w:r>
    </w:p>
    <w:p w14:paraId="0B227507" w14:textId="77777777" w:rsidR="00F1327F" w:rsidRPr="00750874" w:rsidRDefault="00F1327F" w:rsidP="00F1327F">
      <w:pPr>
        <w:spacing w:line="480" w:lineRule="auto"/>
        <w:rPr>
          <w:b/>
          <w:bCs/>
        </w:rPr>
      </w:pPr>
      <w:r w:rsidRPr="00750874">
        <w:rPr>
          <w:b/>
          <w:bCs/>
        </w:rPr>
        <w:t>Mixed-methods approach in my study</w:t>
      </w:r>
    </w:p>
    <w:p w14:paraId="43F05733" w14:textId="7DC06FC8" w:rsidR="00F1327F" w:rsidRPr="00750874" w:rsidRDefault="00F1327F" w:rsidP="00F1327F">
      <w:pPr>
        <w:spacing w:line="480" w:lineRule="auto"/>
      </w:pPr>
      <w:r w:rsidRPr="00750874">
        <w:t xml:space="preserve">This research will employ a mixed-methods approach supported by pragmatism. Pragmatism focuses on practical and effective outcomes, making it ideal for blending quantitative and qualitative research methods. MMR merges the strengths of both qualitative and quantitative methods, offering a more comprehensive understanding of the research topic. In this study,  I use qualitative methods, such as interviews and observations to gain in-depth insights into the personal experiences and perspectives of students and teachers regarding the Twenty-Four Solar Terms. On the other hand, I </w:t>
      </w:r>
      <w:r w:rsidRPr="00750874">
        <w:lastRenderedPageBreak/>
        <w:t>will use quantitative methods</w:t>
      </w:r>
      <w:r w:rsidR="000003BD">
        <w:t xml:space="preserve">, such as </w:t>
      </w:r>
      <w:r w:rsidRPr="00750874">
        <w:t xml:space="preserve">questionnaires to gather data on students' learning outcomes, and general attitudes towards the teaching and learning.  It allows for a comprehensive understanding that includes both statistical data and personal insights. </w:t>
      </w:r>
    </w:p>
    <w:p w14:paraId="764E0834" w14:textId="77777777" w:rsidR="00F1327F" w:rsidRPr="00750874" w:rsidRDefault="00F1327F" w:rsidP="00F1327F">
      <w:pPr>
        <w:spacing w:line="480" w:lineRule="auto"/>
        <w:rPr>
          <w:b/>
          <w:bCs/>
        </w:rPr>
      </w:pPr>
      <w:r w:rsidRPr="00750874">
        <w:rPr>
          <w:b/>
          <w:bCs/>
        </w:rPr>
        <w:t>Strengths and Limitations of Quantitative Research</w:t>
      </w:r>
    </w:p>
    <w:p w14:paraId="2A9DBA70" w14:textId="77777777" w:rsidR="00F1327F" w:rsidRPr="00750874" w:rsidRDefault="00F1327F" w:rsidP="00F1327F">
      <w:pPr>
        <w:spacing w:line="480" w:lineRule="auto"/>
      </w:pPr>
      <w:r w:rsidRPr="00750874">
        <w:t xml:space="preserve">Creswell (2017) describes quantitative research as a method focused on testing theories objectively by exploring the connections between different measurable variables. These variables are quantified and analysed statistically.  Quantitative research is associated with a positivist epistemology, which asserts that reality is stable and can be observed and described from an objective viewpoint. Positivism is closely associated with the scientific method and the belief that the natural and social worlds can be studied in the same systematic manner.  </w:t>
      </w:r>
    </w:p>
    <w:p w14:paraId="000624CC" w14:textId="77777777" w:rsidR="00F1327F" w:rsidRPr="00750874" w:rsidRDefault="00F1327F" w:rsidP="00F1327F">
      <w:pPr>
        <w:spacing w:line="480" w:lineRule="auto"/>
      </w:pPr>
      <w:r w:rsidRPr="00750874">
        <w:t>Quantitative research, known for its large sample sizes, enables findings to be generalized to a broader population, making it essential for developing theories and models that have wide applicability (Bryman, 2016). Its methods are typically repeatable, which not only allows for the verification of results but also enhances the reliability of the research (Creswell, 2017). Furthermore, this research approach employs tools and statistical techniques that ensure precise measurements, thereby reducing subjectivity and increasing the objectivity of the study (Trochim &amp; Donnelly, 2006).</w:t>
      </w:r>
    </w:p>
    <w:p w14:paraId="06BE4BE1" w14:textId="77777777" w:rsidR="00F1327F" w:rsidRPr="00750874" w:rsidRDefault="00F1327F" w:rsidP="00F1327F">
      <w:pPr>
        <w:spacing w:line="480" w:lineRule="auto"/>
      </w:pPr>
      <w:r w:rsidRPr="00750874">
        <w:t xml:space="preserve">However, Cohen, Manion, and Morrison (2018) point out quantitative research may sometimes fall short in grasping the full complexity and richness of human behaviour and experience, possibly missing key elements of social phenomena. It can also lead to a certain rigidity and potentially overlook unexpected variables, a limitation highlighted by Fowler Jr. (2013). </w:t>
      </w:r>
    </w:p>
    <w:p w14:paraId="4D7198D5" w14:textId="77777777" w:rsidR="00F1327F" w:rsidRPr="00750874" w:rsidRDefault="00F1327F" w:rsidP="00F1327F">
      <w:pPr>
        <w:spacing w:line="480" w:lineRule="auto"/>
        <w:rPr>
          <w:b/>
          <w:bCs/>
        </w:rPr>
      </w:pPr>
      <w:r w:rsidRPr="00750874">
        <w:rPr>
          <w:b/>
          <w:bCs/>
        </w:rPr>
        <w:t>Strengths and Limitations of Qualitative Research</w:t>
      </w:r>
    </w:p>
    <w:p w14:paraId="1A00FD50" w14:textId="77777777" w:rsidR="00F1327F" w:rsidRDefault="00F1327F" w:rsidP="00F1327F">
      <w:pPr>
        <w:spacing w:line="480" w:lineRule="auto"/>
      </w:pPr>
      <w:r w:rsidRPr="00750874">
        <w:t xml:space="preserve">Creswell (2017) characterizes qualitative research as a method to explore and understand meanings attributed by individuals or groups to social or human issues. Qualitative research is grounded in interpretivism, a philosophy posits that reality is subjective and socially constructed, highlighting the </w:t>
      </w:r>
      <w:r w:rsidRPr="00750874">
        <w:lastRenderedPageBreak/>
        <w:t>importance of human experiences and interactions. This research involves evolving questions and approaches, gathering data in natural settings, and inductively analysing this data to derive broad themes. The researcher's role is to interpret these themes to understand the data's meaning. Cohen, Manion, and Morrison (2018) identify multiple objectives of qualitative research, including description, explanation, reporting, the development of fundamental concepts, and the generation and testing of theories.  Qualitative research provides a comprehensive understanding of social phenomena and captures detailed insights into people's experiences and emotions. Additionally, it can be flexible, enabling researchers to adjust their approaches in response to emerging insights ( Bryman 2016). On the other hand, Findings can be influenced by the researcher's interpretations, raising questions about objectivity and bias (Cohen, Manion, &amp; Morrison, 2018). Due to smaller sample sizes and focus on depth, results may not be easily generalizable to broader populations (Fowler Jr., 2013).</w:t>
      </w:r>
    </w:p>
    <w:p w14:paraId="2D7CAF00" w14:textId="77777777" w:rsidR="00255FED" w:rsidRPr="00750874" w:rsidRDefault="00255FED" w:rsidP="00F1327F">
      <w:pPr>
        <w:spacing w:line="480" w:lineRule="auto"/>
      </w:pPr>
    </w:p>
    <w:p w14:paraId="3302B6D6" w14:textId="77777777" w:rsidR="00F1327F" w:rsidRPr="00750874" w:rsidRDefault="00F1327F" w:rsidP="00F1327F">
      <w:pPr>
        <w:rPr>
          <w:b/>
          <w:bCs/>
        </w:rPr>
      </w:pPr>
      <w:r w:rsidRPr="00750874">
        <w:rPr>
          <w:b/>
          <w:bCs/>
        </w:rPr>
        <w:t>Research Questions</w:t>
      </w:r>
    </w:p>
    <w:p w14:paraId="0A2D023E" w14:textId="77777777" w:rsidR="00F1327F" w:rsidRPr="00750874" w:rsidRDefault="00F1327F" w:rsidP="00F1327F">
      <w:pPr>
        <w:spacing w:line="480" w:lineRule="auto"/>
      </w:pPr>
      <w:r w:rsidRPr="00750874">
        <w:t>As previously discussed, considering the gaps in teaching the Twenty-Four Solar Terms in Welsh international language education, I have identified the following three research questions:</w:t>
      </w:r>
    </w:p>
    <w:p w14:paraId="7BBBB779" w14:textId="77777777" w:rsidR="00F1327F" w:rsidRPr="00750874" w:rsidRDefault="00F1327F" w:rsidP="00F1327F">
      <w:pPr>
        <w:pStyle w:val="ListParagraph"/>
        <w:numPr>
          <w:ilvl w:val="0"/>
          <w:numId w:val="2"/>
        </w:numPr>
        <w:spacing w:line="480" w:lineRule="auto"/>
      </w:pPr>
      <w:r w:rsidRPr="00750874">
        <w:t>What impact does teaching the Twenty-Four Solar Terms have on enhancing Welsh primary school students' intercultural understanding?</w:t>
      </w:r>
    </w:p>
    <w:p w14:paraId="6B7A8A93" w14:textId="77777777" w:rsidR="00F1327F" w:rsidRPr="00750874" w:rsidRDefault="00F1327F" w:rsidP="00F1327F">
      <w:pPr>
        <w:pStyle w:val="ListParagraph"/>
        <w:numPr>
          <w:ilvl w:val="0"/>
          <w:numId w:val="2"/>
        </w:numPr>
        <w:spacing w:line="480" w:lineRule="auto"/>
      </w:pPr>
      <w:r w:rsidRPr="00750874">
        <w:t xml:space="preserve">How might Twenty-Four Solar terms be taught </w:t>
      </w:r>
      <w:r>
        <w:t xml:space="preserve">effectively </w:t>
      </w:r>
      <w:r w:rsidRPr="00750874">
        <w:t>to Welsh primary school students through a Multimodal approach?</w:t>
      </w:r>
    </w:p>
    <w:p w14:paraId="57231FB7" w14:textId="77777777" w:rsidR="00F1327F" w:rsidRPr="00750874" w:rsidRDefault="00F1327F" w:rsidP="00F1327F">
      <w:pPr>
        <w:pStyle w:val="ListParagraph"/>
        <w:numPr>
          <w:ilvl w:val="0"/>
          <w:numId w:val="2"/>
        </w:numPr>
        <w:spacing w:line="480" w:lineRule="auto"/>
      </w:pPr>
      <w:r w:rsidRPr="00750874">
        <w:t>How can teaching the Twenty-Four Solar Terms improve the health and well-being of Welsh primary school students?</w:t>
      </w:r>
    </w:p>
    <w:p w14:paraId="79848220" w14:textId="77777777" w:rsidR="00F1327F" w:rsidRPr="00750874" w:rsidRDefault="00F1327F" w:rsidP="00F1327F">
      <w:pPr>
        <w:spacing w:line="480" w:lineRule="auto"/>
        <w:rPr>
          <w:b/>
          <w:bCs/>
        </w:rPr>
      </w:pPr>
      <w:r w:rsidRPr="00750874">
        <w:rPr>
          <w:b/>
          <w:bCs/>
        </w:rPr>
        <w:t>Research Question 1</w:t>
      </w:r>
    </w:p>
    <w:p w14:paraId="6B80ECE0" w14:textId="77777777" w:rsidR="00F1327F" w:rsidRPr="00750874" w:rsidRDefault="00F1327F" w:rsidP="00F1327F">
      <w:pPr>
        <w:spacing w:line="480" w:lineRule="auto"/>
      </w:pPr>
      <w:r w:rsidRPr="00750874">
        <w:t xml:space="preserve">The question " What impact does teaching the Twenty-Four Solar Terms have on enhancing Welsh students' intercultural understanding?" delves into the educational influence of integrating a </w:t>
      </w:r>
      <w:r w:rsidRPr="00750874">
        <w:lastRenderedPageBreak/>
        <w:t xml:space="preserve">significant aspect of Chinese culture into Welsh education. This question is chosen because it addresses the educational value of cultural exchange and the importance of intercultural understanding in modern, globalized education, as emphasized in the works of Byram (2020) on intercultural communicative competence. Wang, Zhou and Wang (2023) identify that the "24 solar terms" are a holistic representation of Chinese traditional culture, relating diverse areas such as diet,  beliefs, rituals, social customs, entertainment, and agriculture. These terms also inspire a wide range of artistic expressions, including poetry, proverbs, songs, folklore, calligraphy, and painting. Recognized as UNESCO intangible cultural heritage, the 24 solar terms are not only a valuable Chinese heritage but also a significant cultural asset globally.  Introducing the Twenty-Four Solar Terms as an aspect of Chinese culture to Welsh primary school students while teaching language has significant importance. This research is grounded in a pragmatist paradigm, emphasizing the view that understanding is a practical response shaped by cultural and educational experiences. In this framework, learning is seen as a dynamic process where individuals interpret their understanding and knowledge of the world, through interacting with things and reflecting on those interactions. This research focuses on how students interpret the Twenty-Four Solar Terms within the context of Welsh cultural and educational backgrounds, highlighting the adaptive nature of learning in diverse educational settings. To answer this question, I will use a mixed research approach with qualitative data from interviews and observations, along with quantitative data from surveys assessing changes in students' intercultural understanding. </w:t>
      </w:r>
    </w:p>
    <w:p w14:paraId="4C0C32E7" w14:textId="77777777" w:rsidR="00F1327F" w:rsidRPr="00750874" w:rsidRDefault="00F1327F" w:rsidP="00F1327F">
      <w:pPr>
        <w:spacing w:line="480" w:lineRule="auto"/>
        <w:rPr>
          <w:b/>
          <w:bCs/>
        </w:rPr>
      </w:pPr>
      <w:r w:rsidRPr="00750874">
        <w:rPr>
          <w:b/>
          <w:bCs/>
        </w:rPr>
        <w:t>Research Question 2</w:t>
      </w:r>
    </w:p>
    <w:p w14:paraId="0B09A68E" w14:textId="77777777" w:rsidR="00F1327F" w:rsidRPr="00750874" w:rsidRDefault="00F1327F" w:rsidP="00F1327F">
      <w:pPr>
        <w:spacing w:line="480" w:lineRule="auto"/>
      </w:pPr>
      <w:r w:rsidRPr="00750874">
        <w:t>The research question, " How might Twenty-Four Solar terms be taught</w:t>
      </w:r>
      <w:r>
        <w:t xml:space="preserve"> effectively</w:t>
      </w:r>
      <w:r w:rsidRPr="00750874">
        <w:t xml:space="preserve"> to Welsh primary school students through a Multimodal approach?" is grounded in the theoretical framework of multimodality. This approach, which aligns with Jewitt’s (2018) view that Children excel in their learning when engaged through various methods, which is particularly relevant for language and cultural education. Kress and van Leeuwen (2001) describe multimodality theory as the integration of </w:t>
      </w:r>
      <w:r w:rsidRPr="00750874">
        <w:lastRenderedPageBreak/>
        <w:t xml:space="preserve">various communication modes – visual, auditory, linguistic, spatial, and gestural – in teaching practices. This is particularly practical in the context of language and cultural education, where different modes can facilitate a deeper understanding and appreciation of the content. </w:t>
      </w:r>
    </w:p>
    <w:p w14:paraId="0C4758E0" w14:textId="77777777" w:rsidR="00F1327F" w:rsidRPr="00750874" w:rsidRDefault="00F1327F" w:rsidP="00F1327F">
      <w:pPr>
        <w:spacing w:line="480" w:lineRule="auto"/>
      </w:pPr>
      <w:r w:rsidRPr="00750874">
        <w:t xml:space="preserve">In my research, the 24 Solar Terms could be taught through songs, experiential activities, stories, and visual multimedia methods, offering a rich sensory educational experience. This question is situated within a pragmatist paradigm, emphasizing the importance of practical and varied experiences in learning. To answer it, a comprehensive mixed methods research strategy will be employed. This strategy will use both qualitative and quantitative data to capture a holistic view of the teaching and learning processes. Qualitative data will be gathered through classroom observations, which will provide an in-depth look at the implementation of the multimodal teaching methods. These observations will focus on student engagement, teacher-student interactions, and the overall classroom dynamics during the teaching of the Twenty-Four Solar Terms. Additionally, interviews with teachers and students will offer qualitative insights into their experiences and perceptions of the multimodal approach. Quantitative data will be collected through questionnaires. These questionnaires will aim to quantify students attitudes, perceptions, and satisfaction with the multimodal teaching methods.  </w:t>
      </w:r>
    </w:p>
    <w:p w14:paraId="28294133" w14:textId="77777777" w:rsidR="00F1327F" w:rsidRPr="00750874" w:rsidRDefault="00F1327F" w:rsidP="00F1327F">
      <w:pPr>
        <w:spacing w:line="480" w:lineRule="auto"/>
        <w:rPr>
          <w:b/>
          <w:bCs/>
        </w:rPr>
      </w:pPr>
      <w:r w:rsidRPr="00750874">
        <w:rPr>
          <w:b/>
          <w:bCs/>
        </w:rPr>
        <w:t>Research Question 3</w:t>
      </w:r>
    </w:p>
    <w:p w14:paraId="51B7015E" w14:textId="77777777" w:rsidR="00F1327F" w:rsidRPr="00750874" w:rsidRDefault="00F1327F" w:rsidP="00F1327F">
      <w:pPr>
        <w:spacing w:line="480" w:lineRule="auto"/>
      </w:pPr>
      <w:r w:rsidRPr="00750874">
        <w:t xml:space="preserve">I chose the question "How can teaching the Twenty-Four Solar Terms improve the health and well-being of Welsh primary school students?" because it explores the potential impact on the learners health and wellbeing of integrating Solar terms into the Welsh students languages learning. Traditional Chinese medicine theories rooted in Chinese solar terms culture, align closely with Laozi's Taoist philosophy of the unity of humanity and nature. This concept emphasizing the harmonious integration between humans and the natural world, which is reflected in the 24 solar terms. These terms guide health preservation practices that involve nurturing the spirit, adjusting diet, and physical exercise to enhance well-being and prolong life. On the other hand, this research question </w:t>
      </w:r>
      <w:r w:rsidRPr="00750874">
        <w:lastRenderedPageBreak/>
        <w:t>aligns with Wales' new curriculum, which emphasizes enhancing student health and well-being through subject learning. Integrating health-preserving knowledge from different solar terms, such as dietary guidelines, exercise routines, mental health awareness, and a connection to nature, helps students understand their essential role within the natural world. This includes adopting traditional Chinese practices like Tai Chi and Qigong, along with specific dietary habits, as part of their physical training.</w:t>
      </w:r>
    </w:p>
    <w:p w14:paraId="74BC43B2" w14:textId="77777777" w:rsidR="00F1327F" w:rsidRPr="00750874" w:rsidRDefault="00F1327F" w:rsidP="00F1327F">
      <w:pPr>
        <w:spacing w:line="480" w:lineRule="auto"/>
      </w:pPr>
      <w:r w:rsidRPr="00750874">
        <w:t>This question is situated within a pragmatist paradigm. Pragmatism here is about understanding the impact of this integration on students' health and well-being through a practical and results-oriented perspectives. In this research, I will use a mixed methods approach. Quantitative data will be gathered through surveys to measure changes in students' understanding and attitudes toward health preservation. Qualitative insights will be obtained through interviews with students, teachers, and possibly parents, as well as observations in classrooms where the Solar Terms are being taught, focusing on student engagement and participation in activities like Tai Chi and Qigong.</w:t>
      </w:r>
    </w:p>
    <w:p w14:paraId="757DE79E" w14:textId="77777777" w:rsidR="00F1327F" w:rsidRPr="00750874" w:rsidRDefault="00F1327F" w:rsidP="00F1327F">
      <w:pPr>
        <w:spacing w:line="480" w:lineRule="auto"/>
        <w:rPr>
          <w:b/>
          <w:bCs/>
        </w:rPr>
      </w:pPr>
      <w:r w:rsidRPr="00750874">
        <w:rPr>
          <w:b/>
          <w:bCs/>
        </w:rPr>
        <w:t>Conclusion</w:t>
      </w:r>
    </w:p>
    <w:p w14:paraId="7A2B7E39" w14:textId="77777777" w:rsidR="00F1327F" w:rsidRPr="00750874" w:rsidRDefault="00F1327F" w:rsidP="00F1327F">
      <w:pPr>
        <w:spacing w:line="480" w:lineRule="auto"/>
      </w:pPr>
      <w:r w:rsidRPr="00750874">
        <w:t>I will continue to explore the research study design by focusing on one of my research questions, using mixed research methods in Assessment Component 2. I will provide a detailed overview of the sampling, data collection process, and data analysis methods. Additionally, I will consider the ethical issues related to my study.</w:t>
      </w:r>
    </w:p>
    <w:p w14:paraId="47B0EC41" w14:textId="77777777" w:rsidR="00822D6B" w:rsidRDefault="00822D6B" w:rsidP="00F1327F">
      <w:pPr>
        <w:spacing w:line="480" w:lineRule="auto"/>
      </w:pPr>
    </w:p>
    <w:p w14:paraId="46951553" w14:textId="77777777" w:rsidR="00822D6B" w:rsidRDefault="00822D6B" w:rsidP="00F1327F">
      <w:pPr>
        <w:spacing w:line="480" w:lineRule="auto"/>
      </w:pPr>
    </w:p>
    <w:p w14:paraId="5AD5434C" w14:textId="77777777" w:rsidR="00822D6B" w:rsidRDefault="00822D6B" w:rsidP="00F1327F">
      <w:pPr>
        <w:spacing w:line="480" w:lineRule="auto"/>
      </w:pPr>
    </w:p>
    <w:p w14:paraId="3A0CE5F9" w14:textId="77777777" w:rsidR="00F1327F" w:rsidRPr="00750874" w:rsidRDefault="00F1327F" w:rsidP="00F1327F">
      <w:pPr>
        <w:spacing w:line="480" w:lineRule="auto"/>
        <w:rPr>
          <w:b/>
          <w:bCs/>
        </w:rPr>
      </w:pPr>
      <w:r w:rsidRPr="00750874">
        <w:rPr>
          <w:b/>
          <w:bCs/>
        </w:rPr>
        <w:t>References:</w:t>
      </w:r>
    </w:p>
    <w:p w14:paraId="1BDF4365" w14:textId="77777777" w:rsidR="00F1327F" w:rsidRPr="00750874" w:rsidRDefault="00F1327F" w:rsidP="00F1327F">
      <w:pPr>
        <w:spacing w:line="480" w:lineRule="auto"/>
      </w:pPr>
      <w:r w:rsidRPr="00750874">
        <w:t xml:space="preserve">Bryman, A. (2016) </w:t>
      </w:r>
      <w:r w:rsidRPr="00750874">
        <w:rPr>
          <w:i/>
          <w:iCs/>
        </w:rPr>
        <w:t xml:space="preserve">Social Research Methods. </w:t>
      </w:r>
      <w:r w:rsidRPr="00750874">
        <w:t>Oxford: Oxford University Press</w:t>
      </w:r>
    </w:p>
    <w:p w14:paraId="5F294D89" w14:textId="77777777" w:rsidR="00F1327F" w:rsidRPr="00750874" w:rsidRDefault="00F1327F" w:rsidP="00F1327F">
      <w:pPr>
        <w:spacing w:line="480" w:lineRule="auto"/>
      </w:pPr>
      <w:r w:rsidRPr="00750874">
        <w:lastRenderedPageBreak/>
        <w:t>Byram, M. (2008)</w:t>
      </w:r>
      <w:r w:rsidRPr="00750874">
        <w:rPr>
          <w:rFonts w:ascii="Arial" w:hAnsi="Arial" w:cs="Arial"/>
          <w:sz w:val="20"/>
          <w:szCs w:val="20"/>
          <w:shd w:val="clear" w:color="auto" w:fill="FFFFFF"/>
        </w:rPr>
        <w:t xml:space="preserve"> </w:t>
      </w:r>
      <w:r w:rsidRPr="00750874">
        <w:rPr>
          <w:i/>
          <w:iCs/>
        </w:rPr>
        <w:t>From foreign language education to education for intercultural citizenship: Essays and reflections</w:t>
      </w:r>
      <w:r w:rsidRPr="00750874">
        <w:rPr>
          <w:rFonts w:ascii="Arial" w:hAnsi="Arial" w:cs="Arial"/>
          <w:sz w:val="20"/>
          <w:szCs w:val="20"/>
          <w:shd w:val="clear" w:color="auto" w:fill="FFFFFF"/>
        </w:rPr>
        <w:t xml:space="preserve">. Bristol: </w:t>
      </w:r>
      <w:r w:rsidRPr="00750874">
        <w:t>Multilingual Matters</w:t>
      </w:r>
      <w:r w:rsidRPr="00750874">
        <w:rPr>
          <w:rFonts w:ascii="Arial" w:hAnsi="Arial" w:cs="Arial"/>
          <w:sz w:val="20"/>
          <w:szCs w:val="20"/>
          <w:shd w:val="clear" w:color="auto" w:fill="FFFFFF"/>
        </w:rPr>
        <w:t>.</w:t>
      </w:r>
      <w:r w:rsidRPr="00750874">
        <w:t xml:space="preserve"> </w:t>
      </w:r>
    </w:p>
    <w:p w14:paraId="4E90646C" w14:textId="77777777" w:rsidR="00F1327F" w:rsidRPr="00750874" w:rsidRDefault="00F1327F" w:rsidP="00F1327F">
      <w:pPr>
        <w:spacing w:line="480" w:lineRule="auto"/>
      </w:pPr>
      <w:r w:rsidRPr="00750874">
        <w:t xml:space="preserve">Byram, M. (2020) </w:t>
      </w:r>
      <w:r w:rsidRPr="00750874">
        <w:rPr>
          <w:i/>
          <w:iCs/>
        </w:rPr>
        <w:t>Teaching and assessing Intercultural Communicative Competence</w:t>
      </w:r>
      <w:r w:rsidRPr="00750874">
        <w:t xml:space="preserve">. </w:t>
      </w:r>
      <w:r w:rsidRPr="00750874">
        <w:rPr>
          <w:rFonts w:ascii="Arial" w:hAnsi="Arial" w:cs="Arial"/>
          <w:sz w:val="20"/>
          <w:szCs w:val="20"/>
          <w:shd w:val="clear" w:color="auto" w:fill="FFFFFF"/>
        </w:rPr>
        <w:t xml:space="preserve">Bristol: </w:t>
      </w:r>
      <w:r w:rsidRPr="00750874">
        <w:t>Multilingual Matters.</w:t>
      </w:r>
    </w:p>
    <w:p w14:paraId="14697368"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Carpendale, J. I., and Lewis, C. (2004) ‘Constructing an understanding of mind: The development of children's social understanding within social interaction’, </w:t>
      </w:r>
      <w:r w:rsidRPr="00750874">
        <w:rPr>
          <w:rFonts w:ascii="Arial" w:hAnsi="Arial" w:cs="Arial"/>
          <w:i/>
          <w:iCs/>
          <w:sz w:val="20"/>
          <w:szCs w:val="20"/>
          <w:shd w:val="clear" w:color="auto" w:fill="FFFFFF"/>
        </w:rPr>
        <w:t>Behavioral and brain sciences</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27</w:t>
      </w:r>
      <w:r w:rsidRPr="00750874">
        <w:rPr>
          <w:rFonts w:ascii="Arial" w:hAnsi="Arial" w:cs="Arial"/>
          <w:sz w:val="20"/>
          <w:szCs w:val="20"/>
          <w:shd w:val="clear" w:color="auto" w:fill="FFFFFF"/>
        </w:rPr>
        <w:t>(1), pp. 79-96. Available at: https://</w:t>
      </w:r>
      <w:r w:rsidRPr="00750874">
        <w:t xml:space="preserve"> </w:t>
      </w:r>
      <w:r w:rsidRPr="00750874">
        <w:rPr>
          <w:rFonts w:ascii="Arial" w:hAnsi="Arial" w:cs="Arial"/>
          <w:sz w:val="20"/>
          <w:szCs w:val="20"/>
          <w:shd w:val="clear" w:color="auto" w:fill="FFFFFF"/>
        </w:rPr>
        <w:t>doi:10.1017/S0140525X04000032</w:t>
      </w:r>
    </w:p>
    <w:p w14:paraId="2C7D0D09"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Chomsky, N. (2014) </w:t>
      </w:r>
      <w:r w:rsidRPr="00750874">
        <w:rPr>
          <w:rFonts w:ascii="Arial" w:hAnsi="Arial" w:cs="Arial"/>
          <w:i/>
          <w:iCs/>
          <w:sz w:val="20"/>
          <w:szCs w:val="20"/>
          <w:shd w:val="clear" w:color="auto" w:fill="FFFFFF"/>
        </w:rPr>
        <w:t>Aspects of the Theory of Syntax</w:t>
      </w:r>
      <w:r w:rsidRPr="00750874">
        <w:rPr>
          <w:rFonts w:ascii="Arial" w:hAnsi="Arial" w:cs="Arial"/>
          <w:sz w:val="20"/>
          <w:szCs w:val="20"/>
          <w:shd w:val="clear" w:color="auto" w:fill="FFFFFF"/>
        </w:rPr>
        <w:t> (No. 11). Cambridge, Massachusetts: MIT press.</w:t>
      </w:r>
    </w:p>
    <w:p w14:paraId="5469EB35"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Cohen, L., Manion, L., and Morrison, K. (2018) </w:t>
      </w:r>
      <w:r w:rsidRPr="00750874">
        <w:rPr>
          <w:rFonts w:cstheme="minorHAnsi"/>
          <w:i/>
          <w:iCs/>
          <w:shd w:val="clear" w:color="auto" w:fill="FFFFFF"/>
        </w:rPr>
        <w:t>Research methods in education</w:t>
      </w:r>
      <w:r w:rsidRPr="00750874">
        <w:rPr>
          <w:rFonts w:cstheme="minorHAnsi"/>
          <w:shd w:val="clear" w:color="auto" w:fill="FFFFFF"/>
        </w:rPr>
        <w:t>. Oxfordshire: Routledge.</w:t>
      </w:r>
    </w:p>
    <w:p w14:paraId="7E714164" w14:textId="77777777" w:rsidR="00F1327F" w:rsidRPr="00750874" w:rsidRDefault="00F1327F" w:rsidP="00F1327F">
      <w:pPr>
        <w:spacing w:line="480" w:lineRule="auto"/>
        <w:rPr>
          <w:rFonts w:cstheme="minorHAnsi"/>
          <w:shd w:val="clear" w:color="auto" w:fill="FFFFFF"/>
        </w:rPr>
      </w:pPr>
      <w:r w:rsidRPr="00750874">
        <w:rPr>
          <w:rFonts w:ascii="Arial" w:hAnsi="Arial" w:cs="Arial"/>
          <w:sz w:val="20"/>
          <w:szCs w:val="20"/>
          <w:shd w:val="clear" w:color="auto" w:fill="FFFFFF"/>
        </w:rPr>
        <w:t>Creswell, J. W., and Clark, V. P. (2011) </w:t>
      </w:r>
      <w:r w:rsidRPr="00750874">
        <w:rPr>
          <w:rFonts w:ascii="Arial" w:hAnsi="Arial" w:cs="Arial"/>
          <w:i/>
          <w:iCs/>
          <w:sz w:val="20"/>
          <w:szCs w:val="20"/>
          <w:shd w:val="clear" w:color="auto" w:fill="FFFFFF"/>
        </w:rPr>
        <w:t>Mixed methods research</w:t>
      </w:r>
      <w:r w:rsidRPr="00750874">
        <w:rPr>
          <w:rFonts w:ascii="Arial" w:hAnsi="Arial" w:cs="Arial"/>
          <w:sz w:val="20"/>
          <w:szCs w:val="20"/>
          <w:shd w:val="clear" w:color="auto" w:fill="FFFFFF"/>
        </w:rPr>
        <w:t xml:space="preserve">. </w:t>
      </w:r>
      <w:r w:rsidRPr="00750874">
        <w:rPr>
          <w:rFonts w:cstheme="minorHAnsi"/>
          <w:shd w:val="clear" w:color="auto" w:fill="FFFFFF"/>
        </w:rPr>
        <w:t>Thousand Oaks, CA: Sage publications.</w:t>
      </w:r>
    </w:p>
    <w:p w14:paraId="59E6A42B"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Creswell, J. W. and Creswell, J. D. (2017) </w:t>
      </w:r>
      <w:r w:rsidRPr="00750874">
        <w:rPr>
          <w:rFonts w:cstheme="minorHAnsi"/>
          <w:i/>
          <w:iCs/>
          <w:shd w:val="clear" w:color="auto" w:fill="FFFFFF"/>
        </w:rPr>
        <w:t>Research design: Qualitative, quantitative, and mixed methods approaches</w:t>
      </w:r>
      <w:r w:rsidRPr="00750874">
        <w:rPr>
          <w:rFonts w:cstheme="minorHAnsi"/>
          <w:shd w:val="clear" w:color="auto" w:fill="FFFFFF"/>
        </w:rPr>
        <w:t>. Thousand Oaks, CA: Sage publications.</w:t>
      </w:r>
    </w:p>
    <w:p w14:paraId="0034F5CB"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Creswell, J. W. and Tashakkori, A. (2007) ‘Differing perspectives on mixed methods research’, </w:t>
      </w:r>
      <w:r w:rsidRPr="00750874">
        <w:rPr>
          <w:rFonts w:cstheme="minorHAnsi"/>
          <w:i/>
          <w:iCs/>
          <w:shd w:val="clear" w:color="auto" w:fill="FFFFFF"/>
        </w:rPr>
        <w:t>Journal of Mixed Methods Research</w:t>
      </w:r>
      <w:r w:rsidRPr="00750874">
        <w:rPr>
          <w:rFonts w:cstheme="minorHAnsi"/>
          <w:shd w:val="clear" w:color="auto" w:fill="FFFFFF"/>
        </w:rPr>
        <w:t>, 1 (4), pp. 303–308.</w:t>
      </w:r>
      <w:r>
        <w:rPr>
          <w:rFonts w:cstheme="minorHAnsi"/>
          <w:shd w:val="clear" w:color="auto" w:fill="FFFFFF"/>
        </w:rPr>
        <w:t xml:space="preserve"> Available at: </w:t>
      </w:r>
      <w:r w:rsidRPr="004169EA">
        <w:rPr>
          <w:rFonts w:cstheme="minorHAnsi"/>
          <w:shd w:val="clear" w:color="auto" w:fill="FFFFFF"/>
        </w:rPr>
        <w:t>https://doi.org/10.1177/15586898073061</w:t>
      </w:r>
    </w:p>
    <w:p w14:paraId="0AC61D01" w14:textId="77777777" w:rsidR="00F1327F" w:rsidRPr="00750874" w:rsidRDefault="00F1327F" w:rsidP="00F1327F">
      <w:pPr>
        <w:spacing w:line="480" w:lineRule="auto"/>
        <w:rPr>
          <w:rFonts w:cstheme="minorHAnsi"/>
          <w:shd w:val="clear" w:color="auto" w:fill="FFFFFF"/>
        </w:rPr>
      </w:pPr>
      <w:r w:rsidRPr="00750874">
        <w:rPr>
          <w:rFonts w:cstheme="minorHAnsi"/>
          <w:shd w:val="clear" w:color="auto" w:fill="FFFFFF"/>
        </w:rPr>
        <w:t xml:space="preserve">Denscombe, M. (2014) </w:t>
      </w:r>
      <w:r w:rsidRPr="00750874">
        <w:rPr>
          <w:rFonts w:cstheme="minorHAnsi"/>
          <w:i/>
          <w:iCs/>
          <w:shd w:val="clear" w:color="auto" w:fill="FFFFFF"/>
        </w:rPr>
        <w:t>The Good Research Guide</w:t>
      </w:r>
      <w:r>
        <w:rPr>
          <w:rFonts w:cstheme="minorHAnsi"/>
          <w:i/>
          <w:iCs/>
          <w:shd w:val="clear" w:color="auto" w:fill="FFFFFF"/>
        </w:rPr>
        <w:t>. 4</w:t>
      </w:r>
      <w:r w:rsidRPr="00FD754F">
        <w:rPr>
          <w:rFonts w:cstheme="minorHAnsi"/>
          <w:i/>
          <w:iCs/>
          <w:shd w:val="clear" w:color="auto" w:fill="FFFFFF"/>
          <w:vertAlign w:val="superscript"/>
        </w:rPr>
        <w:t>th</w:t>
      </w:r>
      <w:r>
        <w:rPr>
          <w:rFonts w:cstheme="minorHAnsi"/>
          <w:i/>
          <w:iCs/>
          <w:shd w:val="clear" w:color="auto" w:fill="FFFFFF"/>
        </w:rPr>
        <w:t xml:space="preserve"> edn.</w:t>
      </w:r>
      <w:r w:rsidRPr="00750874">
        <w:rPr>
          <w:rFonts w:cstheme="minorHAnsi"/>
          <w:shd w:val="clear" w:color="auto" w:fill="FFFFFF"/>
        </w:rPr>
        <w:t xml:space="preserve"> Maidenhead, UK: Open University Press.</w:t>
      </w:r>
    </w:p>
    <w:p w14:paraId="6D5361F0" w14:textId="77777777" w:rsidR="00F1327F" w:rsidRPr="00750874" w:rsidRDefault="00F1327F" w:rsidP="00F1327F">
      <w:pPr>
        <w:spacing w:line="480" w:lineRule="auto"/>
        <w:rPr>
          <w:rFonts w:cstheme="minorHAnsi"/>
          <w:shd w:val="clear" w:color="auto" w:fill="FFFFFF"/>
        </w:rPr>
      </w:pPr>
      <w:r w:rsidRPr="00750874">
        <w:rPr>
          <w:rFonts w:ascii="Arial" w:hAnsi="Arial" w:cs="Arial"/>
          <w:sz w:val="20"/>
          <w:szCs w:val="20"/>
          <w:shd w:val="clear" w:color="auto" w:fill="FFFFFF"/>
        </w:rPr>
        <w:t xml:space="preserve">Fowler Jr, F. J. (2013) </w:t>
      </w:r>
      <w:r w:rsidRPr="00750874">
        <w:rPr>
          <w:rFonts w:ascii="Arial" w:hAnsi="Arial" w:cs="Arial"/>
          <w:i/>
          <w:iCs/>
          <w:sz w:val="20"/>
          <w:szCs w:val="20"/>
          <w:shd w:val="clear" w:color="auto" w:fill="FFFFFF"/>
        </w:rPr>
        <w:t>Survey research methods</w:t>
      </w:r>
      <w:r w:rsidRPr="00750874">
        <w:rPr>
          <w:rFonts w:ascii="Arial" w:hAnsi="Arial" w:cs="Arial"/>
          <w:sz w:val="20"/>
          <w:szCs w:val="20"/>
          <w:shd w:val="clear" w:color="auto" w:fill="FFFFFF"/>
        </w:rPr>
        <w:t xml:space="preserve">. </w:t>
      </w:r>
      <w:r w:rsidRPr="00750874">
        <w:rPr>
          <w:rFonts w:cstheme="minorHAnsi"/>
          <w:shd w:val="clear" w:color="auto" w:fill="FFFFFF"/>
        </w:rPr>
        <w:t>Thousand Oaks, CA: Sage publications.</w:t>
      </w:r>
    </w:p>
    <w:p w14:paraId="32E133B5" w14:textId="77777777" w:rsidR="00F1327F" w:rsidRPr="00750874" w:rsidRDefault="00F1327F" w:rsidP="00F1327F">
      <w:pPr>
        <w:spacing w:line="480" w:lineRule="auto"/>
      </w:pPr>
      <w:r w:rsidRPr="00750874">
        <w:t xml:space="preserve">Hochschild, J. L. (2009) </w:t>
      </w:r>
      <w:r w:rsidRPr="00750874">
        <w:rPr>
          <w:i/>
          <w:iCs/>
        </w:rPr>
        <w:t>Conducting intensive interviews and elite interviews</w:t>
      </w:r>
      <w:r w:rsidRPr="00750874">
        <w:t>. Available at: https://scholar.harvard.edu/jlhochschild/publications/conducting-intensive-interviews-and-elite-interviews (Accessed: 22 December 2023).</w:t>
      </w:r>
    </w:p>
    <w:p w14:paraId="0489774E" w14:textId="77777777" w:rsidR="00F1327F" w:rsidRPr="00750874" w:rsidRDefault="00F1327F" w:rsidP="00F1327F">
      <w:pPr>
        <w:spacing w:line="480" w:lineRule="auto"/>
        <w:rPr>
          <w:sz w:val="24"/>
          <w:szCs w:val="24"/>
        </w:rPr>
      </w:pPr>
      <w:r w:rsidRPr="00750874">
        <w:rPr>
          <w:sz w:val="24"/>
          <w:szCs w:val="24"/>
        </w:rPr>
        <w:lastRenderedPageBreak/>
        <w:t xml:space="preserve">Kivunja, C. and Kuyini, A.B., (2017) ‘Understanding and applying research paradigms in educational contexts’, </w:t>
      </w:r>
      <w:r w:rsidRPr="00750874">
        <w:rPr>
          <w:i/>
          <w:iCs/>
          <w:sz w:val="24"/>
          <w:szCs w:val="24"/>
        </w:rPr>
        <w:t>International Journal of higher education,</w:t>
      </w:r>
      <w:r w:rsidRPr="00750874">
        <w:rPr>
          <w:sz w:val="24"/>
          <w:szCs w:val="24"/>
        </w:rPr>
        <w:t xml:space="preserve"> 6(5), pp.26-41.</w:t>
      </w:r>
    </w:p>
    <w:p w14:paraId="28B2A8EE" w14:textId="77777777" w:rsidR="00F1327F" w:rsidRPr="0003084B"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Lincoln, Y. S., </w:t>
      </w:r>
      <w:bookmarkStart w:id="0" w:name="_Hlk154869173"/>
      <w:r w:rsidRPr="00750874">
        <w:rPr>
          <w:rFonts w:ascii="Arial" w:hAnsi="Arial" w:cs="Arial"/>
          <w:sz w:val="20"/>
          <w:szCs w:val="20"/>
          <w:shd w:val="clear" w:color="auto" w:fill="FFFFFF"/>
        </w:rPr>
        <w:t>Lynham</w:t>
      </w:r>
      <w:bookmarkEnd w:id="0"/>
      <w:r w:rsidRPr="00750874">
        <w:rPr>
          <w:rFonts w:ascii="Arial" w:hAnsi="Arial" w:cs="Arial"/>
          <w:sz w:val="20"/>
          <w:szCs w:val="20"/>
          <w:shd w:val="clear" w:color="auto" w:fill="FFFFFF"/>
        </w:rPr>
        <w:t>, S. A., and Guba, E. G. (2011) ‘Paradigmatic controversies, contradictions, and emerging confluences, revisited’</w:t>
      </w:r>
      <w:r>
        <w:rPr>
          <w:rFonts w:ascii="Arial" w:hAnsi="Arial" w:cs="Arial"/>
          <w:sz w:val="20"/>
          <w:szCs w:val="20"/>
          <w:shd w:val="clear" w:color="auto" w:fill="FFFFFF"/>
        </w:rPr>
        <w:t xml:space="preserve">, </w:t>
      </w:r>
      <w:r w:rsidRPr="00750874">
        <w:rPr>
          <w:rFonts w:ascii="Arial" w:hAnsi="Arial" w:cs="Arial"/>
          <w:i/>
          <w:iCs/>
          <w:sz w:val="20"/>
          <w:szCs w:val="20"/>
          <w:shd w:val="clear" w:color="auto" w:fill="FFFFFF"/>
        </w:rPr>
        <w:t>The Sage handbook of qualitative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4</w:t>
      </w:r>
      <w:r w:rsidRPr="00750874">
        <w:rPr>
          <w:rFonts w:ascii="Arial" w:hAnsi="Arial" w:cs="Arial"/>
          <w:sz w:val="20"/>
          <w:szCs w:val="20"/>
          <w:shd w:val="clear" w:color="auto" w:fill="FFFFFF"/>
        </w:rPr>
        <w:t>(2), pp. 97-128.</w:t>
      </w:r>
    </w:p>
    <w:p w14:paraId="690771C6" w14:textId="77777777" w:rsidR="00F1327F" w:rsidRPr="00750874" w:rsidRDefault="00F1327F" w:rsidP="00F1327F">
      <w:pPr>
        <w:spacing w:line="480" w:lineRule="auto"/>
      </w:pPr>
      <w:r w:rsidRPr="00750874">
        <w:rPr>
          <w:rFonts w:ascii="Arial" w:hAnsi="Arial" w:cs="Arial"/>
          <w:sz w:val="20"/>
          <w:szCs w:val="20"/>
          <w:shd w:val="clear" w:color="auto" w:fill="FFFFFF"/>
        </w:rPr>
        <w:t>Jewitt, C. (2008) ‘Multimodality and literacy in school classrooms’</w:t>
      </w:r>
      <w:r>
        <w:rPr>
          <w:rFonts w:ascii="Arial" w:hAnsi="Arial" w:cs="Arial"/>
          <w:sz w:val="20"/>
          <w:szCs w:val="20"/>
          <w:shd w:val="clear" w:color="auto" w:fill="FFFFFF"/>
        </w:rPr>
        <w:t>,</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Review of research in education</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32</w:t>
      </w:r>
      <w:r w:rsidRPr="00750874">
        <w:rPr>
          <w:rFonts w:ascii="Arial" w:hAnsi="Arial" w:cs="Arial"/>
          <w:sz w:val="20"/>
          <w:szCs w:val="20"/>
          <w:shd w:val="clear" w:color="auto" w:fill="FFFFFF"/>
        </w:rPr>
        <w:t>(1), pp. 241-267. Available at:</w:t>
      </w:r>
      <w:r w:rsidRPr="00750874">
        <w:t xml:space="preserve"> </w:t>
      </w:r>
      <w:r w:rsidRPr="00750874">
        <w:rPr>
          <w:rFonts w:ascii="Arial" w:hAnsi="Arial" w:cs="Arial"/>
          <w:sz w:val="20"/>
          <w:szCs w:val="20"/>
          <w:shd w:val="clear" w:color="auto" w:fill="FFFFFF"/>
        </w:rPr>
        <w:t>https://doi.org/10.3102/0091732X07310586</w:t>
      </w:r>
    </w:p>
    <w:p w14:paraId="5DA4A56D"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Kramsch, C. (1996) ‘The cultural component of language teaching’, </w:t>
      </w:r>
      <w:r w:rsidRPr="00750874">
        <w:rPr>
          <w:rFonts w:ascii="Arial" w:hAnsi="Arial" w:cs="Arial"/>
          <w:i/>
          <w:iCs/>
          <w:sz w:val="20"/>
          <w:szCs w:val="20"/>
          <w:shd w:val="clear" w:color="auto" w:fill="FFFFFF"/>
        </w:rPr>
        <w:t>Zeitschrift für interkulturellen Fremdsprachenunterricht</w:t>
      </w:r>
      <w:r w:rsidRPr="00750874">
        <w:rPr>
          <w:rFonts w:ascii="Arial" w:hAnsi="Arial" w:cs="Arial"/>
          <w:sz w:val="20"/>
          <w:szCs w:val="20"/>
          <w:shd w:val="clear" w:color="auto" w:fill="FFFFFF"/>
        </w:rPr>
        <w:t xml:space="preserve">, 1(2). </w:t>
      </w:r>
    </w:p>
    <w:p w14:paraId="106B210A"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Kress, G., and Leeuwen, T. (2001) </w:t>
      </w:r>
      <w:r w:rsidRPr="00750874">
        <w:rPr>
          <w:rFonts w:ascii="Arial" w:hAnsi="Arial" w:cs="Arial"/>
          <w:i/>
          <w:iCs/>
          <w:sz w:val="20"/>
          <w:szCs w:val="20"/>
          <w:shd w:val="clear" w:color="auto" w:fill="FFFFFF"/>
        </w:rPr>
        <w:t>The modes and media of contemporary communication</w:t>
      </w:r>
      <w:r w:rsidRPr="00750874">
        <w:rPr>
          <w:rFonts w:ascii="Arial" w:hAnsi="Arial" w:cs="Arial"/>
          <w:sz w:val="20"/>
          <w:szCs w:val="20"/>
          <w:shd w:val="clear" w:color="auto" w:fill="FFFFFF"/>
        </w:rPr>
        <w:t>. London: Arnold.</w:t>
      </w:r>
    </w:p>
    <w:p w14:paraId="78DF3952"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Mackenzie, N., and Knipe, S. (2006) ‘Research dilemmas: Paradigms, methods and methodology’, </w:t>
      </w:r>
      <w:r w:rsidRPr="00750874">
        <w:rPr>
          <w:rFonts w:ascii="Arial" w:hAnsi="Arial" w:cs="Arial"/>
          <w:i/>
          <w:iCs/>
          <w:sz w:val="20"/>
          <w:szCs w:val="20"/>
          <w:shd w:val="clear" w:color="auto" w:fill="FFFFFF"/>
        </w:rPr>
        <w:t>Issues in educational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16</w:t>
      </w:r>
      <w:r w:rsidRPr="00750874">
        <w:rPr>
          <w:rFonts w:ascii="Arial" w:hAnsi="Arial" w:cs="Arial"/>
          <w:sz w:val="20"/>
          <w:szCs w:val="20"/>
          <w:shd w:val="clear" w:color="auto" w:fill="FFFFFF"/>
        </w:rPr>
        <w:t xml:space="preserve">(2), pp.193-205. </w:t>
      </w:r>
    </w:p>
    <w:p w14:paraId="26A703F0"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Morgan, D. L. (1996) </w:t>
      </w:r>
      <w:r w:rsidRPr="00750874">
        <w:rPr>
          <w:rFonts w:ascii="Arial" w:hAnsi="Arial" w:cs="Arial"/>
          <w:i/>
          <w:iCs/>
          <w:sz w:val="20"/>
          <w:szCs w:val="20"/>
          <w:shd w:val="clear" w:color="auto" w:fill="FFFFFF"/>
        </w:rPr>
        <w:t>Focus groups as qualitative research</w:t>
      </w:r>
      <w:r w:rsidRPr="00750874">
        <w:rPr>
          <w:rFonts w:ascii="Arial" w:hAnsi="Arial" w:cs="Arial"/>
          <w:sz w:val="20"/>
          <w:szCs w:val="20"/>
          <w:shd w:val="clear" w:color="auto" w:fill="FFFFFF"/>
        </w:rPr>
        <w:t xml:space="preserve"> (Vol. 16). </w:t>
      </w:r>
      <w:r w:rsidRPr="00750874">
        <w:rPr>
          <w:rFonts w:cstheme="minorHAnsi"/>
          <w:shd w:val="clear" w:color="auto" w:fill="FFFFFF"/>
        </w:rPr>
        <w:t xml:space="preserve">Thousand Oaks, CA: </w:t>
      </w:r>
      <w:r w:rsidRPr="00750874">
        <w:rPr>
          <w:rFonts w:ascii="Arial" w:hAnsi="Arial" w:cs="Arial"/>
          <w:sz w:val="20"/>
          <w:szCs w:val="20"/>
          <w:shd w:val="clear" w:color="auto" w:fill="FFFFFF"/>
        </w:rPr>
        <w:t>Sage publications.</w:t>
      </w:r>
    </w:p>
    <w:p w14:paraId="704EDF7B" w14:textId="77777777" w:rsidR="00F1327F" w:rsidRPr="00750874" w:rsidRDefault="00F1327F" w:rsidP="00F1327F">
      <w:pPr>
        <w:spacing w:line="480" w:lineRule="auto"/>
      </w:pPr>
      <w:r w:rsidRPr="00750874">
        <w:t xml:space="preserve">Morgan, D. L. (2014) ‘Pragmatism as a paradigm for social research’, </w:t>
      </w:r>
      <w:r w:rsidRPr="00750874">
        <w:rPr>
          <w:i/>
          <w:iCs/>
        </w:rPr>
        <w:t>Qualitative inquiry</w:t>
      </w:r>
      <w:r w:rsidRPr="00750874">
        <w:t>, 20(8), pp. 1045-1053. Available at: https://doi.org/10.1177/1077800413513733</w:t>
      </w:r>
    </w:p>
    <w:p w14:paraId="1CE074F6"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Schwandt, T. A. (1994) ‘Constructivist, interpretivist approaches to human inquiry’</w:t>
      </w:r>
      <w:r>
        <w:rPr>
          <w:rFonts w:ascii="Arial" w:hAnsi="Arial" w:cs="Arial"/>
          <w:sz w:val="20"/>
          <w:szCs w:val="20"/>
          <w:shd w:val="clear" w:color="auto" w:fill="FFFFFF"/>
        </w:rPr>
        <w:t>,</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Handbook of qualitative research</w:t>
      </w:r>
      <w:r w:rsidRPr="00750874">
        <w:rPr>
          <w:rFonts w:ascii="Arial" w:hAnsi="Arial" w:cs="Arial"/>
          <w:sz w:val="20"/>
          <w:szCs w:val="20"/>
          <w:shd w:val="clear" w:color="auto" w:fill="FFFFFF"/>
        </w:rPr>
        <w:t>, </w:t>
      </w:r>
      <w:r w:rsidRPr="00750874">
        <w:rPr>
          <w:rFonts w:ascii="Arial" w:hAnsi="Arial" w:cs="Arial"/>
          <w:i/>
          <w:iCs/>
          <w:sz w:val="20"/>
          <w:szCs w:val="20"/>
          <w:shd w:val="clear" w:color="auto" w:fill="FFFFFF"/>
        </w:rPr>
        <w:t>1</w:t>
      </w:r>
      <w:r w:rsidRPr="00750874">
        <w:rPr>
          <w:rFonts w:ascii="Arial" w:hAnsi="Arial" w:cs="Arial"/>
          <w:sz w:val="20"/>
          <w:szCs w:val="20"/>
          <w:shd w:val="clear" w:color="auto" w:fill="FFFFFF"/>
        </w:rPr>
        <w:t xml:space="preserve">(1994), pp.118-137. </w:t>
      </w:r>
    </w:p>
    <w:p w14:paraId="69F3BDD5"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 xml:space="preserve">Trochim, W. M., and Donnelly, J. P. (2001) </w:t>
      </w:r>
      <w:r w:rsidRPr="00750874">
        <w:rPr>
          <w:rFonts w:ascii="Arial" w:hAnsi="Arial" w:cs="Arial"/>
          <w:i/>
          <w:iCs/>
          <w:sz w:val="20"/>
          <w:szCs w:val="20"/>
          <w:shd w:val="clear" w:color="auto" w:fill="FFFFFF"/>
        </w:rPr>
        <w:t>Research methods knowledge base</w:t>
      </w:r>
      <w:r>
        <w:rPr>
          <w:rFonts w:ascii="Arial" w:hAnsi="Arial" w:cs="Arial"/>
          <w:i/>
          <w:iCs/>
          <w:sz w:val="20"/>
          <w:szCs w:val="20"/>
          <w:shd w:val="clear" w:color="auto" w:fill="FFFFFF"/>
        </w:rPr>
        <w:t>.</w:t>
      </w:r>
      <w:r w:rsidRPr="00750874">
        <w:rPr>
          <w:rFonts w:ascii="Arial" w:hAnsi="Arial" w:cs="Arial"/>
          <w:sz w:val="20"/>
          <w:szCs w:val="20"/>
          <w:shd w:val="clear" w:color="auto" w:fill="FFFFFF"/>
        </w:rPr>
        <w:t> (Vol. 2)  New York: Macmillan Publishing Company</w:t>
      </w:r>
    </w:p>
    <w:p w14:paraId="46C6849F" w14:textId="77777777" w:rsidR="00F1327F" w:rsidRPr="00750874" w:rsidRDefault="00F1327F" w:rsidP="00F1327F">
      <w:pPr>
        <w:spacing w:line="480" w:lineRule="auto"/>
      </w:pPr>
      <w:r w:rsidRPr="00750874">
        <w:t xml:space="preserve">UNESCO (2016) </w:t>
      </w:r>
      <w:r w:rsidRPr="00750874">
        <w:rPr>
          <w:i/>
          <w:iCs/>
        </w:rPr>
        <w:t>The Twenty-Four Solar Terms</w:t>
      </w:r>
      <w:r w:rsidRPr="00750874">
        <w:t>. Available at: https://ich.unesco.org/en/RL/the-twenty-four-solar-terms-knowledge-in-china-of-time-and-practices-developed-through-observation-of-the-sun-s-annual-motion-00647 (Accessed: 19 December 2023)</w:t>
      </w:r>
    </w:p>
    <w:p w14:paraId="48DAA559" w14:textId="77777777" w:rsidR="00F1327F" w:rsidRPr="00750874" w:rsidRDefault="00F1327F" w:rsidP="00F1327F">
      <w:pPr>
        <w:spacing w:line="480" w:lineRule="auto"/>
      </w:pPr>
      <w:r w:rsidRPr="00750874">
        <w:t xml:space="preserve">Wang, Y., Zhou, L. and Wang, H. (2023) ‘A Probe into the Path of Integrating “24 Solar Terms” into International Chinese Language Education from the Perspective of Cultural Communication’, </w:t>
      </w:r>
      <w:r w:rsidRPr="00750874">
        <w:rPr>
          <w:i/>
          <w:iCs/>
        </w:rPr>
        <w:lastRenderedPageBreak/>
        <w:t>International Journal of New Developments in Education</w:t>
      </w:r>
      <w:r w:rsidRPr="00750874">
        <w:t>, 5(12),pp. 21-27. Available at: https:// doi: 10.25236/IJNDE.2023.051204</w:t>
      </w:r>
    </w:p>
    <w:p w14:paraId="07061C28" w14:textId="77777777" w:rsidR="00F1327F" w:rsidRPr="00750874" w:rsidRDefault="00F1327F" w:rsidP="00F1327F">
      <w:pPr>
        <w:spacing w:line="480" w:lineRule="auto"/>
      </w:pPr>
      <w:r w:rsidRPr="00750874">
        <w:t xml:space="preserve">Welsh Government (2023) </w:t>
      </w:r>
      <w:r w:rsidRPr="00750874">
        <w:rPr>
          <w:i/>
          <w:iCs/>
        </w:rPr>
        <w:t>Curriculum for Wales</w:t>
      </w:r>
      <w:r w:rsidRPr="00750874">
        <w:t xml:space="preserve">. Available at: https://hwb.gov.wales/curriculum-for-wales/ (Accessed: 20 December 2023). </w:t>
      </w:r>
    </w:p>
    <w:p w14:paraId="1072CF53" w14:textId="77777777" w:rsidR="00F1327F" w:rsidRPr="00750874" w:rsidRDefault="00F1327F" w:rsidP="00F1327F">
      <w:pPr>
        <w:spacing w:line="480" w:lineRule="auto"/>
      </w:pPr>
      <w:r w:rsidRPr="00750874">
        <w:rPr>
          <w:rFonts w:ascii="Arial" w:hAnsi="Arial" w:cs="Arial"/>
          <w:sz w:val="20"/>
          <w:szCs w:val="20"/>
          <w:shd w:val="clear" w:color="auto" w:fill="FFFFFF"/>
        </w:rPr>
        <w:t xml:space="preserve">XUE, J. (2012) Hao Shi Shi Hao: food education for children in the way of exploration, which is based on 24 solar terms. </w:t>
      </w:r>
      <w:r>
        <w:rPr>
          <w:rFonts w:ascii="Arial" w:hAnsi="Arial" w:cs="Arial"/>
          <w:sz w:val="20"/>
          <w:szCs w:val="20"/>
          <w:shd w:val="clear" w:color="auto" w:fill="FFFFFF"/>
        </w:rPr>
        <w:t xml:space="preserve">Available at: </w:t>
      </w:r>
      <w:r w:rsidRPr="009B64FE">
        <w:rPr>
          <w:rFonts w:ascii="Arial" w:hAnsi="Arial" w:cs="Arial"/>
          <w:sz w:val="20"/>
          <w:szCs w:val="20"/>
          <w:shd w:val="clear" w:color="auto" w:fill="FFFFFF"/>
        </w:rPr>
        <w:t>https://hdl.handle.net/10589/63821</w:t>
      </w:r>
      <w:r>
        <w:rPr>
          <w:rFonts w:ascii="Arial" w:hAnsi="Arial" w:cs="Arial"/>
          <w:sz w:val="20"/>
          <w:szCs w:val="20"/>
          <w:shd w:val="clear" w:color="auto" w:fill="FFFFFF"/>
        </w:rPr>
        <w:t xml:space="preserve"> (Accessed: 12 December 2023)</w:t>
      </w:r>
    </w:p>
    <w:p w14:paraId="1F885DC0" w14:textId="77777777" w:rsidR="00F1327F" w:rsidRPr="00750874" w:rsidRDefault="00F1327F" w:rsidP="00F1327F">
      <w:pPr>
        <w:spacing w:line="480" w:lineRule="auto"/>
        <w:rPr>
          <w:rFonts w:ascii="Arial" w:hAnsi="Arial" w:cs="Arial"/>
          <w:sz w:val="20"/>
          <w:szCs w:val="20"/>
          <w:shd w:val="clear" w:color="auto" w:fill="FFFFFF"/>
        </w:rPr>
      </w:pPr>
      <w:r w:rsidRPr="00750874">
        <w:rPr>
          <w:rFonts w:ascii="Arial" w:hAnsi="Arial" w:cs="Arial"/>
          <w:sz w:val="20"/>
          <w:szCs w:val="20"/>
          <w:shd w:val="clear" w:color="auto" w:fill="FFFFFF"/>
        </w:rPr>
        <w:t>Zhou, X., Li, Z., and Yeh, S. F. (2022) ‘6 Teaching English and Solar Terms through a Multimodal Approach to Young Chinese Children’, in Brown, S. and Hao, L. (eds)  </w:t>
      </w:r>
      <w:r w:rsidRPr="00750874">
        <w:rPr>
          <w:rFonts w:ascii="Arial" w:hAnsi="Arial" w:cs="Arial"/>
          <w:i/>
          <w:iCs/>
          <w:sz w:val="20"/>
          <w:szCs w:val="20"/>
          <w:shd w:val="clear" w:color="auto" w:fill="FFFFFF"/>
        </w:rPr>
        <w:t>Multimodal Literacies in Young Emergent Bilinguals: Beyond Print-Centric Practices</w:t>
      </w:r>
      <w:r w:rsidRPr="00750874">
        <w:rPr>
          <w:rFonts w:ascii="Arial" w:hAnsi="Arial" w:cs="Arial"/>
          <w:sz w:val="20"/>
          <w:szCs w:val="20"/>
          <w:shd w:val="clear" w:color="auto" w:fill="FFFFFF"/>
        </w:rPr>
        <w:t xml:space="preserve">. Bristol: </w:t>
      </w:r>
      <w:r w:rsidRPr="00750874">
        <w:t>Multilingual Matters</w:t>
      </w:r>
      <w:r w:rsidRPr="00750874">
        <w:rPr>
          <w:rFonts w:ascii="Arial" w:hAnsi="Arial" w:cs="Arial"/>
          <w:sz w:val="20"/>
          <w:szCs w:val="20"/>
          <w:shd w:val="clear" w:color="auto" w:fill="FFFFFF"/>
        </w:rPr>
        <w:t>, pp.105-114.</w:t>
      </w:r>
    </w:p>
    <w:p w14:paraId="4D8143E0" w14:textId="77777777" w:rsidR="00F1327F" w:rsidRPr="00750874" w:rsidRDefault="00F1327F" w:rsidP="00F1327F">
      <w:pPr>
        <w:spacing w:line="480" w:lineRule="auto"/>
      </w:pPr>
    </w:p>
    <w:sectPr w:rsidR="00F1327F" w:rsidRPr="00750874" w:rsidSect="00E562E9">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2BF98" w14:textId="77777777" w:rsidR="00140091" w:rsidRDefault="00140091" w:rsidP="00A76D33">
      <w:pPr>
        <w:spacing w:after="0" w:line="240" w:lineRule="auto"/>
      </w:pPr>
      <w:r>
        <w:separator/>
      </w:r>
    </w:p>
  </w:endnote>
  <w:endnote w:type="continuationSeparator" w:id="0">
    <w:p w14:paraId="4B523B65" w14:textId="77777777" w:rsidR="00140091" w:rsidRDefault="00140091" w:rsidP="00A7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29073"/>
      <w:docPartObj>
        <w:docPartGallery w:val="Page Numbers (Bottom of Page)"/>
        <w:docPartUnique/>
      </w:docPartObj>
    </w:sdtPr>
    <w:sdtEndPr>
      <w:rPr>
        <w:noProof/>
      </w:rPr>
    </w:sdtEndPr>
    <w:sdtContent>
      <w:p w14:paraId="0714B55E" w14:textId="4F7C861C" w:rsidR="00E562E9" w:rsidRDefault="00E562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939CF" w14:textId="34DC6B7F" w:rsidR="008032C3" w:rsidRDefault="0080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7385B" w14:textId="77777777" w:rsidR="00140091" w:rsidRDefault="00140091" w:rsidP="00A76D33">
      <w:pPr>
        <w:spacing w:after="0" w:line="240" w:lineRule="auto"/>
      </w:pPr>
      <w:r>
        <w:separator/>
      </w:r>
    </w:p>
  </w:footnote>
  <w:footnote w:type="continuationSeparator" w:id="0">
    <w:p w14:paraId="43B48B8E" w14:textId="77777777" w:rsidR="00140091" w:rsidRDefault="00140091" w:rsidP="00A76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4400" w14:textId="5D9AAC6C" w:rsidR="001938F2" w:rsidRDefault="001938F2">
    <w:pPr>
      <w:pStyle w:val="Header"/>
    </w:pPr>
    <w:r>
      <w:t>2242</w:t>
    </w:r>
    <w:r w:rsidR="002269CB">
      <w:t>601</w:t>
    </w:r>
    <w:r w:rsidR="00312E0E">
      <w:t xml:space="preserve">                                                                                                                                   </w:t>
    </w:r>
    <w:r w:rsidR="00312E0E">
      <w:tab/>
    </w:r>
    <w:r w:rsidR="00312E0E" w:rsidRPr="00B42E84">
      <w:t>ECDE70</w:t>
    </w:r>
    <w:r w:rsidR="00F1327F">
      <w:t>02</w:t>
    </w:r>
    <w:r w:rsidR="00312E0E" w:rsidRPr="00B42E8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812D5"/>
    <w:multiLevelType w:val="hybridMultilevel"/>
    <w:tmpl w:val="D8FE43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D1D41BB"/>
    <w:multiLevelType w:val="hybridMultilevel"/>
    <w:tmpl w:val="4852D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28021356">
    <w:abstractNumId w:val="1"/>
  </w:num>
  <w:num w:numId="2" w16cid:durableId="197224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5D"/>
    <w:rsid w:val="000003BD"/>
    <w:rsid w:val="00051A74"/>
    <w:rsid w:val="00067589"/>
    <w:rsid w:val="00073439"/>
    <w:rsid w:val="00074321"/>
    <w:rsid w:val="00075FEA"/>
    <w:rsid w:val="000B1DFE"/>
    <w:rsid w:val="000D2CFA"/>
    <w:rsid w:val="000D36AF"/>
    <w:rsid w:val="000F335F"/>
    <w:rsid w:val="00117BCA"/>
    <w:rsid w:val="001224B5"/>
    <w:rsid w:val="001241A0"/>
    <w:rsid w:val="00140091"/>
    <w:rsid w:val="00140E2C"/>
    <w:rsid w:val="00157799"/>
    <w:rsid w:val="00173082"/>
    <w:rsid w:val="001938F2"/>
    <w:rsid w:val="001B3B58"/>
    <w:rsid w:val="001F05F4"/>
    <w:rsid w:val="002104E8"/>
    <w:rsid w:val="002269CB"/>
    <w:rsid w:val="00227F76"/>
    <w:rsid w:val="00230220"/>
    <w:rsid w:val="00255FED"/>
    <w:rsid w:val="00277180"/>
    <w:rsid w:val="00282465"/>
    <w:rsid w:val="00292728"/>
    <w:rsid w:val="002B1496"/>
    <w:rsid w:val="002B5B9C"/>
    <w:rsid w:val="002D5522"/>
    <w:rsid w:val="002D7610"/>
    <w:rsid w:val="002E2C53"/>
    <w:rsid w:val="002F6521"/>
    <w:rsid w:val="00311410"/>
    <w:rsid w:val="00312E0E"/>
    <w:rsid w:val="003149B2"/>
    <w:rsid w:val="003263B7"/>
    <w:rsid w:val="003265FD"/>
    <w:rsid w:val="00340CBB"/>
    <w:rsid w:val="00360DFC"/>
    <w:rsid w:val="003839E8"/>
    <w:rsid w:val="00394FAD"/>
    <w:rsid w:val="003F27A3"/>
    <w:rsid w:val="004242AD"/>
    <w:rsid w:val="00453DD3"/>
    <w:rsid w:val="004541C6"/>
    <w:rsid w:val="00481201"/>
    <w:rsid w:val="004857BC"/>
    <w:rsid w:val="004A05DF"/>
    <w:rsid w:val="004A4EFA"/>
    <w:rsid w:val="004B42DA"/>
    <w:rsid w:val="004E12BA"/>
    <w:rsid w:val="00572989"/>
    <w:rsid w:val="005B3CC0"/>
    <w:rsid w:val="00615C72"/>
    <w:rsid w:val="00621CA7"/>
    <w:rsid w:val="00622962"/>
    <w:rsid w:val="006644B5"/>
    <w:rsid w:val="006C0C1E"/>
    <w:rsid w:val="00702E89"/>
    <w:rsid w:val="00760AA4"/>
    <w:rsid w:val="007A047D"/>
    <w:rsid w:val="007C5CC1"/>
    <w:rsid w:val="008032C3"/>
    <w:rsid w:val="00813D2B"/>
    <w:rsid w:val="00822D6B"/>
    <w:rsid w:val="0084335C"/>
    <w:rsid w:val="00856F19"/>
    <w:rsid w:val="008706E1"/>
    <w:rsid w:val="008751CB"/>
    <w:rsid w:val="008B651B"/>
    <w:rsid w:val="008D4015"/>
    <w:rsid w:val="008F2FA3"/>
    <w:rsid w:val="008F5E3D"/>
    <w:rsid w:val="00917A0D"/>
    <w:rsid w:val="0098678A"/>
    <w:rsid w:val="00A033E1"/>
    <w:rsid w:val="00A24F2E"/>
    <w:rsid w:val="00A563BC"/>
    <w:rsid w:val="00A620B4"/>
    <w:rsid w:val="00A673B0"/>
    <w:rsid w:val="00A76D33"/>
    <w:rsid w:val="00AA3419"/>
    <w:rsid w:val="00AC4A43"/>
    <w:rsid w:val="00AC7714"/>
    <w:rsid w:val="00AE1DE0"/>
    <w:rsid w:val="00AE2B46"/>
    <w:rsid w:val="00AE438B"/>
    <w:rsid w:val="00AF27E9"/>
    <w:rsid w:val="00B11FF0"/>
    <w:rsid w:val="00B34C2D"/>
    <w:rsid w:val="00B45843"/>
    <w:rsid w:val="00B70C77"/>
    <w:rsid w:val="00B86BCC"/>
    <w:rsid w:val="00B87D64"/>
    <w:rsid w:val="00BF05A4"/>
    <w:rsid w:val="00C244DC"/>
    <w:rsid w:val="00C31E2C"/>
    <w:rsid w:val="00C428C1"/>
    <w:rsid w:val="00C64518"/>
    <w:rsid w:val="00C77E94"/>
    <w:rsid w:val="00CE1D88"/>
    <w:rsid w:val="00D02ADB"/>
    <w:rsid w:val="00D05FCD"/>
    <w:rsid w:val="00D4014F"/>
    <w:rsid w:val="00D60F78"/>
    <w:rsid w:val="00D62D7B"/>
    <w:rsid w:val="00DC0EB0"/>
    <w:rsid w:val="00DD553C"/>
    <w:rsid w:val="00E51E49"/>
    <w:rsid w:val="00E562E9"/>
    <w:rsid w:val="00E857A3"/>
    <w:rsid w:val="00ED4BB0"/>
    <w:rsid w:val="00EE1C8A"/>
    <w:rsid w:val="00EE36B6"/>
    <w:rsid w:val="00EF54EA"/>
    <w:rsid w:val="00F00E3E"/>
    <w:rsid w:val="00F1327F"/>
    <w:rsid w:val="00F44C5D"/>
    <w:rsid w:val="00F717E6"/>
    <w:rsid w:val="00FD78D2"/>
    <w:rsid w:val="00FE79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83E9B"/>
  <w15:chartTrackingRefBased/>
  <w15:docId w15:val="{CD527CED-23B9-4F2B-8AC5-F02AB3E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33"/>
  </w:style>
  <w:style w:type="paragraph" w:styleId="Footer">
    <w:name w:val="footer"/>
    <w:basedOn w:val="Normal"/>
    <w:link w:val="FooterChar"/>
    <w:uiPriority w:val="99"/>
    <w:unhideWhenUsed/>
    <w:rsid w:val="00A7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33"/>
  </w:style>
  <w:style w:type="paragraph" w:styleId="ListParagraph">
    <w:name w:val="List Paragraph"/>
    <w:basedOn w:val="Normal"/>
    <w:uiPriority w:val="34"/>
    <w:qFormat/>
    <w:rsid w:val="00F1327F"/>
    <w:pPr>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088190">
      <w:bodyDiv w:val="1"/>
      <w:marLeft w:val="0"/>
      <w:marRight w:val="0"/>
      <w:marTop w:val="0"/>
      <w:marBottom w:val="0"/>
      <w:divBdr>
        <w:top w:val="none" w:sz="0" w:space="0" w:color="auto"/>
        <w:left w:val="none" w:sz="0" w:space="0" w:color="auto"/>
        <w:bottom w:val="none" w:sz="0" w:space="0" w:color="auto"/>
        <w:right w:val="none" w:sz="0" w:space="0" w:color="auto"/>
      </w:divBdr>
    </w:div>
    <w:div w:id="213085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4385</Words>
  <Characters>24999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Lifeng Chen</dc:creator>
  <cp:keywords/>
  <dc:description/>
  <cp:lastModifiedBy>Cindy Chen</cp:lastModifiedBy>
  <cp:revision>88</cp:revision>
  <dcterms:created xsi:type="dcterms:W3CDTF">2024-01-16T23:36:00Z</dcterms:created>
  <dcterms:modified xsi:type="dcterms:W3CDTF">2024-01-17T19:21:00Z</dcterms:modified>
</cp:coreProperties>
</file>