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203406" w14:textId="49463F63" w:rsidR="00654AA3" w:rsidRDefault="00654AA3" w:rsidP="00654AA3">
      <w:pPr>
        <w:rPr>
          <w:b/>
          <w:bCs/>
        </w:rPr>
      </w:pPr>
      <w:r>
        <w:rPr>
          <w:b/>
          <w:bCs/>
        </w:rPr>
        <w:t>Daniel Simons - 2319874</w:t>
      </w:r>
    </w:p>
    <w:p w14:paraId="1DF0C632" w14:textId="77777777" w:rsidR="00654AA3" w:rsidRDefault="00654AA3" w:rsidP="00654AA3">
      <w:pPr>
        <w:jc w:val="center"/>
        <w:rPr>
          <w:b/>
          <w:bCs/>
        </w:rPr>
      </w:pPr>
    </w:p>
    <w:p w14:paraId="53FE77AB" w14:textId="75773321" w:rsidR="003E4308" w:rsidRDefault="00654AA3" w:rsidP="00654AA3">
      <w:pPr>
        <w:jc w:val="center"/>
        <w:rPr>
          <w:b/>
          <w:bCs/>
          <w:sz w:val="28"/>
          <w:szCs w:val="28"/>
          <w:u w:val="single"/>
        </w:rPr>
      </w:pPr>
      <w:r w:rsidRPr="00654AA3">
        <w:rPr>
          <w:b/>
          <w:bCs/>
          <w:sz w:val="28"/>
          <w:szCs w:val="28"/>
          <w:u w:val="single"/>
        </w:rPr>
        <w:t xml:space="preserve">Analyses &amp; </w:t>
      </w:r>
      <w:r w:rsidR="00947681" w:rsidRPr="00654AA3">
        <w:rPr>
          <w:b/>
          <w:bCs/>
          <w:sz w:val="28"/>
          <w:szCs w:val="28"/>
          <w:u w:val="single"/>
        </w:rPr>
        <w:t>writing</w:t>
      </w:r>
      <w:r w:rsidRPr="00654AA3">
        <w:rPr>
          <w:b/>
          <w:bCs/>
          <w:sz w:val="28"/>
          <w:szCs w:val="28"/>
          <w:u w:val="single"/>
        </w:rPr>
        <w:t xml:space="preserve"> up </w:t>
      </w:r>
      <w:r w:rsidR="00947681" w:rsidRPr="00654AA3">
        <w:rPr>
          <w:b/>
          <w:bCs/>
          <w:sz w:val="28"/>
          <w:szCs w:val="28"/>
          <w:u w:val="single"/>
        </w:rPr>
        <w:t>Findings.</w:t>
      </w:r>
    </w:p>
    <w:p w14:paraId="30F3E933" w14:textId="77777777" w:rsidR="00654AA3" w:rsidRDefault="00654AA3" w:rsidP="00654AA3">
      <w:pPr>
        <w:jc w:val="center"/>
        <w:rPr>
          <w:b/>
          <w:bCs/>
          <w:sz w:val="28"/>
          <w:szCs w:val="28"/>
          <w:u w:val="single"/>
        </w:rPr>
      </w:pPr>
    </w:p>
    <w:p w14:paraId="0CDCDD5C" w14:textId="2C0EB8F3" w:rsidR="00947681" w:rsidRDefault="00947681" w:rsidP="00947681">
      <w:pPr>
        <w:rPr>
          <w:b/>
          <w:bCs/>
          <w:sz w:val="28"/>
          <w:szCs w:val="28"/>
          <w:u w:val="single"/>
        </w:rPr>
      </w:pPr>
      <w:r>
        <w:rPr>
          <w:b/>
          <w:bCs/>
          <w:sz w:val="28"/>
          <w:szCs w:val="28"/>
          <w:u w:val="single"/>
        </w:rPr>
        <w:t>Introduction &amp; Demographic Overview</w:t>
      </w:r>
    </w:p>
    <w:p w14:paraId="622B7C11" w14:textId="77777777" w:rsidR="00F022CA" w:rsidRDefault="00F022CA" w:rsidP="00654AA3"/>
    <w:p w14:paraId="261A4CF2" w14:textId="1A890501" w:rsidR="002A29C9" w:rsidRDefault="00654AA3" w:rsidP="00654AA3">
      <w:r>
        <w:t xml:space="preserve">This chapter will present the findings from the questionnaire exploring the impact of policing on the mental of officers and their interpersonal relationships. The results will be organised into key themes which align with the aims of this research, including occupational stress, mental health outcomes, and relational impacts. Where appropriate, these findings will be compared across demographic groups and will be analysed as to whether they confirm or challenge existing literature. </w:t>
      </w:r>
      <w:r w:rsidR="00E26F9C">
        <w:t>A total of 38 participants responded to the questionnaire, providing a diverse sample across rank, department and years of service</w:t>
      </w:r>
      <w:r w:rsidR="00870F00">
        <w:t>. As shown in Table 1</w:t>
      </w:r>
      <w:r w:rsidR="00F022CA">
        <w:t xml:space="preserve"> (see appendix)</w:t>
      </w:r>
      <w:r w:rsidR="00870F00">
        <w:t xml:space="preserve">, the majority of respondents were constables (57.9%), with smaller representations from staff, sergeants and inspectors. In terms of experience, the sample was relatively evenly distributed although a slightly higher proportion of participants had between six and twenty years’ service. This demographic distribution is important as it reflects operational realities. As such, this dataset can provide a relevant basis to examine how exposure to operational stressors may influence mental health and relationships. Furthermore, the inclusion of levels of experience will allow for a comparison to be made between newer and more experienced officers, addressing a gap found within existing research. </w:t>
      </w:r>
    </w:p>
    <w:p w14:paraId="7C879A92" w14:textId="77777777" w:rsidR="00947681" w:rsidRDefault="00947681" w:rsidP="002A29C9">
      <w:pPr>
        <w:rPr>
          <w:b/>
          <w:bCs/>
          <w:u w:val="single"/>
        </w:rPr>
      </w:pPr>
    </w:p>
    <w:p w14:paraId="7B41E89E" w14:textId="3DD05632" w:rsidR="002A29C9" w:rsidRDefault="00947681" w:rsidP="002A29C9">
      <w:pPr>
        <w:rPr>
          <w:b/>
          <w:bCs/>
          <w:u w:val="single"/>
        </w:rPr>
      </w:pPr>
      <w:r w:rsidRPr="00947681">
        <w:rPr>
          <w:b/>
          <w:bCs/>
          <w:u w:val="single"/>
        </w:rPr>
        <w:t>Occupational Stress and Exposure</w:t>
      </w:r>
    </w:p>
    <w:p w14:paraId="3A3FF547" w14:textId="77777777" w:rsidR="0072397E" w:rsidRDefault="0072397E" w:rsidP="002A29C9">
      <w:pPr>
        <w:rPr>
          <w:b/>
          <w:bCs/>
          <w:u w:val="single"/>
        </w:rPr>
      </w:pPr>
    </w:p>
    <w:p w14:paraId="1AEADB34" w14:textId="3EE81B4E" w:rsidR="00C920AD" w:rsidRDefault="00EF09A3" w:rsidP="002A29C9">
      <w:r>
        <w:t>The results show that police work is directly linked to elevated levels of stress within the role, especially for those officers that are frontline. Most of the respondents claimed to have moderate to high levels of job-related stress and were often exposed to traumatic events such as violence or death. Figure 2 (see appendix) shows that officers working on the frontline were more stressed than those who worked in non-operational roles.</w:t>
      </w:r>
      <w:r w:rsidR="008C483F">
        <w:t xml:space="preserve"> </w:t>
      </w:r>
      <w:r>
        <w:t xml:space="preserve">Participants also </w:t>
      </w:r>
      <w:r w:rsidR="00C02B62">
        <w:t xml:space="preserve">outlined several major stressors, such as demands of their work, shift patterns and public scrutiny. These findings confirm those of previous studies including those of Jackman et al. (2021) and the prevalence of shift work as a stressor corroborates the findings of Purba &amp; Demou (2019) who contend that irregular shift patterns diminish mental wellbeing. </w:t>
      </w:r>
    </w:p>
    <w:p w14:paraId="141E90F5" w14:textId="44980198" w:rsidR="0072397E" w:rsidRDefault="0072397E" w:rsidP="002A29C9">
      <w:r>
        <w:lastRenderedPageBreak/>
        <w:t xml:space="preserve">Analysis of the data revealed </w:t>
      </w:r>
      <w:r w:rsidR="00C920AD">
        <w:t xml:space="preserve">notable differences between the groups of respondents, especially when it came to years of service, type of role and working patterns. Officers with longer than service, in this case more than 10 years, reported elevated stress levels and increased emotional detachment, indicating that prolonged exposure to policing may worsen mental health issues. Frontline officers also stated that their mental health was worse and their relationships more strained than those of non-frontline staff. This shows how operational exposure can contribute to mental health outcomes. </w:t>
      </w:r>
    </w:p>
    <w:p w14:paraId="511624DE" w14:textId="77777777" w:rsidR="00C02B62" w:rsidRDefault="00C02B62" w:rsidP="002A29C9"/>
    <w:p w14:paraId="35DCCDF5" w14:textId="417A4857" w:rsidR="00C02B62" w:rsidRDefault="00C02B62" w:rsidP="002A29C9">
      <w:r>
        <w:t xml:space="preserve">Overall, these results strongly confirm the relevance of the Job Demands-Resources (JD-R) Model as outlined in the literature review. High job demands with a perceived lack of organisational support appear to lead to elevated stress levels. Therefore, these findings were largely expected and reinforce already existing frameworks. </w:t>
      </w:r>
      <w:r w:rsidR="001E05A6">
        <w:t xml:space="preserve">The consistency between the current findings and previous research suggests that the psychological impact of policing is both established and significant, however this study adds depth by demonstrating how these outcomes are experienced across separate roles and levels of service. In particular, the evidence that frontline officers and those with longer service report higher levels of stress supports the argument that cumulative exposure to trauma plays a critical role in shaping mental health outcomes. </w:t>
      </w:r>
    </w:p>
    <w:p w14:paraId="78F0B3A6" w14:textId="77777777" w:rsidR="00EF09A3" w:rsidRDefault="00EF09A3" w:rsidP="002A29C9"/>
    <w:p w14:paraId="7AD178EA" w14:textId="34C4FD21" w:rsidR="005C2DF1" w:rsidRDefault="00284218" w:rsidP="002A29C9">
      <w:pPr>
        <w:rPr>
          <w:b/>
          <w:bCs/>
          <w:u w:val="single"/>
        </w:rPr>
      </w:pPr>
      <w:r w:rsidRPr="00284218">
        <w:rPr>
          <w:b/>
          <w:bCs/>
          <w:u w:val="single"/>
        </w:rPr>
        <w:t xml:space="preserve">Mental health outcomes  </w:t>
      </w:r>
    </w:p>
    <w:p w14:paraId="6FBE23FB" w14:textId="77777777" w:rsidR="00870F00" w:rsidRDefault="00870F00" w:rsidP="002A29C9"/>
    <w:p w14:paraId="7989DF0A" w14:textId="77777777" w:rsidR="001E05A6" w:rsidRDefault="00F022CA" w:rsidP="002A29C9">
      <w:r>
        <w:t xml:space="preserve">The data shows a clear link between policing and negative mental health outcomes. A notable percentage of respondents reported symptoms including anxiety, sleep disturbances and burnout, while a smaller yet </w:t>
      </w:r>
      <w:r w:rsidR="008831C8">
        <w:t>considerable number</w:t>
      </w:r>
      <w:r>
        <w:t xml:space="preserve"> of participants exhibited symptoms indicative of post traumatic stress. Figure 3 shows anxiety and sleep issues were two of the most common problems reported.</w:t>
      </w:r>
      <w:r w:rsidR="008831C8">
        <w:t xml:space="preserve"> Most who took part in the study agreed that their role has a negative effect on their mental health, while also acknowledging the presence of stigma, fewer respondents reported being comfortable discussing mental health or seeking support, suggesting that there are significant cultural barriers for support within policing. </w:t>
      </w:r>
    </w:p>
    <w:p w14:paraId="2DD221A1" w14:textId="77777777" w:rsidR="001E05A6" w:rsidRDefault="001E05A6" w:rsidP="002A29C9"/>
    <w:p w14:paraId="5F5E88C1" w14:textId="77777777" w:rsidR="001E05A6" w:rsidRDefault="008C483F" w:rsidP="002A29C9">
      <w:r>
        <w:t>This suggests that despite the existence of wellbeing initiatives within many police forces, there remains a disconnect between policy and practice. Participants experiences indicate that wellbeing frameworks may not be as accessible or implemented as police chiefs believe, as suggested by Harkin et al. (2025)</w:t>
      </w:r>
      <w:r w:rsidR="001E05A6">
        <w:t xml:space="preserve"> in previous research</w:t>
      </w:r>
      <w:r>
        <w:t xml:space="preserve">. This raises important questions about the effectiveness of current support systems and suggest that further work is needed to ensure the support available and </w:t>
      </w:r>
      <w:r>
        <w:lastRenderedPageBreak/>
        <w:t>culturally acceptable.</w:t>
      </w:r>
      <w:r w:rsidR="001E05A6">
        <w:t xml:space="preserve"> </w:t>
      </w:r>
      <w:r w:rsidR="008831C8">
        <w:t>These findings are</w:t>
      </w:r>
      <w:r w:rsidR="001E05A6">
        <w:t xml:space="preserve"> also</w:t>
      </w:r>
      <w:r w:rsidR="008831C8">
        <w:t xml:space="preserve"> highly consistent with prior research by Gullon-Scott and Longstaff (2022), who identified higher levels of stress and depression among police officers and the University of Cambridge (2022), which reported notable rates of PTSD symptoms.</w:t>
      </w:r>
    </w:p>
    <w:p w14:paraId="238B977B" w14:textId="77777777" w:rsidR="001E05A6" w:rsidRDefault="001E05A6" w:rsidP="002A29C9"/>
    <w:p w14:paraId="65F91E56" w14:textId="385A5CA2" w:rsidR="00F022CA" w:rsidRDefault="001E05A6" w:rsidP="002A29C9">
      <w:pPr>
        <w:rPr>
          <w:b/>
          <w:bCs/>
          <w:u w:val="single"/>
        </w:rPr>
      </w:pPr>
      <w:r w:rsidRPr="001E05A6">
        <w:rPr>
          <w:b/>
          <w:bCs/>
          <w:u w:val="single"/>
        </w:rPr>
        <w:t>Impact o</w:t>
      </w:r>
      <w:r w:rsidR="00F04F15">
        <w:rPr>
          <w:b/>
          <w:bCs/>
          <w:u w:val="single"/>
        </w:rPr>
        <w:t>n</w:t>
      </w:r>
      <w:r w:rsidRPr="001E05A6">
        <w:rPr>
          <w:b/>
          <w:bCs/>
          <w:u w:val="single"/>
        </w:rPr>
        <w:t xml:space="preserve"> Interpersonal relationships</w:t>
      </w:r>
      <w:r w:rsidR="00F022CA" w:rsidRPr="001E05A6">
        <w:rPr>
          <w:b/>
          <w:bCs/>
          <w:u w:val="single"/>
        </w:rPr>
        <w:t xml:space="preserve">  </w:t>
      </w:r>
    </w:p>
    <w:p w14:paraId="23448DA8" w14:textId="77777777" w:rsidR="001E05A6" w:rsidRDefault="001E05A6" w:rsidP="002A29C9"/>
    <w:p w14:paraId="12847C83" w14:textId="3DB4E3F5" w:rsidR="00F04F15" w:rsidRDefault="00F04F15" w:rsidP="002A29C9">
      <w:r>
        <w:t xml:space="preserve">One of the key contributions of this study is its exploration of how mental health issues within policing can spillover into personal relationships. The findings demonstrate a clear link between occupational stress and relational strain, with participants claiming difficulties in maintaining relationships, emotional detachment and conflict within the home. These results strongly support the theory of the spillover model, which suggests that stress experienced in one domain can spill into another. The concept of secondary traumatic stress (Hensel et al., 2015) is particularly relevant in explaining these findings. Participants </w:t>
      </w:r>
      <w:r w:rsidR="00FB3594">
        <w:t>report</w:t>
      </w:r>
      <w:r>
        <w:t xml:space="preserve"> of emotional numbness and difficulty “switching off” suggest that repeated trauma may reduce emotional availability within personal relationships (see Fig 4 on appendix). This is also consistent with Friese (2020) who found that spouses of law enforcement officers can often experience significant stress as a result of their </w:t>
      </w:r>
      <w:r w:rsidR="00FB3594">
        <w:t>partner’s</w:t>
      </w:r>
      <w:r>
        <w:t xml:space="preserve"> work. </w:t>
      </w:r>
    </w:p>
    <w:p w14:paraId="0BAD48EE" w14:textId="77777777" w:rsidR="00F04F15" w:rsidRDefault="00F04F15" w:rsidP="002A29C9"/>
    <w:p w14:paraId="7B4A53E8" w14:textId="43EB76A4" w:rsidR="00F04F15" w:rsidRDefault="00F04F15" w:rsidP="002A29C9">
      <w:r>
        <w:t xml:space="preserve">The qualitative responses offered significant insight into the </w:t>
      </w:r>
      <w:r w:rsidR="0072397E">
        <w:t>participants</w:t>
      </w:r>
      <w:r>
        <w:t xml:space="preserve"> lived experiences and corroborated the quantitative findings. </w:t>
      </w:r>
      <w:r w:rsidR="0072397E">
        <w:t xml:space="preserve">Many key themes emerged, including emotional detachment, work-home spillover, relationship strain, and organisational frustration. Many officers said that they feel “numb” or disconnected, with others claiming it was difficult to separate work from personal life. Participants also voiced dissatisfaction with organisational support, often claiming stigma and a lack of comprehension with management. These raised themes closely correspond to existing literature, especially Harkin et al. (2025) and further substantiate the spillover model and the notion of secondary traumatic stress. </w:t>
      </w:r>
    </w:p>
    <w:p w14:paraId="7A306157" w14:textId="77777777" w:rsidR="00C920AD" w:rsidRDefault="00C920AD" w:rsidP="002A29C9"/>
    <w:p w14:paraId="54C48539" w14:textId="77777777" w:rsidR="00C920AD" w:rsidRDefault="00C920AD" w:rsidP="002A29C9"/>
    <w:p w14:paraId="7ECF26EF" w14:textId="77777777" w:rsidR="00C920AD" w:rsidRDefault="00C920AD" w:rsidP="002A29C9"/>
    <w:p w14:paraId="11B121AE" w14:textId="77777777" w:rsidR="00C920AD" w:rsidRDefault="00C920AD" w:rsidP="002A29C9"/>
    <w:p w14:paraId="676F04C4" w14:textId="77777777" w:rsidR="00C4300E" w:rsidRDefault="00C4300E" w:rsidP="002A29C9">
      <w:pPr>
        <w:rPr>
          <w:b/>
          <w:bCs/>
          <w:u w:val="single"/>
        </w:rPr>
      </w:pPr>
    </w:p>
    <w:p w14:paraId="66C29314" w14:textId="77777777" w:rsidR="00C4300E" w:rsidRDefault="00C4300E" w:rsidP="002A29C9">
      <w:pPr>
        <w:rPr>
          <w:b/>
          <w:bCs/>
          <w:u w:val="single"/>
        </w:rPr>
      </w:pPr>
    </w:p>
    <w:p w14:paraId="1AF75C72" w14:textId="2916B24A" w:rsidR="00C920AD" w:rsidRDefault="00C920AD" w:rsidP="002A29C9">
      <w:pPr>
        <w:rPr>
          <w:b/>
          <w:bCs/>
          <w:u w:val="single"/>
        </w:rPr>
      </w:pPr>
      <w:r w:rsidRPr="00C920AD">
        <w:rPr>
          <w:b/>
          <w:bCs/>
          <w:u w:val="single"/>
        </w:rPr>
        <w:lastRenderedPageBreak/>
        <w:t xml:space="preserve">Conclusion </w:t>
      </w:r>
    </w:p>
    <w:p w14:paraId="224FD63E" w14:textId="77777777" w:rsidR="00C920AD" w:rsidRDefault="00C920AD" w:rsidP="002A29C9">
      <w:pPr>
        <w:rPr>
          <w:b/>
          <w:bCs/>
          <w:u w:val="single"/>
        </w:rPr>
      </w:pPr>
    </w:p>
    <w:p w14:paraId="452572BC" w14:textId="5903D9D1" w:rsidR="00C920AD" w:rsidRPr="00C920AD" w:rsidRDefault="00C920AD" w:rsidP="002A29C9">
      <w:r>
        <w:t xml:space="preserve">In conclusion, this study provides </w:t>
      </w:r>
      <w:r w:rsidR="00FB3594">
        <w:t>convincing evidence</w:t>
      </w:r>
      <w:r>
        <w:t xml:space="preserve"> that frontline policing has </w:t>
      </w:r>
      <w:r w:rsidR="00FB3594">
        <w:t>significant</w:t>
      </w:r>
      <w:r>
        <w:t xml:space="preserve"> implications for both the mental and interpersonal relationships. The findings largely confirm existing literature and theoretical frameworks, including the JD-R and spillover models, while also contributing new insights into the lived experiences of police officers and staff. Importantly, the study highlights the ongoing need for an improvement in organisational support and a greater focus on relational outcomes, suggesting that future research and policies need to</w:t>
      </w:r>
      <w:r w:rsidR="00FB3594">
        <w:t xml:space="preserve"> be more holistic when approaching officer wellbeing. </w:t>
      </w:r>
    </w:p>
    <w:p w14:paraId="19A66407" w14:textId="77777777" w:rsidR="001E05A6" w:rsidRDefault="001E05A6" w:rsidP="002A29C9"/>
    <w:p w14:paraId="31578786" w14:textId="1595F2AC" w:rsidR="001E05A6" w:rsidRPr="001E05A6" w:rsidRDefault="001E05A6" w:rsidP="002A29C9">
      <w:pPr>
        <w:sectPr w:rsidR="001E05A6" w:rsidRPr="001E05A6">
          <w:pgSz w:w="11906" w:h="16838"/>
          <w:pgMar w:top="1440" w:right="1440" w:bottom="1440" w:left="1440" w:header="708" w:footer="708" w:gutter="0"/>
          <w:cols w:space="708"/>
          <w:docGrid w:linePitch="360"/>
        </w:sectPr>
      </w:pPr>
    </w:p>
    <w:p w14:paraId="000A9735" w14:textId="4A9A86DA" w:rsidR="00870F00" w:rsidRDefault="00870F00" w:rsidP="00974FE4">
      <w:pPr>
        <w:pStyle w:val="Heading1"/>
        <w:jc w:val="center"/>
      </w:pPr>
      <w:r>
        <w:lastRenderedPageBreak/>
        <w:t>Appendix</w:t>
      </w:r>
    </w:p>
    <w:p w14:paraId="16A0C0E9" w14:textId="77777777" w:rsidR="00974FE4" w:rsidRDefault="00974FE4" w:rsidP="00974FE4"/>
    <w:p w14:paraId="1FD89A07" w14:textId="2048E8BD" w:rsidR="00F022CA" w:rsidRDefault="00F022CA" w:rsidP="00974FE4">
      <w:r>
        <w:t>Table 1 - Participants demographics (n=38)</w:t>
      </w:r>
    </w:p>
    <w:tbl>
      <w:tblPr>
        <w:tblStyle w:val="TableGrid"/>
        <w:tblW w:w="9268" w:type="dxa"/>
        <w:tblLook w:val="04A0" w:firstRow="1" w:lastRow="0" w:firstColumn="1" w:lastColumn="0" w:noHBand="0" w:noVBand="1"/>
      </w:tblPr>
      <w:tblGrid>
        <w:gridCol w:w="2192"/>
        <w:gridCol w:w="2727"/>
        <w:gridCol w:w="2163"/>
        <w:gridCol w:w="2186"/>
      </w:tblGrid>
      <w:tr w:rsidR="00F022CA" w14:paraId="312AFEE7" w14:textId="77777777" w:rsidTr="00F022CA">
        <w:trPr>
          <w:trHeight w:val="113"/>
        </w:trPr>
        <w:tc>
          <w:tcPr>
            <w:tcW w:w="2192" w:type="dxa"/>
          </w:tcPr>
          <w:p w14:paraId="06876CFB" w14:textId="77777777" w:rsidR="00F022CA" w:rsidRPr="002A29C9" w:rsidRDefault="00F022CA" w:rsidP="00015EE2">
            <w:pPr>
              <w:rPr>
                <w:b/>
                <w:bCs/>
              </w:rPr>
            </w:pPr>
            <w:r>
              <w:rPr>
                <w:b/>
                <w:bCs/>
              </w:rPr>
              <w:t>Variable</w:t>
            </w:r>
          </w:p>
        </w:tc>
        <w:tc>
          <w:tcPr>
            <w:tcW w:w="2727" w:type="dxa"/>
          </w:tcPr>
          <w:p w14:paraId="146C9CEC" w14:textId="77777777" w:rsidR="00F022CA" w:rsidRPr="002A29C9" w:rsidRDefault="00F022CA" w:rsidP="00015EE2">
            <w:pPr>
              <w:rPr>
                <w:b/>
                <w:bCs/>
              </w:rPr>
            </w:pPr>
            <w:r>
              <w:rPr>
                <w:b/>
                <w:bCs/>
              </w:rPr>
              <w:t>Category</w:t>
            </w:r>
          </w:p>
        </w:tc>
        <w:tc>
          <w:tcPr>
            <w:tcW w:w="2163" w:type="dxa"/>
          </w:tcPr>
          <w:p w14:paraId="25CCC501" w14:textId="77777777" w:rsidR="00F022CA" w:rsidRPr="002A29C9" w:rsidRDefault="00F022CA" w:rsidP="00015EE2">
            <w:pPr>
              <w:rPr>
                <w:b/>
                <w:bCs/>
              </w:rPr>
            </w:pPr>
            <w:r w:rsidRPr="002A29C9">
              <w:rPr>
                <w:b/>
                <w:bCs/>
              </w:rPr>
              <w:t>Frequency (n)</w:t>
            </w:r>
          </w:p>
        </w:tc>
        <w:tc>
          <w:tcPr>
            <w:tcW w:w="2186" w:type="dxa"/>
          </w:tcPr>
          <w:p w14:paraId="3BAE84D7" w14:textId="77777777" w:rsidR="00F022CA" w:rsidRDefault="00F022CA" w:rsidP="00015EE2">
            <w:r w:rsidRPr="002A29C9">
              <w:rPr>
                <w:b/>
                <w:bCs/>
              </w:rPr>
              <w:t>Percentage (%)</w:t>
            </w:r>
          </w:p>
        </w:tc>
      </w:tr>
      <w:tr w:rsidR="00F022CA" w14:paraId="617D9CE9" w14:textId="77777777" w:rsidTr="00F022CA">
        <w:trPr>
          <w:trHeight w:val="113"/>
        </w:trPr>
        <w:tc>
          <w:tcPr>
            <w:tcW w:w="2192" w:type="dxa"/>
          </w:tcPr>
          <w:p w14:paraId="5981B2BE" w14:textId="77777777" w:rsidR="00F022CA" w:rsidRDefault="00F022CA" w:rsidP="00015EE2">
            <w:pPr>
              <w:rPr>
                <w:b/>
                <w:bCs/>
              </w:rPr>
            </w:pPr>
          </w:p>
        </w:tc>
        <w:tc>
          <w:tcPr>
            <w:tcW w:w="2727" w:type="dxa"/>
          </w:tcPr>
          <w:p w14:paraId="5FB30028" w14:textId="77777777" w:rsidR="00F022CA" w:rsidRDefault="00F022CA" w:rsidP="00015EE2">
            <w:pPr>
              <w:rPr>
                <w:b/>
                <w:bCs/>
              </w:rPr>
            </w:pPr>
          </w:p>
        </w:tc>
        <w:tc>
          <w:tcPr>
            <w:tcW w:w="2163" w:type="dxa"/>
          </w:tcPr>
          <w:p w14:paraId="7119F644" w14:textId="77777777" w:rsidR="00F022CA" w:rsidRPr="002A29C9" w:rsidRDefault="00F022CA" w:rsidP="00015EE2">
            <w:pPr>
              <w:rPr>
                <w:b/>
                <w:bCs/>
              </w:rPr>
            </w:pPr>
          </w:p>
        </w:tc>
        <w:tc>
          <w:tcPr>
            <w:tcW w:w="2186" w:type="dxa"/>
          </w:tcPr>
          <w:p w14:paraId="0C097296" w14:textId="77777777" w:rsidR="00F022CA" w:rsidRPr="002A29C9" w:rsidRDefault="00F022CA" w:rsidP="00015EE2">
            <w:pPr>
              <w:rPr>
                <w:b/>
                <w:bCs/>
              </w:rPr>
            </w:pPr>
          </w:p>
        </w:tc>
      </w:tr>
      <w:tr w:rsidR="00F022CA" w14:paraId="4729056C" w14:textId="77777777" w:rsidTr="00F022CA">
        <w:trPr>
          <w:trHeight w:val="117"/>
        </w:trPr>
        <w:tc>
          <w:tcPr>
            <w:tcW w:w="2192" w:type="dxa"/>
          </w:tcPr>
          <w:p w14:paraId="2AF98E3B" w14:textId="77777777" w:rsidR="00F022CA" w:rsidRDefault="00F022CA" w:rsidP="00015EE2">
            <w:r>
              <w:t>Rank</w:t>
            </w:r>
          </w:p>
        </w:tc>
        <w:tc>
          <w:tcPr>
            <w:tcW w:w="2727" w:type="dxa"/>
          </w:tcPr>
          <w:p w14:paraId="42D24360" w14:textId="77777777" w:rsidR="00F022CA" w:rsidRDefault="00F022CA" w:rsidP="00015EE2">
            <w:r>
              <w:t>Constable</w:t>
            </w:r>
          </w:p>
        </w:tc>
        <w:tc>
          <w:tcPr>
            <w:tcW w:w="2163" w:type="dxa"/>
          </w:tcPr>
          <w:p w14:paraId="176FA0D4" w14:textId="77777777" w:rsidR="00F022CA" w:rsidRDefault="00F022CA" w:rsidP="00015EE2">
            <w:r>
              <w:t>22</w:t>
            </w:r>
          </w:p>
        </w:tc>
        <w:tc>
          <w:tcPr>
            <w:tcW w:w="2186" w:type="dxa"/>
          </w:tcPr>
          <w:p w14:paraId="3079AE86" w14:textId="77777777" w:rsidR="00F022CA" w:rsidRDefault="00F022CA" w:rsidP="00015EE2">
            <w:r>
              <w:t>57.9</w:t>
            </w:r>
          </w:p>
        </w:tc>
      </w:tr>
      <w:tr w:rsidR="00F022CA" w14:paraId="2EE3F9F6" w14:textId="77777777" w:rsidTr="00F022CA">
        <w:trPr>
          <w:trHeight w:val="113"/>
        </w:trPr>
        <w:tc>
          <w:tcPr>
            <w:tcW w:w="2192" w:type="dxa"/>
          </w:tcPr>
          <w:p w14:paraId="0BC1E9A9" w14:textId="77777777" w:rsidR="00F022CA" w:rsidRDefault="00F022CA" w:rsidP="00015EE2"/>
        </w:tc>
        <w:tc>
          <w:tcPr>
            <w:tcW w:w="2727" w:type="dxa"/>
          </w:tcPr>
          <w:p w14:paraId="292DC1AD" w14:textId="77777777" w:rsidR="00F022CA" w:rsidRDefault="00F022CA" w:rsidP="00015EE2">
            <w:r>
              <w:t>Sergeant</w:t>
            </w:r>
          </w:p>
        </w:tc>
        <w:tc>
          <w:tcPr>
            <w:tcW w:w="2163" w:type="dxa"/>
          </w:tcPr>
          <w:p w14:paraId="5B6BD60C" w14:textId="77777777" w:rsidR="00F022CA" w:rsidRDefault="00F022CA" w:rsidP="00015EE2">
            <w:r>
              <w:t>8</w:t>
            </w:r>
          </w:p>
        </w:tc>
        <w:tc>
          <w:tcPr>
            <w:tcW w:w="2186" w:type="dxa"/>
          </w:tcPr>
          <w:p w14:paraId="52FF8025" w14:textId="77777777" w:rsidR="00F022CA" w:rsidRDefault="00F022CA" w:rsidP="00015EE2">
            <w:r>
              <w:t>21.1</w:t>
            </w:r>
          </w:p>
        </w:tc>
      </w:tr>
      <w:tr w:rsidR="00F022CA" w14:paraId="3E2EA4BB" w14:textId="77777777" w:rsidTr="00F022CA">
        <w:trPr>
          <w:trHeight w:val="113"/>
        </w:trPr>
        <w:tc>
          <w:tcPr>
            <w:tcW w:w="2192" w:type="dxa"/>
          </w:tcPr>
          <w:p w14:paraId="7AF92922" w14:textId="77777777" w:rsidR="00F022CA" w:rsidRDefault="00F022CA" w:rsidP="00015EE2"/>
        </w:tc>
        <w:tc>
          <w:tcPr>
            <w:tcW w:w="2727" w:type="dxa"/>
          </w:tcPr>
          <w:p w14:paraId="43ABE43A" w14:textId="77777777" w:rsidR="00F022CA" w:rsidRDefault="00F022CA" w:rsidP="00015EE2">
            <w:r>
              <w:t>Inspector +</w:t>
            </w:r>
          </w:p>
        </w:tc>
        <w:tc>
          <w:tcPr>
            <w:tcW w:w="2163" w:type="dxa"/>
          </w:tcPr>
          <w:p w14:paraId="345F6E0C" w14:textId="77777777" w:rsidR="00F022CA" w:rsidRDefault="00F022CA" w:rsidP="00015EE2">
            <w:r>
              <w:t>4</w:t>
            </w:r>
          </w:p>
        </w:tc>
        <w:tc>
          <w:tcPr>
            <w:tcW w:w="2186" w:type="dxa"/>
          </w:tcPr>
          <w:p w14:paraId="4C0D8831" w14:textId="77777777" w:rsidR="00F022CA" w:rsidRDefault="00F022CA" w:rsidP="00015EE2">
            <w:r>
              <w:t>10.5</w:t>
            </w:r>
          </w:p>
        </w:tc>
      </w:tr>
      <w:tr w:rsidR="00F022CA" w14:paraId="13EB4FFD" w14:textId="77777777" w:rsidTr="00F022CA">
        <w:trPr>
          <w:trHeight w:val="113"/>
        </w:trPr>
        <w:tc>
          <w:tcPr>
            <w:tcW w:w="2192" w:type="dxa"/>
          </w:tcPr>
          <w:p w14:paraId="1E72671D" w14:textId="77777777" w:rsidR="00F022CA" w:rsidRDefault="00F022CA" w:rsidP="00015EE2"/>
        </w:tc>
        <w:tc>
          <w:tcPr>
            <w:tcW w:w="2727" w:type="dxa"/>
          </w:tcPr>
          <w:p w14:paraId="25EA7A76" w14:textId="77777777" w:rsidR="00F022CA" w:rsidRDefault="00F022CA" w:rsidP="00015EE2">
            <w:r>
              <w:t>Staff</w:t>
            </w:r>
          </w:p>
        </w:tc>
        <w:tc>
          <w:tcPr>
            <w:tcW w:w="2163" w:type="dxa"/>
          </w:tcPr>
          <w:p w14:paraId="2F68B9D0" w14:textId="77777777" w:rsidR="00F022CA" w:rsidRDefault="00F022CA" w:rsidP="00015EE2">
            <w:r>
              <w:t>4</w:t>
            </w:r>
          </w:p>
        </w:tc>
        <w:tc>
          <w:tcPr>
            <w:tcW w:w="2186" w:type="dxa"/>
          </w:tcPr>
          <w:p w14:paraId="5FAD3C33" w14:textId="77777777" w:rsidR="00F022CA" w:rsidRDefault="00F022CA" w:rsidP="00015EE2">
            <w:r>
              <w:t>10.5</w:t>
            </w:r>
          </w:p>
        </w:tc>
      </w:tr>
      <w:tr w:rsidR="00F022CA" w14:paraId="38A67003" w14:textId="77777777" w:rsidTr="00F022CA">
        <w:trPr>
          <w:trHeight w:val="113"/>
        </w:trPr>
        <w:tc>
          <w:tcPr>
            <w:tcW w:w="2192" w:type="dxa"/>
          </w:tcPr>
          <w:p w14:paraId="4568601F" w14:textId="77777777" w:rsidR="00F022CA" w:rsidRDefault="00F022CA" w:rsidP="00015EE2"/>
        </w:tc>
        <w:tc>
          <w:tcPr>
            <w:tcW w:w="2727" w:type="dxa"/>
          </w:tcPr>
          <w:p w14:paraId="503C5C7A" w14:textId="77777777" w:rsidR="00F022CA" w:rsidRDefault="00F022CA" w:rsidP="00015EE2"/>
        </w:tc>
        <w:tc>
          <w:tcPr>
            <w:tcW w:w="2163" w:type="dxa"/>
          </w:tcPr>
          <w:p w14:paraId="36B49EA5" w14:textId="77777777" w:rsidR="00F022CA" w:rsidRDefault="00F022CA" w:rsidP="00015EE2"/>
        </w:tc>
        <w:tc>
          <w:tcPr>
            <w:tcW w:w="2186" w:type="dxa"/>
          </w:tcPr>
          <w:p w14:paraId="4A36F01D" w14:textId="77777777" w:rsidR="00F022CA" w:rsidRDefault="00F022CA" w:rsidP="00015EE2"/>
        </w:tc>
      </w:tr>
      <w:tr w:rsidR="00F022CA" w14:paraId="359718DA" w14:textId="77777777" w:rsidTr="00F022CA">
        <w:trPr>
          <w:trHeight w:val="113"/>
        </w:trPr>
        <w:tc>
          <w:tcPr>
            <w:tcW w:w="2192" w:type="dxa"/>
          </w:tcPr>
          <w:p w14:paraId="6423F702" w14:textId="77777777" w:rsidR="00F022CA" w:rsidRDefault="00F022CA" w:rsidP="00015EE2">
            <w:r>
              <w:t>Years of Service</w:t>
            </w:r>
          </w:p>
        </w:tc>
        <w:tc>
          <w:tcPr>
            <w:tcW w:w="2727" w:type="dxa"/>
          </w:tcPr>
          <w:p w14:paraId="52C7F259" w14:textId="77777777" w:rsidR="00F022CA" w:rsidRDefault="00F022CA" w:rsidP="00015EE2">
            <w:r>
              <w:t>0-5 years</w:t>
            </w:r>
          </w:p>
        </w:tc>
        <w:tc>
          <w:tcPr>
            <w:tcW w:w="2163" w:type="dxa"/>
          </w:tcPr>
          <w:p w14:paraId="5BA92C61" w14:textId="77777777" w:rsidR="00F022CA" w:rsidRDefault="00F022CA" w:rsidP="00015EE2">
            <w:r>
              <w:t>10</w:t>
            </w:r>
          </w:p>
        </w:tc>
        <w:tc>
          <w:tcPr>
            <w:tcW w:w="2186" w:type="dxa"/>
          </w:tcPr>
          <w:p w14:paraId="04185C3C" w14:textId="77777777" w:rsidR="00F022CA" w:rsidRDefault="00F022CA" w:rsidP="00015EE2">
            <w:r>
              <w:t>26.3</w:t>
            </w:r>
          </w:p>
        </w:tc>
      </w:tr>
      <w:tr w:rsidR="00F022CA" w14:paraId="717BD78A" w14:textId="77777777" w:rsidTr="00F022CA">
        <w:trPr>
          <w:trHeight w:val="113"/>
        </w:trPr>
        <w:tc>
          <w:tcPr>
            <w:tcW w:w="2192" w:type="dxa"/>
          </w:tcPr>
          <w:p w14:paraId="00A13FBC" w14:textId="77777777" w:rsidR="00F022CA" w:rsidRDefault="00F022CA" w:rsidP="00015EE2"/>
        </w:tc>
        <w:tc>
          <w:tcPr>
            <w:tcW w:w="2727" w:type="dxa"/>
          </w:tcPr>
          <w:p w14:paraId="4516CF49" w14:textId="77777777" w:rsidR="00F022CA" w:rsidRDefault="00F022CA" w:rsidP="00015EE2">
            <w:r>
              <w:t>6-10 years</w:t>
            </w:r>
          </w:p>
        </w:tc>
        <w:tc>
          <w:tcPr>
            <w:tcW w:w="2163" w:type="dxa"/>
          </w:tcPr>
          <w:p w14:paraId="171B0202" w14:textId="77777777" w:rsidR="00F022CA" w:rsidRDefault="00F022CA" w:rsidP="00015EE2">
            <w:r>
              <w:t>11</w:t>
            </w:r>
          </w:p>
        </w:tc>
        <w:tc>
          <w:tcPr>
            <w:tcW w:w="2186" w:type="dxa"/>
          </w:tcPr>
          <w:p w14:paraId="0228C78B" w14:textId="77777777" w:rsidR="00F022CA" w:rsidRDefault="00F022CA" w:rsidP="00015EE2">
            <w:r>
              <w:t>28.9</w:t>
            </w:r>
          </w:p>
        </w:tc>
      </w:tr>
      <w:tr w:rsidR="00F022CA" w14:paraId="2F0D4111" w14:textId="77777777" w:rsidTr="00F022CA">
        <w:trPr>
          <w:trHeight w:val="113"/>
        </w:trPr>
        <w:tc>
          <w:tcPr>
            <w:tcW w:w="2192" w:type="dxa"/>
          </w:tcPr>
          <w:p w14:paraId="3708C43E" w14:textId="77777777" w:rsidR="00F022CA" w:rsidRDefault="00F022CA" w:rsidP="00015EE2"/>
        </w:tc>
        <w:tc>
          <w:tcPr>
            <w:tcW w:w="2727" w:type="dxa"/>
          </w:tcPr>
          <w:p w14:paraId="665D59B6" w14:textId="77777777" w:rsidR="00F022CA" w:rsidRDefault="00F022CA" w:rsidP="00015EE2">
            <w:r>
              <w:t>11-20 years</w:t>
            </w:r>
          </w:p>
        </w:tc>
        <w:tc>
          <w:tcPr>
            <w:tcW w:w="2163" w:type="dxa"/>
          </w:tcPr>
          <w:p w14:paraId="26477722" w14:textId="77777777" w:rsidR="00F022CA" w:rsidRDefault="00F022CA" w:rsidP="00015EE2">
            <w:r>
              <w:t>12</w:t>
            </w:r>
          </w:p>
        </w:tc>
        <w:tc>
          <w:tcPr>
            <w:tcW w:w="2186" w:type="dxa"/>
          </w:tcPr>
          <w:p w14:paraId="1EB208ED" w14:textId="77777777" w:rsidR="00F022CA" w:rsidRDefault="00F022CA" w:rsidP="00015EE2">
            <w:r>
              <w:t>31.6</w:t>
            </w:r>
          </w:p>
        </w:tc>
      </w:tr>
      <w:tr w:rsidR="00F022CA" w14:paraId="432DD725" w14:textId="77777777" w:rsidTr="00F022CA">
        <w:trPr>
          <w:trHeight w:val="113"/>
        </w:trPr>
        <w:tc>
          <w:tcPr>
            <w:tcW w:w="2192" w:type="dxa"/>
          </w:tcPr>
          <w:p w14:paraId="2A860244" w14:textId="77777777" w:rsidR="00F022CA" w:rsidRDefault="00F022CA" w:rsidP="00015EE2"/>
        </w:tc>
        <w:tc>
          <w:tcPr>
            <w:tcW w:w="2727" w:type="dxa"/>
          </w:tcPr>
          <w:p w14:paraId="7211C36A" w14:textId="77777777" w:rsidR="00F022CA" w:rsidRDefault="00F022CA" w:rsidP="00015EE2">
            <w:r>
              <w:t>20+ years</w:t>
            </w:r>
          </w:p>
        </w:tc>
        <w:tc>
          <w:tcPr>
            <w:tcW w:w="2163" w:type="dxa"/>
          </w:tcPr>
          <w:p w14:paraId="2E82BC1C" w14:textId="77777777" w:rsidR="00F022CA" w:rsidRDefault="00F022CA" w:rsidP="00015EE2">
            <w:r>
              <w:t>5</w:t>
            </w:r>
          </w:p>
        </w:tc>
        <w:tc>
          <w:tcPr>
            <w:tcW w:w="2186" w:type="dxa"/>
          </w:tcPr>
          <w:p w14:paraId="687748B9" w14:textId="77777777" w:rsidR="00F022CA" w:rsidRDefault="00F022CA" w:rsidP="00015EE2">
            <w:r>
              <w:t>13.2</w:t>
            </w:r>
          </w:p>
        </w:tc>
      </w:tr>
      <w:tr w:rsidR="00F022CA" w14:paraId="6002F12D" w14:textId="77777777" w:rsidTr="00F022CA">
        <w:trPr>
          <w:trHeight w:val="113"/>
        </w:trPr>
        <w:tc>
          <w:tcPr>
            <w:tcW w:w="2192" w:type="dxa"/>
          </w:tcPr>
          <w:p w14:paraId="50A37C89" w14:textId="77777777" w:rsidR="00F022CA" w:rsidRDefault="00F022CA" w:rsidP="00015EE2"/>
        </w:tc>
        <w:tc>
          <w:tcPr>
            <w:tcW w:w="2727" w:type="dxa"/>
          </w:tcPr>
          <w:p w14:paraId="2AED624C" w14:textId="77777777" w:rsidR="00F022CA" w:rsidRDefault="00F022CA" w:rsidP="00015EE2"/>
        </w:tc>
        <w:tc>
          <w:tcPr>
            <w:tcW w:w="2163" w:type="dxa"/>
          </w:tcPr>
          <w:p w14:paraId="6FE0BEDF" w14:textId="77777777" w:rsidR="00F022CA" w:rsidRDefault="00F022CA" w:rsidP="00015EE2"/>
        </w:tc>
        <w:tc>
          <w:tcPr>
            <w:tcW w:w="2186" w:type="dxa"/>
          </w:tcPr>
          <w:p w14:paraId="1C0752DF" w14:textId="77777777" w:rsidR="00F022CA" w:rsidRDefault="00F022CA" w:rsidP="00015EE2"/>
        </w:tc>
      </w:tr>
      <w:tr w:rsidR="00F022CA" w14:paraId="615BB7C3" w14:textId="77777777" w:rsidTr="00F022CA">
        <w:trPr>
          <w:trHeight w:val="113"/>
        </w:trPr>
        <w:tc>
          <w:tcPr>
            <w:tcW w:w="2192" w:type="dxa"/>
          </w:tcPr>
          <w:p w14:paraId="6BEB4614" w14:textId="77777777" w:rsidR="00F022CA" w:rsidRDefault="00F022CA" w:rsidP="00015EE2">
            <w:r>
              <w:t>Department</w:t>
            </w:r>
          </w:p>
        </w:tc>
        <w:tc>
          <w:tcPr>
            <w:tcW w:w="2727" w:type="dxa"/>
          </w:tcPr>
          <w:p w14:paraId="3BEC5B56" w14:textId="77777777" w:rsidR="00F022CA" w:rsidRDefault="00F022CA" w:rsidP="00015EE2">
            <w:r>
              <w:t>Frontline/Response</w:t>
            </w:r>
          </w:p>
        </w:tc>
        <w:tc>
          <w:tcPr>
            <w:tcW w:w="2163" w:type="dxa"/>
          </w:tcPr>
          <w:p w14:paraId="7578C5A2" w14:textId="77777777" w:rsidR="00F022CA" w:rsidRDefault="00F022CA" w:rsidP="00015EE2">
            <w:r>
              <w:t>21</w:t>
            </w:r>
          </w:p>
        </w:tc>
        <w:tc>
          <w:tcPr>
            <w:tcW w:w="2186" w:type="dxa"/>
          </w:tcPr>
          <w:p w14:paraId="3542DE6C" w14:textId="77777777" w:rsidR="00F022CA" w:rsidRDefault="00F022CA" w:rsidP="00015EE2">
            <w:r>
              <w:t>55.3</w:t>
            </w:r>
          </w:p>
        </w:tc>
      </w:tr>
      <w:tr w:rsidR="00F022CA" w14:paraId="740F4EBD" w14:textId="77777777" w:rsidTr="00F022CA">
        <w:trPr>
          <w:trHeight w:val="113"/>
        </w:trPr>
        <w:tc>
          <w:tcPr>
            <w:tcW w:w="2192" w:type="dxa"/>
          </w:tcPr>
          <w:p w14:paraId="16A5AE93" w14:textId="77777777" w:rsidR="00F022CA" w:rsidRDefault="00F022CA" w:rsidP="00015EE2"/>
        </w:tc>
        <w:tc>
          <w:tcPr>
            <w:tcW w:w="2727" w:type="dxa"/>
          </w:tcPr>
          <w:p w14:paraId="6D27051B" w14:textId="77777777" w:rsidR="00F022CA" w:rsidRDefault="00F022CA" w:rsidP="00015EE2">
            <w:r>
              <w:t>Other roles</w:t>
            </w:r>
          </w:p>
        </w:tc>
        <w:tc>
          <w:tcPr>
            <w:tcW w:w="2163" w:type="dxa"/>
          </w:tcPr>
          <w:p w14:paraId="0CFBD67F" w14:textId="77777777" w:rsidR="00F022CA" w:rsidRDefault="00F022CA" w:rsidP="00015EE2">
            <w:r>
              <w:t>17</w:t>
            </w:r>
          </w:p>
        </w:tc>
        <w:tc>
          <w:tcPr>
            <w:tcW w:w="2186" w:type="dxa"/>
          </w:tcPr>
          <w:p w14:paraId="34607904" w14:textId="77777777" w:rsidR="00F022CA" w:rsidRDefault="00F022CA" w:rsidP="00015EE2">
            <w:r>
              <w:t>44.7</w:t>
            </w:r>
          </w:p>
        </w:tc>
      </w:tr>
      <w:tr w:rsidR="00F022CA" w14:paraId="2145C78C" w14:textId="77777777" w:rsidTr="00F022CA">
        <w:trPr>
          <w:trHeight w:val="113"/>
        </w:trPr>
        <w:tc>
          <w:tcPr>
            <w:tcW w:w="2192" w:type="dxa"/>
          </w:tcPr>
          <w:p w14:paraId="0A4CA306" w14:textId="77777777" w:rsidR="00F022CA" w:rsidRDefault="00F022CA" w:rsidP="00015EE2"/>
        </w:tc>
        <w:tc>
          <w:tcPr>
            <w:tcW w:w="2727" w:type="dxa"/>
          </w:tcPr>
          <w:p w14:paraId="3916C21F" w14:textId="77777777" w:rsidR="00F022CA" w:rsidRDefault="00F022CA" w:rsidP="00015EE2"/>
        </w:tc>
        <w:tc>
          <w:tcPr>
            <w:tcW w:w="2163" w:type="dxa"/>
          </w:tcPr>
          <w:p w14:paraId="3921E7CB" w14:textId="77777777" w:rsidR="00F022CA" w:rsidRDefault="00F022CA" w:rsidP="00015EE2"/>
        </w:tc>
        <w:tc>
          <w:tcPr>
            <w:tcW w:w="2186" w:type="dxa"/>
          </w:tcPr>
          <w:p w14:paraId="64C629FD" w14:textId="77777777" w:rsidR="00F022CA" w:rsidRDefault="00F022CA" w:rsidP="00015EE2"/>
        </w:tc>
      </w:tr>
      <w:tr w:rsidR="00F022CA" w14:paraId="0173994E" w14:textId="77777777" w:rsidTr="00F022CA">
        <w:trPr>
          <w:trHeight w:val="113"/>
        </w:trPr>
        <w:tc>
          <w:tcPr>
            <w:tcW w:w="2192" w:type="dxa"/>
          </w:tcPr>
          <w:p w14:paraId="0D050A46" w14:textId="77777777" w:rsidR="00F022CA" w:rsidRDefault="00F022CA" w:rsidP="00015EE2">
            <w:r>
              <w:t>Working pattern</w:t>
            </w:r>
          </w:p>
        </w:tc>
        <w:tc>
          <w:tcPr>
            <w:tcW w:w="2727" w:type="dxa"/>
          </w:tcPr>
          <w:p w14:paraId="1567CCB0" w14:textId="77777777" w:rsidR="00F022CA" w:rsidRDefault="00F022CA" w:rsidP="00015EE2">
            <w:r>
              <w:t>Shift based</w:t>
            </w:r>
          </w:p>
        </w:tc>
        <w:tc>
          <w:tcPr>
            <w:tcW w:w="2163" w:type="dxa"/>
          </w:tcPr>
          <w:p w14:paraId="4A244AB0" w14:textId="77777777" w:rsidR="00F022CA" w:rsidRDefault="00F022CA" w:rsidP="00015EE2">
            <w:r>
              <w:t>29</w:t>
            </w:r>
          </w:p>
        </w:tc>
        <w:tc>
          <w:tcPr>
            <w:tcW w:w="2186" w:type="dxa"/>
          </w:tcPr>
          <w:p w14:paraId="6D52181A" w14:textId="77777777" w:rsidR="00F022CA" w:rsidRDefault="00F022CA" w:rsidP="00015EE2">
            <w:r>
              <w:t>76.3</w:t>
            </w:r>
          </w:p>
        </w:tc>
      </w:tr>
      <w:tr w:rsidR="00F022CA" w14:paraId="7189C7C0" w14:textId="77777777" w:rsidTr="00F022CA">
        <w:trPr>
          <w:trHeight w:val="113"/>
        </w:trPr>
        <w:tc>
          <w:tcPr>
            <w:tcW w:w="2192" w:type="dxa"/>
          </w:tcPr>
          <w:p w14:paraId="4ACD028D" w14:textId="77777777" w:rsidR="00F022CA" w:rsidRDefault="00F022CA" w:rsidP="00015EE2"/>
        </w:tc>
        <w:tc>
          <w:tcPr>
            <w:tcW w:w="2727" w:type="dxa"/>
          </w:tcPr>
          <w:p w14:paraId="35E7C46D" w14:textId="77777777" w:rsidR="00F022CA" w:rsidRDefault="00F022CA" w:rsidP="00015EE2">
            <w:r>
              <w:t>Daytime</w:t>
            </w:r>
          </w:p>
        </w:tc>
        <w:tc>
          <w:tcPr>
            <w:tcW w:w="2163" w:type="dxa"/>
          </w:tcPr>
          <w:p w14:paraId="17674970" w14:textId="77777777" w:rsidR="00F022CA" w:rsidRDefault="00F022CA" w:rsidP="00015EE2">
            <w:r>
              <w:t>9</w:t>
            </w:r>
          </w:p>
        </w:tc>
        <w:tc>
          <w:tcPr>
            <w:tcW w:w="2186" w:type="dxa"/>
          </w:tcPr>
          <w:p w14:paraId="70791E3C" w14:textId="77777777" w:rsidR="00F022CA" w:rsidRDefault="00F022CA" w:rsidP="00015EE2">
            <w:r>
              <w:t>23.7</w:t>
            </w:r>
          </w:p>
        </w:tc>
      </w:tr>
    </w:tbl>
    <w:p w14:paraId="07AD9E98" w14:textId="77777777" w:rsidR="00F022CA" w:rsidRDefault="00F022CA" w:rsidP="00974FE4"/>
    <w:p w14:paraId="17CFF2D0" w14:textId="77777777" w:rsidR="008831C8" w:rsidRDefault="008831C8" w:rsidP="00974FE4"/>
    <w:p w14:paraId="428D5F50" w14:textId="7E518107" w:rsidR="00EF09A3" w:rsidRDefault="00EF09A3" w:rsidP="00974FE4">
      <w:r>
        <w:t xml:space="preserve">Figure 2. </w:t>
      </w:r>
    </w:p>
    <w:p w14:paraId="2CCD6362" w14:textId="77777777" w:rsidR="00EF09A3" w:rsidRDefault="00EF09A3" w:rsidP="00EF09A3">
      <w:pPr>
        <w:pStyle w:val="NormalWeb"/>
      </w:pPr>
      <w:r>
        <w:rPr>
          <w:noProof/>
        </w:rPr>
        <w:drawing>
          <wp:inline distT="0" distB="0" distL="0" distR="0" wp14:anchorId="5E6A6C82" wp14:editId="7C2D0EC5">
            <wp:extent cx="3462867" cy="2597150"/>
            <wp:effectExtent l="0" t="0" r="4445"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64499" cy="2598374"/>
                    </a:xfrm>
                    <a:prstGeom prst="rect">
                      <a:avLst/>
                    </a:prstGeom>
                    <a:noFill/>
                    <a:ln>
                      <a:noFill/>
                    </a:ln>
                  </pic:spPr>
                </pic:pic>
              </a:graphicData>
            </a:graphic>
          </wp:inline>
        </w:drawing>
      </w:r>
    </w:p>
    <w:p w14:paraId="43D389DE" w14:textId="77777777" w:rsidR="00EF09A3" w:rsidRDefault="00EF09A3" w:rsidP="00974FE4"/>
    <w:p w14:paraId="5495A98F" w14:textId="77777777" w:rsidR="00F022CA" w:rsidRDefault="00F022CA" w:rsidP="00974FE4"/>
    <w:p w14:paraId="0D63BC8E" w14:textId="77777777" w:rsidR="00F022CA" w:rsidRDefault="00F022CA" w:rsidP="00974FE4"/>
    <w:p w14:paraId="01073A3D" w14:textId="0C96B9D4" w:rsidR="00F022CA" w:rsidRDefault="00F022CA" w:rsidP="00974FE4">
      <w:r>
        <w:t>Figure 3.</w:t>
      </w:r>
    </w:p>
    <w:p w14:paraId="0493918D" w14:textId="374D4417" w:rsidR="00F022CA" w:rsidRPr="00F022CA" w:rsidRDefault="00F022CA" w:rsidP="00F022CA">
      <w:r w:rsidRPr="00F022CA">
        <w:rPr>
          <w:noProof/>
        </w:rPr>
        <w:drawing>
          <wp:inline distT="0" distB="0" distL="0" distR="0" wp14:anchorId="13D8F09E" wp14:editId="66C4A6A3">
            <wp:extent cx="4337050" cy="3253029"/>
            <wp:effectExtent l="0" t="0" r="6350" b="5080"/>
            <wp:docPr id="16548645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63931" cy="3273191"/>
                    </a:xfrm>
                    <a:prstGeom prst="rect">
                      <a:avLst/>
                    </a:prstGeom>
                    <a:noFill/>
                    <a:ln>
                      <a:noFill/>
                    </a:ln>
                  </pic:spPr>
                </pic:pic>
              </a:graphicData>
            </a:graphic>
          </wp:inline>
        </w:drawing>
      </w:r>
    </w:p>
    <w:p w14:paraId="0E8FDFE0" w14:textId="77777777" w:rsidR="00F022CA" w:rsidRDefault="00F022CA" w:rsidP="00974FE4"/>
    <w:p w14:paraId="1204A9FB" w14:textId="4CC3F3A9" w:rsidR="001E05A6" w:rsidRDefault="001E05A6" w:rsidP="00974FE4">
      <w:r>
        <w:t>Figure 4.</w:t>
      </w:r>
    </w:p>
    <w:p w14:paraId="4328C467" w14:textId="6659BD26" w:rsidR="001E05A6" w:rsidRPr="001E05A6" w:rsidRDefault="001E05A6" w:rsidP="001E05A6">
      <w:r w:rsidRPr="001E05A6">
        <w:rPr>
          <w:noProof/>
        </w:rPr>
        <w:drawing>
          <wp:inline distT="0" distB="0" distL="0" distR="0" wp14:anchorId="66C232EE" wp14:editId="515F65B5">
            <wp:extent cx="4178300" cy="3133956"/>
            <wp:effectExtent l="0" t="0" r="0" b="9525"/>
            <wp:docPr id="18141454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86053" cy="3139771"/>
                    </a:xfrm>
                    <a:prstGeom prst="rect">
                      <a:avLst/>
                    </a:prstGeom>
                    <a:noFill/>
                    <a:ln>
                      <a:noFill/>
                    </a:ln>
                  </pic:spPr>
                </pic:pic>
              </a:graphicData>
            </a:graphic>
          </wp:inline>
        </w:drawing>
      </w:r>
    </w:p>
    <w:p w14:paraId="399C45CF" w14:textId="77777777" w:rsidR="001E05A6" w:rsidRPr="00974FE4" w:rsidRDefault="001E05A6" w:rsidP="00974FE4"/>
    <w:sectPr w:rsidR="001E05A6" w:rsidRPr="00974F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AA3"/>
    <w:rsid w:val="00002456"/>
    <w:rsid w:val="001E05A6"/>
    <w:rsid w:val="00284218"/>
    <w:rsid w:val="002A29C9"/>
    <w:rsid w:val="003E4308"/>
    <w:rsid w:val="00583DAD"/>
    <w:rsid w:val="005C2DF1"/>
    <w:rsid w:val="00654AA3"/>
    <w:rsid w:val="0072397E"/>
    <w:rsid w:val="00870F00"/>
    <w:rsid w:val="008831C8"/>
    <w:rsid w:val="008A69F3"/>
    <w:rsid w:val="008C483F"/>
    <w:rsid w:val="00947681"/>
    <w:rsid w:val="00974FE4"/>
    <w:rsid w:val="009E3A5B"/>
    <w:rsid w:val="00AA4F5C"/>
    <w:rsid w:val="00B36CA7"/>
    <w:rsid w:val="00C02B62"/>
    <w:rsid w:val="00C4300E"/>
    <w:rsid w:val="00C920AD"/>
    <w:rsid w:val="00E26F9C"/>
    <w:rsid w:val="00EF09A3"/>
    <w:rsid w:val="00F022CA"/>
    <w:rsid w:val="00F04F15"/>
    <w:rsid w:val="00FB3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8A022"/>
  <w15:chartTrackingRefBased/>
  <w15:docId w15:val="{3EB20D46-0D4D-4405-AE7F-71D4CD115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4A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4A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4A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4A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4A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4A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4A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4A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4A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4A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4A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4A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4A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4A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4A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4A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4A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4AA3"/>
    <w:rPr>
      <w:rFonts w:eastAsiaTheme="majorEastAsia" w:cstheme="majorBidi"/>
      <w:color w:val="272727" w:themeColor="text1" w:themeTint="D8"/>
    </w:rPr>
  </w:style>
  <w:style w:type="paragraph" w:styleId="Title">
    <w:name w:val="Title"/>
    <w:basedOn w:val="Normal"/>
    <w:next w:val="Normal"/>
    <w:link w:val="TitleChar"/>
    <w:uiPriority w:val="10"/>
    <w:qFormat/>
    <w:rsid w:val="00654A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4A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4A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4A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4AA3"/>
    <w:pPr>
      <w:spacing w:before="160"/>
      <w:jc w:val="center"/>
    </w:pPr>
    <w:rPr>
      <w:i/>
      <w:iCs/>
      <w:color w:val="404040" w:themeColor="text1" w:themeTint="BF"/>
    </w:rPr>
  </w:style>
  <w:style w:type="character" w:customStyle="1" w:styleId="QuoteChar">
    <w:name w:val="Quote Char"/>
    <w:basedOn w:val="DefaultParagraphFont"/>
    <w:link w:val="Quote"/>
    <w:uiPriority w:val="29"/>
    <w:rsid w:val="00654AA3"/>
    <w:rPr>
      <w:i/>
      <w:iCs/>
      <w:color w:val="404040" w:themeColor="text1" w:themeTint="BF"/>
    </w:rPr>
  </w:style>
  <w:style w:type="paragraph" w:styleId="ListParagraph">
    <w:name w:val="List Paragraph"/>
    <w:basedOn w:val="Normal"/>
    <w:uiPriority w:val="34"/>
    <w:qFormat/>
    <w:rsid w:val="00654AA3"/>
    <w:pPr>
      <w:ind w:left="720"/>
      <w:contextualSpacing/>
    </w:pPr>
  </w:style>
  <w:style w:type="character" w:styleId="IntenseEmphasis">
    <w:name w:val="Intense Emphasis"/>
    <w:basedOn w:val="DefaultParagraphFont"/>
    <w:uiPriority w:val="21"/>
    <w:qFormat/>
    <w:rsid w:val="00654AA3"/>
    <w:rPr>
      <w:i/>
      <w:iCs/>
      <w:color w:val="0F4761" w:themeColor="accent1" w:themeShade="BF"/>
    </w:rPr>
  </w:style>
  <w:style w:type="paragraph" w:styleId="IntenseQuote">
    <w:name w:val="Intense Quote"/>
    <w:basedOn w:val="Normal"/>
    <w:next w:val="Normal"/>
    <w:link w:val="IntenseQuoteChar"/>
    <w:uiPriority w:val="30"/>
    <w:qFormat/>
    <w:rsid w:val="00654A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4AA3"/>
    <w:rPr>
      <w:i/>
      <w:iCs/>
      <w:color w:val="0F4761" w:themeColor="accent1" w:themeShade="BF"/>
    </w:rPr>
  </w:style>
  <w:style w:type="character" w:styleId="IntenseReference">
    <w:name w:val="Intense Reference"/>
    <w:basedOn w:val="DefaultParagraphFont"/>
    <w:uiPriority w:val="32"/>
    <w:qFormat/>
    <w:rsid w:val="00654AA3"/>
    <w:rPr>
      <w:b/>
      <w:bCs/>
      <w:smallCaps/>
      <w:color w:val="0F4761" w:themeColor="accent1" w:themeShade="BF"/>
      <w:spacing w:val="5"/>
    </w:rPr>
  </w:style>
  <w:style w:type="table" w:styleId="TableGrid">
    <w:name w:val="Table Grid"/>
    <w:basedOn w:val="TableNormal"/>
    <w:uiPriority w:val="39"/>
    <w:rsid w:val="002A29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F09A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355</TotalTime>
  <Pages>6</Pages>
  <Words>1210</Words>
  <Characters>6903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Simons,Daniel swp8755</dc:creator>
  <cp:keywords/>
  <dc:description/>
  <cp:lastModifiedBy>Simons,Daniel swp8755</cp:lastModifiedBy>
  <cp:revision>2</cp:revision>
  <dcterms:created xsi:type="dcterms:W3CDTF">2026-04-21T11:39:00Z</dcterms:created>
  <dcterms:modified xsi:type="dcterms:W3CDTF">2026-04-21T17:36:00Z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2026-04-21T17:33:56Z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a51e8b91-4822-4b20-a148-e021d7d80de6</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