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2E3812" w14:textId="4A9B62B4" w:rsidR="00800058" w:rsidRDefault="77FFB34E" w:rsidP="4EB1EAF7">
      <w:pPr>
        <w:pStyle w:val="Heading2"/>
        <w:shd w:val="clear" w:color="auto" w:fill="FFFFFF" w:themeFill="background1"/>
        <w:spacing w:before="299" w:after="299"/>
        <w:rPr>
          <w:rFonts w:ascii="Arial" w:eastAsia="Arial" w:hAnsi="Arial" w:cs="Arial"/>
          <w:b/>
          <w:bCs/>
          <w:color w:val="222222"/>
          <w:sz w:val="22"/>
          <w:szCs w:val="22"/>
        </w:rPr>
      </w:pPr>
      <w:r w:rsidRPr="4EB1EAF7">
        <w:rPr>
          <w:rFonts w:ascii="Arial" w:eastAsia="Arial" w:hAnsi="Arial" w:cs="Arial"/>
          <w:b/>
          <w:bCs/>
          <w:color w:val="222222"/>
          <w:sz w:val="36"/>
          <w:szCs w:val="36"/>
        </w:rPr>
        <w:t>RESEARCH REPORT – Mental Health Inequalities and Depression among Black Communities in the UK</w:t>
      </w:r>
    </w:p>
    <w:p w14:paraId="0E1CEE6D" w14:textId="77777777" w:rsidR="006A1A45" w:rsidRDefault="006A1A45">
      <w:pPr>
        <w:rPr>
          <w:rFonts w:hint="eastAsia"/>
        </w:rPr>
      </w:pPr>
    </w:p>
    <w:p w14:paraId="461E05EB" w14:textId="790D4BAC" w:rsidR="00800058" w:rsidRDefault="00800058" w:rsidP="4EB1EAF7">
      <w:pPr>
        <w:shd w:val="clear" w:color="auto" w:fill="FFFFFF" w:themeFill="background1"/>
        <w:spacing w:before="195" w:after="195"/>
        <w:rPr>
          <w:rFonts w:hint="eastAsia"/>
        </w:rPr>
      </w:pPr>
    </w:p>
    <w:p w14:paraId="28C6E93E" w14:textId="0BA0B26C" w:rsidR="00800058" w:rsidRDefault="77FFB34E" w:rsidP="00AF2A5F">
      <w:pPr>
        <w:shd w:val="clear" w:color="auto" w:fill="FFFFFF" w:themeFill="background1"/>
        <w:spacing w:before="195" w:after="195"/>
        <w:jc w:val="both"/>
        <w:rPr>
          <w:rFonts w:hint="eastAsia"/>
        </w:rPr>
      </w:pPr>
      <w:r w:rsidRPr="4EB1EAF7">
        <w:rPr>
          <w:rFonts w:ascii="Arial" w:eastAsia="Arial" w:hAnsi="Arial" w:cs="Arial"/>
          <w:color w:val="222222"/>
          <w:sz w:val="22"/>
          <w:szCs w:val="22"/>
        </w:rPr>
        <w:t>Student Name: Constance Agbon</w:t>
      </w:r>
    </w:p>
    <w:p w14:paraId="079F45E7" w14:textId="629045E6" w:rsidR="00800058" w:rsidRDefault="77FFB34E" w:rsidP="00AF2A5F">
      <w:pPr>
        <w:shd w:val="clear" w:color="auto" w:fill="FFFFFF" w:themeFill="background1"/>
        <w:spacing w:before="195" w:after="195"/>
        <w:jc w:val="both"/>
        <w:rPr>
          <w:rFonts w:hint="eastAsia"/>
        </w:rPr>
      </w:pPr>
      <w:r w:rsidRPr="4EB1EAF7">
        <w:rPr>
          <w:rFonts w:ascii="Arial" w:eastAsia="Arial" w:hAnsi="Arial" w:cs="Arial"/>
          <w:color w:val="222222"/>
          <w:sz w:val="22"/>
          <w:szCs w:val="22"/>
        </w:rPr>
        <w:t>Student Number: 2533232</w:t>
      </w:r>
    </w:p>
    <w:p w14:paraId="6278D45F" w14:textId="21890970" w:rsidR="00800058" w:rsidRDefault="77FFB34E" w:rsidP="00AF2A5F">
      <w:pPr>
        <w:shd w:val="clear" w:color="auto" w:fill="FFFFFF" w:themeFill="background1"/>
        <w:spacing w:before="195" w:after="195"/>
        <w:jc w:val="both"/>
        <w:rPr>
          <w:rFonts w:hint="eastAsia"/>
        </w:rPr>
      </w:pPr>
      <w:r w:rsidRPr="4EB1EAF7">
        <w:rPr>
          <w:rFonts w:ascii="Arial" w:eastAsia="Arial" w:hAnsi="Arial" w:cs="Arial"/>
          <w:color w:val="222222"/>
          <w:sz w:val="22"/>
          <w:szCs w:val="22"/>
        </w:rPr>
        <w:t>Module Code: LCHS4007</w:t>
      </w:r>
    </w:p>
    <w:p w14:paraId="12D13090" w14:textId="2BDA3278" w:rsidR="00FD0EF7" w:rsidRPr="00D81A1D" w:rsidRDefault="77FFB34E" w:rsidP="00AF2A5F">
      <w:pPr>
        <w:shd w:val="clear" w:color="auto" w:fill="FFFFFF" w:themeFill="background1"/>
        <w:spacing w:before="195" w:after="195"/>
        <w:jc w:val="both"/>
        <w:rPr>
          <w:rFonts w:hint="eastAsia"/>
        </w:rPr>
      </w:pPr>
      <w:r w:rsidRPr="4EB1EAF7">
        <w:rPr>
          <w:rFonts w:ascii="Arial" w:eastAsia="Arial" w:hAnsi="Arial" w:cs="Arial"/>
          <w:color w:val="222222"/>
          <w:sz w:val="22"/>
          <w:szCs w:val="22"/>
        </w:rPr>
        <w:t>Lecturer: Brian Mashumba</w:t>
      </w:r>
    </w:p>
    <w:p w14:paraId="06E06B51" w14:textId="77777777" w:rsidR="00CE5935" w:rsidRDefault="00CE5935" w:rsidP="00AF2A5F">
      <w:pPr>
        <w:shd w:val="clear" w:color="auto" w:fill="FFFFFF" w:themeFill="background1"/>
        <w:spacing w:before="195" w:after="195"/>
        <w:jc w:val="both"/>
        <w:rPr>
          <w:rFonts w:hint="eastAsia"/>
        </w:rPr>
      </w:pPr>
    </w:p>
    <w:p w14:paraId="0C6D67F3" w14:textId="3B6371C1" w:rsidR="00515E72" w:rsidRPr="00683E7C" w:rsidRDefault="00515E72" w:rsidP="00515E72">
      <w:pPr>
        <w:shd w:val="clear" w:color="auto" w:fill="FFFFFF" w:themeFill="background1"/>
        <w:spacing w:before="195" w:after="195"/>
        <w:jc w:val="both"/>
        <w:rPr>
          <w:rFonts w:asciiTheme="majorHAnsi" w:hAnsiTheme="majorHAnsi" w:hint="eastAsia"/>
          <w:sz w:val="56"/>
          <w:szCs w:val="56"/>
        </w:rPr>
      </w:pPr>
      <w:r w:rsidRPr="00FD6DFC">
        <w:rPr>
          <w:rFonts w:asciiTheme="majorHAnsi" w:hAnsiTheme="majorHAnsi"/>
          <w:b/>
          <w:bCs/>
          <w:sz w:val="44"/>
          <w:szCs w:val="44"/>
        </w:rPr>
        <w:t>TABLE Of CONTENTS</w:t>
      </w:r>
      <w:r w:rsidRPr="00822B79">
        <w:rPr>
          <w:rFonts w:asciiTheme="majorHAnsi" w:hAnsiTheme="majorHAnsi"/>
          <w:sz w:val="56"/>
          <w:szCs w:val="56"/>
        </w:rPr>
        <w:t>.</w:t>
      </w:r>
    </w:p>
    <w:p w14:paraId="5C399E55" w14:textId="5B9221E2" w:rsidR="00515E72" w:rsidRPr="00473280" w:rsidRDefault="00515E72" w:rsidP="00550012">
      <w:pPr>
        <w:shd w:val="clear" w:color="auto" w:fill="FFFFFF" w:themeFill="background1"/>
        <w:spacing w:before="195" w:after="195"/>
        <w:ind w:left="360"/>
        <w:rPr>
          <w:rFonts w:ascii="Arial" w:hAnsi="Arial" w:cs="Arial"/>
          <w:sz w:val="22"/>
          <w:szCs w:val="22"/>
        </w:rPr>
      </w:pPr>
      <w:r w:rsidRPr="00473280">
        <w:rPr>
          <w:rFonts w:ascii="Arial" w:hAnsi="Arial" w:cs="Arial"/>
          <w:sz w:val="22"/>
          <w:szCs w:val="22"/>
        </w:rPr>
        <w:t>Introduction</w:t>
      </w:r>
    </w:p>
    <w:p w14:paraId="297C008A" w14:textId="52D7A19F" w:rsidR="00515E72" w:rsidRPr="00473280" w:rsidRDefault="00515E72" w:rsidP="00550012">
      <w:pPr>
        <w:shd w:val="clear" w:color="auto" w:fill="FFFFFF" w:themeFill="background1"/>
        <w:spacing w:before="195" w:after="195"/>
        <w:ind w:left="360"/>
        <w:rPr>
          <w:rFonts w:ascii="Arial" w:hAnsi="Arial" w:cs="Arial"/>
          <w:sz w:val="22"/>
          <w:szCs w:val="22"/>
        </w:rPr>
      </w:pPr>
      <w:r w:rsidRPr="00473280">
        <w:rPr>
          <w:rFonts w:ascii="Arial" w:hAnsi="Arial" w:cs="Arial"/>
          <w:sz w:val="22"/>
          <w:szCs w:val="22"/>
        </w:rPr>
        <w:t>Selection of a Research Topic</w:t>
      </w:r>
    </w:p>
    <w:p w14:paraId="152D89EC" w14:textId="4D5DDED3" w:rsidR="00515E72" w:rsidRPr="00473280" w:rsidRDefault="00F118E1" w:rsidP="00550012">
      <w:pPr>
        <w:shd w:val="clear" w:color="auto" w:fill="FFFFFF" w:themeFill="background1"/>
        <w:spacing w:before="195" w:after="195"/>
        <w:rPr>
          <w:rFonts w:ascii="Arial" w:hAnsi="Arial" w:cs="Arial"/>
          <w:sz w:val="22"/>
          <w:szCs w:val="22"/>
        </w:rPr>
      </w:pPr>
      <w:r>
        <w:rPr>
          <w:rFonts w:ascii="Arial" w:hAnsi="Arial" w:cs="Arial"/>
          <w:sz w:val="22"/>
          <w:szCs w:val="22"/>
        </w:rPr>
        <w:t xml:space="preserve"> </w:t>
      </w:r>
      <w:r w:rsidR="00981FE5">
        <w:rPr>
          <w:rFonts w:ascii="Arial" w:hAnsi="Arial" w:cs="Arial"/>
          <w:sz w:val="22"/>
          <w:szCs w:val="22"/>
        </w:rPr>
        <w:t xml:space="preserve">   </w:t>
      </w:r>
      <w:r w:rsidR="00C80268">
        <w:rPr>
          <w:rFonts w:ascii="Arial" w:hAnsi="Arial" w:cs="Arial"/>
          <w:sz w:val="22"/>
          <w:szCs w:val="22"/>
        </w:rPr>
        <w:t xml:space="preserve"> </w:t>
      </w:r>
      <w:r w:rsidR="00515E72" w:rsidRPr="00473280">
        <w:rPr>
          <w:rFonts w:ascii="Arial" w:hAnsi="Arial" w:cs="Arial"/>
          <w:sz w:val="22"/>
          <w:szCs w:val="22"/>
        </w:rPr>
        <w:t xml:space="preserve"> Evaluating Information Sources</w:t>
      </w:r>
    </w:p>
    <w:p w14:paraId="0F10E9C5" w14:textId="1A9A97BA" w:rsidR="00515E72" w:rsidRPr="00473280" w:rsidRDefault="00515E72" w:rsidP="00550012">
      <w:pPr>
        <w:shd w:val="clear" w:color="auto" w:fill="FFFFFF" w:themeFill="background1"/>
        <w:spacing w:before="195" w:after="195"/>
        <w:ind w:left="360"/>
        <w:rPr>
          <w:rFonts w:ascii="Arial" w:hAnsi="Arial" w:cs="Arial"/>
          <w:sz w:val="22"/>
          <w:szCs w:val="22"/>
        </w:rPr>
      </w:pPr>
      <w:r w:rsidRPr="00473280">
        <w:rPr>
          <w:rFonts w:ascii="Arial" w:hAnsi="Arial" w:cs="Arial"/>
          <w:sz w:val="22"/>
          <w:szCs w:val="22"/>
        </w:rPr>
        <w:t>Research Methodologies</w:t>
      </w:r>
    </w:p>
    <w:p w14:paraId="16E4E58A" w14:textId="782C6A6E" w:rsidR="00515E72" w:rsidRPr="00473280" w:rsidRDefault="00713FF1" w:rsidP="00550012">
      <w:pPr>
        <w:shd w:val="clear" w:color="auto" w:fill="FFFFFF" w:themeFill="background1"/>
        <w:spacing w:before="195" w:after="195"/>
        <w:rPr>
          <w:rFonts w:ascii="Arial" w:hAnsi="Arial" w:cs="Arial"/>
          <w:sz w:val="22"/>
          <w:szCs w:val="22"/>
        </w:rPr>
      </w:pPr>
      <w:r>
        <w:rPr>
          <w:rFonts w:ascii="Arial" w:hAnsi="Arial" w:cs="Arial"/>
          <w:sz w:val="22"/>
          <w:szCs w:val="22"/>
        </w:rPr>
        <w:t xml:space="preserve">   </w:t>
      </w:r>
      <w:r w:rsidR="002D2351">
        <w:rPr>
          <w:rFonts w:ascii="Arial" w:hAnsi="Arial" w:cs="Arial"/>
          <w:sz w:val="22"/>
          <w:szCs w:val="22"/>
        </w:rPr>
        <w:t xml:space="preserve">  </w:t>
      </w:r>
      <w:r w:rsidR="00A00CE6">
        <w:rPr>
          <w:rFonts w:ascii="Arial" w:hAnsi="Arial" w:cs="Arial"/>
          <w:sz w:val="22"/>
          <w:szCs w:val="22"/>
        </w:rPr>
        <w:t xml:space="preserve"> </w:t>
      </w:r>
      <w:r w:rsidR="00515E72" w:rsidRPr="00473280">
        <w:rPr>
          <w:rFonts w:ascii="Arial" w:hAnsi="Arial" w:cs="Arial"/>
          <w:sz w:val="22"/>
          <w:szCs w:val="22"/>
        </w:rPr>
        <w:t>Data Collect ion</w:t>
      </w:r>
    </w:p>
    <w:p w14:paraId="664690BC" w14:textId="0083CE06" w:rsidR="00515E72" w:rsidRPr="00473280" w:rsidRDefault="00515E72" w:rsidP="00550012">
      <w:pPr>
        <w:shd w:val="clear" w:color="auto" w:fill="FFFFFF" w:themeFill="background1"/>
        <w:spacing w:before="195" w:after="195"/>
        <w:ind w:left="360"/>
        <w:rPr>
          <w:rFonts w:ascii="Arial" w:hAnsi="Arial" w:cs="Arial"/>
          <w:sz w:val="22"/>
          <w:szCs w:val="22"/>
        </w:rPr>
      </w:pPr>
      <w:r w:rsidRPr="00473280">
        <w:rPr>
          <w:rFonts w:ascii="Arial" w:hAnsi="Arial" w:cs="Arial"/>
          <w:sz w:val="22"/>
          <w:szCs w:val="22"/>
        </w:rPr>
        <w:t>Convulsion</w:t>
      </w:r>
    </w:p>
    <w:p w14:paraId="3C2B5F94" w14:textId="531E7FD5" w:rsidR="00515E72" w:rsidRPr="00473280" w:rsidRDefault="00515E72" w:rsidP="00550012">
      <w:pPr>
        <w:shd w:val="clear" w:color="auto" w:fill="FFFFFF" w:themeFill="background1"/>
        <w:spacing w:before="195" w:after="195"/>
        <w:ind w:left="360"/>
        <w:rPr>
          <w:rFonts w:ascii="Arial" w:hAnsi="Arial" w:cs="Arial"/>
          <w:sz w:val="22"/>
          <w:szCs w:val="22"/>
        </w:rPr>
      </w:pPr>
      <w:r w:rsidRPr="00473280">
        <w:rPr>
          <w:rFonts w:ascii="Arial" w:hAnsi="Arial" w:cs="Arial"/>
          <w:sz w:val="22"/>
          <w:szCs w:val="22"/>
        </w:rPr>
        <w:t>Self-Reflection</w:t>
      </w:r>
    </w:p>
    <w:p w14:paraId="5189FEA4" w14:textId="080A2491" w:rsidR="00800B43" w:rsidRPr="00473280" w:rsidRDefault="00515E72" w:rsidP="00550012">
      <w:pPr>
        <w:shd w:val="clear" w:color="auto" w:fill="FFFFFF" w:themeFill="background1"/>
        <w:spacing w:before="195" w:after="195"/>
        <w:ind w:left="360"/>
        <w:rPr>
          <w:rFonts w:ascii="Arial" w:hAnsi="Arial" w:cs="Arial"/>
          <w:sz w:val="22"/>
          <w:szCs w:val="22"/>
        </w:rPr>
      </w:pPr>
      <w:r w:rsidRPr="00473280">
        <w:rPr>
          <w:rFonts w:ascii="Arial" w:hAnsi="Arial" w:cs="Arial"/>
          <w:sz w:val="22"/>
          <w:szCs w:val="22"/>
        </w:rPr>
        <w:t>References</w:t>
      </w:r>
    </w:p>
    <w:p w14:paraId="4D3B3236" w14:textId="388E98D5" w:rsidR="003F13D4" w:rsidRDefault="003F13D4" w:rsidP="00AF2A5F">
      <w:pPr>
        <w:shd w:val="clear" w:color="auto" w:fill="FFFFFF" w:themeFill="background1"/>
        <w:spacing w:before="195" w:after="195"/>
        <w:jc w:val="both"/>
        <w:rPr>
          <w:rFonts w:ascii="Arial" w:eastAsia="Arial" w:hAnsi="Arial" w:cs="Arial"/>
          <w:color w:val="222222"/>
          <w:sz w:val="22"/>
          <w:szCs w:val="22"/>
        </w:rPr>
      </w:pPr>
    </w:p>
    <w:p w14:paraId="2A12EFEE" w14:textId="61C492A8" w:rsidR="00855155" w:rsidRDefault="00855155" w:rsidP="00AF2A5F">
      <w:pPr>
        <w:shd w:val="clear" w:color="auto" w:fill="FFFFFF" w:themeFill="background1"/>
        <w:spacing w:before="195" w:after="195"/>
        <w:jc w:val="both"/>
        <w:rPr>
          <w:rFonts w:ascii="Arial" w:eastAsia="Arial" w:hAnsi="Arial" w:cs="Arial"/>
          <w:color w:val="222222"/>
          <w:sz w:val="22"/>
          <w:szCs w:val="22"/>
        </w:rPr>
      </w:pPr>
    </w:p>
    <w:p w14:paraId="5C556EAA" w14:textId="014AB51E" w:rsidR="00800058" w:rsidRDefault="00800058">
      <w:pPr>
        <w:rPr>
          <w:rFonts w:hint="eastAsia"/>
        </w:rPr>
      </w:pPr>
    </w:p>
    <w:p w14:paraId="5D5C5286" w14:textId="41D3B62D" w:rsidR="00800058" w:rsidRDefault="77FFB34E" w:rsidP="001C5B3F">
      <w:pPr>
        <w:pStyle w:val="Heading2"/>
        <w:shd w:val="clear" w:color="auto" w:fill="FFFFFF" w:themeFill="background1"/>
        <w:spacing w:before="299" w:after="299"/>
        <w:rPr>
          <w:rFonts w:hint="eastAsia"/>
        </w:rPr>
      </w:pPr>
      <w:r w:rsidRPr="4EB1EAF7">
        <w:rPr>
          <w:rFonts w:ascii="Arial" w:eastAsia="Arial" w:hAnsi="Arial" w:cs="Arial"/>
          <w:b/>
          <w:bCs/>
          <w:color w:val="222222"/>
          <w:sz w:val="36"/>
          <w:szCs w:val="36"/>
        </w:rPr>
        <w:t>INTRODUCTION</w:t>
      </w:r>
    </w:p>
    <w:p w14:paraId="09619017" w14:textId="07EC9FF9" w:rsidR="00800058" w:rsidRDefault="77FFB34E" w:rsidP="4EB1EAF7">
      <w:pPr>
        <w:shd w:val="clear" w:color="auto" w:fill="FFFFFF" w:themeFill="background1"/>
        <w:spacing w:before="195" w:after="195"/>
        <w:rPr>
          <w:rFonts w:hint="eastAsia"/>
        </w:rPr>
      </w:pPr>
      <w:r w:rsidRPr="4EB1EAF7">
        <w:rPr>
          <w:rFonts w:ascii="Arial" w:eastAsia="Arial" w:hAnsi="Arial" w:cs="Arial"/>
          <w:color w:val="222222"/>
          <w:sz w:val="22"/>
          <w:szCs w:val="22"/>
        </w:rPr>
        <w:t>This report looks at depression in Black communities in the UK and the problems that make it harder for people to get mental health support. Research shows that Black people can experience high levels of mental health problems, but they are less likely to use services like GP referrals or talking therapies (Mind, 2023). This shows that there are barriers that stop people from getting help and that mental health services are not accessed equally</w:t>
      </w:r>
      <w:r w:rsidR="00C36EDB">
        <w:rPr>
          <w:rFonts w:ascii="Arial" w:eastAsia="Arial" w:hAnsi="Arial" w:cs="Arial"/>
          <w:color w:val="222222"/>
          <w:sz w:val="22"/>
          <w:szCs w:val="22"/>
        </w:rPr>
        <w:t>.</w:t>
      </w:r>
    </w:p>
    <w:p w14:paraId="2202EFE8" w14:textId="49ACC6CA" w:rsidR="00800058" w:rsidRDefault="77FFB34E" w:rsidP="4EB1EAF7">
      <w:pPr>
        <w:shd w:val="clear" w:color="auto" w:fill="FFFFFF" w:themeFill="background1"/>
        <w:spacing w:before="195" w:after="195"/>
        <w:rPr>
          <w:rFonts w:hint="eastAsia"/>
        </w:rPr>
      </w:pPr>
      <w:r w:rsidRPr="4EB1EAF7">
        <w:rPr>
          <w:rFonts w:ascii="Arial" w:eastAsia="Arial" w:hAnsi="Arial" w:cs="Arial"/>
          <w:color w:val="222222"/>
          <w:sz w:val="22"/>
          <w:szCs w:val="22"/>
        </w:rPr>
        <w:t>These barriers include stigma, lack of trust in healthcare services, financial difficulties, and cultural beliefs about mental health. Some people may also not recognise symptoms of depression or may feel they should deal with problems on their own. This report will look at different sources of information and explain research methods for this topic. It will also identify gaps in information and suggest ways services could improve.</w:t>
      </w:r>
    </w:p>
    <w:p w14:paraId="2EB0715B" w14:textId="647F3EFF" w:rsidR="00800058" w:rsidRDefault="00800058">
      <w:pPr>
        <w:rPr>
          <w:rFonts w:hint="eastAsia"/>
        </w:rPr>
      </w:pPr>
    </w:p>
    <w:p w14:paraId="26C9C15C" w14:textId="7CC373B4" w:rsidR="00800058" w:rsidRDefault="77FFB34E" w:rsidP="00C1757C">
      <w:pPr>
        <w:pStyle w:val="Heading2"/>
        <w:shd w:val="clear" w:color="auto" w:fill="FFFFFF" w:themeFill="background1"/>
        <w:spacing w:before="299" w:after="299"/>
        <w:rPr>
          <w:rFonts w:hint="eastAsia"/>
        </w:rPr>
      </w:pPr>
      <w:r w:rsidRPr="4EB1EAF7">
        <w:rPr>
          <w:rFonts w:ascii="Arial" w:eastAsia="Arial" w:hAnsi="Arial" w:cs="Arial"/>
          <w:b/>
          <w:bCs/>
          <w:color w:val="222222"/>
          <w:sz w:val="36"/>
          <w:szCs w:val="36"/>
        </w:rPr>
        <w:t>RESEARCH TOPIC</w:t>
      </w:r>
    </w:p>
    <w:p w14:paraId="08AA0740" w14:textId="669060A0" w:rsidR="00800058" w:rsidRDefault="77FFB34E" w:rsidP="4EB1EAF7">
      <w:pPr>
        <w:shd w:val="clear" w:color="auto" w:fill="FFFFFF" w:themeFill="background1"/>
        <w:spacing w:before="195" w:after="195"/>
        <w:rPr>
          <w:rFonts w:hint="eastAsia"/>
        </w:rPr>
      </w:pPr>
      <w:r w:rsidRPr="4EB1EAF7">
        <w:rPr>
          <w:rFonts w:ascii="Arial" w:eastAsia="Arial" w:hAnsi="Arial" w:cs="Arial"/>
          <w:color w:val="222222"/>
          <w:sz w:val="22"/>
          <w:szCs w:val="22"/>
        </w:rPr>
        <w:t>The topic is mental health inequalities, focusing on depression in Black communities in the UK. Depression affects all groups, but Black people may face more difficulties when trying to access support.</w:t>
      </w:r>
    </w:p>
    <w:p w14:paraId="78C78824" w14:textId="0EB41A35" w:rsidR="00800058" w:rsidRDefault="77FFB34E" w:rsidP="00D7329F">
      <w:pPr>
        <w:shd w:val="clear" w:color="auto" w:fill="FFFFFF" w:themeFill="background1"/>
        <w:spacing w:before="195" w:after="195"/>
        <w:jc w:val="both"/>
        <w:rPr>
          <w:rFonts w:hint="eastAsia"/>
        </w:rPr>
      </w:pPr>
      <w:r w:rsidRPr="4EB1EAF7">
        <w:rPr>
          <w:rFonts w:ascii="Arial" w:eastAsia="Arial" w:hAnsi="Arial" w:cs="Arial"/>
          <w:color w:val="222222"/>
          <w:sz w:val="22"/>
          <w:szCs w:val="22"/>
        </w:rPr>
        <w:t>One main issue is stigma. In some families and communities, mental health is not talked about openly. This can make people feel embarrassed or afraid to ask for help. Because of this, some individuals may try to cope alone, which can make their mental health worse over time. Some people may also avoid services because of past negative experiences or a lack of trust in healthcare services (Race Equality Foundation, 2022).</w:t>
      </w:r>
    </w:p>
    <w:p w14:paraId="66BA8C48" w14:textId="45907AD7" w:rsidR="00800058" w:rsidRDefault="00800058" w:rsidP="4EB1EAF7">
      <w:pPr>
        <w:shd w:val="clear" w:color="auto" w:fill="FFFFFF" w:themeFill="background1"/>
        <w:spacing w:before="195" w:after="195"/>
        <w:rPr>
          <w:rFonts w:hint="eastAsia"/>
        </w:rPr>
      </w:pPr>
    </w:p>
    <w:p w14:paraId="65563612" w14:textId="2BDFED28" w:rsidR="00800058" w:rsidRDefault="77FFB34E" w:rsidP="00D34788">
      <w:pPr>
        <w:shd w:val="clear" w:color="auto" w:fill="FFFFFF" w:themeFill="background1"/>
        <w:spacing w:before="195" w:after="195"/>
        <w:jc w:val="both"/>
        <w:rPr>
          <w:rFonts w:hint="eastAsia"/>
        </w:rPr>
      </w:pPr>
      <w:r w:rsidRPr="4EB1EAF7">
        <w:rPr>
          <w:rFonts w:ascii="Arial" w:eastAsia="Arial" w:hAnsi="Arial" w:cs="Arial"/>
          <w:color w:val="222222"/>
          <w:sz w:val="22"/>
          <w:szCs w:val="22"/>
        </w:rPr>
        <w:t>Another issue is cultural understanding. Some mental health services may not fully understand cultural differences, which can make people feel misunderstood or not listened to. This can discourage people from returning for support.</w:t>
      </w:r>
    </w:p>
    <w:p w14:paraId="3D9A324B" w14:textId="46224C3C" w:rsidR="00800058" w:rsidRDefault="77FFB34E" w:rsidP="00D34788">
      <w:pPr>
        <w:shd w:val="clear" w:color="auto" w:fill="FFFFFF" w:themeFill="background1"/>
        <w:spacing w:before="195" w:after="195"/>
        <w:jc w:val="both"/>
        <w:rPr>
          <w:rFonts w:hint="eastAsia"/>
        </w:rPr>
      </w:pPr>
      <w:r w:rsidRPr="4EB1EAF7">
        <w:rPr>
          <w:rFonts w:ascii="Arial" w:eastAsia="Arial" w:hAnsi="Arial" w:cs="Arial"/>
          <w:color w:val="222222"/>
          <w:sz w:val="22"/>
          <w:szCs w:val="22"/>
        </w:rPr>
        <w:t>This issue affects different groups. Service users may suffer for longer without support because they do not get help early. This can lead to worsening symptoms and reduced quality of life. Research shows that racism and social inequality can also affect mental health and increase the risk of depression (Nazroo, 2014).</w:t>
      </w:r>
    </w:p>
    <w:p w14:paraId="72C849B4" w14:textId="6A7BBEA2" w:rsidR="00800058" w:rsidRDefault="77FFB34E" w:rsidP="00D34788">
      <w:pPr>
        <w:shd w:val="clear" w:color="auto" w:fill="FFFFFF" w:themeFill="background1"/>
        <w:spacing w:before="195" w:after="195"/>
        <w:jc w:val="both"/>
        <w:rPr>
          <w:rFonts w:hint="eastAsia"/>
        </w:rPr>
      </w:pPr>
      <w:r w:rsidRPr="4EB1EAF7">
        <w:rPr>
          <w:rFonts w:ascii="Arial" w:eastAsia="Arial" w:hAnsi="Arial" w:cs="Arial"/>
          <w:color w:val="222222"/>
          <w:sz w:val="22"/>
          <w:szCs w:val="22"/>
        </w:rPr>
        <w:t>Healthcare staff can also be affected if they do not have enough cultural awareness training. This may lead to misunderstanding symptoms or not providing the right support. The NHS is also affected because when people do not get help early, their condition can become worse. This can lead to emergency treatment, which costs more and uses more resources and time (NHS Digital, 2024).</w:t>
      </w:r>
    </w:p>
    <w:p w14:paraId="71471469" w14:textId="55C32E66" w:rsidR="00800058" w:rsidRDefault="00800058">
      <w:pPr>
        <w:rPr>
          <w:rFonts w:hint="eastAsia"/>
        </w:rPr>
      </w:pPr>
    </w:p>
    <w:p w14:paraId="6EE33755" w14:textId="1882E2C5" w:rsidR="00800058" w:rsidRDefault="77FFB34E" w:rsidP="006C76A4">
      <w:pPr>
        <w:pStyle w:val="Heading2"/>
        <w:shd w:val="clear" w:color="auto" w:fill="FFFFFF" w:themeFill="background1"/>
        <w:spacing w:before="299" w:after="299"/>
        <w:rPr>
          <w:rFonts w:hint="eastAsia"/>
        </w:rPr>
      </w:pPr>
      <w:r w:rsidRPr="4EB1EAF7">
        <w:rPr>
          <w:rFonts w:ascii="Arial" w:eastAsia="Arial" w:hAnsi="Arial" w:cs="Arial"/>
          <w:b/>
          <w:bCs/>
          <w:color w:val="222222"/>
          <w:sz w:val="36"/>
          <w:szCs w:val="36"/>
        </w:rPr>
        <w:t>EVALUATING INFORMATION SOURCES</w:t>
      </w:r>
    </w:p>
    <w:p w14:paraId="54F2C752" w14:textId="39104B81" w:rsidR="00800058" w:rsidRDefault="77FFB34E" w:rsidP="00571473">
      <w:pPr>
        <w:shd w:val="clear" w:color="auto" w:fill="FFFFFF" w:themeFill="background1"/>
        <w:spacing w:before="195" w:after="195"/>
        <w:jc w:val="both"/>
        <w:rPr>
          <w:rFonts w:hint="eastAsia"/>
        </w:rPr>
      </w:pPr>
      <w:r w:rsidRPr="4EB1EAF7">
        <w:rPr>
          <w:rFonts w:ascii="Arial" w:eastAsia="Arial" w:hAnsi="Arial" w:cs="Arial"/>
          <w:color w:val="222222"/>
          <w:sz w:val="22"/>
          <w:szCs w:val="22"/>
        </w:rPr>
        <w:t>This report uses NHS Digital data, Mind reports, ONS data, and academic research.</w:t>
      </w:r>
    </w:p>
    <w:p w14:paraId="76468DEE" w14:textId="792EB200" w:rsidR="00800058" w:rsidRDefault="77FFB34E" w:rsidP="00571473">
      <w:pPr>
        <w:shd w:val="clear" w:color="auto" w:fill="FFFFFF" w:themeFill="background1"/>
        <w:spacing w:before="195" w:after="195"/>
        <w:jc w:val="both"/>
        <w:rPr>
          <w:rFonts w:hint="eastAsia"/>
        </w:rPr>
      </w:pPr>
      <w:r w:rsidRPr="4EB1EAF7">
        <w:rPr>
          <w:rFonts w:ascii="Arial" w:eastAsia="Arial" w:hAnsi="Arial" w:cs="Arial"/>
          <w:color w:val="222222"/>
          <w:sz w:val="22"/>
          <w:szCs w:val="22"/>
        </w:rPr>
        <w:t>NHS Digital data is useful because it gives official statistics on mental health services. It shows how many people are using services and helps identify patterns. However, it mostly shows numbers and does not explain personal experiences (NHS Digital, 2024).</w:t>
      </w:r>
    </w:p>
    <w:p w14:paraId="4CC4396C" w14:textId="59F2FD4F" w:rsidR="00800058" w:rsidRDefault="77FFB34E" w:rsidP="00571473">
      <w:pPr>
        <w:shd w:val="clear" w:color="auto" w:fill="FFFFFF" w:themeFill="background1"/>
        <w:spacing w:before="195" w:after="195"/>
        <w:jc w:val="both"/>
        <w:rPr>
          <w:rFonts w:hint="eastAsia"/>
        </w:rPr>
      </w:pPr>
      <w:r w:rsidRPr="4EB1EAF7">
        <w:rPr>
          <w:rFonts w:ascii="Arial" w:eastAsia="Arial" w:hAnsi="Arial" w:cs="Arial"/>
          <w:color w:val="222222"/>
          <w:sz w:val="22"/>
          <w:szCs w:val="22"/>
        </w:rPr>
        <w:t>Mind reports give real-life experiences from people with mental health problems. These help show issues such as stigma, discrimination, and barriers to accessing care (Mind, 2023). However, they may not represent everyone.</w:t>
      </w:r>
    </w:p>
    <w:p w14:paraId="4D438F9C" w14:textId="5BCEE64F" w:rsidR="00800058" w:rsidRDefault="77FFB34E" w:rsidP="00571473">
      <w:pPr>
        <w:shd w:val="clear" w:color="auto" w:fill="FFFFFF" w:themeFill="background1"/>
        <w:spacing w:before="195" w:after="195"/>
        <w:jc w:val="both"/>
        <w:rPr>
          <w:rFonts w:hint="eastAsia"/>
        </w:rPr>
      </w:pPr>
      <w:r w:rsidRPr="4EB1EAF7">
        <w:rPr>
          <w:rFonts w:ascii="Arial" w:eastAsia="Arial" w:hAnsi="Arial" w:cs="Arial"/>
          <w:color w:val="222222"/>
          <w:sz w:val="22"/>
          <w:szCs w:val="22"/>
        </w:rPr>
        <w:t>ONS data gives population information and helps show trends in health across ethnic groups. It is useful for comparing inequality. However, some data may not always be fully up to date (ONS, 2023).</w:t>
      </w:r>
    </w:p>
    <w:p w14:paraId="1836BE18" w14:textId="20C915DA" w:rsidR="00800058" w:rsidRDefault="77FFB34E" w:rsidP="00571473">
      <w:pPr>
        <w:shd w:val="clear" w:color="auto" w:fill="FFFFFF" w:themeFill="background1"/>
        <w:spacing w:before="195" w:after="195"/>
        <w:jc w:val="both"/>
        <w:rPr>
          <w:rFonts w:hint="eastAsia"/>
        </w:rPr>
      </w:pPr>
      <w:r w:rsidRPr="4EB1EAF7">
        <w:rPr>
          <w:rFonts w:ascii="Arial" w:eastAsia="Arial" w:hAnsi="Arial" w:cs="Arial"/>
          <w:color w:val="222222"/>
          <w:sz w:val="22"/>
          <w:szCs w:val="22"/>
        </w:rPr>
        <w:t>Academic research is also useful because it explains why inequalities happen. For example, Halvorsrud et al. (2018) found that ethnic minority groups in the UK often experience worse access to mental health services and are more likely to enter services through crisis care rather than early support. Research also shows that discrimination can increase the risk of depression (Nazroo, 2014).</w:t>
      </w:r>
    </w:p>
    <w:p w14:paraId="54BD9873" w14:textId="59FF06AF" w:rsidR="00800058" w:rsidRDefault="77FFB34E" w:rsidP="00571473">
      <w:pPr>
        <w:shd w:val="clear" w:color="auto" w:fill="FFFFFF" w:themeFill="background1"/>
        <w:spacing w:before="195" w:after="195"/>
        <w:jc w:val="both"/>
        <w:rPr>
          <w:rFonts w:hint="eastAsia"/>
        </w:rPr>
      </w:pPr>
      <w:r w:rsidRPr="4EB1EAF7">
        <w:rPr>
          <w:rFonts w:ascii="Arial" w:eastAsia="Arial" w:hAnsi="Arial" w:cs="Arial"/>
          <w:color w:val="222222"/>
          <w:sz w:val="22"/>
          <w:szCs w:val="22"/>
        </w:rPr>
        <w:t>Secondary research is used in this report, which means information is taken from existing sources rather than collected directly. From these sources, it can be observed that Black communities often have lower access to mental health services. It can also be observed that stigma and discrimination are repeated themes across different studies.</w:t>
      </w:r>
    </w:p>
    <w:p w14:paraId="31753E15" w14:textId="7A7195A1" w:rsidR="00800058" w:rsidRDefault="77FFB34E" w:rsidP="00D850E9">
      <w:pPr>
        <w:shd w:val="clear" w:color="auto" w:fill="FFFFFF" w:themeFill="background1"/>
        <w:spacing w:before="195" w:after="195"/>
        <w:jc w:val="both"/>
        <w:rPr>
          <w:rFonts w:hint="eastAsia"/>
        </w:rPr>
      </w:pPr>
      <w:r w:rsidRPr="4EB1EAF7">
        <w:rPr>
          <w:rFonts w:ascii="Arial" w:eastAsia="Arial" w:hAnsi="Arial" w:cs="Arial"/>
          <w:color w:val="222222"/>
          <w:sz w:val="22"/>
          <w:szCs w:val="22"/>
        </w:rPr>
        <w:t>One advantage of secondary research is that it is quick and easy to use because the data already exists. It also allows comparison between different sources, which helps identify patterns. Large organisations like the NHS and ONS collect data from large populations, making the information more reliable for national trends.</w:t>
      </w:r>
    </w:p>
    <w:p w14:paraId="67495A26" w14:textId="417C6A16" w:rsidR="00800058" w:rsidRDefault="77FFB34E" w:rsidP="00D850E9">
      <w:pPr>
        <w:shd w:val="clear" w:color="auto" w:fill="FFFFFF" w:themeFill="background1"/>
        <w:spacing w:before="195" w:after="195"/>
        <w:jc w:val="both"/>
        <w:rPr>
          <w:rFonts w:hint="eastAsia"/>
        </w:rPr>
      </w:pPr>
      <w:r w:rsidRPr="4EB1EAF7">
        <w:rPr>
          <w:rFonts w:ascii="Arial" w:eastAsia="Arial" w:hAnsi="Arial" w:cs="Arial"/>
          <w:color w:val="222222"/>
          <w:sz w:val="22"/>
          <w:szCs w:val="22"/>
        </w:rPr>
        <w:t>However, a limitation is that the researcher has no control over how the data was collected. Some information may also be outdated or may not fully show individual experiences.</w:t>
      </w:r>
    </w:p>
    <w:p w14:paraId="7E02F0FE" w14:textId="03B57805" w:rsidR="00800058" w:rsidRDefault="77FFB34E" w:rsidP="00D850E9">
      <w:pPr>
        <w:shd w:val="clear" w:color="auto" w:fill="FFFFFF" w:themeFill="background1"/>
        <w:spacing w:before="195" w:after="195"/>
        <w:jc w:val="both"/>
        <w:rPr>
          <w:rFonts w:hint="eastAsia"/>
        </w:rPr>
      </w:pPr>
      <w:r w:rsidRPr="4EB1EAF7">
        <w:rPr>
          <w:rFonts w:ascii="Arial" w:eastAsia="Arial" w:hAnsi="Arial" w:cs="Arial"/>
          <w:color w:val="222222"/>
          <w:sz w:val="22"/>
          <w:szCs w:val="22"/>
        </w:rPr>
        <w:t>A key gap in the information is that statistics and personal experiences are often separate. Numbers show inequality, but they do not explain why it happens. Personal experiences explain feelings, but not the full picture.</w:t>
      </w:r>
    </w:p>
    <w:p w14:paraId="09F557F9" w14:textId="3BB1751E" w:rsidR="00800058" w:rsidRDefault="77FFB34E" w:rsidP="00D850E9">
      <w:pPr>
        <w:shd w:val="clear" w:color="auto" w:fill="FFFFFF" w:themeFill="background1"/>
        <w:spacing w:before="195" w:after="195"/>
        <w:jc w:val="both"/>
        <w:rPr>
          <w:rFonts w:hint="eastAsia"/>
        </w:rPr>
      </w:pPr>
      <w:r w:rsidRPr="4EB1EAF7">
        <w:rPr>
          <w:rFonts w:ascii="Arial" w:eastAsia="Arial" w:hAnsi="Arial" w:cs="Arial"/>
          <w:color w:val="222222"/>
          <w:sz w:val="22"/>
          <w:szCs w:val="22"/>
        </w:rPr>
        <w:t>It is also important to consider that mental health inequalities are not only caused by individual choices but are linked to wider social conditions. Factors such as education, income, housing, employment, and discrimination can all affect mental health. These factors often overlap and make it harder for some groups to access support equally.</w:t>
      </w:r>
    </w:p>
    <w:p w14:paraId="7B7BC365" w14:textId="4DA719E4" w:rsidR="00800058" w:rsidRDefault="00800058" w:rsidP="00D850E9">
      <w:pPr>
        <w:jc w:val="both"/>
        <w:rPr>
          <w:rFonts w:hint="eastAsia"/>
        </w:rPr>
      </w:pPr>
    </w:p>
    <w:p w14:paraId="709FDBAE" w14:textId="0DE2106C" w:rsidR="00800058" w:rsidRDefault="77FFB34E" w:rsidP="00D850E9">
      <w:pPr>
        <w:pStyle w:val="Heading2"/>
        <w:shd w:val="clear" w:color="auto" w:fill="FFFFFF" w:themeFill="background1"/>
        <w:spacing w:before="299" w:after="299"/>
        <w:jc w:val="both"/>
        <w:rPr>
          <w:rFonts w:hint="eastAsia"/>
        </w:rPr>
      </w:pPr>
      <w:r w:rsidRPr="4EB1EAF7">
        <w:rPr>
          <w:rFonts w:ascii="Arial" w:eastAsia="Arial" w:hAnsi="Arial" w:cs="Arial"/>
          <w:b/>
          <w:bCs/>
          <w:color w:val="222222"/>
          <w:sz w:val="36"/>
          <w:szCs w:val="36"/>
        </w:rPr>
        <w:t>RESEARCH METHODS</w:t>
      </w:r>
    </w:p>
    <w:p w14:paraId="4953F324" w14:textId="49054A65" w:rsidR="00800058" w:rsidRDefault="77FFB34E" w:rsidP="00D850E9">
      <w:pPr>
        <w:shd w:val="clear" w:color="auto" w:fill="FFFFFF" w:themeFill="background1"/>
        <w:spacing w:before="195" w:after="195"/>
        <w:jc w:val="both"/>
        <w:rPr>
          <w:rFonts w:hint="eastAsia"/>
        </w:rPr>
      </w:pPr>
      <w:r w:rsidRPr="4EB1EAF7">
        <w:rPr>
          <w:rFonts w:ascii="Arial" w:eastAsia="Arial" w:hAnsi="Arial" w:cs="Arial"/>
          <w:color w:val="222222"/>
          <w:sz w:val="22"/>
          <w:szCs w:val="22"/>
        </w:rPr>
        <w:t>There are different types of research methods. Quantitative research uses numbers and statistics. Qualitative research looks at people’s views and experiences.</w:t>
      </w:r>
    </w:p>
    <w:p w14:paraId="0E63F53B" w14:textId="54A9CEF5" w:rsidR="00800058" w:rsidRDefault="77FFB34E" w:rsidP="00D850E9">
      <w:pPr>
        <w:shd w:val="clear" w:color="auto" w:fill="FFFFFF" w:themeFill="background1"/>
        <w:spacing w:before="195" w:after="195"/>
        <w:jc w:val="both"/>
        <w:rPr>
          <w:rFonts w:hint="eastAsia"/>
        </w:rPr>
      </w:pPr>
      <w:r w:rsidRPr="4EB1EAF7">
        <w:rPr>
          <w:rFonts w:ascii="Arial" w:eastAsia="Arial" w:hAnsi="Arial" w:cs="Arial"/>
          <w:color w:val="222222"/>
          <w:sz w:val="22"/>
          <w:szCs w:val="22"/>
        </w:rPr>
        <w:t>A mixed-methods approach is best for this topic because it uses both types of research. Quantitative data can show how common depression is in Black communities and highlight inequalities in service use. However, numbers alone do not explain why people do not access support.</w:t>
      </w:r>
    </w:p>
    <w:p w14:paraId="45D54EDD" w14:textId="51DA8B4F" w:rsidR="00800058" w:rsidRDefault="77FFB34E" w:rsidP="00D850E9">
      <w:pPr>
        <w:shd w:val="clear" w:color="auto" w:fill="FFFFFF" w:themeFill="background1"/>
        <w:spacing w:before="195" w:after="195"/>
        <w:jc w:val="both"/>
        <w:rPr>
          <w:rFonts w:hint="eastAsia"/>
        </w:rPr>
      </w:pPr>
      <w:r w:rsidRPr="4EB1EAF7">
        <w:rPr>
          <w:rFonts w:ascii="Arial" w:eastAsia="Arial" w:hAnsi="Arial" w:cs="Arial"/>
          <w:color w:val="222222"/>
          <w:sz w:val="22"/>
          <w:szCs w:val="22"/>
        </w:rPr>
        <w:t>Qualitative research, such as interviews, can help explain people’s experiences in more detail. It can show why some people do not trust mental health services or why they avoid seeking help.</w:t>
      </w:r>
    </w:p>
    <w:p w14:paraId="5ABE7B69" w14:textId="15802B03" w:rsidR="00800058" w:rsidRDefault="77FFB34E" w:rsidP="00D850E9">
      <w:pPr>
        <w:shd w:val="clear" w:color="auto" w:fill="FFFFFF" w:themeFill="background1"/>
        <w:spacing w:before="195" w:after="195"/>
        <w:jc w:val="both"/>
        <w:rPr>
          <w:rFonts w:hint="eastAsia"/>
        </w:rPr>
      </w:pPr>
      <w:r w:rsidRPr="4EB1EAF7">
        <w:rPr>
          <w:rFonts w:ascii="Arial" w:eastAsia="Arial" w:hAnsi="Arial" w:cs="Arial"/>
          <w:color w:val="222222"/>
          <w:sz w:val="22"/>
          <w:szCs w:val="22"/>
        </w:rPr>
        <w:t>Using both methods together gives a more complete understanding of the issue (Halvorsrud et al., 2018).</w:t>
      </w:r>
    </w:p>
    <w:p w14:paraId="7E2F1C15" w14:textId="1ADB73D1" w:rsidR="00800058" w:rsidRDefault="08BFA141" w:rsidP="00D850E9">
      <w:pPr>
        <w:shd w:val="clear" w:color="auto" w:fill="FFFFFF" w:themeFill="background1"/>
        <w:spacing w:before="195" w:after="195"/>
        <w:jc w:val="both"/>
        <w:rPr>
          <w:rFonts w:hint="eastAsia"/>
        </w:rPr>
      </w:pPr>
      <w:r w:rsidRPr="4EB1EAF7">
        <w:rPr>
          <w:rFonts w:ascii="Arial" w:eastAsia="Arial" w:hAnsi="Arial" w:cs="Arial"/>
          <w:color w:val="222222"/>
          <w:sz w:val="22"/>
          <w:szCs w:val="22"/>
        </w:rPr>
        <w:t>Another important factor in mental health research is accessibility to services. Many people in Black communities may find it difficult to access mental health support because of long waiting times, lack of culturally appropriate services, and limited information about available help. These barriers can stop people from getting support early, which may lead to their mental health getting worse over time.</w:t>
      </w:r>
    </w:p>
    <w:p w14:paraId="7B3552EC" w14:textId="77E3379E" w:rsidR="00800058" w:rsidRDefault="08BFA141" w:rsidP="00D850E9">
      <w:pPr>
        <w:shd w:val="clear" w:color="auto" w:fill="FFFFFF" w:themeFill="background1"/>
        <w:spacing w:before="195" w:after="195"/>
        <w:jc w:val="both"/>
        <w:rPr>
          <w:rFonts w:hint="eastAsia"/>
        </w:rPr>
      </w:pPr>
      <w:r w:rsidRPr="4EB1EAF7">
        <w:rPr>
          <w:rFonts w:ascii="Arial" w:eastAsia="Arial" w:hAnsi="Arial" w:cs="Arial"/>
          <w:color w:val="222222"/>
          <w:sz w:val="22"/>
          <w:szCs w:val="22"/>
        </w:rPr>
        <w:t>It is also important to consider awareness and education about mental health. If people understand more about depression and the services available, they may be more likely to seek help earlier. Schools, community groups, and healthcare services all play a role in improving awareness and reducing stigma.</w:t>
      </w:r>
    </w:p>
    <w:p w14:paraId="7D2D7662" w14:textId="52F0827D" w:rsidR="00800058" w:rsidRDefault="08BFA141" w:rsidP="00D850E9">
      <w:pPr>
        <w:shd w:val="clear" w:color="auto" w:fill="FFFFFF" w:themeFill="background1"/>
        <w:spacing w:before="195" w:after="195"/>
        <w:jc w:val="both"/>
        <w:rPr>
          <w:rFonts w:hint="eastAsia"/>
        </w:rPr>
      </w:pPr>
      <w:r w:rsidRPr="4EB1EAF7">
        <w:rPr>
          <w:rFonts w:ascii="Arial" w:eastAsia="Arial" w:hAnsi="Arial" w:cs="Arial"/>
          <w:color w:val="222222"/>
          <w:sz w:val="22"/>
          <w:szCs w:val="22"/>
        </w:rPr>
        <w:t>Improving access and awareness can help reduce mental health inequalities and make sure more people receive the right support at the right time. This can also reduce pressure on NHS services by preventing crisis situations.</w:t>
      </w:r>
    </w:p>
    <w:p w14:paraId="58C5BC5F" w14:textId="526E296E" w:rsidR="00800058" w:rsidRDefault="00800058" w:rsidP="00D850E9">
      <w:pPr>
        <w:shd w:val="clear" w:color="auto" w:fill="FFFFFF" w:themeFill="background1"/>
        <w:spacing w:before="195" w:after="195"/>
        <w:jc w:val="both"/>
        <w:rPr>
          <w:rFonts w:ascii="Arial" w:eastAsia="Arial" w:hAnsi="Arial" w:cs="Arial"/>
          <w:color w:val="222222"/>
          <w:sz w:val="22"/>
          <w:szCs w:val="22"/>
        </w:rPr>
      </w:pPr>
    </w:p>
    <w:p w14:paraId="56504AB0" w14:textId="2ED095A4" w:rsidR="00800058" w:rsidRDefault="00800058">
      <w:pPr>
        <w:rPr>
          <w:rFonts w:hint="eastAsia"/>
        </w:rPr>
      </w:pPr>
    </w:p>
    <w:p w14:paraId="6A71E6B9" w14:textId="4EF2408C" w:rsidR="00800058" w:rsidRDefault="77FFB34E" w:rsidP="005C6EC0">
      <w:pPr>
        <w:pStyle w:val="Heading2"/>
        <w:shd w:val="clear" w:color="auto" w:fill="FFFFFF" w:themeFill="background1"/>
        <w:spacing w:before="299" w:after="299"/>
        <w:rPr>
          <w:rFonts w:hint="eastAsia"/>
        </w:rPr>
      </w:pPr>
      <w:r w:rsidRPr="4EB1EAF7">
        <w:rPr>
          <w:rFonts w:ascii="Arial" w:eastAsia="Arial" w:hAnsi="Arial" w:cs="Arial"/>
          <w:b/>
          <w:bCs/>
          <w:color w:val="222222"/>
          <w:sz w:val="36"/>
          <w:szCs w:val="36"/>
        </w:rPr>
        <w:t>DATA COLLECTION</w:t>
      </w:r>
    </w:p>
    <w:p w14:paraId="3B40029F" w14:textId="39D50D7B" w:rsidR="00800058" w:rsidRDefault="77FFB34E" w:rsidP="001A7DDE">
      <w:pPr>
        <w:shd w:val="clear" w:color="auto" w:fill="FFFFFF" w:themeFill="background1"/>
        <w:spacing w:before="195" w:after="195"/>
        <w:jc w:val="both"/>
        <w:rPr>
          <w:rFonts w:hint="eastAsia"/>
        </w:rPr>
      </w:pPr>
      <w:r w:rsidRPr="4EB1EAF7">
        <w:rPr>
          <w:rFonts w:ascii="Arial" w:eastAsia="Arial" w:hAnsi="Arial" w:cs="Arial"/>
          <w:color w:val="222222"/>
          <w:sz w:val="22"/>
          <w:szCs w:val="22"/>
        </w:rPr>
        <w:t>Data can be collected in two ways: primary and secondary. Primary data is collected directly by the researcher, while secondary data uses existing information such as reports or statistics (WHO, 2023).</w:t>
      </w:r>
    </w:p>
    <w:p w14:paraId="748F3773" w14:textId="33A9B652" w:rsidR="00800058" w:rsidRDefault="77FFB34E" w:rsidP="001A7DDE">
      <w:pPr>
        <w:shd w:val="clear" w:color="auto" w:fill="FFFFFF" w:themeFill="background1"/>
        <w:spacing w:before="195" w:after="195"/>
        <w:jc w:val="both"/>
        <w:rPr>
          <w:rFonts w:hint="eastAsia"/>
        </w:rPr>
      </w:pPr>
      <w:r w:rsidRPr="4EB1EAF7">
        <w:rPr>
          <w:rFonts w:ascii="Arial" w:eastAsia="Arial" w:hAnsi="Arial" w:cs="Arial"/>
          <w:color w:val="222222"/>
          <w:sz w:val="22"/>
          <w:szCs w:val="22"/>
        </w:rPr>
        <w:t>For this study, semi-structured interviews would be used. This means the researcher prepares questions but allows participants to speak freely. This method is useful because it gives people the chance to explain their experiences in their own words.</w:t>
      </w:r>
    </w:p>
    <w:p w14:paraId="2B21BF3B" w14:textId="59D6133F" w:rsidR="00800058" w:rsidRDefault="77FFB34E" w:rsidP="001A7DDE">
      <w:pPr>
        <w:shd w:val="clear" w:color="auto" w:fill="FFFFFF" w:themeFill="background1"/>
        <w:spacing w:before="195" w:after="195"/>
        <w:jc w:val="both"/>
        <w:rPr>
          <w:rFonts w:hint="eastAsia"/>
        </w:rPr>
      </w:pPr>
      <w:r w:rsidRPr="4EB1EAF7">
        <w:rPr>
          <w:rFonts w:ascii="Arial" w:eastAsia="Arial" w:hAnsi="Arial" w:cs="Arial"/>
          <w:color w:val="222222"/>
          <w:sz w:val="22"/>
          <w:szCs w:val="22"/>
        </w:rPr>
        <w:t>Interviews are useful because they provide detailed and personal information. This is important when studying mental health because it helps understand real experiences.</w:t>
      </w:r>
    </w:p>
    <w:p w14:paraId="01C4AEE2" w14:textId="1A8BEFF1" w:rsidR="00800058" w:rsidRDefault="77FFB34E" w:rsidP="001A7DDE">
      <w:pPr>
        <w:shd w:val="clear" w:color="auto" w:fill="FFFFFF" w:themeFill="background1"/>
        <w:spacing w:before="195" w:after="195"/>
        <w:jc w:val="both"/>
        <w:rPr>
          <w:rFonts w:hint="eastAsia"/>
        </w:rPr>
      </w:pPr>
      <w:r w:rsidRPr="4EB1EAF7">
        <w:rPr>
          <w:rFonts w:ascii="Arial" w:eastAsia="Arial" w:hAnsi="Arial" w:cs="Arial"/>
          <w:color w:val="222222"/>
          <w:sz w:val="22"/>
          <w:szCs w:val="22"/>
        </w:rPr>
        <w:t>However, interviews can take time and may be affected by bias if not carried out carefully. Ethical issues are also important. Participants must give informed consent, understand how their information will be used, and have their confidentiality protected.</w:t>
      </w:r>
      <w:r w:rsidR="3C73D979" w:rsidRPr="4EB1EAF7">
        <w:rPr>
          <w:rFonts w:ascii="Arial" w:eastAsia="Arial" w:hAnsi="Arial" w:cs="Arial"/>
          <w:color w:val="222222"/>
          <w:sz w:val="22"/>
          <w:szCs w:val="22"/>
        </w:rPr>
        <w:t xml:space="preserve"> </w:t>
      </w:r>
    </w:p>
    <w:p w14:paraId="2FBA3956" w14:textId="1E386C35" w:rsidR="00800058" w:rsidRDefault="0BE6BF73" w:rsidP="001A7DDE">
      <w:pPr>
        <w:shd w:val="clear" w:color="auto" w:fill="FFFFFF" w:themeFill="background1"/>
        <w:spacing w:before="195" w:after="195"/>
        <w:jc w:val="both"/>
        <w:rPr>
          <w:rFonts w:ascii="Arial" w:eastAsia="Arial" w:hAnsi="Arial" w:cs="Arial"/>
          <w:sz w:val="22"/>
          <w:szCs w:val="22"/>
        </w:rPr>
      </w:pPr>
      <w:r w:rsidRPr="4EB1EAF7">
        <w:rPr>
          <w:rFonts w:ascii="Arial" w:eastAsia="Arial" w:hAnsi="Arial" w:cs="Arial"/>
          <w:color w:val="111111"/>
          <w:sz w:val="22"/>
          <w:szCs w:val="22"/>
        </w:rPr>
        <w:t>Another important consideration in this research is the role of communication between service users and healthcare professionals…</w:t>
      </w:r>
    </w:p>
    <w:p w14:paraId="027C2C9C" w14:textId="479195BA" w:rsidR="00800058" w:rsidRDefault="00800058" w:rsidP="001A7DDE">
      <w:pPr>
        <w:jc w:val="both"/>
        <w:rPr>
          <w:rFonts w:hint="eastAsia"/>
        </w:rPr>
      </w:pPr>
    </w:p>
    <w:p w14:paraId="5FF65811" w14:textId="0F79FF02" w:rsidR="00800058" w:rsidRDefault="77FFB34E" w:rsidP="001A7DDE">
      <w:pPr>
        <w:pStyle w:val="Heading2"/>
        <w:shd w:val="clear" w:color="auto" w:fill="FFFFFF" w:themeFill="background1"/>
        <w:spacing w:before="299" w:after="299"/>
        <w:jc w:val="both"/>
        <w:rPr>
          <w:rFonts w:hint="eastAsia"/>
        </w:rPr>
      </w:pPr>
      <w:r w:rsidRPr="4EB1EAF7">
        <w:rPr>
          <w:rFonts w:ascii="Arial" w:eastAsia="Arial" w:hAnsi="Arial" w:cs="Arial"/>
          <w:b/>
          <w:bCs/>
          <w:color w:val="222222"/>
          <w:sz w:val="36"/>
          <w:szCs w:val="36"/>
        </w:rPr>
        <w:t>CONCLUSION</w:t>
      </w:r>
    </w:p>
    <w:p w14:paraId="46CBCD23" w14:textId="51978C8F" w:rsidR="00800058" w:rsidRDefault="77FFB34E" w:rsidP="001A7DDE">
      <w:pPr>
        <w:shd w:val="clear" w:color="auto" w:fill="FFFFFF" w:themeFill="background1"/>
        <w:spacing w:before="195" w:after="195"/>
        <w:jc w:val="both"/>
        <w:rPr>
          <w:rFonts w:hint="eastAsia"/>
        </w:rPr>
      </w:pPr>
      <w:r w:rsidRPr="4EB1EAF7">
        <w:rPr>
          <w:rFonts w:ascii="Arial" w:eastAsia="Arial" w:hAnsi="Arial" w:cs="Arial"/>
          <w:color w:val="222222"/>
          <w:sz w:val="22"/>
          <w:szCs w:val="22"/>
        </w:rPr>
        <w:t>In conclusion, depression in Black communities in the UK is affected by many factors. These include stigma, cultural beliefs, lack of trust in services, and inequality in healthcare access. These barriers can prevent people from getting help early, which can make mental health problems worse.</w:t>
      </w:r>
    </w:p>
    <w:p w14:paraId="57F58E3D" w14:textId="4162367B" w:rsidR="00800058" w:rsidRDefault="77FFB34E" w:rsidP="001A7DDE">
      <w:pPr>
        <w:shd w:val="clear" w:color="auto" w:fill="FFFFFF" w:themeFill="background1"/>
        <w:spacing w:before="195" w:after="195"/>
        <w:jc w:val="both"/>
        <w:rPr>
          <w:rFonts w:hint="eastAsia"/>
        </w:rPr>
      </w:pPr>
      <w:r w:rsidRPr="4EB1EAF7">
        <w:rPr>
          <w:rFonts w:ascii="Arial" w:eastAsia="Arial" w:hAnsi="Arial" w:cs="Arial"/>
          <w:color w:val="222222"/>
          <w:sz w:val="22"/>
          <w:szCs w:val="22"/>
        </w:rPr>
        <w:t>A mixed-methods approach is useful because it combines statistics and personal experiences. This gives a clearer and more complete understanding of the issue. Improving mental health services and reducing barriers is important to ensure equal access for all communities.</w:t>
      </w:r>
    </w:p>
    <w:p w14:paraId="6A2468F0" w14:textId="5720424C" w:rsidR="00800058" w:rsidRPr="00F771F9" w:rsidRDefault="7CD48406" w:rsidP="001A7DDE">
      <w:pPr>
        <w:shd w:val="clear" w:color="auto" w:fill="FFFFFF" w:themeFill="background1"/>
        <w:spacing w:before="195" w:after="195"/>
        <w:jc w:val="both"/>
        <w:rPr>
          <w:rFonts w:ascii="Arial" w:eastAsia="Arial" w:hAnsi="Arial" w:cs="Arial"/>
          <w:sz w:val="22"/>
          <w:szCs w:val="22"/>
        </w:rPr>
      </w:pPr>
      <w:r w:rsidRPr="4EB1EAF7">
        <w:rPr>
          <w:rFonts w:ascii="Arial" w:eastAsia="Arial" w:hAnsi="Arial" w:cs="Arial"/>
          <w:color w:val="111111"/>
          <w:sz w:val="22"/>
          <w:szCs w:val="22"/>
        </w:rPr>
        <w:t>Overall, this topic is important for improving equality in health and social care services and ensuring that everyone has fair access to mental health support in the UK.</w:t>
      </w:r>
    </w:p>
    <w:p w14:paraId="2800B3DF" w14:textId="0F05DDD0" w:rsidR="00800058" w:rsidRDefault="77FFB34E" w:rsidP="001A7DDE">
      <w:pPr>
        <w:pStyle w:val="Heading2"/>
        <w:shd w:val="clear" w:color="auto" w:fill="FFFFFF" w:themeFill="background1"/>
        <w:spacing w:before="299" w:after="299"/>
        <w:jc w:val="both"/>
        <w:rPr>
          <w:rFonts w:hint="eastAsia"/>
        </w:rPr>
      </w:pPr>
      <w:r w:rsidRPr="4EB1EAF7">
        <w:rPr>
          <w:rFonts w:ascii="Arial" w:eastAsia="Arial" w:hAnsi="Arial" w:cs="Arial"/>
          <w:b/>
          <w:bCs/>
          <w:color w:val="222222"/>
          <w:sz w:val="36"/>
          <w:szCs w:val="36"/>
        </w:rPr>
        <w:t>SELF-REFLECTION</w:t>
      </w:r>
    </w:p>
    <w:p w14:paraId="50FE96BC" w14:textId="3A0EC759" w:rsidR="00800058" w:rsidRDefault="77FFB34E" w:rsidP="007C6979">
      <w:pPr>
        <w:shd w:val="clear" w:color="auto" w:fill="FFFFFF" w:themeFill="background1"/>
        <w:spacing w:before="195" w:after="195"/>
        <w:jc w:val="both"/>
        <w:rPr>
          <w:rFonts w:hint="eastAsia"/>
        </w:rPr>
      </w:pPr>
      <w:r w:rsidRPr="4EB1EAF7">
        <w:rPr>
          <w:rFonts w:ascii="Arial" w:eastAsia="Arial" w:hAnsi="Arial" w:cs="Arial"/>
          <w:color w:val="222222"/>
          <w:sz w:val="22"/>
          <w:szCs w:val="22"/>
        </w:rPr>
        <w:t>This assignment helped me understand research methods and mental health inequalities. I learned the difference between quantitative and qualitative research and how both are important.</w:t>
      </w:r>
    </w:p>
    <w:p w14:paraId="0196DD2A" w14:textId="1761C5BA" w:rsidR="00800058" w:rsidRDefault="77FFB34E" w:rsidP="00014B41">
      <w:pPr>
        <w:shd w:val="clear" w:color="auto" w:fill="FFFFFF" w:themeFill="background1"/>
        <w:spacing w:before="195" w:after="195"/>
        <w:jc w:val="both"/>
        <w:rPr>
          <w:rFonts w:hint="eastAsia"/>
        </w:rPr>
      </w:pPr>
      <w:r w:rsidRPr="4EB1EAF7">
        <w:rPr>
          <w:rFonts w:ascii="Arial" w:eastAsia="Arial" w:hAnsi="Arial" w:cs="Arial"/>
          <w:color w:val="222222"/>
          <w:sz w:val="22"/>
          <w:szCs w:val="22"/>
        </w:rPr>
        <w:t>I also learned how to analyse information instead of just describing it. At first, this was difficult, but I improved by comparing different sources.</w:t>
      </w:r>
    </w:p>
    <w:p w14:paraId="79437599" w14:textId="2004907C" w:rsidR="00800058" w:rsidRDefault="00800058" w:rsidP="4EB1EAF7">
      <w:pPr>
        <w:shd w:val="clear" w:color="auto" w:fill="FFFFFF" w:themeFill="background1"/>
        <w:spacing w:before="195" w:after="195"/>
        <w:rPr>
          <w:rFonts w:hint="eastAsia"/>
        </w:rPr>
      </w:pPr>
    </w:p>
    <w:p w14:paraId="22294859" w14:textId="003E4654" w:rsidR="00800058" w:rsidRDefault="77FFB34E" w:rsidP="0030756A">
      <w:pPr>
        <w:shd w:val="clear" w:color="auto" w:fill="FFFFFF" w:themeFill="background1"/>
        <w:spacing w:before="195" w:after="195"/>
        <w:jc w:val="both"/>
        <w:rPr>
          <w:rFonts w:hint="eastAsia"/>
        </w:rPr>
      </w:pPr>
      <w:r w:rsidRPr="4EB1EAF7">
        <w:rPr>
          <w:rFonts w:ascii="Arial" w:eastAsia="Arial" w:hAnsi="Arial" w:cs="Arial"/>
          <w:color w:val="222222"/>
          <w:sz w:val="22"/>
          <w:szCs w:val="22"/>
        </w:rPr>
        <w:t>This task also helped my professional development because I now understand more about mental health services and the challenges some people face when accessing them (Barker, 2022). In the future, I want to improve my academic writing and analytical skills.</w:t>
      </w:r>
    </w:p>
    <w:p w14:paraId="3745A054" w14:textId="624B95A7" w:rsidR="00800058" w:rsidRDefault="00800058" w:rsidP="0030756A">
      <w:pPr>
        <w:jc w:val="both"/>
        <w:rPr>
          <w:rFonts w:hint="eastAsia"/>
        </w:rPr>
      </w:pPr>
    </w:p>
    <w:p w14:paraId="38A3DA94" w14:textId="1985E69D" w:rsidR="00800058" w:rsidRDefault="77FFB34E" w:rsidP="0030756A">
      <w:pPr>
        <w:pStyle w:val="Heading2"/>
        <w:shd w:val="clear" w:color="auto" w:fill="FFFFFF" w:themeFill="background1"/>
        <w:spacing w:before="299" w:after="299"/>
        <w:jc w:val="both"/>
        <w:rPr>
          <w:rFonts w:hint="eastAsia"/>
        </w:rPr>
      </w:pPr>
      <w:r w:rsidRPr="4EB1EAF7">
        <w:rPr>
          <w:rFonts w:ascii="Arial" w:eastAsia="Arial" w:hAnsi="Arial" w:cs="Arial"/>
          <w:b/>
          <w:bCs/>
          <w:color w:val="222222"/>
          <w:sz w:val="36"/>
          <w:szCs w:val="36"/>
        </w:rPr>
        <w:t>REFERENCES</w:t>
      </w:r>
    </w:p>
    <w:p w14:paraId="20C1D9B5" w14:textId="1E5933F7" w:rsidR="00800058" w:rsidRDefault="77FFB34E" w:rsidP="0030756A">
      <w:pPr>
        <w:shd w:val="clear" w:color="auto" w:fill="FFFFFF" w:themeFill="background1"/>
        <w:spacing w:before="195" w:after="195"/>
        <w:jc w:val="both"/>
        <w:rPr>
          <w:rFonts w:hint="eastAsia"/>
        </w:rPr>
      </w:pPr>
      <w:r w:rsidRPr="4EB1EAF7">
        <w:rPr>
          <w:rFonts w:ascii="Arial" w:eastAsia="Arial" w:hAnsi="Arial" w:cs="Arial"/>
          <w:color w:val="222222"/>
          <w:sz w:val="22"/>
          <w:szCs w:val="22"/>
        </w:rPr>
        <w:t>Barker, R. (2022) Social Work and Mental Health: A Practice Handbook. London: Routledge.</w:t>
      </w:r>
    </w:p>
    <w:p w14:paraId="5EF47B92" w14:textId="2F3E6350" w:rsidR="00800058" w:rsidRDefault="77FFB34E" w:rsidP="0030756A">
      <w:pPr>
        <w:shd w:val="clear" w:color="auto" w:fill="FFFFFF" w:themeFill="background1"/>
        <w:spacing w:before="195" w:after="195"/>
        <w:jc w:val="both"/>
        <w:rPr>
          <w:rFonts w:hint="eastAsia"/>
        </w:rPr>
      </w:pPr>
      <w:r w:rsidRPr="4EB1EAF7">
        <w:rPr>
          <w:rFonts w:ascii="Arial" w:eastAsia="Arial" w:hAnsi="Arial" w:cs="Arial"/>
          <w:color w:val="222222"/>
          <w:sz w:val="22"/>
          <w:szCs w:val="22"/>
        </w:rPr>
        <w:t>Halvorsrud, K. et al. (2018) ‘Ethnic inequalities in mental health service use’, Ethnicity &amp; Health.</w:t>
      </w:r>
    </w:p>
    <w:p w14:paraId="457EEBD0" w14:textId="0FC971FB" w:rsidR="00800058" w:rsidRDefault="77FFB34E" w:rsidP="0030756A">
      <w:pPr>
        <w:shd w:val="clear" w:color="auto" w:fill="FFFFFF" w:themeFill="background1"/>
        <w:spacing w:before="195" w:after="195"/>
        <w:jc w:val="both"/>
        <w:rPr>
          <w:rFonts w:hint="eastAsia"/>
        </w:rPr>
      </w:pPr>
      <w:r w:rsidRPr="4EB1EAF7">
        <w:rPr>
          <w:rFonts w:ascii="Arial" w:eastAsia="Arial" w:hAnsi="Arial" w:cs="Arial"/>
          <w:color w:val="222222"/>
          <w:sz w:val="22"/>
          <w:szCs w:val="22"/>
        </w:rPr>
        <w:t>Mind (2023) Mental health and being Black. London: Mind.</w:t>
      </w:r>
    </w:p>
    <w:p w14:paraId="7DA4856B" w14:textId="34D8FA42" w:rsidR="00800058" w:rsidRDefault="77FFB34E" w:rsidP="0030756A">
      <w:pPr>
        <w:shd w:val="clear" w:color="auto" w:fill="FFFFFF" w:themeFill="background1"/>
        <w:spacing w:before="195" w:after="195"/>
        <w:jc w:val="both"/>
        <w:rPr>
          <w:rFonts w:hint="eastAsia"/>
        </w:rPr>
      </w:pPr>
      <w:r w:rsidRPr="4EB1EAF7">
        <w:rPr>
          <w:rFonts w:ascii="Arial" w:eastAsia="Arial" w:hAnsi="Arial" w:cs="Arial"/>
          <w:color w:val="222222"/>
          <w:sz w:val="22"/>
          <w:szCs w:val="22"/>
        </w:rPr>
        <w:t>Nazroo, J. (2014) ‘Ethnic inequalities in mental health’, Social Science &amp; Medicine.</w:t>
      </w:r>
    </w:p>
    <w:p w14:paraId="759E9AE2" w14:textId="647C78BF" w:rsidR="00800058" w:rsidRDefault="77FFB34E" w:rsidP="0030756A">
      <w:pPr>
        <w:shd w:val="clear" w:color="auto" w:fill="FFFFFF" w:themeFill="background1"/>
        <w:spacing w:before="195" w:after="195"/>
        <w:jc w:val="both"/>
        <w:rPr>
          <w:rFonts w:hint="eastAsia"/>
        </w:rPr>
      </w:pPr>
      <w:r w:rsidRPr="4EB1EAF7">
        <w:rPr>
          <w:rFonts w:ascii="Arial" w:eastAsia="Arial" w:hAnsi="Arial" w:cs="Arial"/>
          <w:color w:val="222222"/>
          <w:sz w:val="22"/>
          <w:szCs w:val="22"/>
        </w:rPr>
        <w:t>NHS Digital (2024) Mental Health Services Monthly Statistics. Leeds: NHS Digital.</w:t>
      </w:r>
    </w:p>
    <w:p w14:paraId="31ECEF05" w14:textId="0E8E86FD" w:rsidR="00800058" w:rsidRDefault="77FFB34E" w:rsidP="0030756A">
      <w:pPr>
        <w:shd w:val="clear" w:color="auto" w:fill="FFFFFF" w:themeFill="background1"/>
        <w:spacing w:before="195" w:after="195"/>
        <w:jc w:val="both"/>
        <w:rPr>
          <w:rFonts w:hint="eastAsia"/>
        </w:rPr>
      </w:pPr>
      <w:r w:rsidRPr="4EB1EAF7">
        <w:rPr>
          <w:rFonts w:ascii="Arial" w:eastAsia="Arial" w:hAnsi="Arial" w:cs="Arial"/>
          <w:color w:val="222222"/>
          <w:sz w:val="22"/>
          <w:szCs w:val="22"/>
        </w:rPr>
        <w:t>Office for National Statistics (ONS) (2023) Ethnicity and health in England and Wales. Newport: ONS.</w:t>
      </w:r>
    </w:p>
    <w:p w14:paraId="55E24016" w14:textId="16CECD72" w:rsidR="00800058" w:rsidRDefault="00800058" w:rsidP="0030756A">
      <w:pPr>
        <w:shd w:val="clear" w:color="auto" w:fill="FFFFFF" w:themeFill="background1"/>
        <w:spacing w:before="195" w:after="195"/>
        <w:jc w:val="both"/>
        <w:rPr>
          <w:rFonts w:ascii="Arial Nova" w:eastAsia="Arial Nova" w:hAnsi="Arial Nova" w:cs="Arial Nova"/>
          <w:sz w:val="22"/>
          <w:szCs w:val="22"/>
        </w:rPr>
      </w:pPr>
    </w:p>
    <w:p w14:paraId="5E5787A5" w14:textId="1DCC67C1" w:rsidR="00800058" w:rsidRDefault="00800058" w:rsidP="4EB1EAF7">
      <w:pPr>
        <w:rPr>
          <w:rFonts w:ascii="Arial Nova" w:eastAsia="Arial Nova" w:hAnsi="Arial Nova" w:cs="Arial Nova"/>
          <w:sz w:val="22"/>
          <w:szCs w:val="22"/>
        </w:rPr>
      </w:pPr>
    </w:p>
    <w:sectPr w:rsidR="0080005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Arial Nova">
    <w:altName w:val="Arial"/>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34677C"/>
    <w:multiLevelType w:val="multilevel"/>
    <w:tmpl w:val="9954A626"/>
    <w:lvl w:ilvl="0">
      <w:numFmt w:val="bullet"/>
      <w:lvlText w:val="•"/>
      <w:lvlJc w:val="left"/>
      <w:pPr>
        <w:ind w:left="720" w:hanging="360"/>
      </w:pPr>
      <w:rPr>
        <w:rFonts w:ascii="Arial" w:eastAsiaTheme="minorEastAsia" w:hAnsi="Arial" w:cs="Aria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 w15:restartNumberingAfterBreak="0">
    <w:nsid w:val="59DE743E"/>
    <w:multiLevelType w:val="hybridMultilevel"/>
    <w:tmpl w:val="5A365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3342673">
    <w:abstractNumId w:val="1"/>
  </w:num>
  <w:num w:numId="2" w16cid:durableId="9130085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D2ED168"/>
    <w:rsid w:val="00013670"/>
    <w:rsid w:val="00014B41"/>
    <w:rsid w:val="00030F51"/>
    <w:rsid w:val="00050432"/>
    <w:rsid w:val="00074D28"/>
    <w:rsid w:val="000E067E"/>
    <w:rsid w:val="001A7DDE"/>
    <w:rsid w:val="001C10C7"/>
    <w:rsid w:val="001C5B3F"/>
    <w:rsid w:val="001E6DDF"/>
    <w:rsid w:val="00256310"/>
    <w:rsid w:val="00261BDA"/>
    <w:rsid w:val="002659AB"/>
    <w:rsid w:val="00296564"/>
    <w:rsid w:val="002A1A20"/>
    <w:rsid w:val="002C05E7"/>
    <w:rsid w:val="002D2351"/>
    <w:rsid w:val="002F519D"/>
    <w:rsid w:val="0030756A"/>
    <w:rsid w:val="0033052B"/>
    <w:rsid w:val="0037118C"/>
    <w:rsid w:val="00385751"/>
    <w:rsid w:val="003977C3"/>
    <w:rsid w:val="003E673D"/>
    <w:rsid w:val="003F13D4"/>
    <w:rsid w:val="00413C52"/>
    <w:rsid w:val="00473280"/>
    <w:rsid w:val="004854B4"/>
    <w:rsid w:val="004A7EBE"/>
    <w:rsid w:val="004C28B8"/>
    <w:rsid w:val="004E066C"/>
    <w:rsid w:val="004E0D32"/>
    <w:rsid w:val="00515E72"/>
    <w:rsid w:val="00520A4F"/>
    <w:rsid w:val="00550012"/>
    <w:rsid w:val="00571473"/>
    <w:rsid w:val="00577867"/>
    <w:rsid w:val="005C6EC0"/>
    <w:rsid w:val="005E0B6A"/>
    <w:rsid w:val="005F4668"/>
    <w:rsid w:val="006610FD"/>
    <w:rsid w:val="00683E7C"/>
    <w:rsid w:val="006A1A45"/>
    <w:rsid w:val="006C76A4"/>
    <w:rsid w:val="006F49A1"/>
    <w:rsid w:val="00713FF1"/>
    <w:rsid w:val="00720053"/>
    <w:rsid w:val="00742496"/>
    <w:rsid w:val="007533B7"/>
    <w:rsid w:val="00755F61"/>
    <w:rsid w:val="00764443"/>
    <w:rsid w:val="007B05F3"/>
    <w:rsid w:val="007C6979"/>
    <w:rsid w:val="00800058"/>
    <w:rsid w:val="00800B43"/>
    <w:rsid w:val="00801F6D"/>
    <w:rsid w:val="00822B79"/>
    <w:rsid w:val="008522B5"/>
    <w:rsid w:val="00855155"/>
    <w:rsid w:val="008D1B62"/>
    <w:rsid w:val="00910B72"/>
    <w:rsid w:val="00955FFB"/>
    <w:rsid w:val="00981FE5"/>
    <w:rsid w:val="00995246"/>
    <w:rsid w:val="009B7BCD"/>
    <w:rsid w:val="009C065A"/>
    <w:rsid w:val="009C7996"/>
    <w:rsid w:val="009E68B1"/>
    <w:rsid w:val="00A00CE6"/>
    <w:rsid w:val="00A04D7A"/>
    <w:rsid w:val="00A1708A"/>
    <w:rsid w:val="00A21282"/>
    <w:rsid w:val="00A5129F"/>
    <w:rsid w:val="00A665B8"/>
    <w:rsid w:val="00A90D24"/>
    <w:rsid w:val="00A9736D"/>
    <w:rsid w:val="00AD042E"/>
    <w:rsid w:val="00AF2A5F"/>
    <w:rsid w:val="00AF3081"/>
    <w:rsid w:val="00BA32C2"/>
    <w:rsid w:val="00BA5F67"/>
    <w:rsid w:val="00BB2E59"/>
    <w:rsid w:val="00BF5AB7"/>
    <w:rsid w:val="00C11A9B"/>
    <w:rsid w:val="00C1757C"/>
    <w:rsid w:val="00C23B78"/>
    <w:rsid w:val="00C36EDB"/>
    <w:rsid w:val="00C45318"/>
    <w:rsid w:val="00C61AF9"/>
    <w:rsid w:val="00C80268"/>
    <w:rsid w:val="00C91E58"/>
    <w:rsid w:val="00C95656"/>
    <w:rsid w:val="00CB4C1B"/>
    <w:rsid w:val="00CD63B9"/>
    <w:rsid w:val="00CE5935"/>
    <w:rsid w:val="00D33E8A"/>
    <w:rsid w:val="00D34788"/>
    <w:rsid w:val="00D4792A"/>
    <w:rsid w:val="00D54138"/>
    <w:rsid w:val="00D7329F"/>
    <w:rsid w:val="00D81A1D"/>
    <w:rsid w:val="00D850E9"/>
    <w:rsid w:val="00D95D7F"/>
    <w:rsid w:val="00DB4977"/>
    <w:rsid w:val="00DB52FC"/>
    <w:rsid w:val="00DD026C"/>
    <w:rsid w:val="00DF3D01"/>
    <w:rsid w:val="00E215CC"/>
    <w:rsid w:val="00E4218F"/>
    <w:rsid w:val="00EB67EC"/>
    <w:rsid w:val="00EC59A8"/>
    <w:rsid w:val="00ED3890"/>
    <w:rsid w:val="00EF4628"/>
    <w:rsid w:val="00F02C45"/>
    <w:rsid w:val="00F118E1"/>
    <w:rsid w:val="00F46362"/>
    <w:rsid w:val="00F56A8A"/>
    <w:rsid w:val="00F771F9"/>
    <w:rsid w:val="00FA3141"/>
    <w:rsid w:val="00FA4552"/>
    <w:rsid w:val="00FA6F1F"/>
    <w:rsid w:val="00FB0E05"/>
    <w:rsid w:val="00FD0EF7"/>
    <w:rsid w:val="00FD2F73"/>
    <w:rsid w:val="00FD6DFC"/>
    <w:rsid w:val="00FE1F3B"/>
    <w:rsid w:val="00FF1E99"/>
    <w:rsid w:val="08BFA141"/>
    <w:rsid w:val="0BE6BF73"/>
    <w:rsid w:val="19D51922"/>
    <w:rsid w:val="1D2ED168"/>
    <w:rsid w:val="2062485C"/>
    <w:rsid w:val="3B59CA73"/>
    <w:rsid w:val="3C73D979"/>
    <w:rsid w:val="415BE0DA"/>
    <w:rsid w:val="41E7EA1D"/>
    <w:rsid w:val="44D2446D"/>
    <w:rsid w:val="4936C193"/>
    <w:rsid w:val="4C5FDB19"/>
    <w:rsid w:val="4EB1EAF7"/>
    <w:rsid w:val="66656E70"/>
    <w:rsid w:val="68366FBE"/>
    <w:rsid w:val="68F3DA15"/>
    <w:rsid w:val="6CE3D9A1"/>
    <w:rsid w:val="77FFB34E"/>
    <w:rsid w:val="78A0FA3C"/>
    <w:rsid w:val="7CD48406"/>
    <w:rsid w:val="7EA4634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D2ED168"/>
  <w15:chartTrackingRefBased/>
  <w15:docId w15:val="{AF708769-0D20-42AD-ADCC-58C161BDD2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4EB1EA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4EB1EA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05F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Display"/>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Constance Agbon (2533232)</dc:creator>
  <cp:keywords/>
  <dc:description/>
  <cp:lastModifiedBy>Constance Agbon (2533232)</cp:lastModifiedBy>
  <cp:revision>2</cp:revision>
  <dcterms:created xsi:type="dcterms:W3CDTF">2026-04-11T19:47:00Z</dcterms:created>
  <dcterms:modified xsi:type="dcterms:W3CDTF">2026-04-18T12:03:00Z</dcterms:modified>
</cp:coreProperties>
</file>