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BF4B19" w14:textId="2347C9B3" w:rsidR="00614737" w:rsidRDefault="00614737" w:rsidP="00614737">
      <w:pPr>
        <w:rPr>
          <w:color w:val="000000" w:themeColor="text1"/>
        </w:rPr>
      </w:pPr>
      <w:r>
        <w:rPr>
          <w:noProof/>
          <w:color w:val="000000" w:themeColor="text1"/>
          <w:lang w:eastAsia="en-GB"/>
        </w:rPr>
        <w:drawing>
          <wp:inline distT="0" distB="0" distL="0" distR="0" wp14:anchorId="6BF60233" wp14:editId="35053179">
            <wp:extent cx="2301240" cy="92202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301240" cy="922020"/>
                    </a:xfrm>
                    <a:prstGeom prst="rect">
                      <a:avLst/>
                    </a:prstGeom>
                    <a:noFill/>
                    <a:ln>
                      <a:noFill/>
                    </a:ln>
                  </pic:spPr>
                </pic:pic>
              </a:graphicData>
            </a:graphic>
          </wp:inline>
        </w:drawing>
      </w:r>
    </w:p>
    <w:p w14:paraId="60B0DF90" w14:textId="77777777" w:rsidR="00614737" w:rsidRDefault="00614737" w:rsidP="00614737">
      <w:pPr>
        <w:rPr>
          <w:color w:val="000000" w:themeColor="text1"/>
        </w:rPr>
      </w:pPr>
    </w:p>
    <w:p w14:paraId="7C7D7D36" w14:textId="77777777" w:rsidR="00614737" w:rsidRDefault="00614737" w:rsidP="00614737">
      <w:pPr>
        <w:pStyle w:val="Modcode"/>
        <w:jc w:val="left"/>
        <w:rPr>
          <w:color w:val="000000" w:themeColor="text1"/>
        </w:rPr>
      </w:pPr>
      <w:r>
        <w:rPr>
          <w:color w:val="000000" w:themeColor="text1"/>
        </w:rPr>
        <w:t xml:space="preserve">LEVEL 5       </w:t>
      </w:r>
    </w:p>
    <w:p w14:paraId="75398204" w14:textId="77777777" w:rsidR="00614737" w:rsidRDefault="00614737" w:rsidP="00614737">
      <w:pPr>
        <w:pStyle w:val="Modcode"/>
        <w:jc w:val="left"/>
        <w:rPr>
          <w:color w:val="000000" w:themeColor="text1"/>
        </w:rPr>
      </w:pPr>
      <w:r>
        <w:rPr>
          <w:color w:val="000000" w:themeColor="text1"/>
        </w:rPr>
        <w:t xml:space="preserve">                                                                      </w:t>
      </w:r>
    </w:p>
    <w:p w14:paraId="3A3DC7F8" w14:textId="77777777" w:rsidR="00614737" w:rsidRDefault="00614737" w:rsidP="00614737">
      <w:pPr>
        <w:pStyle w:val="Modcode"/>
        <w:jc w:val="left"/>
        <w:rPr>
          <w:color w:val="000000" w:themeColor="text1"/>
        </w:rPr>
      </w:pPr>
      <w:r>
        <w:rPr>
          <w:color w:val="000000" w:themeColor="text1"/>
        </w:rPr>
        <w:t xml:space="preserve">SEMESTER 2                                                                         </w:t>
      </w:r>
    </w:p>
    <w:p w14:paraId="6F2D39F3" w14:textId="77777777" w:rsidR="00614737" w:rsidRDefault="00614737" w:rsidP="00614737">
      <w:pPr>
        <w:pStyle w:val="Modcode"/>
        <w:jc w:val="left"/>
        <w:rPr>
          <w:color w:val="000000" w:themeColor="text1"/>
        </w:rPr>
      </w:pPr>
    </w:p>
    <w:p w14:paraId="35151CB5" w14:textId="77777777" w:rsidR="00614737" w:rsidRDefault="00614737" w:rsidP="00614737">
      <w:pPr>
        <w:pStyle w:val="Modcode"/>
        <w:jc w:val="left"/>
        <w:rPr>
          <w:color w:val="000000" w:themeColor="text1"/>
        </w:rPr>
      </w:pPr>
    </w:p>
    <w:p w14:paraId="05FB284B" w14:textId="77777777" w:rsidR="00614737" w:rsidRDefault="00614737" w:rsidP="00614737">
      <w:pPr>
        <w:pStyle w:val="Modcode"/>
        <w:rPr>
          <w:color w:val="000000" w:themeColor="text1"/>
        </w:rPr>
      </w:pPr>
      <w:r>
        <w:rPr>
          <w:color w:val="000000" w:themeColor="text1"/>
        </w:rPr>
        <w:t>MODULE CODE: SHSS5078</w:t>
      </w:r>
    </w:p>
    <w:p w14:paraId="0F45853D" w14:textId="77777777" w:rsidR="00614737" w:rsidRDefault="00614737" w:rsidP="00614737">
      <w:pPr>
        <w:pStyle w:val="Modname"/>
        <w:rPr>
          <w:color w:val="000000" w:themeColor="text1"/>
        </w:rPr>
      </w:pPr>
      <w:r>
        <w:rPr>
          <w:color w:val="000000" w:themeColor="text1"/>
        </w:rPr>
        <w:t>INCLUSION IN PHYSICAL EDUCATION AND YOUTH SPORT</w:t>
      </w:r>
    </w:p>
    <w:p w14:paraId="79152D47" w14:textId="77777777" w:rsidR="00614737" w:rsidRDefault="00614737" w:rsidP="00614737">
      <w:pPr>
        <w:pStyle w:val="Time"/>
        <w:rPr>
          <w:color w:val="000000" w:themeColor="text1"/>
          <w:szCs w:val="28"/>
        </w:rPr>
      </w:pPr>
      <w:r>
        <w:rPr>
          <w:color w:val="000000" w:themeColor="text1"/>
          <w:szCs w:val="28"/>
        </w:rPr>
        <w:t xml:space="preserve">aSSESSMENT TYPE: COURSEWORK - ESSAY   </w:t>
      </w:r>
    </w:p>
    <w:p w14:paraId="3C76FEDE" w14:textId="77777777" w:rsidR="00614737" w:rsidRDefault="00614737" w:rsidP="00614737">
      <w:pPr>
        <w:pStyle w:val="Answer"/>
        <w:rPr>
          <w:color w:val="000000" w:themeColor="text1"/>
          <w:szCs w:val="28"/>
        </w:rPr>
      </w:pPr>
      <w:r>
        <w:rPr>
          <w:color w:val="000000" w:themeColor="text1"/>
          <w:szCs w:val="28"/>
        </w:rPr>
        <w:t>Assessment/Component: 2</w:t>
      </w:r>
    </w:p>
    <w:p w14:paraId="3C1C7113" w14:textId="77777777" w:rsidR="00614737" w:rsidRDefault="00614737" w:rsidP="00614737">
      <w:pPr>
        <w:pStyle w:val="BodyText"/>
        <w:rPr>
          <w:color w:val="000000" w:themeColor="text1"/>
        </w:rPr>
      </w:pPr>
    </w:p>
    <w:p w14:paraId="2A2ACB5B" w14:textId="77777777" w:rsidR="00614737" w:rsidRDefault="00614737" w:rsidP="00614737">
      <w:pPr>
        <w:pStyle w:val="BodyText"/>
        <w:rPr>
          <w:b/>
          <w:color w:val="000000" w:themeColor="text1"/>
          <w:sz w:val="28"/>
          <w:szCs w:val="28"/>
          <w:u w:val="single"/>
        </w:rPr>
      </w:pPr>
      <w:r>
        <w:rPr>
          <w:b/>
          <w:color w:val="000000" w:themeColor="text1"/>
          <w:sz w:val="28"/>
          <w:szCs w:val="28"/>
        </w:rPr>
        <w:t xml:space="preserve">COMPONENT WEIGHTING: </w:t>
      </w:r>
      <w:r>
        <w:rPr>
          <w:b/>
          <w:color w:val="000000" w:themeColor="text1"/>
          <w:sz w:val="28"/>
          <w:szCs w:val="28"/>
          <w:u w:val="single"/>
        </w:rPr>
        <w:t xml:space="preserve">50 </w:t>
      </w:r>
      <w:r>
        <w:rPr>
          <w:b/>
          <w:color w:val="000000" w:themeColor="text1"/>
          <w:sz w:val="28"/>
          <w:szCs w:val="28"/>
        </w:rPr>
        <w:t>%</w:t>
      </w:r>
    </w:p>
    <w:p w14:paraId="46C839A6" w14:textId="77777777" w:rsidR="00614737" w:rsidRDefault="00614737" w:rsidP="00614737">
      <w:pPr>
        <w:pStyle w:val="BodyText"/>
        <w:rPr>
          <w:color w:val="000000" w:themeColor="text1"/>
        </w:rPr>
      </w:pPr>
    </w:p>
    <w:p w14:paraId="0A587C1C" w14:textId="77777777" w:rsidR="00614737" w:rsidRDefault="00614737" w:rsidP="00614737">
      <w:pPr>
        <w:pStyle w:val="BodyText"/>
        <w:rPr>
          <w:b/>
          <w:color w:val="000000" w:themeColor="text1"/>
          <w:sz w:val="28"/>
          <w:szCs w:val="28"/>
          <w:u w:val="single"/>
        </w:rPr>
      </w:pPr>
      <w:r>
        <w:rPr>
          <w:b/>
          <w:color w:val="000000" w:themeColor="text1"/>
          <w:sz w:val="28"/>
          <w:szCs w:val="28"/>
        </w:rPr>
        <w:t xml:space="preserve">WORD COUNT: </w:t>
      </w:r>
      <w:r>
        <w:rPr>
          <w:b/>
          <w:color w:val="000000" w:themeColor="text1"/>
          <w:sz w:val="28"/>
          <w:szCs w:val="28"/>
          <w:u w:val="single"/>
        </w:rPr>
        <w:t xml:space="preserve">2500 WORDS </w:t>
      </w:r>
    </w:p>
    <w:p w14:paraId="7F9DF9BC" w14:textId="77777777" w:rsidR="00614737" w:rsidRDefault="00614737" w:rsidP="00614737">
      <w:pPr>
        <w:pStyle w:val="BodyText"/>
        <w:rPr>
          <w:b/>
          <w:color w:val="000000" w:themeColor="text1"/>
          <w:sz w:val="28"/>
          <w:szCs w:val="28"/>
          <w:u w:val="single"/>
        </w:rPr>
      </w:pPr>
    </w:p>
    <w:p w14:paraId="6A82B102" w14:textId="77777777" w:rsidR="00614737" w:rsidRDefault="00614737" w:rsidP="00614737">
      <w:pPr>
        <w:pStyle w:val="BodyText"/>
        <w:rPr>
          <w:b/>
          <w:color w:val="000000" w:themeColor="text1"/>
          <w:sz w:val="28"/>
          <w:szCs w:val="28"/>
          <w:u w:val="single"/>
        </w:rPr>
      </w:pPr>
      <w:r>
        <w:rPr>
          <w:b/>
          <w:color w:val="000000" w:themeColor="text1"/>
          <w:sz w:val="28"/>
          <w:szCs w:val="28"/>
        </w:rPr>
        <w:t xml:space="preserve">MODULE TUTOR: </w:t>
      </w:r>
      <w:r>
        <w:rPr>
          <w:b/>
          <w:color w:val="000000" w:themeColor="text1"/>
          <w:sz w:val="28"/>
          <w:szCs w:val="28"/>
          <w:u w:val="single"/>
        </w:rPr>
        <w:t>Mara Mata / Dylan Blain</w:t>
      </w:r>
      <w:r>
        <w:rPr>
          <w:b/>
          <w:color w:val="000000" w:themeColor="text1"/>
          <w:sz w:val="28"/>
          <w:szCs w:val="28"/>
        </w:rPr>
        <w:t xml:space="preserve"> </w:t>
      </w:r>
    </w:p>
    <w:p w14:paraId="32CD828D" w14:textId="77777777" w:rsidR="00614737" w:rsidRDefault="00614737" w:rsidP="00614737">
      <w:pPr>
        <w:pStyle w:val="BodyText"/>
        <w:rPr>
          <w:color w:val="000000" w:themeColor="text1"/>
          <w:sz w:val="28"/>
          <w:szCs w:val="28"/>
        </w:rPr>
      </w:pPr>
    </w:p>
    <w:p w14:paraId="1116397C" w14:textId="77777777" w:rsidR="00614737" w:rsidRDefault="00614737" w:rsidP="00614737">
      <w:pPr>
        <w:pStyle w:val="BodyText"/>
        <w:spacing w:line="276" w:lineRule="auto"/>
        <w:jc w:val="both"/>
        <w:rPr>
          <w:color w:val="000000" w:themeColor="text1"/>
          <w:szCs w:val="24"/>
        </w:rPr>
      </w:pPr>
      <w:r>
        <w:rPr>
          <w:color w:val="000000" w:themeColor="text1"/>
          <w:szCs w:val="24"/>
        </w:rPr>
        <w:t xml:space="preserve">“Being a professional educator in today’s society not only means having to develop sound subject knowledge, but it also depends upon acknowledging a moral duty to do what is ‘right’ for the individual and society” (Dowling </w:t>
      </w:r>
      <w:r>
        <w:rPr>
          <w:i/>
          <w:iCs/>
          <w:color w:val="000000" w:themeColor="text1"/>
          <w:szCs w:val="24"/>
        </w:rPr>
        <w:t>et al.</w:t>
      </w:r>
      <w:r>
        <w:rPr>
          <w:color w:val="000000" w:themeColor="text1"/>
          <w:szCs w:val="24"/>
        </w:rPr>
        <w:t>, 2012, p.5).</w:t>
      </w:r>
    </w:p>
    <w:p w14:paraId="1CA810DB" w14:textId="77777777" w:rsidR="00614737" w:rsidRDefault="00614737" w:rsidP="00614737">
      <w:pPr>
        <w:pStyle w:val="BodyText"/>
        <w:spacing w:line="276" w:lineRule="auto"/>
        <w:jc w:val="both"/>
        <w:rPr>
          <w:color w:val="000000" w:themeColor="text1"/>
        </w:rPr>
      </w:pPr>
    </w:p>
    <w:p w14:paraId="769B6DFC" w14:textId="77777777" w:rsidR="00614737" w:rsidRDefault="00614737" w:rsidP="00614737">
      <w:pPr>
        <w:pStyle w:val="BodyText"/>
        <w:spacing w:line="276" w:lineRule="auto"/>
        <w:jc w:val="both"/>
        <w:rPr>
          <w:b/>
          <w:bCs/>
          <w:color w:val="000000" w:themeColor="text1"/>
          <w:szCs w:val="24"/>
        </w:rPr>
      </w:pPr>
      <w:r>
        <w:rPr>
          <w:b/>
          <w:bCs/>
          <w:color w:val="000000" w:themeColor="text1"/>
          <w:szCs w:val="24"/>
        </w:rPr>
        <w:t xml:space="preserve">In light of this quote, draw on relevant literature to critically discuss how schools are implementing inclusive policies and strategies in their practices. Reflect on how the discussion will influence your own practice. </w:t>
      </w:r>
    </w:p>
    <w:p w14:paraId="43D740E0" w14:textId="77777777" w:rsidR="00614737" w:rsidRDefault="00614737" w:rsidP="00614737">
      <w:pPr>
        <w:pStyle w:val="BodyText"/>
        <w:spacing w:line="276" w:lineRule="auto"/>
        <w:jc w:val="both"/>
        <w:rPr>
          <w:b/>
          <w:bCs/>
          <w:color w:val="000000" w:themeColor="text1"/>
          <w:szCs w:val="24"/>
        </w:rPr>
      </w:pPr>
    </w:p>
    <w:p w14:paraId="33E0B39B" w14:textId="77777777" w:rsidR="00614737" w:rsidRDefault="00614737" w:rsidP="00614737">
      <w:pPr>
        <w:pStyle w:val="BodyText"/>
        <w:spacing w:line="276" w:lineRule="auto"/>
        <w:jc w:val="both"/>
        <w:rPr>
          <w:color w:val="000000" w:themeColor="text1"/>
          <w:szCs w:val="24"/>
          <w:u w:val="single"/>
        </w:rPr>
      </w:pPr>
      <w:r>
        <w:rPr>
          <w:color w:val="000000" w:themeColor="text1"/>
          <w:szCs w:val="24"/>
          <w:u w:val="single"/>
        </w:rPr>
        <w:t xml:space="preserve">Please see the ‘FURTHER GUIDANCE – Assignment 2’ document available on Moodle under the ‘Assessment Information’ tile for further support in structuring your essay. </w:t>
      </w:r>
    </w:p>
    <w:p w14:paraId="4E57202B" w14:textId="77777777" w:rsidR="00614737" w:rsidRDefault="00614737" w:rsidP="00614737">
      <w:pPr>
        <w:pStyle w:val="BodyText"/>
        <w:ind w:left="720"/>
        <w:rPr>
          <w:color w:val="000000" w:themeColor="text1"/>
          <w:sz w:val="28"/>
        </w:rPr>
      </w:pPr>
    </w:p>
    <w:p w14:paraId="7F79E9CF" w14:textId="77777777" w:rsidR="00614737" w:rsidRDefault="00614737" w:rsidP="00614737">
      <w:pPr>
        <w:rPr>
          <w:color w:val="000000" w:themeColor="text1"/>
          <w:sz w:val="28"/>
          <w:szCs w:val="28"/>
        </w:rPr>
      </w:pPr>
    </w:p>
    <w:p w14:paraId="4B60E0A7" w14:textId="1EB67689" w:rsidR="00614737" w:rsidRPr="00614737" w:rsidRDefault="00614737" w:rsidP="00614737">
      <w:pPr>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 xml:space="preserve">SUBMISSION DETAILS:   </w:t>
      </w:r>
      <w:r>
        <w:rPr>
          <w:rFonts w:ascii="Times New Roman" w:hAnsi="Times New Roman" w:cs="Times New Roman"/>
          <w:b/>
          <w:color w:val="000000" w:themeColor="text1"/>
          <w:sz w:val="28"/>
          <w:szCs w:val="28"/>
          <w:u w:val="single"/>
        </w:rPr>
        <w:t>3</w:t>
      </w:r>
      <w:r>
        <w:rPr>
          <w:rFonts w:ascii="Times New Roman" w:hAnsi="Times New Roman" w:cs="Times New Roman"/>
          <w:b/>
          <w:color w:val="000000" w:themeColor="text1"/>
          <w:sz w:val="28"/>
          <w:szCs w:val="28"/>
          <w:u w:val="single"/>
          <w:vertAlign w:val="superscript"/>
        </w:rPr>
        <w:t>rd</w:t>
      </w:r>
      <w:r>
        <w:rPr>
          <w:rFonts w:ascii="Times New Roman" w:hAnsi="Times New Roman" w:cs="Times New Roman"/>
          <w:b/>
          <w:color w:val="000000" w:themeColor="text1"/>
          <w:sz w:val="28"/>
          <w:szCs w:val="28"/>
          <w:u w:val="single"/>
        </w:rPr>
        <w:t xml:space="preserve"> April 2020, 3pm</w:t>
      </w:r>
    </w:p>
    <w:p w14:paraId="207849EA" w14:textId="5E974B5F" w:rsidR="00614737" w:rsidRDefault="00614737" w:rsidP="00614737">
      <w:pPr>
        <w:pStyle w:val="Title"/>
        <w:rPr>
          <w:color w:val="000000" w:themeColor="text1"/>
        </w:rPr>
      </w:pPr>
      <w:r>
        <w:rPr>
          <w:color w:val="000000" w:themeColor="text1"/>
        </w:rPr>
        <w:lastRenderedPageBreak/>
        <w:t>School of Sport, Health &amp; Outdoor Education</w:t>
      </w:r>
    </w:p>
    <w:p w14:paraId="41B86402" w14:textId="77777777" w:rsidR="00614737" w:rsidRDefault="00614737" w:rsidP="00614737">
      <w:pPr>
        <w:rPr>
          <w:b/>
          <w:bCs/>
          <w:color w:val="000000" w:themeColor="text1"/>
          <w:sz w:val="16"/>
          <w:szCs w:val="16"/>
        </w:rPr>
      </w:pPr>
    </w:p>
    <w:p w14:paraId="59E17DF0" w14:textId="77777777" w:rsidR="00614737" w:rsidRDefault="00614737" w:rsidP="00614737">
      <w:pPr>
        <w:pStyle w:val="Subtitle"/>
        <w:rPr>
          <w:color w:val="000000" w:themeColor="text1"/>
        </w:rPr>
      </w:pPr>
      <w:r>
        <w:rPr>
          <w:color w:val="000000" w:themeColor="text1"/>
        </w:rPr>
        <w:t>Assessment Feedback Sheet</w:t>
      </w:r>
    </w:p>
    <w:p w14:paraId="3AA93887" w14:textId="77777777" w:rsidR="00614737" w:rsidRDefault="00614737" w:rsidP="00614737">
      <w:pPr>
        <w:pStyle w:val="Subtitle"/>
        <w:rPr>
          <w:color w:val="000000" w:themeColor="text1"/>
          <w:sz w:val="16"/>
          <w:szCs w:val="16"/>
        </w:rPr>
      </w:pPr>
    </w:p>
    <w:p w14:paraId="08EA72CE" w14:textId="77777777" w:rsidR="00614737" w:rsidRDefault="00614737" w:rsidP="00614737">
      <w:pPr>
        <w:pStyle w:val="Subtitle"/>
        <w:jc w:val="both"/>
        <w:rPr>
          <w:b/>
          <w:bCs/>
          <w:color w:val="000000" w:themeColor="text1"/>
          <w:u w:val="none"/>
        </w:rPr>
      </w:pPr>
      <w:r>
        <w:rPr>
          <w:b/>
          <w:bCs/>
          <w:color w:val="000000" w:themeColor="text1"/>
          <w:sz w:val="24"/>
          <w:szCs w:val="24"/>
          <w:u w:val="none"/>
        </w:rPr>
        <w:tab/>
        <w:t xml:space="preserve">                Student No./Name:</w:t>
      </w:r>
      <w:r>
        <w:rPr>
          <w:b/>
          <w:bCs/>
          <w:color w:val="000000" w:themeColor="text1"/>
          <w:sz w:val="24"/>
          <w:szCs w:val="24"/>
          <w:u w:val="none"/>
        </w:rPr>
        <w:tab/>
      </w:r>
    </w:p>
    <w:p w14:paraId="2543018F" w14:textId="77777777" w:rsidR="00614737" w:rsidRDefault="00614737" w:rsidP="00614737">
      <w:pPr>
        <w:pStyle w:val="Subtitle"/>
        <w:jc w:val="left"/>
        <w:rPr>
          <w:b/>
          <w:bCs/>
          <w:color w:val="000000" w:themeColor="text1"/>
          <w:sz w:val="24"/>
          <w:szCs w:val="24"/>
          <w:u w:val="none"/>
        </w:rPr>
      </w:pPr>
      <w:r>
        <w:rPr>
          <w:b/>
          <w:bCs/>
          <w:color w:val="000000" w:themeColor="text1"/>
          <w:sz w:val="24"/>
          <w:szCs w:val="24"/>
          <w:u w:val="none"/>
        </w:rPr>
        <w:t xml:space="preserve">                                               Module: </w:t>
      </w:r>
      <w:r>
        <w:rPr>
          <w:color w:val="000000" w:themeColor="text1"/>
          <w:sz w:val="24"/>
          <w:szCs w:val="24"/>
          <w:u w:val="none"/>
        </w:rPr>
        <w:t>Inclusion in Physical Education and Youth Sport</w:t>
      </w:r>
    </w:p>
    <w:p w14:paraId="169F91AF" w14:textId="77777777" w:rsidR="00614737" w:rsidRDefault="00614737" w:rsidP="00614737">
      <w:pPr>
        <w:pStyle w:val="Subtitle"/>
        <w:jc w:val="left"/>
        <w:rPr>
          <w:b/>
          <w:bCs/>
          <w:color w:val="000000" w:themeColor="text1"/>
          <w:sz w:val="24"/>
          <w:szCs w:val="24"/>
          <w:u w:val="none"/>
        </w:rPr>
      </w:pPr>
      <w:r>
        <w:rPr>
          <w:b/>
          <w:bCs/>
          <w:color w:val="000000" w:themeColor="text1"/>
          <w:sz w:val="24"/>
          <w:szCs w:val="24"/>
          <w:u w:val="none"/>
        </w:rPr>
        <w:t xml:space="preserve">                                     Module Code: </w:t>
      </w:r>
      <w:r>
        <w:rPr>
          <w:color w:val="000000" w:themeColor="text1"/>
          <w:sz w:val="24"/>
          <w:szCs w:val="24"/>
          <w:u w:val="none"/>
        </w:rPr>
        <w:t>SHSS5078</w:t>
      </w:r>
    </w:p>
    <w:p w14:paraId="02A4AC09" w14:textId="77777777" w:rsidR="00614737" w:rsidRDefault="00614737" w:rsidP="00614737">
      <w:pPr>
        <w:pStyle w:val="Subtitle"/>
        <w:jc w:val="left"/>
        <w:rPr>
          <w:b/>
          <w:bCs/>
          <w:color w:val="000000" w:themeColor="text1"/>
          <w:sz w:val="24"/>
          <w:szCs w:val="24"/>
          <w:u w:val="none"/>
        </w:rPr>
      </w:pPr>
    </w:p>
    <w:p w14:paraId="0268975C" w14:textId="77777777" w:rsidR="00614737" w:rsidRDefault="00614737" w:rsidP="00614737">
      <w:pPr>
        <w:pStyle w:val="Subtitle"/>
        <w:jc w:val="left"/>
        <w:rPr>
          <w:b/>
          <w:bCs/>
          <w:color w:val="000000" w:themeColor="text1"/>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541"/>
        <w:gridCol w:w="1055"/>
        <w:gridCol w:w="1055"/>
        <w:gridCol w:w="1054"/>
        <w:gridCol w:w="1055"/>
        <w:gridCol w:w="1054"/>
        <w:gridCol w:w="1054"/>
        <w:gridCol w:w="1055"/>
        <w:gridCol w:w="720"/>
      </w:tblGrid>
      <w:tr w:rsidR="00614737" w14:paraId="2800AD85" w14:textId="77777777" w:rsidTr="00614737">
        <w:trPr>
          <w:cantSplit/>
        </w:trPr>
        <w:tc>
          <w:tcPr>
            <w:tcW w:w="10945" w:type="dxa"/>
            <w:gridSpan w:val="10"/>
            <w:tcBorders>
              <w:top w:val="thinThickLargeGap" w:sz="24" w:space="0" w:color="auto"/>
              <w:left w:val="thinThickLargeGap" w:sz="24" w:space="0" w:color="auto"/>
              <w:bottom w:val="single" w:sz="4" w:space="0" w:color="auto"/>
              <w:right w:val="thinThickLargeGap" w:sz="24" w:space="0" w:color="auto"/>
            </w:tcBorders>
            <w:hideMark/>
          </w:tcPr>
          <w:p w14:paraId="01835FD9" w14:textId="77777777" w:rsidR="00614737" w:rsidRDefault="00614737">
            <w:pPr>
              <w:pStyle w:val="Subtitle"/>
              <w:spacing w:line="276" w:lineRule="auto"/>
              <w:rPr>
                <w:b/>
                <w:bCs/>
                <w:color w:val="000000" w:themeColor="text1"/>
                <w:sz w:val="24"/>
                <w:szCs w:val="24"/>
                <w:u w:val="none"/>
                <w:lang w:eastAsia="en-US"/>
              </w:rPr>
            </w:pPr>
            <w:r>
              <w:rPr>
                <w:b/>
                <w:color w:val="000000" w:themeColor="text1"/>
                <w:sz w:val="18"/>
                <w:szCs w:val="18"/>
                <w:u w:val="none"/>
                <w:lang w:eastAsia="en-US"/>
              </w:rPr>
              <w:t>Personal Evaluation</w:t>
            </w:r>
            <w:r>
              <w:rPr>
                <w:bCs/>
                <w:color w:val="000000" w:themeColor="text1"/>
                <w:sz w:val="18"/>
                <w:szCs w:val="18"/>
                <w:u w:val="none"/>
                <w:lang w:eastAsia="en-US"/>
              </w:rPr>
              <w:t xml:space="preserve"> – to support your academic progress please complete the section below </w:t>
            </w:r>
            <w:r>
              <w:rPr>
                <w:b/>
                <w:bCs/>
                <w:color w:val="000000" w:themeColor="text1"/>
                <w:sz w:val="18"/>
                <w:szCs w:val="18"/>
                <w:lang w:eastAsia="en-US"/>
              </w:rPr>
              <w:t>BEFORE</w:t>
            </w:r>
            <w:r>
              <w:rPr>
                <w:bCs/>
                <w:color w:val="000000" w:themeColor="text1"/>
                <w:sz w:val="18"/>
                <w:szCs w:val="18"/>
                <w:u w:val="none"/>
                <w:lang w:eastAsia="en-US"/>
              </w:rPr>
              <w:t xml:space="preserve"> submitting your work.</w:t>
            </w:r>
          </w:p>
        </w:tc>
      </w:tr>
      <w:tr w:rsidR="00614737" w14:paraId="014E9BF7" w14:textId="77777777" w:rsidTr="00614737">
        <w:trPr>
          <w:cantSplit/>
        </w:trPr>
        <w:tc>
          <w:tcPr>
            <w:tcW w:w="2845" w:type="dxa"/>
            <w:gridSpan w:val="2"/>
            <w:tcBorders>
              <w:top w:val="single" w:sz="4" w:space="0" w:color="auto"/>
              <w:left w:val="thinThickLargeGap" w:sz="24" w:space="0" w:color="auto"/>
              <w:bottom w:val="single" w:sz="4" w:space="0" w:color="auto"/>
              <w:right w:val="single" w:sz="4" w:space="0" w:color="auto"/>
            </w:tcBorders>
            <w:hideMark/>
          </w:tcPr>
          <w:p w14:paraId="3D0D812D" w14:textId="77777777" w:rsidR="00614737" w:rsidRDefault="00614737">
            <w:pPr>
              <w:ind w:left="113" w:right="113"/>
              <w:rPr>
                <w:rFonts w:ascii="Times New Roman" w:hAnsi="Times New Roman" w:cs="Times New Roman"/>
                <w:color w:val="000000" w:themeColor="text1"/>
                <w:sz w:val="16"/>
                <w:szCs w:val="16"/>
              </w:rPr>
            </w:pPr>
            <w:r>
              <w:rPr>
                <w:rFonts w:ascii="Times New Roman" w:hAnsi="Times New Roman" w:cs="Times New Roman"/>
                <w:bCs/>
                <w:color w:val="000000" w:themeColor="text1"/>
                <w:sz w:val="18"/>
                <w:szCs w:val="18"/>
              </w:rPr>
              <w:t>What do you consider to be the best aspects of this work?</w:t>
            </w:r>
          </w:p>
        </w:tc>
        <w:tc>
          <w:tcPr>
            <w:tcW w:w="8100" w:type="dxa"/>
            <w:gridSpan w:val="8"/>
            <w:tcBorders>
              <w:top w:val="single" w:sz="4" w:space="0" w:color="auto"/>
              <w:left w:val="single" w:sz="4" w:space="0" w:color="auto"/>
              <w:bottom w:val="single" w:sz="4" w:space="0" w:color="auto"/>
              <w:right w:val="thinThickLargeGap" w:sz="24" w:space="0" w:color="auto"/>
            </w:tcBorders>
          </w:tcPr>
          <w:p w14:paraId="4A2179E8" w14:textId="381962EB" w:rsidR="00614737" w:rsidRPr="00614737" w:rsidRDefault="00614737" w:rsidP="00614737">
            <w:pPr>
              <w:pStyle w:val="Subtitle"/>
              <w:spacing w:line="276" w:lineRule="auto"/>
              <w:jc w:val="left"/>
              <w:rPr>
                <w:color w:val="000000" w:themeColor="text1"/>
                <w:sz w:val="24"/>
                <w:szCs w:val="24"/>
                <w:u w:val="none"/>
                <w:lang w:eastAsia="en-US"/>
              </w:rPr>
            </w:pPr>
            <w:r>
              <w:rPr>
                <w:color w:val="000000" w:themeColor="text1"/>
                <w:sz w:val="24"/>
                <w:szCs w:val="24"/>
                <w:u w:val="none"/>
                <w:lang w:eastAsia="en-US"/>
              </w:rPr>
              <w:t>The structure of the essay.</w:t>
            </w:r>
          </w:p>
        </w:tc>
      </w:tr>
      <w:tr w:rsidR="00614737" w14:paraId="7B605698" w14:textId="77777777" w:rsidTr="00614737">
        <w:trPr>
          <w:cantSplit/>
        </w:trPr>
        <w:tc>
          <w:tcPr>
            <w:tcW w:w="2845" w:type="dxa"/>
            <w:gridSpan w:val="2"/>
            <w:tcBorders>
              <w:top w:val="single" w:sz="4" w:space="0" w:color="auto"/>
              <w:left w:val="thinThickLargeGap" w:sz="24" w:space="0" w:color="auto"/>
              <w:bottom w:val="single" w:sz="4" w:space="0" w:color="auto"/>
              <w:right w:val="single" w:sz="4" w:space="0" w:color="auto"/>
            </w:tcBorders>
            <w:hideMark/>
          </w:tcPr>
          <w:p w14:paraId="3FC20EAC" w14:textId="77777777" w:rsidR="00614737" w:rsidRDefault="00614737">
            <w:pPr>
              <w:ind w:left="113" w:right="113"/>
              <w:rPr>
                <w:rFonts w:ascii="Times New Roman" w:hAnsi="Times New Roman" w:cs="Times New Roman"/>
                <w:color w:val="000000" w:themeColor="text1"/>
                <w:sz w:val="16"/>
                <w:szCs w:val="16"/>
              </w:rPr>
            </w:pPr>
            <w:r>
              <w:rPr>
                <w:rFonts w:ascii="Times New Roman" w:hAnsi="Times New Roman" w:cs="Times New Roman"/>
                <w:bCs/>
                <w:color w:val="000000" w:themeColor="text1"/>
                <w:sz w:val="18"/>
                <w:szCs w:val="18"/>
              </w:rPr>
              <w:t>Which aspects do you consider could have been improved in this piece of work?</w:t>
            </w:r>
          </w:p>
        </w:tc>
        <w:tc>
          <w:tcPr>
            <w:tcW w:w="8100" w:type="dxa"/>
            <w:gridSpan w:val="8"/>
            <w:tcBorders>
              <w:top w:val="single" w:sz="4" w:space="0" w:color="auto"/>
              <w:left w:val="single" w:sz="4" w:space="0" w:color="auto"/>
              <w:bottom w:val="single" w:sz="4" w:space="0" w:color="auto"/>
              <w:right w:val="thinThickLargeGap" w:sz="24" w:space="0" w:color="auto"/>
            </w:tcBorders>
          </w:tcPr>
          <w:p w14:paraId="12B9C251" w14:textId="0A123EE5" w:rsidR="00614737" w:rsidRPr="00614737" w:rsidRDefault="00614737" w:rsidP="00614737">
            <w:pPr>
              <w:pStyle w:val="Subtitle"/>
              <w:spacing w:line="276" w:lineRule="auto"/>
              <w:jc w:val="left"/>
              <w:rPr>
                <w:color w:val="000000" w:themeColor="text1"/>
                <w:sz w:val="24"/>
                <w:szCs w:val="24"/>
                <w:u w:val="none"/>
                <w:lang w:eastAsia="en-US"/>
              </w:rPr>
            </w:pPr>
            <w:r>
              <w:rPr>
                <w:color w:val="000000" w:themeColor="text1"/>
                <w:sz w:val="24"/>
                <w:szCs w:val="24"/>
                <w:u w:val="none"/>
                <w:lang w:eastAsia="en-US"/>
              </w:rPr>
              <w:t xml:space="preserve">A little more research so I could’ve used more references. </w:t>
            </w:r>
          </w:p>
        </w:tc>
      </w:tr>
      <w:tr w:rsidR="00614737" w14:paraId="7B55D743" w14:textId="77777777" w:rsidTr="00614737">
        <w:trPr>
          <w:cantSplit/>
        </w:trPr>
        <w:tc>
          <w:tcPr>
            <w:tcW w:w="2845" w:type="dxa"/>
            <w:gridSpan w:val="2"/>
            <w:tcBorders>
              <w:top w:val="single" w:sz="4" w:space="0" w:color="auto"/>
              <w:left w:val="thinThickLargeGap" w:sz="24" w:space="0" w:color="auto"/>
              <w:bottom w:val="single" w:sz="4" w:space="0" w:color="auto"/>
              <w:right w:val="single" w:sz="4" w:space="0" w:color="auto"/>
            </w:tcBorders>
            <w:hideMark/>
          </w:tcPr>
          <w:p w14:paraId="39E6F5C3" w14:textId="77777777" w:rsidR="00614737" w:rsidRDefault="00614737">
            <w:pPr>
              <w:ind w:left="113" w:right="113"/>
              <w:rPr>
                <w:rFonts w:ascii="Times New Roman" w:hAnsi="Times New Roman" w:cs="Times New Roman"/>
                <w:color w:val="000000" w:themeColor="text1"/>
                <w:sz w:val="16"/>
                <w:szCs w:val="16"/>
              </w:rPr>
            </w:pPr>
            <w:r>
              <w:rPr>
                <w:rFonts w:ascii="Times New Roman" w:hAnsi="Times New Roman" w:cs="Times New Roman"/>
                <w:bCs/>
                <w:color w:val="000000" w:themeColor="text1"/>
                <w:sz w:val="18"/>
                <w:szCs w:val="18"/>
              </w:rPr>
              <w:t>What have you found most satisfying whilst undertaking this submission?</w:t>
            </w:r>
          </w:p>
        </w:tc>
        <w:tc>
          <w:tcPr>
            <w:tcW w:w="8100" w:type="dxa"/>
            <w:gridSpan w:val="8"/>
            <w:tcBorders>
              <w:top w:val="single" w:sz="4" w:space="0" w:color="auto"/>
              <w:left w:val="single" w:sz="4" w:space="0" w:color="auto"/>
              <w:bottom w:val="single" w:sz="4" w:space="0" w:color="auto"/>
              <w:right w:val="thinThickLargeGap" w:sz="24" w:space="0" w:color="auto"/>
            </w:tcBorders>
          </w:tcPr>
          <w:p w14:paraId="6C6F0D15" w14:textId="71730938" w:rsidR="00614737" w:rsidRPr="00614737" w:rsidRDefault="00614737" w:rsidP="00614737">
            <w:pPr>
              <w:pStyle w:val="Subtitle"/>
              <w:spacing w:line="276" w:lineRule="auto"/>
              <w:jc w:val="left"/>
              <w:rPr>
                <w:color w:val="000000" w:themeColor="text1"/>
                <w:sz w:val="24"/>
                <w:szCs w:val="24"/>
                <w:u w:val="none"/>
                <w:lang w:eastAsia="en-US"/>
              </w:rPr>
            </w:pPr>
            <w:r>
              <w:rPr>
                <w:color w:val="000000" w:themeColor="text1"/>
                <w:sz w:val="24"/>
                <w:szCs w:val="24"/>
                <w:u w:val="none"/>
                <w:lang w:eastAsia="en-US"/>
              </w:rPr>
              <w:t xml:space="preserve">I have enjoyed finding different interventions and strategies that can be used to prevent inclusion in PE lessons. I will take on board this information for my future use. </w:t>
            </w:r>
          </w:p>
        </w:tc>
      </w:tr>
      <w:tr w:rsidR="00614737" w14:paraId="14789353" w14:textId="77777777" w:rsidTr="00614737">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27301044" w14:textId="77777777" w:rsidR="00614737" w:rsidRDefault="00614737">
            <w:pPr>
              <w:pStyle w:val="Subtitle"/>
              <w:spacing w:line="276" w:lineRule="auto"/>
              <w:jc w:val="left"/>
              <w:rPr>
                <w:b/>
                <w:bCs/>
                <w:color w:val="000000" w:themeColor="text1"/>
                <w:sz w:val="24"/>
                <w:szCs w:val="24"/>
                <w:u w:val="none"/>
                <w:lang w:eastAsia="en-US"/>
              </w:rPr>
            </w:pPr>
          </w:p>
          <w:p w14:paraId="79ECBBF8" w14:textId="77777777" w:rsidR="00614737" w:rsidRDefault="00614737">
            <w:pPr>
              <w:pStyle w:val="Subtitle"/>
              <w:spacing w:line="276" w:lineRule="auto"/>
              <w:rPr>
                <w:b/>
                <w:bCs/>
                <w:color w:val="000000" w:themeColor="text1"/>
                <w:sz w:val="24"/>
                <w:szCs w:val="24"/>
                <w:u w:val="none"/>
                <w:lang w:eastAsia="en-US"/>
              </w:rPr>
            </w:pPr>
            <w:r>
              <w:rPr>
                <w:b/>
                <w:bCs/>
                <w:color w:val="000000" w:themeColor="text1"/>
                <w:sz w:val="24"/>
                <w:szCs w:val="24"/>
                <w:u w:val="none"/>
                <w:lang w:eastAsia="en-US"/>
              </w:rPr>
              <w:t>ASSESSMENT CRITERIA</w:t>
            </w:r>
          </w:p>
        </w:tc>
        <w:tc>
          <w:tcPr>
            <w:tcW w:w="540" w:type="dxa"/>
            <w:vMerge w:val="restart"/>
            <w:tcBorders>
              <w:top w:val="single" w:sz="4" w:space="0" w:color="auto"/>
              <w:left w:val="single" w:sz="4" w:space="0" w:color="auto"/>
              <w:bottom w:val="single" w:sz="6" w:space="0" w:color="auto"/>
              <w:right w:val="single" w:sz="6" w:space="0" w:color="auto"/>
            </w:tcBorders>
            <w:textDirection w:val="btLr"/>
          </w:tcPr>
          <w:p w14:paraId="09F40CF0" w14:textId="77777777" w:rsidR="00614737" w:rsidRDefault="00614737">
            <w:pPr>
              <w:ind w:left="113" w:right="113"/>
              <w:rPr>
                <w:color w:val="000000" w:themeColor="text1"/>
                <w:sz w:val="16"/>
                <w:szCs w:val="16"/>
              </w:rPr>
            </w:pPr>
            <w:r>
              <w:rPr>
                <w:color w:val="000000" w:themeColor="text1"/>
                <w:sz w:val="16"/>
                <w:szCs w:val="16"/>
              </w:rPr>
              <w:t>Learning</w:t>
            </w:r>
          </w:p>
          <w:p w14:paraId="72A0FFC4" w14:textId="77777777" w:rsidR="00614737" w:rsidRDefault="00614737">
            <w:pPr>
              <w:ind w:left="113" w:right="113"/>
              <w:rPr>
                <w:color w:val="000000" w:themeColor="text1"/>
                <w:sz w:val="16"/>
                <w:szCs w:val="16"/>
              </w:rPr>
            </w:pPr>
            <w:r>
              <w:rPr>
                <w:color w:val="000000" w:themeColor="text1"/>
                <w:sz w:val="16"/>
                <w:szCs w:val="16"/>
              </w:rPr>
              <w:t>Outcomes</w:t>
            </w:r>
          </w:p>
          <w:p w14:paraId="25810554" w14:textId="77777777" w:rsidR="00614737" w:rsidRDefault="00614737">
            <w:pPr>
              <w:ind w:left="113" w:right="113"/>
              <w:rPr>
                <w:color w:val="000000" w:themeColor="text1"/>
                <w:sz w:val="16"/>
                <w:szCs w:val="16"/>
              </w:rPr>
            </w:pPr>
          </w:p>
          <w:p w14:paraId="61B63C8F" w14:textId="77777777" w:rsidR="00614737" w:rsidRDefault="00614737">
            <w:pPr>
              <w:pStyle w:val="Subtitle"/>
              <w:spacing w:line="276" w:lineRule="auto"/>
              <w:ind w:left="113" w:right="113"/>
              <w:rPr>
                <w:b/>
                <w:bCs/>
                <w:color w:val="000000" w:themeColor="text1"/>
                <w:sz w:val="16"/>
                <w:szCs w:val="16"/>
                <w:u w:val="none"/>
                <w:lang w:eastAsia="en-US"/>
              </w:rPr>
            </w:pPr>
          </w:p>
        </w:tc>
        <w:tc>
          <w:tcPr>
            <w:tcW w:w="8100" w:type="dxa"/>
            <w:gridSpan w:val="8"/>
            <w:tcBorders>
              <w:top w:val="single" w:sz="4" w:space="0" w:color="auto"/>
              <w:left w:val="single" w:sz="6" w:space="0" w:color="auto"/>
              <w:bottom w:val="single" w:sz="6" w:space="0" w:color="auto"/>
              <w:right w:val="thinThickLargeGap" w:sz="24" w:space="0" w:color="auto"/>
            </w:tcBorders>
            <w:hideMark/>
          </w:tcPr>
          <w:p w14:paraId="273E1A02" w14:textId="77777777" w:rsidR="00614737" w:rsidRDefault="00614737">
            <w:pPr>
              <w:pStyle w:val="Subtitle"/>
              <w:spacing w:line="276" w:lineRule="auto"/>
              <w:rPr>
                <w:b/>
                <w:bCs/>
                <w:color w:val="000000" w:themeColor="text1"/>
                <w:sz w:val="24"/>
                <w:szCs w:val="24"/>
                <w:u w:val="none"/>
                <w:lang w:eastAsia="en-US"/>
              </w:rPr>
            </w:pPr>
            <w:r>
              <w:rPr>
                <w:b/>
                <w:bCs/>
                <w:color w:val="000000" w:themeColor="text1"/>
                <w:sz w:val="24"/>
                <w:szCs w:val="24"/>
                <w:u w:val="none"/>
                <w:lang w:eastAsia="en-US"/>
              </w:rPr>
              <w:t>GRADE</w:t>
            </w:r>
          </w:p>
        </w:tc>
      </w:tr>
      <w:tr w:rsidR="00614737" w14:paraId="16BB08B2" w14:textId="77777777" w:rsidTr="00614737">
        <w:trPr>
          <w:cantSplit/>
        </w:trPr>
        <w:tc>
          <w:tcPr>
            <w:tcW w:w="10945" w:type="dxa"/>
            <w:vMerge/>
            <w:tcBorders>
              <w:top w:val="single" w:sz="4" w:space="0" w:color="auto"/>
              <w:left w:val="thinThickLargeGap" w:sz="24" w:space="0" w:color="auto"/>
              <w:bottom w:val="single" w:sz="6" w:space="0" w:color="auto"/>
              <w:right w:val="single" w:sz="4" w:space="0" w:color="auto"/>
            </w:tcBorders>
            <w:vAlign w:val="center"/>
            <w:hideMark/>
          </w:tcPr>
          <w:p w14:paraId="70B88D66" w14:textId="77777777" w:rsidR="00614737" w:rsidRDefault="00614737">
            <w:pPr>
              <w:rPr>
                <w:rFonts w:ascii="Times New Roman" w:eastAsia="MS Minngs" w:hAnsi="Times New Roman" w:cs="Times New Roman"/>
                <w:b/>
                <w:bCs/>
                <w:color w:val="000000" w:themeColor="text1"/>
                <w:sz w:val="24"/>
                <w:szCs w:val="24"/>
              </w:rPr>
            </w:pPr>
          </w:p>
        </w:tc>
        <w:tc>
          <w:tcPr>
            <w:tcW w:w="540" w:type="dxa"/>
            <w:vMerge/>
            <w:tcBorders>
              <w:top w:val="single" w:sz="4" w:space="0" w:color="auto"/>
              <w:left w:val="single" w:sz="4" w:space="0" w:color="auto"/>
              <w:bottom w:val="single" w:sz="6" w:space="0" w:color="auto"/>
              <w:right w:val="single" w:sz="6" w:space="0" w:color="auto"/>
            </w:tcBorders>
            <w:vAlign w:val="center"/>
            <w:hideMark/>
          </w:tcPr>
          <w:p w14:paraId="73156F5F" w14:textId="77777777" w:rsidR="00614737" w:rsidRDefault="00614737">
            <w:pPr>
              <w:rPr>
                <w:rFonts w:ascii="Times New Roman" w:eastAsia="MS Minngs" w:hAnsi="Times New Roman" w:cs="Times New Roman"/>
                <w:b/>
                <w:bCs/>
                <w:color w:val="000000" w:themeColor="text1"/>
                <w:sz w:val="16"/>
                <w:szCs w:val="16"/>
              </w:rPr>
            </w:pPr>
          </w:p>
        </w:tc>
        <w:tc>
          <w:tcPr>
            <w:tcW w:w="1054" w:type="dxa"/>
            <w:tcBorders>
              <w:top w:val="single" w:sz="6" w:space="0" w:color="auto"/>
              <w:left w:val="single" w:sz="6" w:space="0" w:color="auto"/>
              <w:bottom w:val="single" w:sz="4" w:space="0" w:color="auto"/>
              <w:right w:val="single" w:sz="6" w:space="0" w:color="auto"/>
            </w:tcBorders>
            <w:hideMark/>
          </w:tcPr>
          <w:p w14:paraId="185E9051" w14:textId="77777777" w:rsidR="00614737" w:rsidRDefault="00614737">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Poor</w:t>
            </w:r>
          </w:p>
          <w:p w14:paraId="7ED33030" w14:textId="77777777" w:rsidR="00614737" w:rsidRDefault="00614737">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0-25%</w:t>
            </w:r>
          </w:p>
        </w:tc>
        <w:tc>
          <w:tcPr>
            <w:tcW w:w="1054" w:type="dxa"/>
            <w:tcBorders>
              <w:top w:val="single" w:sz="6" w:space="0" w:color="auto"/>
              <w:left w:val="single" w:sz="6" w:space="0" w:color="auto"/>
              <w:bottom w:val="single" w:sz="4" w:space="0" w:color="auto"/>
              <w:right w:val="single" w:sz="6" w:space="0" w:color="auto"/>
            </w:tcBorders>
            <w:hideMark/>
          </w:tcPr>
          <w:p w14:paraId="06ECAD8F" w14:textId="77777777" w:rsidR="00614737" w:rsidRDefault="00614737">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Unsatisfactory</w:t>
            </w:r>
          </w:p>
          <w:p w14:paraId="40CAEDD6" w14:textId="77777777" w:rsidR="00614737" w:rsidRDefault="00614737">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26-39%</w:t>
            </w:r>
          </w:p>
        </w:tc>
        <w:tc>
          <w:tcPr>
            <w:tcW w:w="1054" w:type="dxa"/>
            <w:tcBorders>
              <w:top w:val="single" w:sz="6" w:space="0" w:color="auto"/>
              <w:left w:val="single" w:sz="6" w:space="0" w:color="auto"/>
              <w:bottom w:val="single" w:sz="6" w:space="0" w:color="auto"/>
              <w:right w:val="single" w:sz="6" w:space="0" w:color="auto"/>
            </w:tcBorders>
            <w:hideMark/>
          </w:tcPr>
          <w:p w14:paraId="44130EFF" w14:textId="77777777" w:rsidR="00614737" w:rsidRDefault="00614737">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Satisfactory</w:t>
            </w:r>
          </w:p>
          <w:p w14:paraId="2A3327D3" w14:textId="77777777" w:rsidR="00614737" w:rsidRDefault="00614737">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40 – 49%</w:t>
            </w:r>
          </w:p>
        </w:tc>
        <w:tc>
          <w:tcPr>
            <w:tcW w:w="1055" w:type="dxa"/>
            <w:tcBorders>
              <w:top w:val="single" w:sz="6" w:space="0" w:color="auto"/>
              <w:left w:val="single" w:sz="6" w:space="0" w:color="auto"/>
              <w:bottom w:val="single" w:sz="6" w:space="0" w:color="auto"/>
              <w:right w:val="single" w:sz="6" w:space="0" w:color="auto"/>
            </w:tcBorders>
            <w:hideMark/>
          </w:tcPr>
          <w:p w14:paraId="078BA5AB" w14:textId="77777777" w:rsidR="00614737" w:rsidRDefault="00614737">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Good</w:t>
            </w:r>
          </w:p>
          <w:p w14:paraId="135F46B3" w14:textId="77777777" w:rsidR="00614737" w:rsidRDefault="00614737">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50 – 59%</w:t>
            </w:r>
          </w:p>
        </w:tc>
        <w:tc>
          <w:tcPr>
            <w:tcW w:w="1054" w:type="dxa"/>
            <w:tcBorders>
              <w:top w:val="single" w:sz="6" w:space="0" w:color="auto"/>
              <w:left w:val="single" w:sz="6" w:space="0" w:color="auto"/>
              <w:bottom w:val="single" w:sz="6" w:space="0" w:color="auto"/>
              <w:right w:val="single" w:sz="6" w:space="0" w:color="auto"/>
            </w:tcBorders>
            <w:hideMark/>
          </w:tcPr>
          <w:p w14:paraId="4927EFA2" w14:textId="77777777" w:rsidR="00614737" w:rsidRDefault="00614737">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Very Good</w:t>
            </w:r>
          </w:p>
          <w:p w14:paraId="1C20F2F2" w14:textId="77777777" w:rsidR="00614737" w:rsidRDefault="00614737">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60 – 69%</w:t>
            </w:r>
          </w:p>
        </w:tc>
        <w:tc>
          <w:tcPr>
            <w:tcW w:w="1054" w:type="dxa"/>
            <w:tcBorders>
              <w:top w:val="single" w:sz="6" w:space="0" w:color="auto"/>
              <w:left w:val="single" w:sz="6" w:space="0" w:color="auto"/>
              <w:bottom w:val="single" w:sz="4" w:space="0" w:color="auto"/>
              <w:right w:val="single" w:sz="6" w:space="0" w:color="auto"/>
            </w:tcBorders>
            <w:hideMark/>
          </w:tcPr>
          <w:p w14:paraId="3714E044" w14:textId="77777777" w:rsidR="00614737" w:rsidRDefault="00614737">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Excellent</w:t>
            </w:r>
          </w:p>
          <w:p w14:paraId="36EC6CF1" w14:textId="77777777" w:rsidR="00614737" w:rsidRDefault="00614737">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70 – 85%</w:t>
            </w:r>
          </w:p>
        </w:tc>
        <w:tc>
          <w:tcPr>
            <w:tcW w:w="1055" w:type="dxa"/>
            <w:tcBorders>
              <w:top w:val="single" w:sz="6" w:space="0" w:color="auto"/>
              <w:left w:val="single" w:sz="6" w:space="0" w:color="auto"/>
              <w:bottom w:val="single" w:sz="4" w:space="0" w:color="auto"/>
              <w:right w:val="single" w:sz="6" w:space="0" w:color="auto"/>
            </w:tcBorders>
            <w:hideMark/>
          </w:tcPr>
          <w:p w14:paraId="271C2408" w14:textId="77777777" w:rsidR="00614737" w:rsidRDefault="00614737">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Exceptional</w:t>
            </w:r>
          </w:p>
          <w:p w14:paraId="7D9F0F82" w14:textId="77777777" w:rsidR="00614737" w:rsidRDefault="00614737">
            <w:pPr>
              <w:pStyle w:val="Subtitle"/>
              <w:spacing w:line="276" w:lineRule="auto"/>
              <w:rPr>
                <w:b/>
                <w:bCs/>
                <w:color w:val="000000" w:themeColor="text1"/>
                <w:sz w:val="16"/>
                <w:szCs w:val="16"/>
                <w:u w:val="none"/>
                <w:lang w:eastAsia="en-US"/>
              </w:rPr>
            </w:pPr>
            <w:r>
              <w:rPr>
                <w:b/>
                <w:bCs/>
                <w:color w:val="000000" w:themeColor="text1"/>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14:paraId="5A22EECD" w14:textId="77777777" w:rsidR="00614737" w:rsidRDefault="00614737">
            <w:pPr>
              <w:pStyle w:val="Subtitle"/>
              <w:spacing w:line="276" w:lineRule="auto"/>
              <w:jc w:val="left"/>
              <w:rPr>
                <w:b/>
                <w:bCs/>
                <w:color w:val="000000" w:themeColor="text1"/>
                <w:sz w:val="18"/>
                <w:szCs w:val="18"/>
                <w:u w:val="none"/>
                <w:lang w:eastAsia="en-US"/>
              </w:rPr>
            </w:pPr>
          </w:p>
          <w:p w14:paraId="093022FD" w14:textId="77777777" w:rsidR="00614737" w:rsidRDefault="00614737">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 xml:space="preserve">  %</w:t>
            </w:r>
          </w:p>
        </w:tc>
      </w:tr>
      <w:tr w:rsidR="00614737" w14:paraId="3A2DBDD2" w14:textId="77777777" w:rsidTr="00614737">
        <w:tc>
          <w:tcPr>
            <w:tcW w:w="2305" w:type="dxa"/>
            <w:tcBorders>
              <w:top w:val="single" w:sz="6" w:space="0" w:color="auto"/>
              <w:left w:val="thinThickLargeGap" w:sz="24" w:space="0" w:color="auto"/>
              <w:bottom w:val="single" w:sz="6" w:space="0" w:color="auto"/>
              <w:right w:val="single" w:sz="4" w:space="0" w:color="auto"/>
            </w:tcBorders>
            <w:hideMark/>
          </w:tcPr>
          <w:p w14:paraId="204964C4" w14:textId="77777777" w:rsidR="00614737" w:rsidRDefault="00614737">
            <w:pPr>
              <w:pStyle w:val="Subtitle"/>
              <w:spacing w:line="276" w:lineRule="auto"/>
              <w:jc w:val="left"/>
              <w:rPr>
                <w:color w:val="000000" w:themeColor="text1"/>
                <w:sz w:val="18"/>
                <w:szCs w:val="18"/>
                <w:u w:val="none"/>
                <w:lang w:eastAsia="en-US"/>
              </w:rPr>
            </w:pPr>
            <w:r>
              <w:rPr>
                <w:color w:val="000000" w:themeColor="text1"/>
                <w:sz w:val="18"/>
                <w:szCs w:val="18"/>
                <w:u w:val="none"/>
                <w:lang w:eastAsia="en-US"/>
              </w:rPr>
              <w:t>Demonstrate a critical understanding of the nature of inclusion in Physical Education and Youth Sport</w:t>
            </w:r>
          </w:p>
        </w:tc>
        <w:tc>
          <w:tcPr>
            <w:tcW w:w="540" w:type="dxa"/>
            <w:tcBorders>
              <w:top w:val="single" w:sz="6" w:space="0" w:color="auto"/>
              <w:left w:val="single" w:sz="4" w:space="0" w:color="auto"/>
              <w:bottom w:val="single" w:sz="6" w:space="0" w:color="auto"/>
              <w:right w:val="single" w:sz="6" w:space="0" w:color="auto"/>
            </w:tcBorders>
            <w:hideMark/>
          </w:tcPr>
          <w:p w14:paraId="3AAB6D59" w14:textId="77777777" w:rsidR="00614737" w:rsidRDefault="00614737">
            <w:pPr>
              <w:pStyle w:val="Subtitle"/>
              <w:spacing w:line="276" w:lineRule="auto"/>
              <w:rPr>
                <w:b/>
                <w:bCs/>
                <w:color w:val="000000" w:themeColor="text1"/>
                <w:sz w:val="18"/>
                <w:szCs w:val="18"/>
                <w:u w:val="none"/>
                <w:lang w:eastAsia="en-US"/>
              </w:rPr>
            </w:pPr>
            <w:r>
              <w:rPr>
                <w:b/>
                <w:bCs/>
                <w:color w:val="000000" w:themeColor="text1"/>
                <w:sz w:val="18"/>
                <w:szCs w:val="18"/>
                <w:u w:val="none"/>
                <w:lang w:eastAsia="en-US"/>
              </w:rPr>
              <w:t>1, 2</w:t>
            </w:r>
          </w:p>
        </w:tc>
        <w:tc>
          <w:tcPr>
            <w:tcW w:w="1054" w:type="dxa"/>
            <w:tcBorders>
              <w:top w:val="single" w:sz="4" w:space="0" w:color="auto"/>
              <w:left w:val="single" w:sz="6" w:space="0" w:color="auto"/>
              <w:bottom w:val="single" w:sz="4" w:space="0" w:color="auto"/>
              <w:right w:val="single" w:sz="6" w:space="0" w:color="auto"/>
            </w:tcBorders>
          </w:tcPr>
          <w:p w14:paraId="5D8EC75F" w14:textId="77777777" w:rsidR="00614737" w:rsidRDefault="00614737">
            <w:pPr>
              <w:pStyle w:val="Subtitle"/>
              <w:spacing w:line="276" w:lineRule="auto"/>
              <w:rPr>
                <w:color w:val="000000" w:themeColor="text1"/>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498371C3" w14:textId="77777777" w:rsidR="00614737" w:rsidRDefault="00614737">
            <w:pPr>
              <w:pStyle w:val="Subtitle"/>
              <w:spacing w:line="276" w:lineRule="auto"/>
              <w:rPr>
                <w:color w:val="000000" w:themeColor="text1"/>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52B00F0B" w14:textId="77777777" w:rsidR="00614737" w:rsidRDefault="00614737">
            <w:pPr>
              <w:pStyle w:val="Subtitle"/>
              <w:spacing w:line="276" w:lineRule="auto"/>
              <w:rPr>
                <w:color w:val="000000" w:themeColor="text1"/>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473E0498" w14:textId="77777777" w:rsidR="00614737" w:rsidRDefault="00614737">
            <w:pPr>
              <w:pStyle w:val="Subtitle"/>
              <w:spacing w:line="276" w:lineRule="auto"/>
              <w:rPr>
                <w:color w:val="000000" w:themeColor="text1"/>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31430EC4" w14:textId="77777777" w:rsidR="00614737" w:rsidRDefault="00614737">
            <w:pPr>
              <w:pStyle w:val="Subtitle"/>
              <w:spacing w:line="276" w:lineRule="auto"/>
              <w:jc w:val="right"/>
              <w:rPr>
                <w:color w:val="000000" w:themeColor="text1"/>
                <w:sz w:val="24"/>
                <w:szCs w:val="24"/>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749A3CFB" w14:textId="77777777" w:rsidR="00614737" w:rsidRDefault="00614737">
            <w:pPr>
              <w:pStyle w:val="Subtitle"/>
              <w:spacing w:line="276" w:lineRule="auto"/>
              <w:rPr>
                <w:color w:val="000000" w:themeColor="text1"/>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5C2269D6" w14:textId="77777777" w:rsidR="00614737" w:rsidRDefault="00614737">
            <w:pPr>
              <w:pStyle w:val="Subtitle"/>
              <w:spacing w:line="276" w:lineRule="auto"/>
              <w:rPr>
                <w:color w:val="000000" w:themeColor="text1"/>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F430BF0" w14:textId="77777777" w:rsidR="00614737" w:rsidRDefault="00614737">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50%</w:t>
            </w:r>
          </w:p>
        </w:tc>
      </w:tr>
      <w:tr w:rsidR="00614737" w14:paraId="17747BC0" w14:textId="77777777" w:rsidTr="00614737">
        <w:tc>
          <w:tcPr>
            <w:tcW w:w="2305" w:type="dxa"/>
            <w:tcBorders>
              <w:top w:val="single" w:sz="6" w:space="0" w:color="auto"/>
              <w:left w:val="thinThickLargeGap" w:sz="24" w:space="0" w:color="auto"/>
              <w:bottom w:val="single" w:sz="6" w:space="0" w:color="auto"/>
              <w:right w:val="single" w:sz="4" w:space="0" w:color="auto"/>
            </w:tcBorders>
            <w:hideMark/>
          </w:tcPr>
          <w:p w14:paraId="07D7EDA5" w14:textId="77777777" w:rsidR="00614737" w:rsidRDefault="00614737">
            <w:pPr>
              <w:pStyle w:val="Subtitle"/>
              <w:spacing w:line="276" w:lineRule="auto"/>
              <w:jc w:val="left"/>
              <w:rPr>
                <w:color w:val="000000" w:themeColor="text1"/>
                <w:sz w:val="18"/>
                <w:szCs w:val="18"/>
                <w:u w:val="none"/>
                <w:lang w:eastAsia="en-US"/>
              </w:rPr>
            </w:pPr>
            <w:r>
              <w:rPr>
                <w:color w:val="000000" w:themeColor="text1"/>
                <w:sz w:val="18"/>
                <w:szCs w:val="18"/>
                <w:u w:val="none"/>
                <w:lang w:eastAsia="en-US"/>
              </w:rPr>
              <w:t>Analyse strategies of inclusive practice in Physical Education and Youth Sport</w:t>
            </w:r>
          </w:p>
        </w:tc>
        <w:tc>
          <w:tcPr>
            <w:tcW w:w="540" w:type="dxa"/>
            <w:tcBorders>
              <w:top w:val="single" w:sz="6" w:space="0" w:color="auto"/>
              <w:left w:val="single" w:sz="4" w:space="0" w:color="auto"/>
              <w:bottom w:val="single" w:sz="6" w:space="0" w:color="auto"/>
              <w:right w:val="single" w:sz="6" w:space="0" w:color="auto"/>
            </w:tcBorders>
            <w:hideMark/>
          </w:tcPr>
          <w:p w14:paraId="01C489F1" w14:textId="77777777" w:rsidR="00614737" w:rsidRDefault="00614737">
            <w:pPr>
              <w:pStyle w:val="Subtitle"/>
              <w:spacing w:line="276" w:lineRule="auto"/>
              <w:rPr>
                <w:b/>
                <w:bCs/>
                <w:color w:val="000000" w:themeColor="text1"/>
                <w:sz w:val="18"/>
                <w:szCs w:val="18"/>
                <w:u w:val="none"/>
                <w:lang w:eastAsia="en-US"/>
              </w:rPr>
            </w:pPr>
            <w:r>
              <w:rPr>
                <w:b/>
                <w:bCs/>
                <w:color w:val="000000" w:themeColor="text1"/>
                <w:sz w:val="18"/>
                <w:szCs w:val="18"/>
                <w:u w:val="none"/>
                <w:lang w:eastAsia="en-US"/>
              </w:rPr>
              <w:t>2,3</w:t>
            </w:r>
          </w:p>
        </w:tc>
        <w:tc>
          <w:tcPr>
            <w:tcW w:w="1054" w:type="dxa"/>
            <w:tcBorders>
              <w:top w:val="single" w:sz="4" w:space="0" w:color="auto"/>
              <w:left w:val="single" w:sz="6" w:space="0" w:color="auto"/>
              <w:bottom w:val="single" w:sz="4" w:space="0" w:color="auto"/>
              <w:right w:val="single" w:sz="6" w:space="0" w:color="auto"/>
            </w:tcBorders>
          </w:tcPr>
          <w:p w14:paraId="6BECA276" w14:textId="77777777" w:rsidR="00614737" w:rsidRDefault="00614737">
            <w:pPr>
              <w:pStyle w:val="Subtitle"/>
              <w:spacing w:line="276" w:lineRule="auto"/>
              <w:rPr>
                <w:color w:val="000000" w:themeColor="text1"/>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702186BF" w14:textId="77777777" w:rsidR="00614737" w:rsidRDefault="00614737">
            <w:pPr>
              <w:pStyle w:val="Subtitle"/>
              <w:spacing w:line="276" w:lineRule="auto"/>
              <w:rPr>
                <w:color w:val="000000" w:themeColor="text1"/>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513B444C" w14:textId="77777777" w:rsidR="00614737" w:rsidRDefault="00614737">
            <w:pPr>
              <w:pStyle w:val="Subtitle"/>
              <w:spacing w:line="276" w:lineRule="auto"/>
              <w:jc w:val="left"/>
              <w:rPr>
                <w:color w:val="000000" w:themeColor="text1"/>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69B7FBA3" w14:textId="77777777" w:rsidR="00614737" w:rsidRDefault="00614737">
            <w:pPr>
              <w:pStyle w:val="Subtitle"/>
              <w:spacing w:line="276" w:lineRule="auto"/>
              <w:jc w:val="left"/>
              <w:rPr>
                <w:color w:val="000000" w:themeColor="text1"/>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523D88DC" w14:textId="77777777" w:rsidR="00614737" w:rsidRDefault="00614737">
            <w:pPr>
              <w:rPr>
                <w:color w:val="000000" w:themeColor="text1"/>
              </w:rPr>
            </w:pPr>
          </w:p>
        </w:tc>
        <w:tc>
          <w:tcPr>
            <w:tcW w:w="1054" w:type="dxa"/>
            <w:tcBorders>
              <w:top w:val="single" w:sz="4" w:space="0" w:color="auto"/>
              <w:left w:val="single" w:sz="6" w:space="0" w:color="auto"/>
              <w:bottom w:val="single" w:sz="4" w:space="0" w:color="auto"/>
              <w:right w:val="single" w:sz="6" w:space="0" w:color="auto"/>
            </w:tcBorders>
          </w:tcPr>
          <w:p w14:paraId="1DB8484D" w14:textId="77777777" w:rsidR="00614737" w:rsidRDefault="00614737">
            <w:pPr>
              <w:pStyle w:val="Subtitle"/>
              <w:spacing w:line="276" w:lineRule="auto"/>
              <w:rPr>
                <w:color w:val="000000" w:themeColor="text1"/>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41BA666C" w14:textId="77777777" w:rsidR="00614737" w:rsidRDefault="00614737">
            <w:pPr>
              <w:pStyle w:val="Subtitle"/>
              <w:spacing w:line="276" w:lineRule="auto"/>
              <w:rPr>
                <w:color w:val="000000" w:themeColor="text1"/>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6F81CC5" w14:textId="77777777" w:rsidR="00614737" w:rsidRDefault="00614737">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20%</w:t>
            </w:r>
          </w:p>
        </w:tc>
      </w:tr>
      <w:tr w:rsidR="00614737" w14:paraId="2C546C65" w14:textId="77777777" w:rsidTr="00614737">
        <w:tc>
          <w:tcPr>
            <w:tcW w:w="2305" w:type="dxa"/>
            <w:tcBorders>
              <w:top w:val="single" w:sz="6" w:space="0" w:color="auto"/>
              <w:left w:val="thinThickLargeGap" w:sz="24" w:space="0" w:color="auto"/>
              <w:bottom w:val="single" w:sz="6" w:space="0" w:color="auto"/>
              <w:right w:val="single" w:sz="4" w:space="0" w:color="auto"/>
            </w:tcBorders>
            <w:hideMark/>
          </w:tcPr>
          <w:p w14:paraId="6ABC217B" w14:textId="77777777" w:rsidR="00614737" w:rsidRDefault="00614737">
            <w:pPr>
              <w:pStyle w:val="Subtitle"/>
              <w:spacing w:line="276" w:lineRule="auto"/>
              <w:ind w:left="-15"/>
              <w:jc w:val="left"/>
              <w:rPr>
                <w:color w:val="000000" w:themeColor="text1"/>
                <w:sz w:val="18"/>
                <w:szCs w:val="18"/>
                <w:u w:val="none"/>
                <w:lang w:eastAsia="en-US"/>
              </w:rPr>
            </w:pPr>
            <w:r>
              <w:rPr>
                <w:color w:val="000000" w:themeColor="text1"/>
                <w:sz w:val="18"/>
                <w:szCs w:val="18"/>
                <w:u w:val="none"/>
                <w:lang w:eastAsia="en-US"/>
              </w:rPr>
              <w:t>Reflect on your future teaching practice in a range of contexts in Physical Education and Youth Sport</w:t>
            </w:r>
          </w:p>
        </w:tc>
        <w:tc>
          <w:tcPr>
            <w:tcW w:w="540" w:type="dxa"/>
            <w:tcBorders>
              <w:top w:val="single" w:sz="6" w:space="0" w:color="auto"/>
              <w:left w:val="single" w:sz="4" w:space="0" w:color="auto"/>
              <w:bottom w:val="single" w:sz="6" w:space="0" w:color="auto"/>
              <w:right w:val="single" w:sz="6" w:space="0" w:color="auto"/>
            </w:tcBorders>
          </w:tcPr>
          <w:p w14:paraId="4E5D5662" w14:textId="77777777" w:rsidR="00614737" w:rsidRDefault="00614737">
            <w:pPr>
              <w:pStyle w:val="Subtitle"/>
              <w:spacing w:line="276" w:lineRule="auto"/>
              <w:rPr>
                <w:b/>
                <w:bCs/>
                <w:color w:val="000000" w:themeColor="text1"/>
                <w:sz w:val="18"/>
                <w:szCs w:val="18"/>
                <w:u w:val="none"/>
                <w:lang w:eastAsia="en-US"/>
              </w:rPr>
            </w:pPr>
          </w:p>
          <w:p w14:paraId="6DC7BA40" w14:textId="77777777" w:rsidR="00614737" w:rsidRDefault="00614737">
            <w:pPr>
              <w:pStyle w:val="Subtitle"/>
              <w:spacing w:line="276" w:lineRule="auto"/>
              <w:rPr>
                <w:b/>
                <w:bCs/>
                <w:color w:val="000000" w:themeColor="text1"/>
                <w:sz w:val="18"/>
                <w:szCs w:val="18"/>
                <w:u w:val="none"/>
                <w:lang w:eastAsia="en-US"/>
              </w:rPr>
            </w:pPr>
            <w:r>
              <w:rPr>
                <w:b/>
                <w:bCs/>
                <w:color w:val="000000" w:themeColor="text1"/>
                <w:sz w:val="18"/>
                <w:szCs w:val="18"/>
                <w:u w:val="none"/>
                <w:lang w:eastAsia="en-US"/>
              </w:rPr>
              <w:t>1,2,3</w:t>
            </w:r>
          </w:p>
        </w:tc>
        <w:tc>
          <w:tcPr>
            <w:tcW w:w="1054" w:type="dxa"/>
            <w:tcBorders>
              <w:top w:val="single" w:sz="4" w:space="0" w:color="auto"/>
              <w:left w:val="single" w:sz="6" w:space="0" w:color="auto"/>
              <w:bottom w:val="single" w:sz="4" w:space="0" w:color="auto"/>
              <w:right w:val="single" w:sz="6" w:space="0" w:color="auto"/>
            </w:tcBorders>
          </w:tcPr>
          <w:p w14:paraId="2241227C" w14:textId="77777777" w:rsidR="00614737" w:rsidRDefault="00614737">
            <w:pPr>
              <w:pStyle w:val="Subtitle"/>
              <w:spacing w:line="276" w:lineRule="auto"/>
              <w:rPr>
                <w:color w:val="000000" w:themeColor="text1"/>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37D4C4FE" w14:textId="77777777" w:rsidR="00614737" w:rsidRDefault="00614737">
            <w:pPr>
              <w:pStyle w:val="Subtitle"/>
              <w:spacing w:line="276" w:lineRule="auto"/>
              <w:rPr>
                <w:color w:val="000000" w:themeColor="text1"/>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789604DC" w14:textId="77777777" w:rsidR="00614737" w:rsidRDefault="00614737">
            <w:pPr>
              <w:pStyle w:val="Subtitle"/>
              <w:spacing w:line="276" w:lineRule="auto"/>
              <w:jc w:val="right"/>
              <w:rPr>
                <w:color w:val="000000" w:themeColor="text1"/>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2E455BCB" w14:textId="77777777" w:rsidR="00614737" w:rsidRDefault="00614737">
            <w:pPr>
              <w:pStyle w:val="Subtitle"/>
              <w:spacing w:line="276" w:lineRule="auto"/>
              <w:jc w:val="right"/>
              <w:rPr>
                <w:color w:val="000000" w:themeColor="text1"/>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35DF3591" w14:textId="77777777" w:rsidR="00614737" w:rsidRDefault="00614737">
            <w:pPr>
              <w:pStyle w:val="Subtitle"/>
              <w:spacing w:line="276" w:lineRule="auto"/>
              <w:ind w:firstLine="281"/>
              <w:jc w:val="right"/>
              <w:rPr>
                <w:color w:val="000000" w:themeColor="text1"/>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4F16C5B4" w14:textId="77777777" w:rsidR="00614737" w:rsidRDefault="00614737">
            <w:pPr>
              <w:pStyle w:val="Subtitle"/>
              <w:spacing w:line="276" w:lineRule="auto"/>
              <w:rPr>
                <w:color w:val="000000" w:themeColor="text1"/>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37AB75EA" w14:textId="77777777" w:rsidR="00614737" w:rsidRDefault="00614737">
            <w:pPr>
              <w:pStyle w:val="Subtitle"/>
              <w:spacing w:line="276" w:lineRule="auto"/>
              <w:rPr>
                <w:color w:val="000000" w:themeColor="text1"/>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7D75E96" w14:textId="77777777" w:rsidR="00614737" w:rsidRDefault="00614737">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20%</w:t>
            </w:r>
          </w:p>
        </w:tc>
      </w:tr>
      <w:tr w:rsidR="00614737" w14:paraId="415334E5" w14:textId="77777777" w:rsidTr="00614737">
        <w:tc>
          <w:tcPr>
            <w:tcW w:w="2305" w:type="dxa"/>
            <w:tcBorders>
              <w:top w:val="single" w:sz="6" w:space="0" w:color="auto"/>
              <w:left w:val="thinThickLargeGap" w:sz="24" w:space="0" w:color="auto"/>
              <w:bottom w:val="single" w:sz="4" w:space="0" w:color="auto"/>
              <w:right w:val="single" w:sz="4" w:space="0" w:color="auto"/>
            </w:tcBorders>
            <w:hideMark/>
          </w:tcPr>
          <w:p w14:paraId="3DCF389B" w14:textId="77777777" w:rsidR="00614737" w:rsidRDefault="00614737">
            <w:pPr>
              <w:pStyle w:val="Subtitle"/>
              <w:spacing w:line="276" w:lineRule="auto"/>
              <w:ind w:left="-15"/>
              <w:jc w:val="left"/>
              <w:rPr>
                <w:color w:val="000000" w:themeColor="text1"/>
                <w:sz w:val="18"/>
                <w:szCs w:val="18"/>
                <w:u w:val="none"/>
                <w:lang w:eastAsia="en-US"/>
              </w:rPr>
            </w:pPr>
            <w:r>
              <w:rPr>
                <w:color w:val="000000" w:themeColor="text1"/>
                <w:sz w:val="18"/>
                <w:szCs w:val="18"/>
                <w:u w:val="none"/>
                <w:lang w:eastAsia="en-US"/>
              </w:rPr>
              <w:t>Academic writing (breath of resources used, referencing, quality and readability of writing)</w:t>
            </w:r>
          </w:p>
        </w:tc>
        <w:tc>
          <w:tcPr>
            <w:tcW w:w="540" w:type="dxa"/>
            <w:tcBorders>
              <w:top w:val="single" w:sz="6" w:space="0" w:color="auto"/>
              <w:left w:val="single" w:sz="4" w:space="0" w:color="auto"/>
              <w:bottom w:val="single" w:sz="4" w:space="0" w:color="auto"/>
              <w:right w:val="single" w:sz="6" w:space="0" w:color="auto"/>
            </w:tcBorders>
          </w:tcPr>
          <w:p w14:paraId="51BB6AF3" w14:textId="77777777" w:rsidR="00614737" w:rsidRDefault="00614737">
            <w:pPr>
              <w:pStyle w:val="Subtitle"/>
              <w:spacing w:line="276" w:lineRule="auto"/>
              <w:rPr>
                <w:b/>
                <w:bCs/>
                <w:color w:val="000000" w:themeColor="text1"/>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1E02C18C" w14:textId="77777777" w:rsidR="00614737" w:rsidRDefault="00614737">
            <w:pPr>
              <w:pStyle w:val="Subtitle"/>
              <w:spacing w:line="276" w:lineRule="auto"/>
              <w:rPr>
                <w:color w:val="000000" w:themeColor="text1"/>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6AC7E675" w14:textId="77777777" w:rsidR="00614737" w:rsidRDefault="00614737">
            <w:pPr>
              <w:pStyle w:val="Subtitle"/>
              <w:spacing w:line="276" w:lineRule="auto"/>
              <w:rPr>
                <w:color w:val="000000" w:themeColor="text1"/>
                <w:sz w:val="18"/>
                <w:szCs w:val="18"/>
                <w:u w:val="none"/>
                <w:lang w:eastAsia="en-US"/>
              </w:rPr>
            </w:pPr>
          </w:p>
        </w:tc>
        <w:tc>
          <w:tcPr>
            <w:tcW w:w="1054" w:type="dxa"/>
            <w:tcBorders>
              <w:top w:val="single" w:sz="6" w:space="0" w:color="auto"/>
              <w:left w:val="single" w:sz="6" w:space="0" w:color="auto"/>
              <w:bottom w:val="single" w:sz="4" w:space="0" w:color="auto"/>
              <w:right w:val="single" w:sz="6" w:space="0" w:color="auto"/>
            </w:tcBorders>
          </w:tcPr>
          <w:p w14:paraId="11E1051A" w14:textId="77777777" w:rsidR="00614737" w:rsidRDefault="00614737">
            <w:pPr>
              <w:pStyle w:val="Subtitle"/>
              <w:spacing w:line="276" w:lineRule="auto"/>
              <w:jc w:val="right"/>
              <w:rPr>
                <w:color w:val="000000" w:themeColor="text1"/>
                <w:sz w:val="18"/>
                <w:szCs w:val="18"/>
                <w:u w:val="none"/>
                <w:lang w:eastAsia="en-US"/>
              </w:rPr>
            </w:pPr>
          </w:p>
        </w:tc>
        <w:tc>
          <w:tcPr>
            <w:tcW w:w="1055" w:type="dxa"/>
            <w:tcBorders>
              <w:top w:val="single" w:sz="6" w:space="0" w:color="auto"/>
              <w:left w:val="single" w:sz="6" w:space="0" w:color="auto"/>
              <w:bottom w:val="single" w:sz="4" w:space="0" w:color="auto"/>
              <w:right w:val="single" w:sz="6" w:space="0" w:color="auto"/>
            </w:tcBorders>
          </w:tcPr>
          <w:p w14:paraId="008D6DD2" w14:textId="77777777" w:rsidR="00614737" w:rsidRDefault="00614737">
            <w:pPr>
              <w:pStyle w:val="Subtitle"/>
              <w:spacing w:line="276" w:lineRule="auto"/>
              <w:jc w:val="right"/>
              <w:rPr>
                <w:color w:val="000000" w:themeColor="text1"/>
                <w:sz w:val="18"/>
                <w:szCs w:val="18"/>
                <w:u w:val="none"/>
                <w:lang w:eastAsia="en-US"/>
              </w:rPr>
            </w:pPr>
          </w:p>
        </w:tc>
        <w:tc>
          <w:tcPr>
            <w:tcW w:w="1054" w:type="dxa"/>
            <w:tcBorders>
              <w:top w:val="single" w:sz="6" w:space="0" w:color="auto"/>
              <w:left w:val="single" w:sz="6" w:space="0" w:color="auto"/>
              <w:bottom w:val="single" w:sz="4" w:space="0" w:color="auto"/>
              <w:right w:val="single" w:sz="6" w:space="0" w:color="auto"/>
            </w:tcBorders>
          </w:tcPr>
          <w:p w14:paraId="4CBACDAE" w14:textId="77777777" w:rsidR="00614737" w:rsidRDefault="00614737">
            <w:pPr>
              <w:pStyle w:val="Subtitle"/>
              <w:spacing w:line="276" w:lineRule="auto"/>
              <w:ind w:firstLine="281"/>
              <w:jc w:val="right"/>
              <w:rPr>
                <w:color w:val="000000" w:themeColor="text1"/>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3571757D" w14:textId="77777777" w:rsidR="00614737" w:rsidRDefault="00614737">
            <w:pPr>
              <w:pStyle w:val="Subtitle"/>
              <w:spacing w:line="276" w:lineRule="auto"/>
              <w:rPr>
                <w:color w:val="000000" w:themeColor="text1"/>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5CB50337" w14:textId="77777777" w:rsidR="00614737" w:rsidRDefault="00614737">
            <w:pPr>
              <w:pStyle w:val="Subtitle"/>
              <w:spacing w:line="276" w:lineRule="auto"/>
              <w:rPr>
                <w:color w:val="000000" w:themeColor="text1"/>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274947C6" w14:textId="77777777" w:rsidR="00614737" w:rsidRDefault="00614737">
            <w:pPr>
              <w:pStyle w:val="Subtitle"/>
              <w:spacing w:line="276" w:lineRule="auto"/>
              <w:jc w:val="left"/>
              <w:rPr>
                <w:b/>
                <w:bCs/>
                <w:color w:val="000000" w:themeColor="text1"/>
                <w:sz w:val="18"/>
                <w:szCs w:val="18"/>
                <w:u w:val="none"/>
                <w:lang w:eastAsia="en-US"/>
              </w:rPr>
            </w:pPr>
            <w:r>
              <w:rPr>
                <w:b/>
                <w:bCs/>
                <w:color w:val="000000" w:themeColor="text1"/>
                <w:sz w:val="18"/>
                <w:szCs w:val="18"/>
                <w:u w:val="none"/>
                <w:lang w:eastAsia="en-US"/>
              </w:rPr>
              <w:t>10%</w:t>
            </w:r>
          </w:p>
        </w:tc>
      </w:tr>
      <w:tr w:rsidR="00614737" w14:paraId="37622C05" w14:textId="77777777" w:rsidTr="00614737">
        <w:trPr>
          <w:cantSplit/>
          <w:trHeight w:val="282"/>
        </w:trPr>
        <w:tc>
          <w:tcPr>
            <w:tcW w:w="10225" w:type="dxa"/>
            <w:gridSpan w:val="9"/>
            <w:tcBorders>
              <w:top w:val="single" w:sz="4" w:space="0" w:color="auto"/>
              <w:left w:val="thinThickLargeGap" w:sz="24" w:space="0" w:color="auto"/>
              <w:bottom w:val="single" w:sz="4" w:space="0" w:color="auto"/>
              <w:right w:val="single" w:sz="4" w:space="0" w:color="auto"/>
            </w:tcBorders>
            <w:hideMark/>
          </w:tcPr>
          <w:p w14:paraId="30211759" w14:textId="77777777" w:rsidR="00614737" w:rsidRDefault="00614737">
            <w:pPr>
              <w:pStyle w:val="Subtitle"/>
              <w:spacing w:line="276" w:lineRule="auto"/>
              <w:jc w:val="left"/>
              <w:rPr>
                <w:b/>
                <w:bCs/>
                <w:color w:val="000000" w:themeColor="text1"/>
                <w:sz w:val="24"/>
                <w:szCs w:val="24"/>
                <w:u w:val="none"/>
                <w:lang w:eastAsia="en-US"/>
              </w:rPr>
            </w:pPr>
            <w:r>
              <w:rPr>
                <w:color w:val="000000" w:themeColor="text1"/>
                <w:sz w:val="18"/>
                <w:szCs w:val="18"/>
                <w:u w:val="none"/>
                <w:lang w:eastAsia="en-US"/>
              </w:rPr>
              <w:t xml:space="preserve">It is expected that students will present work that is proof read, correctly referenced and adheres to the </w:t>
            </w:r>
            <w:r>
              <w:rPr>
                <w:b/>
                <w:color w:val="000000" w:themeColor="text1"/>
                <w:sz w:val="18"/>
                <w:szCs w:val="18"/>
                <w:u w:val="none"/>
                <w:lang w:eastAsia="en-US"/>
              </w:rPr>
              <w:t>Assessment Checklist.</w:t>
            </w:r>
            <w:r>
              <w:rPr>
                <w:color w:val="000000" w:themeColor="text1"/>
                <w:sz w:val="18"/>
                <w:szCs w:val="18"/>
                <w:u w:val="none"/>
                <w:lang w:eastAsia="en-US"/>
              </w:rPr>
              <w:t xml:space="preserve"> Therefore a range of 0 – 10 marks will be deducted for non-completion of any of the points on the </w:t>
            </w:r>
            <w:r>
              <w:rPr>
                <w:b/>
                <w:color w:val="000000" w:themeColor="text1"/>
                <w:sz w:val="18"/>
                <w:szCs w:val="18"/>
                <w:u w:val="none"/>
                <w:lang w:eastAsia="en-US"/>
              </w:rPr>
              <w:t>checklist below</w:t>
            </w:r>
            <w:r>
              <w:rPr>
                <w:color w:val="000000" w:themeColor="text1"/>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0089893A" w14:textId="77777777" w:rsidR="00614737" w:rsidRDefault="00614737">
            <w:pPr>
              <w:pStyle w:val="Subtitle"/>
              <w:spacing w:line="276" w:lineRule="auto"/>
              <w:jc w:val="left"/>
              <w:rPr>
                <w:b/>
                <w:bCs/>
                <w:color w:val="000000" w:themeColor="text1"/>
                <w:sz w:val="24"/>
                <w:szCs w:val="24"/>
                <w:u w:val="none"/>
                <w:lang w:eastAsia="en-US"/>
              </w:rPr>
            </w:pPr>
          </w:p>
        </w:tc>
      </w:tr>
    </w:tbl>
    <w:p w14:paraId="0E445513" w14:textId="77777777" w:rsidR="00614737" w:rsidRDefault="00614737" w:rsidP="00716C89">
      <w:pPr>
        <w:pStyle w:val="BodyText"/>
        <w:spacing w:line="360" w:lineRule="auto"/>
        <w:rPr>
          <w:color w:val="000000" w:themeColor="text1"/>
          <w:szCs w:val="24"/>
        </w:rPr>
      </w:pPr>
    </w:p>
    <w:p w14:paraId="11B467A7" w14:textId="77777777" w:rsidR="00614737" w:rsidRDefault="00614737" w:rsidP="00716C89">
      <w:pPr>
        <w:pStyle w:val="BodyText"/>
        <w:spacing w:line="360" w:lineRule="auto"/>
        <w:rPr>
          <w:color w:val="000000" w:themeColor="text1"/>
          <w:szCs w:val="24"/>
        </w:rPr>
      </w:pPr>
    </w:p>
    <w:p w14:paraId="01C2263A" w14:textId="77777777" w:rsidR="00614737" w:rsidRDefault="00614737" w:rsidP="00716C89">
      <w:pPr>
        <w:pStyle w:val="BodyText"/>
        <w:spacing w:line="360" w:lineRule="auto"/>
        <w:rPr>
          <w:color w:val="000000" w:themeColor="text1"/>
          <w:szCs w:val="24"/>
        </w:rPr>
      </w:pPr>
    </w:p>
    <w:p w14:paraId="32BDF9B2" w14:textId="77777777" w:rsidR="00614737" w:rsidRDefault="00614737" w:rsidP="00716C89">
      <w:pPr>
        <w:pStyle w:val="BodyText"/>
        <w:spacing w:line="360" w:lineRule="auto"/>
        <w:rPr>
          <w:color w:val="000000" w:themeColor="text1"/>
          <w:szCs w:val="24"/>
        </w:rPr>
      </w:pPr>
    </w:p>
    <w:p w14:paraId="43C69AFA" w14:textId="77777777" w:rsidR="00614737" w:rsidRDefault="00614737" w:rsidP="00716C89">
      <w:pPr>
        <w:pStyle w:val="BodyText"/>
        <w:spacing w:line="360" w:lineRule="auto"/>
        <w:rPr>
          <w:color w:val="000000" w:themeColor="text1"/>
          <w:szCs w:val="24"/>
        </w:rPr>
      </w:pPr>
    </w:p>
    <w:p w14:paraId="0559B1D5" w14:textId="58EE29CE" w:rsidR="0080551C" w:rsidRPr="00716C89" w:rsidRDefault="0080551C" w:rsidP="00716C89">
      <w:pPr>
        <w:pStyle w:val="BodyText"/>
        <w:spacing w:line="360" w:lineRule="auto"/>
        <w:rPr>
          <w:color w:val="000000" w:themeColor="text1"/>
          <w:szCs w:val="24"/>
        </w:rPr>
      </w:pPr>
      <w:r w:rsidRPr="00716C89">
        <w:rPr>
          <w:color w:val="000000" w:themeColor="text1"/>
          <w:szCs w:val="24"/>
        </w:rPr>
        <w:lastRenderedPageBreak/>
        <w:t xml:space="preserve">“Being a professional educator in today’s society not only means having to develop sound subject knowledge, but it also depends upon acknowledging a moral duty to do what is ‘right’ for the individual and society” (Dowling </w:t>
      </w:r>
      <w:r w:rsidRPr="00716C89">
        <w:rPr>
          <w:i/>
          <w:iCs/>
          <w:color w:val="000000" w:themeColor="text1"/>
          <w:szCs w:val="24"/>
        </w:rPr>
        <w:t>et al.</w:t>
      </w:r>
      <w:r w:rsidRPr="00716C89">
        <w:rPr>
          <w:color w:val="000000" w:themeColor="text1"/>
          <w:szCs w:val="24"/>
        </w:rPr>
        <w:t>, 2012, p.5). In light of this quote I am going to analyse and point out exactly what teachers in today’s society do to ensure there is inclusivity and fairness for all learners.</w:t>
      </w:r>
      <w:r w:rsidR="004374A7" w:rsidRPr="00716C89">
        <w:rPr>
          <w:color w:val="000000" w:themeColor="text1"/>
          <w:szCs w:val="24"/>
        </w:rPr>
        <w:t xml:space="preserve"> So, what exactly is inclusivity in Education? ‘Inclusion is about how we structure our schools, our classrooms and our lessons so that all our students learn and participate together. An inclusive classroom is one that creates a supportive environment for all learners, including those with learning differences, and can also challenge and engage gifted and talented learners by building a more responsive learning environment’</w:t>
      </w:r>
      <w:r w:rsidR="00716C89">
        <w:rPr>
          <w:color w:val="000000" w:themeColor="text1"/>
          <w:szCs w:val="24"/>
        </w:rPr>
        <w:t xml:space="preserve"> </w:t>
      </w:r>
      <w:r w:rsidR="004374A7" w:rsidRPr="00716C89">
        <w:rPr>
          <w:color w:val="000000" w:themeColor="text1"/>
          <w:szCs w:val="24"/>
        </w:rPr>
        <w:t xml:space="preserve">(Lekh, 2013). </w:t>
      </w:r>
      <w:r w:rsidR="00EA41B2" w:rsidRPr="00716C89">
        <w:rPr>
          <w:color w:val="000000" w:themeColor="text1"/>
          <w:szCs w:val="24"/>
        </w:rPr>
        <w:t xml:space="preserve">Children with Additional Learning needs (ALN) can easily be excluded from PE lessons as </w:t>
      </w:r>
      <w:r w:rsidR="0068618F" w:rsidRPr="00716C89">
        <w:rPr>
          <w:color w:val="000000" w:themeColor="text1"/>
          <w:szCs w:val="24"/>
        </w:rPr>
        <w:t xml:space="preserve">many adjustments may need to be made or specific support is needed. “ALN include persons who, for whatever reason, require additional learning support because they are struggling to learn in comparison with their peers” (GOV Wales, 2009). Cerebral Palsy is a type of physical need where they may have little </w:t>
      </w:r>
      <w:r w:rsidR="00E96E9C" w:rsidRPr="00716C89">
        <w:rPr>
          <w:color w:val="000000" w:themeColor="text1"/>
          <w:szCs w:val="24"/>
        </w:rPr>
        <w:t>movement,</w:t>
      </w:r>
      <w:r w:rsidR="0068618F" w:rsidRPr="00716C89">
        <w:rPr>
          <w:color w:val="000000" w:themeColor="text1"/>
          <w:szCs w:val="24"/>
        </w:rPr>
        <w:t xml:space="preserve"> or their balance and posture may be affected. Autism is an example of a learning difficulty where they may have problems with social interaction or communication. Although one is a physical difficulty and one is a learning </w:t>
      </w:r>
      <w:r w:rsidR="00E96E9C" w:rsidRPr="00716C89">
        <w:rPr>
          <w:color w:val="000000" w:themeColor="text1"/>
          <w:szCs w:val="24"/>
        </w:rPr>
        <w:t>difficulty,</w:t>
      </w:r>
      <w:r w:rsidR="0068618F" w:rsidRPr="00716C89">
        <w:rPr>
          <w:color w:val="000000" w:themeColor="text1"/>
          <w:szCs w:val="24"/>
        </w:rPr>
        <w:t xml:space="preserve"> they can both be affected or excluded in a physical education lesson.</w:t>
      </w:r>
      <w:r w:rsidR="00C641AC" w:rsidRPr="00716C89">
        <w:rPr>
          <w:color w:val="000000" w:themeColor="text1"/>
          <w:szCs w:val="24"/>
        </w:rPr>
        <w:t xml:space="preserve"> In other </w:t>
      </w:r>
      <w:r w:rsidR="00E96E9C" w:rsidRPr="00716C89">
        <w:rPr>
          <w:color w:val="000000" w:themeColor="text1"/>
          <w:szCs w:val="24"/>
        </w:rPr>
        <w:t>cases,</w:t>
      </w:r>
      <w:r w:rsidR="00C641AC" w:rsidRPr="00716C89">
        <w:rPr>
          <w:color w:val="000000" w:themeColor="text1"/>
          <w:szCs w:val="24"/>
        </w:rPr>
        <w:t xml:space="preserve"> there could be a wheelchair involved where more measures will need to be taken to keep the lesson as inclusive as possible.</w:t>
      </w:r>
      <w:r w:rsidRPr="00716C89">
        <w:rPr>
          <w:color w:val="000000" w:themeColor="text1"/>
          <w:szCs w:val="24"/>
        </w:rPr>
        <w:t xml:space="preserve"> </w:t>
      </w:r>
      <w:r w:rsidR="004D52A5" w:rsidRPr="00716C89">
        <w:rPr>
          <w:color w:val="000000" w:themeColor="text1"/>
          <w:szCs w:val="24"/>
        </w:rPr>
        <w:t xml:space="preserve">“A high-quality PE curriculum enables all pupils to enjoy and succeed in many kinds of physical activity. They develop a wide range of skills and the ability to use tactics, strategies and compositional ideas to perform successfully” (National Curriculum of Wales, 2008). To enable all learners to develop these skills and abilities different steps will need to be put into place to ensure that every learner is able to develop at the same time at their own speed and ability. </w:t>
      </w:r>
      <w:r w:rsidR="004A2ACB" w:rsidRPr="00716C89">
        <w:rPr>
          <w:color w:val="000000" w:themeColor="text1"/>
          <w:szCs w:val="24"/>
        </w:rPr>
        <w:t>These steps may consist of including SENCO’S, changing lessons plans and structure or including more direction and instruction.</w:t>
      </w:r>
      <w:r w:rsidR="00705974" w:rsidRPr="00716C89">
        <w:rPr>
          <w:color w:val="000000" w:themeColor="text1"/>
          <w:szCs w:val="24"/>
        </w:rPr>
        <w:t xml:space="preserve"> Teachers may also need to use different strategies and techniques so that they are able to find the best solution to include the whole class. </w:t>
      </w:r>
      <w:r w:rsidR="00716C89" w:rsidRPr="00716C89">
        <w:rPr>
          <w:color w:val="000000" w:themeColor="text1"/>
          <w:szCs w:val="24"/>
        </w:rPr>
        <w:t>Typically,</w:t>
      </w:r>
      <w:r w:rsidR="00705974" w:rsidRPr="00716C89">
        <w:rPr>
          <w:color w:val="000000" w:themeColor="text1"/>
          <w:szCs w:val="24"/>
        </w:rPr>
        <w:t xml:space="preserve"> teachers use the ‘one type fits all’ approach but they can try other different strategies which will suit a specific pupil or outcome. Glooblar (2018) states that ‘Student are most successful in our courses when they learn from themselves’. The command style is a common style where ‘the teacher makes all the decisions, it is often described as teacher-directed and autocratic’ (PE Project, 2019). This way the children </w:t>
      </w:r>
      <w:r w:rsidR="00716C89" w:rsidRPr="00716C89">
        <w:rPr>
          <w:color w:val="000000" w:themeColor="text1"/>
          <w:szCs w:val="24"/>
        </w:rPr>
        <w:t>are not</w:t>
      </w:r>
      <w:r w:rsidR="00705974" w:rsidRPr="00716C89">
        <w:rPr>
          <w:color w:val="000000" w:themeColor="text1"/>
          <w:szCs w:val="24"/>
        </w:rPr>
        <w:t xml:space="preserve"> thinking for themselves and is one of the least inclusive teaching styles as </w:t>
      </w:r>
      <w:r w:rsidR="00716C89" w:rsidRPr="00716C89">
        <w:rPr>
          <w:color w:val="000000" w:themeColor="text1"/>
          <w:szCs w:val="24"/>
        </w:rPr>
        <w:t>it is</w:t>
      </w:r>
      <w:r w:rsidR="00705974" w:rsidRPr="00716C89">
        <w:rPr>
          <w:color w:val="000000" w:themeColor="text1"/>
          <w:szCs w:val="24"/>
        </w:rPr>
        <w:t xml:space="preserve"> not very adaptable. On the other </w:t>
      </w:r>
      <w:r w:rsidR="00716C89" w:rsidRPr="00716C89">
        <w:rPr>
          <w:color w:val="000000" w:themeColor="text1"/>
          <w:szCs w:val="24"/>
        </w:rPr>
        <w:t>hand,</w:t>
      </w:r>
      <w:r w:rsidR="00705974" w:rsidRPr="00716C89">
        <w:rPr>
          <w:color w:val="000000" w:themeColor="text1"/>
          <w:szCs w:val="24"/>
        </w:rPr>
        <w:t xml:space="preserve"> the</w:t>
      </w:r>
      <w:r w:rsidR="00184B1C" w:rsidRPr="00716C89">
        <w:rPr>
          <w:color w:val="000000" w:themeColor="text1"/>
          <w:szCs w:val="24"/>
        </w:rPr>
        <w:t xml:space="preserve"> inclusion style from ‘Moston and Ashworths 2002 Spectrum of Teaching Styles’ accommodates all individual skill differences </w:t>
      </w:r>
      <w:r w:rsidR="00184B1C" w:rsidRPr="00716C89">
        <w:rPr>
          <w:color w:val="000000" w:themeColor="text1"/>
          <w:szCs w:val="24"/>
        </w:rPr>
        <w:lastRenderedPageBreak/>
        <w:t xml:space="preserve">and the pupils themselves get to choose the level of performance based on their ability. The teacher can provide feedback regarding the </w:t>
      </w:r>
      <w:r w:rsidR="00716C89" w:rsidRPr="00716C89">
        <w:rPr>
          <w:color w:val="000000" w:themeColor="text1"/>
          <w:szCs w:val="24"/>
        </w:rPr>
        <w:t>decision-making</w:t>
      </w:r>
      <w:r w:rsidR="00184B1C" w:rsidRPr="00716C89">
        <w:rPr>
          <w:color w:val="000000" w:themeColor="text1"/>
          <w:szCs w:val="24"/>
        </w:rPr>
        <w:t xml:space="preserve"> </w:t>
      </w:r>
      <w:r w:rsidR="00614737" w:rsidRPr="00716C89">
        <w:rPr>
          <w:color w:val="000000" w:themeColor="text1"/>
          <w:szCs w:val="24"/>
        </w:rPr>
        <w:t>process,</w:t>
      </w:r>
      <w:r w:rsidR="00184B1C" w:rsidRPr="00716C89">
        <w:rPr>
          <w:color w:val="000000" w:themeColor="text1"/>
          <w:szCs w:val="24"/>
        </w:rPr>
        <w:t xml:space="preserve"> but the pupils are encouraged to self-assess each other and give feedback. </w:t>
      </w:r>
      <w:r w:rsidR="00E96E9C" w:rsidRPr="00716C89">
        <w:rPr>
          <w:color w:val="000000" w:themeColor="text1"/>
          <w:szCs w:val="24"/>
        </w:rPr>
        <w:t xml:space="preserve">I am now going to go into more depth on teachers already do and what can be done to ensure the inclusivity and fairness of all learners. </w:t>
      </w:r>
    </w:p>
    <w:p w14:paraId="60681D20" w14:textId="40E9F471" w:rsidR="00D41E9B" w:rsidRPr="00716C89" w:rsidRDefault="00147C6C" w:rsidP="00716C89">
      <w:pPr>
        <w:pStyle w:val="BodyText"/>
        <w:spacing w:line="360" w:lineRule="auto"/>
        <w:jc w:val="both"/>
        <w:rPr>
          <w:color w:val="000000" w:themeColor="text1"/>
          <w:szCs w:val="24"/>
        </w:rPr>
      </w:pPr>
      <w:r w:rsidRPr="00716C89">
        <w:rPr>
          <w:color w:val="000000" w:themeColor="text1"/>
          <w:szCs w:val="24"/>
        </w:rPr>
        <w:t xml:space="preserve">“We all know that teaching is not a one size fits all activity” (Barker, 2016). </w:t>
      </w:r>
      <w:r w:rsidR="00AC699B" w:rsidRPr="00716C89">
        <w:rPr>
          <w:color w:val="000000" w:themeColor="text1"/>
          <w:szCs w:val="24"/>
        </w:rPr>
        <w:t xml:space="preserve">All pupils vary in ability so the ‘Waves of Intervention Model” (Dfe, 2006) was designed to overcome specific barriers in physical education such as Additional Learning Needs. Interventions are made by teachers, families and specialised professionals when “pupils are not on track to achieve Expected Progress, or, it is identiﬁed that a child requires some additional support to make more rapid Outstanding progress” (Collett, 2014). There are 3 different waves in this model. </w:t>
      </w:r>
      <w:r w:rsidR="007632A7" w:rsidRPr="00716C89">
        <w:rPr>
          <w:color w:val="000000" w:themeColor="text1"/>
          <w:szCs w:val="24"/>
        </w:rPr>
        <w:t>All pupils will follow a Wave 1 intervention. “Wave 1 preventative intervention is considered normal activity of an effective and efficient site. It involves whole site planning of curriculum in response to their particular learner cohort and aligning the use of human and financial resources to the agreed core instruction”. (Prior, 2016).</w:t>
      </w:r>
      <w:r w:rsidR="00614737">
        <w:rPr>
          <w:color w:val="000000" w:themeColor="text1"/>
          <w:szCs w:val="24"/>
        </w:rPr>
        <w:t xml:space="preserve"> </w:t>
      </w:r>
      <w:r w:rsidR="007632A7" w:rsidRPr="00716C89">
        <w:rPr>
          <w:color w:val="000000" w:themeColor="text1"/>
          <w:szCs w:val="24"/>
        </w:rPr>
        <w:t xml:space="preserve">This Wave involves good quality teaching with differentiated work and an inclusive environment. Key learning will be able to be accessed at their own level and they will be able to take some new learning away with them. Prior (2016) presents Wave 2 as an “Intervention that focusses on the provision of additional teaching for cohorts of learners who have not developed mastery of core instruction or have exceeded agreed standards”. Pupils in wave 2 are usually falling behind their age expected level. Within this level Special Educational Needs Coordinators (SENCO’S) are brought in to support their colleagues on a regular basis by observing lessons and making suggestions as well as coaching and monitoring. </w:t>
      </w:r>
      <w:r w:rsidR="00F57C7B" w:rsidRPr="00716C89">
        <w:rPr>
          <w:color w:val="000000" w:themeColor="text1"/>
          <w:szCs w:val="24"/>
        </w:rPr>
        <w:t xml:space="preserve">Finally Wave 3 is a “Intervention focusses on addressing children who have not responded to Wave 1 and 2 instructions. Teaching involves the use of intensive pedagogy for short periods of time to support/challenge to achieve or exceed agreed goals in the child’s learning plan” (Prior, 2016). This wave is usually a targeted provision for a smaller percentage of pupils who may require a high level of additional support or specialised provision to focus on their needs, it also may be for pupils who have been identified for a intervention designed to accelerate progress. </w:t>
      </w:r>
    </w:p>
    <w:p w14:paraId="70986CED" w14:textId="275ADDBE" w:rsidR="00147C6C" w:rsidRPr="00716C89" w:rsidRDefault="00F57C7B" w:rsidP="00716C89">
      <w:pPr>
        <w:spacing w:line="360" w:lineRule="auto"/>
        <w:rPr>
          <w:rFonts w:ascii="Times New Roman" w:hAnsi="Times New Roman" w:cs="Times New Roman"/>
          <w:sz w:val="24"/>
          <w:szCs w:val="24"/>
        </w:rPr>
      </w:pPr>
      <w:r w:rsidRPr="00716C89">
        <w:rPr>
          <w:rFonts w:ascii="Times New Roman" w:hAnsi="Times New Roman" w:cs="Times New Roman"/>
          <w:sz w:val="24"/>
          <w:szCs w:val="24"/>
        </w:rPr>
        <w:t xml:space="preserve">STEP is another form of framework which can be used in the planning process of lessons to help provide an inclusive lesson. “The STEP framework in PE was developed to support teaching and learning” (Telfer, 2014). It allows teachers to make the task easier or harder if there are mixed abilities in their class. Each letter stands for a particular part of the lesson </w:t>
      </w:r>
      <w:r w:rsidRPr="00716C89">
        <w:rPr>
          <w:rFonts w:ascii="Times New Roman" w:hAnsi="Times New Roman" w:cs="Times New Roman"/>
          <w:sz w:val="24"/>
          <w:szCs w:val="24"/>
        </w:rPr>
        <w:lastRenderedPageBreak/>
        <w:t>plan which they are able to adapt</w:t>
      </w:r>
      <w:r w:rsidR="001E24EB" w:rsidRPr="00716C89">
        <w:rPr>
          <w:rFonts w:ascii="Times New Roman" w:hAnsi="Times New Roman" w:cs="Times New Roman"/>
          <w:sz w:val="24"/>
          <w:szCs w:val="24"/>
        </w:rPr>
        <w:t xml:space="preserve"> (Space, Task, Equipment, People). Further development of each pupil is achieved by using these principles and changing them depending on their need. Rudd (2019) believes that “This can be achieved through manipulating the size of the play space, altering the rules of the task, changing the </w:t>
      </w:r>
      <w:r w:rsidR="00614737" w:rsidRPr="00716C89">
        <w:rPr>
          <w:rFonts w:ascii="Times New Roman" w:hAnsi="Times New Roman" w:cs="Times New Roman"/>
          <w:sz w:val="24"/>
          <w:szCs w:val="24"/>
        </w:rPr>
        <w:t>equipment,</w:t>
      </w:r>
      <w:r w:rsidR="001E24EB" w:rsidRPr="00716C89">
        <w:rPr>
          <w:rFonts w:ascii="Times New Roman" w:hAnsi="Times New Roman" w:cs="Times New Roman"/>
          <w:sz w:val="24"/>
          <w:szCs w:val="24"/>
        </w:rPr>
        <w:t xml:space="preserve"> and/or changing the number of people participating in the task”. An example of how the space principle could be used is that a blind or visually impaired pupil may be guided around the area in which they are participating </w:t>
      </w:r>
      <w:r w:rsidR="00614737" w:rsidRPr="00716C89">
        <w:rPr>
          <w:rFonts w:ascii="Times New Roman" w:hAnsi="Times New Roman" w:cs="Times New Roman"/>
          <w:sz w:val="24"/>
          <w:szCs w:val="24"/>
        </w:rPr>
        <w:t>in,</w:t>
      </w:r>
      <w:r w:rsidR="001E24EB" w:rsidRPr="00716C89">
        <w:rPr>
          <w:rFonts w:ascii="Times New Roman" w:hAnsi="Times New Roman" w:cs="Times New Roman"/>
          <w:sz w:val="24"/>
          <w:szCs w:val="24"/>
        </w:rPr>
        <w:t xml:space="preserve"> so they have an idea of the amount of space they have. Keeping it small be easier for the pupil to remember the area they have. The task principle could be used when changing the rules to support the individual. The task may need to be simplified or the direction or level of the task will need to be changed. The equipment principle is all about what is being used. Specialised equipment is important when working with a pupil who may be blind or visually impaired as they mainly use their hearing to guide them where they go. </w:t>
      </w:r>
      <w:r w:rsidR="00E276B4" w:rsidRPr="00716C89">
        <w:rPr>
          <w:rFonts w:ascii="Times New Roman" w:hAnsi="Times New Roman" w:cs="Times New Roman"/>
          <w:sz w:val="24"/>
          <w:szCs w:val="24"/>
        </w:rPr>
        <w:t xml:space="preserve">Beeping balls or balls with bells can be used so they can follow the sound. Equipment not only needs to be thought about for children with additional learning needs but giving all children </w:t>
      </w:r>
      <w:r w:rsidR="0018617E" w:rsidRPr="00716C89">
        <w:rPr>
          <w:rFonts w:ascii="Times New Roman" w:hAnsi="Times New Roman" w:cs="Times New Roman"/>
          <w:sz w:val="24"/>
          <w:szCs w:val="24"/>
        </w:rPr>
        <w:t>the choice of what size or shape equipment,</w:t>
      </w:r>
      <w:r w:rsidR="00E276B4" w:rsidRPr="00716C89">
        <w:rPr>
          <w:rFonts w:ascii="Times New Roman" w:hAnsi="Times New Roman" w:cs="Times New Roman"/>
          <w:sz w:val="24"/>
          <w:szCs w:val="24"/>
        </w:rPr>
        <w:t xml:space="preserve"> they use is most important. Having a pupil work with a partner or in a small group may allow them to work better. This falls under the people principle. They may be encouraged to get involved and may feel more determined and inspired to try their best. The Step Academy Trust (2015) believe that “All pupils within STEP Academy Trust are provided with full access to the national curriculum for PE. Step Academy staff will endeavour to help all pupils to reach their full potential in PE, irrespective of race, gender, age or ability”. All individual needs can be catered for using this framework no matter what the difference. </w:t>
      </w:r>
    </w:p>
    <w:p w14:paraId="5AA41ADD" w14:textId="7624BCBD" w:rsidR="0018617E" w:rsidRPr="00716C89" w:rsidRDefault="0018617E" w:rsidP="00716C89">
      <w:pPr>
        <w:spacing w:line="360" w:lineRule="auto"/>
        <w:rPr>
          <w:rFonts w:ascii="Times New Roman" w:hAnsi="Times New Roman" w:cs="Times New Roman"/>
          <w:sz w:val="24"/>
          <w:szCs w:val="24"/>
        </w:rPr>
      </w:pPr>
      <w:r w:rsidRPr="00716C89">
        <w:rPr>
          <w:rFonts w:ascii="Times New Roman" w:hAnsi="Times New Roman" w:cs="Times New Roman"/>
          <w:sz w:val="24"/>
          <w:szCs w:val="24"/>
        </w:rPr>
        <w:t xml:space="preserve">STEP Framework can also be found in ‘The Inclusion Spectrum’ (Black and Stevenson, 2012). The Inclusion Spectrum is a framework which can be used to follow different methods of supporting inclusion. Stevenson (2012) says ‘By delivering activities differently we can balance different needs within the group and so helping to maximise the potential of all young people’. </w:t>
      </w:r>
      <w:r w:rsidR="0064767F" w:rsidRPr="00716C89">
        <w:rPr>
          <w:rFonts w:ascii="Times New Roman" w:hAnsi="Times New Roman" w:cs="Times New Roman"/>
          <w:sz w:val="24"/>
          <w:szCs w:val="24"/>
        </w:rPr>
        <w:t xml:space="preserve">This framework tries to provide activities that the pupils can perform rather than focusing on what they </w:t>
      </w:r>
      <w:r w:rsidR="00614737" w:rsidRPr="00716C89">
        <w:rPr>
          <w:rFonts w:ascii="Times New Roman" w:hAnsi="Times New Roman" w:cs="Times New Roman"/>
          <w:sz w:val="24"/>
          <w:szCs w:val="24"/>
        </w:rPr>
        <w:t>cannot</w:t>
      </w:r>
      <w:r w:rsidR="0064767F" w:rsidRPr="00716C89">
        <w:rPr>
          <w:rFonts w:ascii="Times New Roman" w:hAnsi="Times New Roman" w:cs="Times New Roman"/>
          <w:sz w:val="24"/>
          <w:szCs w:val="24"/>
        </w:rPr>
        <w:t xml:space="preserve"> do, so changing the perspective on the lesson is a priority. The Spectrum ‘consists of five different approaches (Open, </w:t>
      </w:r>
      <w:r w:rsidR="00716C89" w:rsidRPr="00716C89">
        <w:rPr>
          <w:rFonts w:ascii="Times New Roman" w:hAnsi="Times New Roman" w:cs="Times New Roman"/>
          <w:sz w:val="24"/>
          <w:szCs w:val="24"/>
        </w:rPr>
        <w:t>Separated</w:t>
      </w:r>
      <w:r w:rsidR="0064767F" w:rsidRPr="00716C89">
        <w:rPr>
          <w:rFonts w:ascii="Times New Roman" w:hAnsi="Times New Roman" w:cs="Times New Roman"/>
          <w:sz w:val="24"/>
          <w:szCs w:val="24"/>
        </w:rPr>
        <w:t xml:space="preserve">, Modified, Parallel and Disability sport) to teaching physical activity that coaches and teachers can delve in and out of during the lesson as they please or they may base the session they are delivering around one of the approaches’ (Merrick, 2015). All of these approaches are different ways of teaching physical education. Apart from the Separate/alternative activity approach, all </w:t>
      </w:r>
      <w:r w:rsidR="0064767F" w:rsidRPr="00716C89">
        <w:rPr>
          <w:rFonts w:ascii="Times New Roman" w:hAnsi="Times New Roman" w:cs="Times New Roman"/>
          <w:sz w:val="24"/>
          <w:szCs w:val="24"/>
        </w:rPr>
        <w:lastRenderedPageBreak/>
        <w:t xml:space="preserve">approaches are set out so adaptations are made where all pupils can still perform the same task at the same time just at their own speed and abilities. Approaches are also adaptable where they can be mixed. So, the teacher is able to use more than one approach to make the lesson as inclusive as they can. </w:t>
      </w:r>
      <w:r w:rsidR="00C2272F" w:rsidRPr="00716C89">
        <w:rPr>
          <w:rFonts w:ascii="Times New Roman" w:hAnsi="Times New Roman" w:cs="Times New Roman"/>
          <w:sz w:val="24"/>
          <w:szCs w:val="24"/>
        </w:rPr>
        <w:t>All of these different approaches and methods of delivery are a way of giving the pupils as much opportunity as possible. Rae (2010) supports this and suggests that ‘by creating more choices for children it can help enhance their learning experiences; this can ultimately avoid exclusion and allow both disabled and non-disabled children to actively participate in physical activity’.</w:t>
      </w:r>
    </w:p>
    <w:p w14:paraId="7EC2B3B5" w14:textId="77777777" w:rsidR="00147C6C" w:rsidRPr="00716C89" w:rsidRDefault="00147C6C" w:rsidP="00716C89">
      <w:pPr>
        <w:spacing w:line="360" w:lineRule="auto"/>
        <w:rPr>
          <w:rFonts w:ascii="Times New Roman" w:hAnsi="Times New Roman" w:cs="Times New Roman"/>
          <w:sz w:val="24"/>
          <w:szCs w:val="24"/>
        </w:rPr>
      </w:pPr>
    </w:p>
    <w:p w14:paraId="695390E0" w14:textId="5373A4BE" w:rsidR="00EF3908" w:rsidRPr="00716C89" w:rsidRDefault="00180B24" w:rsidP="00716C89">
      <w:pPr>
        <w:spacing w:line="360" w:lineRule="auto"/>
        <w:rPr>
          <w:rFonts w:ascii="Times New Roman" w:hAnsi="Times New Roman" w:cs="Times New Roman"/>
          <w:sz w:val="24"/>
          <w:szCs w:val="24"/>
        </w:rPr>
      </w:pPr>
      <w:r w:rsidRPr="00716C89">
        <w:rPr>
          <w:rFonts w:ascii="Times New Roman" w:hAnsi="Times New Roman" w:cs="Times New Roman"/>
          <w:sz w:val="24"/>
          <w:szCs w:val="24"/>
        </w:rPr>
        <w:t xml:space="preserve">From my past teaching experiences and </w:t>
      </w:r>
      <w:r w:rsidR="00EF3908" w:rsidRPr="00716C89">
        <w:rPr>
          <w:rFonts w:ascii="Times New Roman" w:hAnsi="Times New Roman" w:cs="Times New Roman"/>
          <w:sz w:val="24"/>
          <w:szCs w:val="24"/>
        </w:rPr>
        <w:t xml:space="preserve">thinking about my teaching in the future I will ensure that I keep my lessons as inclusive as possible. Vickerman (2007) says ‘One in five children in England and Wales is now identified as having additional needs, and consequently teachers of PE are facing daily challenges to include these </w:t>
      </w:r>
      <w:r w:rsidR="00716C89" w:rsidRPr="00716C89">
        <w:rPr>
          <w:rFonts w:ascii="Times New Roman" w:hAnsi="Times New Roman" w:cs="Times New Roman"/>
          <w:sz w:val="24"/>
          <w:szCs w:val="24"/>
        </w:rPr>
        <w:t>pupils</w:t>
      </w:r>
      <w:r w:rsidR="00716C89">
        <w:rPr>
          <w:rFonts w:ascii="Times New Roman" w:hAnsi="Times New Roman" w:cs="Times New Roman"/>
          <w:sz w:val="24"/>
          <w:szCs w:val="24"/>
        </w:rPr>
        <w:t>’.</w:t>
      </w:r>
      <w:r w:rsidR="00EF3908" w:rsidRPr="00716C89">
        <w:rPr>
          <w:rFonts w:ascii="Times New Roman" w:hAnsi="Times New Roman" w:cs="Times New Roman"/>
          <w:sz w:val="24"/>
          <w:szCs w:val="24"/>
        </w:rPr>
        <w:t xml:space="preserve"> Luckily for me I have already received a considerable amount of training which I will take forward with me and put into place to show that </w:t>
      </w:r>
      <w:r w:rsidR="00614737" w:rsidRPr="00716C89">
        <w:rPr>
          <w:rFonts w:ascii="Times New Roman" w:hAnsi="Times New Roman" w:cs="Times New Roman"/>
          <w:sz w:val="24"/>
          <w:szCs w:val="24"/>
        </w:rPr>
        <w:t>there is</w:t>
      </w:r>
      <w:r w:rsidR="00EF3908" w:rsidRPr="00716C89">
        <w:rPr>
          <w:rFonts w:ascii="Times New Roman" w:hAnsi="Times New Roman" w:cs="Times New Roman"/>
          <w:sz w:val="24"/>
          <w:szCs w:val="24"/>
        </w:rPr>
        <w:t xml:space="preserve"> a vast majority of resources that can be used to prevent inequality. </w:t>
      </w:r>
      <w:r w:rsidR="005F17EA" w:rsidRPr="00716C89">
        <w:rPr>
          <w:rFonts w:ascii="Times New Roman" w:hAnsi="Times New Roman" w:cs="Times New Roman"/>
          <w:sz w:val="24"/>
          <w:szCs w:val="24"/>
        </w:rPr>
        <w:t>When providing a</w:t>
      </w:r>
      <w:r w:rsidR="006874EE" w:rsidRPr="00716C89">
        <w:rPr>
          <w:rFonts w:ascii="Times New Roman" w:hAnsi="Times New Roman" w:cs="Times New Roman"/>
          <w:sz w:val="24"/>
          <w:szCs w:val="24"/>
        </w:rPr>
        <w:t>n</w:t>
      </w:r>
      <w:r w:rsidR="005F17EA" w:rsidRPr="00716C89">
        <w:rPr>
          <w:rFonts w:ascii="Times New Roman" w:hAnsi="Times New Roman" w:cs="Times New Roman"/>
          <w:sz w:val="24"/>
          <w:szCs w:val="24"/>
        </w:rPr>
        <w:t xml:space="preserve"> inclusive </w:t>
      </w:r>
      <w:r w:rsidR="006874EE" w:rsidRPr="00716C89">
        <w:rPr>
          <w:rFonts w:ascii="Times New Roman" w:hAnsi="Times New Roman" w:cs="Times New Roman"/>
          <w:sz w:val="24"/>
          <w:szCs w:val="24"/>
        </w:rPr>
        <w:t>environment,</w:t>
      </w:r>
      <w:r w:rsidR="005F17EA" w:rsidRPr="00716C89">
        <w:rPr>
          <w:rFonts w:ascii="Times New Roman" w:hAnsi="Times New Roman" w:cs="Times New Roman"/>
          <w:sz w:val="24"/>
          <w:szCs w:val="24"/>
        </w:rPr>
        <w:t xml:space="preserve"> it not only means you have to provide support for pupils with additional learning needs but there are other barriers which you have to take into consideration when planning lessons. Jackman (2015) suggests the following as barriers which affects children and teachers. These include ‘the available equipment or facilities, funding or teachers not having the knowledge”. </w:t>
      </w:r>
      <w:r w:rsidR="006874EE" w:rsidRPr="00716C89">
        <w:rPr>
          <w:rFonts w:ascii="Times New Roman" w:hAnsi="Times New Roman" w:cs="Times New Roman"/>
          <w:sz w:val="24"/>
          <w:szCs w:val="24"/>
        </w:rPr>
        <w:t xml:space="preserve">Behaviour is a big concern In PE lesson where </w:t>
      </w:r>
      <w:r w:rsidR="00614737" w:rsidRPr="00716C89">
        <w:rPr>
          <w:rFonts w:ascii="Times New Roman" w:hAnsi="Times New Roman" w:cs="Times New Roman"/>
          <w:sz w:val="24"/>
          <w:szCs w:val="24"/>
        </w:rPr>
        <w:t>there is</w:t>
      </w:r>
      <w:r w:rsidR="006874EE" w:rsidRPr="00716C89">
        <w:rPr>
          <w:rFonts w:ascii="Times New Roman" w:hAnsi="Times New Roman" w:cs="Times New Roman"/>
          <w:sz w:val="24"/>
          <w:szCs w:val="24"/>
        </w:rPr>
        <w:t xml:space="preserve"> a lot of movement and equipment around. I will ensure that all lesson plans that I create are individually risk assessed and planned out effectively so lessons can run smoothly. Another major barrier</w:t>
      </w:r>
      <w:r w:rsidR="00771188" w:rsidRPr="00716C89">
        <w:rPr>
          <w:rFonts w:ascii="Times New Roman" w:hAnsi="Times New Roman" w:cs="Times New Roman"/>
          <w:sz w:val="24"/>
          <w:szCs w:val="24"/>
        </w:rPr>
        <w:t xml:space="preserve"> is poverty. Some children grow up in areas of socio-economic </w:t>
      </w:r>
      <w:r w:rsidR="00716C89" w:rsidRPr="00716C89">
        <w:rPr>
          <w:rFonts w:ascii="Times New Roman" w:hAnsi="Times New Roman" w:cs="Times New Roman"/>
          <w:sz w:val="24"/>
          <w:szCs w:val="24"/>
        </w:rPr>
        <w:t>deprivation,</w:t>
      </w:r>
      <w:r w:rsidR="00771188" w:rsidRPr="00716C89">
        <w:rPr>
          <w:rFonts w:ascii="Times New Roman" w:hAnsi="Times New Roman" w:cs="Times New Roman"/>
          <w:sz w:val="24"/>
          <w:szCs w:val="24"/>
        </w:rPr>
        <w:t xml:space="preserve"> so they </w:t>
      </w:r>
      <w:r w:rsidR="00614737" w:rsidRPr="00716C89">
        <w:rPr>
          <w:rFonts w:ascii="Times New Roman" w:hAnsi="Times New Roman" w:cs="Times New Roman"/>
          <w:sz w:val="24"/>
          <w:szCs w:val="24"/>
        </w:rPr>
        <w:t>do not</w:t>
      </w:r>
      <w:r w:rsidR="00771188" w:rsidRPr="00716C89">
        <w:rPr>
          <w:rFonts w:ascii="Times New Roman" w:hAnsi="Times New Roman" w:cs="Times New Roman"/>
          <w:sz w:val="24"/>
          <w:szCs w:val="24"/>
        </w:rPr>
        <w:t xml:space="preserve"> have the facilities or live in the right area to be able to go out and explore and play with their friends. Being deprived this way can lead to very little fundamental movement skills. ‘Fundamental movement skills are very important to a child’s physical development. When confident and competent in these skills, children can develop sport-specific and complex movement skills’ (Coach Ca, 2020). Lack of these skills may lead to them being left behind in PE lessons later on in life. Clark and Metcalfe (2003) ‘Mountain of Motor Development’ shows the importance of Fundamental Movement Skills and how </w:t>
      </w:r>
      <w:r w:rsidR="00614737" w:rsidRPr="00716C89">
        <w:rPr>
          <w:rFonts w:ascii="Times New Roman" w:hAnsi="Times New Roman" w:cs="Times New Roman"/>
          <w:sz w:val="24"/>
          <w:szCs w:val="24"/>
        </w:rPr>
        <w:t>they are</w:t>
      </w:r>
      <w:r w:rsidR="00771188" w:rsidRPr="00716C89">
        <w:rPr>
          <w:rFonts w:ascii="Times New Roman" w:hAnsi="Times New Roman" w:cs="Times New Roman"/>
          <w:sz w:val="24"/>
          <w:szCs w:val="24"/>
        </w:rPr>
        <w:t xml:space="preserve"> the basecamp to developing that motor competence to climb up the mountain and become more </w:t>
      </w:r>
      <w:r w:rsidR="00716C89" w:rsidRPr="00716C89">
        <w:rPr>
          <w:rFonts w:ascii="Times New Roman" w:hAnsi="Times New Roman" w:cs="Times New Roman"/>
          <w:sz w:val="24"/>
          <w:szCs w:val="24"/>
        </w:rPr>
        <w:t>skilful</w:t>
      </w:r>
      <w:r w:rsidR="00771188" w:rsidRPr="00716C89">
        <w:rPr>
          <w:rFonts w:ascii="Times New Roman" w:hAnsi="Times New Roman" w:cs="Times New Roman"/>
          <w:sz w:val="24"/>
          <w:szCs w:val="24"/>
        </w:rPr>
        <w:t xml:space="preserve">. </w:t>
      </w:r>
      <w:r w:rsidR="00CD68FB" w:rsidRPr="00716C89">
        <w:rPr>
          <w:rFonts w:ascii="Times New Roman" w:hAnsi="Times New Roman" w:cs="Times New Roman"/>
          <w:sz w:val="24"/>
          <w:szCs w:val="24"/>
        </w:rPr>
        <w:t xml:space="preserve">If I face this barrier in my future of </w:t>
      </w:r>
      <w:r w:rsidR="00716C89" w:rsidRPr="00716C89">
        <w:rPr>
          <w:rFonts w:ascii="Times New Roman" w:hAnsi="Times New Roman" w:cs="Times New Roman"/>
          <w:sz w:val="24"/>
          <w:szCs w:val="24"/>
        </w:rPr>
        <w:t>teaching,</w:t>
      </w:r>
      <w:r w:rsidR="00CD68FB" w:rsidRPr="00716C89">
        <w:rPr>
          <w:rFonts w:ascii="Times New Roman" w:hAnsi="Times New Roman" w:cs="Times New Roman"/>
          <w:sz w:val="24"/>
          <w:szCs w:val="24"/>
        </w:rPr>
        <w:t xml:space="preserve"> I will make sure there are frameworks in place to help me overcome it and make the lesson more inclusive for them. </w:t>
      </w:r>
      <w:r w:rsidR="00CD68FB" w:rsidRPr="00716C89">
        <w:rPr>
          <w:rFonts w:ascii="Times New Roman" w:hAnsi="Times New Roman" w:cs="Times New Roman"/>
          <w:sz w:val="24"/>
          <w:szCs w:val="24"/>
        </w:rPr>
        <w:lastRenderedPageBreak/>
        <w:t xml:space="preserve">SKIP Cymru was formed in 2015 following Dr Jackie Goodways’ SKIP Programme which was based on 20 years of research with young children. Wales Academy for Health and Physical Literacy (2015) says ‘SKIP-Cyrmu help adults teach children skills by using what we know about children learn to move. If you can recognise the stage your child is at when they are learning to throw and catch then you can make sure that you use the best equipment and give them the best activities to help them become better’. I will ensure that I will try and get all the resources and training possible from the SKIP Cymru programme so I can develop a fit and playful pedagogy. SKIP Cyrmu also create parent bags which I will give out to the children’s parents so they can help develop their </w:t>
      </w:r>
      <w:r w:rsidR="00716C89" w:rsidRPr="00716C89">
        <w:rPr>
          <w:rFonts w:ascii="Times New Roman" w:hAnsi="Times New Roman" w:cs="Times New Roman"/>
          <w:sz w:val="24"/>
          <w:szCs w:val="24"/>
        </w:rPr>
        <w:t>child’s</w:t>
      </w:r>
      <w:r w:rsidR="00CD68FB" w:rsidRPr="00716C89">
        <w:rPr>
          <w:rFonts w:ascii="Times New Roman" w:hAnsi="Times New Roman" w:cs="Times New Roman"/>
          <w:sz w:val="24"/>
          <w:szCs w:val="24"/>
        </w:rPr>
        <w:t xml:space="preserve"> competence at home with all the resources they need. ‘Movement skills in childhood are inextricably linked to core aspects of development including social, cognitive and psychological…. Language emerges as children physically interact with their surroundings…’</w:t>
      </w:r>
      <w:r w:rsidR="00F547E4" w:rsidRPr="00716C89">
        <w:rPr>
          <w:rFonts w:ascii="Times New Roman" w:hAnsi="Times New Roman" w:cs="Times New Roman"/>
          <w:sz w:val="24"/>
          <w:szCs w:val="24"/>
        </w:rPr>
        <w:t xml:space="preserve"> (Iverson, 2010). Studies show that movement skills are linked with early language and social behaviour so </w:t>
      </w:r>
      <w:r w:rsidR="00716C89" w:rsidRPr="00716C89">
        <w:rPr>
          <w:rFonts w:ascii="Times New Roman" w:hAnsi="Times New Roman" w:cs="Times New Roman"/>
          <w:sz w:val="24"/>
          <w:szCs w:val="24"/>
        </w:rPr>
        <w:t>it is</w:t>
      </w:r>
      <w:r w:rsidR="00F547E4" w:rsidRPr="00716C89">
        <w:rPr>
          <w:rFonts w:ascii="Times New Roman" w:hAnsi="Times New Roman" w:cs="Times New Roman"/>
          <w:sz w:val="24"/>
          <w:szCs w:val="24"/>
        </w:rPr>
        <w:t xml:space="preserve"> important for me to do what I can to overcome this and develop inclusivity for all. </w:t>
      </w:r>
    </w:p>
    <w:p w14:paraId="3E5CCD1E" w14:textId="582C9BC1" w:rsidR="0018617E" w:rsidRPr="00716C89" w:rsidRDefault="00716C89" w:rsidP="00716C89">
      <w:pPr>
        <w:spacing w:line="360" w:lineRule="auto"/>
        <w:rPr>
          <w:rFonts w:ascii="Times New Roman" w:hAnsi="Times New Roman" w:cs="Times New Roman"/>
          <w:sz w:val="24"/>
          <w:szCs w:val="24"/>
        </w:rPr>
      </w:pPr>
      <w:r w:rsidRPr="00716C89">
        <w:rPr>
          <w:rFonts w:ascii="Times New Roman" w:hAnsi="Times New Roman" w:cs="Times New Roman"/>
          <w:sz w:val="24"/>
          <w:szCs w:val="24"/>
        </w:rPr>
        <w:t xml:space="preserve">Overall, </w:t>
      </w:r>
      <w:r>
        <w:rPr>
          <w:rFonts w:ascii="Times New Roman" w:hAnsi="Times New Roman" w:cs="Times New Roman"/>
          <w:sz w:val="24"/>
          <w:szCs w:val="24"/>
        </w:rPr>
        <w:t xml:space="preserve">I </w:t>
      </w:r>
      <w:r w:rsidRPr="00716C89">
        <w:rPr>
          <w:rFonts w:ascii="Times New Roman" w:hAnsi="Times New Roman" w:cs="Times New Roman"/>
          <w:sz w:val="24"/>
          <w:szCs w:val="24"/>
        </w:rPr>
        <w:t>believe</w:t>
      </w:r>
      <w:r w:rsidR="00797BC2" w:rsidRPr="00716C89">
        <w:rPr>
          <w:rFonts w:ascii="Times New Roman" w:hAnsi="Times New Roman" w:cs="Times New Roman"/>
          <w:sz w:val="24"/>
          <w:szCs w:val="24"/>
        </w:rPr>
        <w:t xml:space="preserve"> that teachers over the years are gaining more experience and knowledge in how to deal with these situations but there’s still a long way to go. All children should enjoy and want to participate in PE lessons so with the help from teachers they can be encouraged to have fun and do they best they can. ‘Education should be inclusive and where appropriate SEND pupils must be included in the same lessons as their peers even if some form of adaptation is required for them to gain access to the activities. This is the challenge as for PE to be really inclusive, the variety of activities needs to reflect the abilities of all pupils’ (Creative Education, 2018). </w:t>
      </w:r>
    </w:p>
    <w:p w14:paraId="63CE5961" w14:textId="77777777" w:rsidR="00614737" w:rsidRDefault="00614737" w:rsidP="00716C89">
      <w:pPr>
        <w:spacing w:line="360" w:lineRule="auto"/>
        <w:rPr>
          <w:rFonts w:ascii="Times New Roman" w:hAnsi="Times New Roman" w:cs="Times New Roman"/>
          <w:sz w:val="24"/>
          <w:szCs w:val="24"/>
        </w:rPr>
      </w:pPr>
    </w:p>
    <w:p w14:paraId="23DA617F" w14:textId="77777777" w:rsidR="00614737" w:rsidRDefault="00614737" w:rsidP="00716C89">
      <w:pPr>
        <w:spacing w:line="360" w:lineRule="auto"/>
        <w:rPr>
          <w:rFonts w:ascii="Times New Roman" w:hAnsi="Times New Roman" w:cs="Times New Roman"/>
          <w:sz w:val="24"/>
          <w:szCs w:val="24"/>
        </w:rPr>
      </w:pPr>
    </w:p>
    <w:p w14:paraId="18925EE1" w14:textId="7E47CEED" w:rsidR="00147C6C" w:rsidRPr="00716C89" w:rsidRDefault="00614737" w:rsidP="00716C89">
      <w:pPr>
        <w:spacing w:line="360" w:lineRule="auto"/>
        <w:rPr>
          <w:rFonts w:ascii="Times New Roman" w:hAnsi="Times New Roman" w:cs="Times New Roman"/>
          <w:sz w:val="24"/>
          <w:szCs w:val="24"/>
        </w:rPr>
      </w:pPr>
      <w:r>
        <w:rPr>
          <w:rFonts w:ascii="Times New Roman" w:hAnsi="Times New Roman" w:cs="Times New Roman"/>
          <w:sz w:val="24"/>
          <w:szCs w:val="24"/>
        </w:rPr>
        <w:t>Word Count- 2288</w:t>
      </w:r>
    </w:p>
    <w:p w14:paraId="09CDFB09" w14:textId="77777777" w:rsidR="00F547E4" w:rsidRPr="00716C89" w:rsidRDefault="00F547E4" w:rsidP="00716C89">
      <w:pPr>
        <w:spacing w:line="360" w:lineRule="auto"/>
        <w:rPr>
          <w:rFonts w:ascii="Times New Roman" w:hAnsi="Times New Roman" w:cs="Times New Roman"/>
          <w:sz w:val="24"/>
          <w:szCs w:val="24"/>
        </w:rPr>
      </w:pPr>
    </w:p>
    <w:p w14:paraId="0CB37B7B" w14:textId="77777777" w:rsidR="00F547E4" w:rsidRPr="00716C89" w:rsidRDefault="00F547E4" w:rsidP="00716C89">
      <w:pPr>
        <w:spacing w:line="360" w:lineRule="auto"/>
        <w:rPr>
          <w:rFonts w:ascii="Times New Roman" w:hAnsi="Times New Roman" w:cs="Times New Roman"/>
          <w:sz w:val="24"/>
          <w:szCs w:val="24"/>
        </w:rPr>
      </w:pPr>
    </w:p>
    <w:p w14:paraId="52CA3358" w14:textId="77777777" w:rsidR="00F547E4" w:rsidRPr="00716C89" w:rsidRDefault="00F547E4" w:rsidP="00716C89">
      <w:pPr>
        <w:spacing w:line="360" w:lineRule="auto"/>
        <w:rPr>
          <w:rFonts w:ascii="Times New Roman" w:hAnsi="Times New Roman" w:cs="Times New Roman"/>
          <w:sz w:val="24"/>
          <w:szCs w:val="24"/>
        </w:rPr>
      </w:pPr>
    </w:p>
    <w:p w14:paraId="26EA20AA" w14:textId="77777777" w:rsidR="00F547E4" w:rsidRPr="00716C89" w:rsidRDefault="00F547E4" w:rsidP="00716C89">
      <w:pPr>
        <w:spacing w:line="360" w:lineRule="auto"/>
        <w:rPr>
          <w:rFonts w:ascii="Times New Roman" w:hAnsi="Times New Roman" w:cs="Times New Roman"/>
          <w:sz w:val="24"/>
          <w:szCs w:val="24"/>
        </w:rPr>
      </w:pPr>
    </w:p>
    <w:p w14:paraId="5ED1A3BC" w14:textId="77777777" w:rsidR="0062455A" w:rsidRPr="00716C89" w:rsidRDefault="0062455A" w:rsidP="00716C89">
      <w:pPr>
        <w:spacing w:line="360" w:lineRule="auto"/>
        <w:rPr>
          <w:rFonts w:ascii="Times New Roman" w:hAnsi="Times New Roman" w:cs="Times New Roman"/>
          <w:sz w:val="24"/>
          <w:szCs w:val="24"/>
        </w:rPr>
      </w:pPr>
    </w:p>
    <w:p w14:paraId="6925A756" w14:textId="77777777" w:rsidR="0062455A" w:rsidRPr="00716C89" w:rsidRDefault="0062455A" w:rsidP="00716C89">
      <w:pPr>
        <w:spacing w:line="360" w:lineRule="auto"/>
        <w:rPr>
          <w:rFonts w:ascii="Times New Roman" w:hAnsi="Times New Roman" w:cs="Times New Roman"/>
          <w:sz w:val="24"/>
          <w:szCs w:val="24"/>
        </w:rPr>
      </w:pPr>
    </w:p>
    <w:p w14:paraId="3BB703C1" w14:textId="77777777" w:rsidR="0062455A" w:rsidRPr="00716C89" w:rsidRDefault="0062455A" w:rsidP="00716C89">
      <w:pPr>
        <w:spacing w:line="360" w:lineRule="auto"/>
        <w:rPr>
          <w:rFonts w:ascii="Times New Roman" w:hAnsi="Times New Roman" w:cs="Times New Roman"/>
          <w:sz w:val="24"/>
          <w:szCs w:val="24"/>
        </w:rPr>
      </w:pPr>
    </w:p>
    <w:p w14:paraId="75D183F7" w14:textId="7758228E" w:rsidR="00716C89" w:rsidRPr="00716C89" w:rsidRDefault="00716C89" w:rsidP="00716C89">
      <w:pPr>
        <w:spacing w:line="360" w:lineRule="auto"/>
        <w:rPr>
          <w:rFonts w:ascii="Times New Roman" w:hAnsi="Times New Roman" w:cs="Times New Roman"/>
          <w:sz w:val="28"/>
          <w:szCs w:val="28"/>
        </w:rPr>
      </w:pPr>
      <w:r w:rsidRPr="00716C89">
        <w:rPr>
          <w:rFonts w:ascii="Times New Roman" w:hAnsi="Times New Roman" w:cs="Times New Roman"/>
          <w:sz w:val="28"/>
          <w:szCs w:val="28"/>
        </w:rPr>
        <w:t>Reference List</w:t>
      </w:r>
    </w:p>
    <w:p w14:paraId="01C09FCF" w14:textId="77777777" w:rsidR="00716C89" w:rsidRPr="00716C89" w:rsidRDefault="00716C89" w:rsidP="00716C89">
      <w:pPr>
        <w:spacing w:line="360" w:lineRule="auto"/>
        <w:rPr>
          <w:rFonts w:ascii="Times New Roman" w:hAnsi="Times New Roman" w:cs="Times New Roman"/>
          <w:sz w:val="24"/>
          <w:szCs w:val="24"/>
        </w:rPr>
      </w:pPr>
      <w:r w:rsidRPr="00716C89">
        <w:rPr>
          <w:rFonts w:ascii="Times New Roman" w:hAnsi="Times New Roman" w:cs="Times New Roman"/>
          <w:sz w:val="24"/>
          <w:szCs w:val="24"/>
        </w:rPr>
        <w:t xml:space="preserve">Barker, M. (2016) </w:t>
      </w:r>
      <w:r w:rsidRPr="00716C89">
        <w:rPr>
          <w:rFonts w:ascii="Times New Roman" w:hAnsi="Times New Roman" w:cs="Times New Roman"/>
          <w:i/>
          <w:iCs/>
          <w:sz w:val="24"/>
          <w:szCs w:val="24"/>
        </w:rPr>
        <w:t xml:space="preserve">Three Wave Model for Teaching and Intervention. </w:t>
      </w:r>
      <w:r w:rsidRPr="00716C89">
        <w:rPr>
          <w:rFonts w:ascii="Times New Roman" w:hAnsi="Times New Roman" w:cs="Times New Roman"/>
          <w:sz w:val="24"/>
          <w:szCs w:val="24"/>
        </w:rPr>
        <w:t xml:space="preserve">Available at: </w:t>
      </w:r>
      <w:hyperlink r:id="rId5" w:history="1">
        <w:r w:rsidRPr="00716C89">
          <w:rPr>
            <w:rStyle w:val="Hyperlink"/>
            <w:rFonts w:ascii="Times New Roman" w:hAnsi="Times New Roman" w:cs="Times New Roman"/>
            <w:sz w:val="24"/>
            <w:szCs w:val="24"/>
          </w:rPr>
          <w:t>https://highlandliteracy.com/three-wave-model-for-teaching-and-intervention/</w:t>
        </w:r>
      </w:hyperlink>
      <w:r w:rsidRPr="00716C89">
        <w:rPr>
          <w:rFonts w:ascii="Times New Roman" w:hAnsi="Times New Roman" w:cs="Times New Roman"/>
          <w:sz w:val="24"/>
          <w:szCs w:val="24"/>
        </w:rPr>
        <w:t xml:space="preserve"> (Accessed: 2 April 2020)</w:t>
      </w:r>
    </w:p>
    <w:p w14:paraId="55BF6C17" w14:textId="77777777" w:rsidR="00716C89" w:rsidRPr="00716C89" w:rsidRDefault="00716C89" w:rsidP="00716C89">
      <w:pPr>
        <w:spacing w:line="360" w:lineRule="auto"/>
        <w:rPr>
          <w:rFonts w:ascii="Times New Roman" w:hAnsi="Times New Roman" w:cs="Times New Roman"/>
          <w:sz w:val="24"/>
          <w:szCs w:val="24"/>
        </w:rPr>
      </w:pPr>
      <w:r w:rsidRPr="00716C89">
        <w:rPr>
          <w:rFonts w:ascii="Times New Roman" w:hAnsi="Times New Roman" w:cs="Times New Roman"/>
          <w:sz w:val="24"/>
          <w:szCs w:val="24"/>
        </w:rPr>
        <w:t xml:space="preserve">Black, K. and Stevenson, P. (2012) </w:t>
      </w:r>
      <w:r w:rsidRPr="00716C89">
        <w:rPr>
          <w:rFonts w:ascii="Times New Roman" w:hAnsi="Times New Roman" w:cs="Times New Roman"/>
          <w:i/>
          <w:iCs/>
          <w:sz w:val="24"/>
          <w:szCs w:val="24"/>
        </w:rPr>
        <w:t xml:space="preserve">The Inclusion Spectrum. </w:t>
      </w:r>
      <w:r w:rsidRPr="00716C89">
        <w:rPr>
          <w:rFonts w:ascii="Times New Roman" w:hAnsi="Times New Roman" w:cs="Times New Roman"/>
          <w:sz w:val="24"/>
          <w:szCs w:val="24"/>
        </w:rPr>
        <w:t xml:space="preserve">Available at:  </w:t>
      </w:r>
      <w:hyperlink r:id="rId6" w:history="1">
        <w:r w:rsidRPr="00716C89">
          <w:rPr>
            <w:rStyle w:val="Hyperlink"/>
            <w:rFonts w:ascii="Times New Roman" w:hAnsi="Times New Roman" w:cs="Times New Roman"/>
            <w:sz w:val="24"/>
            <w:szCs w:val="24"/>
          </w:rPr>
          <w:t>http://www.sportdevelopment.org.uk/index.php/browse-all-documents/748-the-inclusion-spectrum</w:t>
        </w:r>
      </w:hyperlink>
      <w:r w:rsidRPr="00716C89">
        <w:rPr>
          <w:rFonts w:ascii="Times New Roman" w:hAnsi="Times New Roman" w:cs="Times New Roman"/>
          <w:sz w:val="24"/>
          <w:szCs w:val="24"/>
        </w:rPr>
        <w:t xml:space="preserve"> (Accessed: 21 July 2012). </w:t>
      </w:r>
      <w:r w:rsidRPr="00716C89">
        <w:rPr>
          <w:rFonts w:ascii="Times New Roman" w:hAnsi="Times New Roman" w:cs="Times New Roman"/>
          <w:sz w:val="24"/>
          <w:szCs w:val="24"/>
        </w:rPr>
        <w:cr/>
        <w:t xml:space="preserve"> </w:t>
      </w:r>
    </w:p>
    <w:p w14:paraId="2BA2886C" w14:textId="77777777" w:rsidR="00716C89" w:rsidRPr="00716C89" w:rsidRDefault="00716C89" w:rsidP="00716C89">
      <w:pPr>
        <w:spacing w:line="360" w:lineRule="auto"/>
        <w:rPr>
          <w:rFonts w:ascii="Times New Roman" w:hAnsi="Times New Roman" w:cs="Times New Roman"/>
          <w:sz w:val="24"/>
          <w:szCs w:val="24"/>
        </w:rPr>
      </w:pPr>
      <w:r w:rsidRPr="00716C89">
        <w:rPr>
          <w:rFonts w:ascii="Times New Roman" w:hAnsi="Times New Roman" w:cs="Times New Roman"/>
          <w:sz w:val="24"/>
          <w:szCs w:val="24"/>
        </w:rPr>
        <w:t>Clark, J. E., &amp; Metcalfe, J. S. (2002). The mountain of motor development: A metaphor. In J. E. Clark &amp; J. Humphrey (Eds.), Motor development: Vol. 2. Research and reviews (pp. 163–190). Reston, VA: NASPE.</w:t>
      </w:r>
    </w:p>
    <w:p w14:paraId="15586E74" w14:textId="77777777" w:rsidR="00716C89" w:rsidRPr="00716C89" w:rsidRDefault="00716C89" w:rsidP="00716C89">
      <w:pPr>
        <w:spacing w:line="360" w:lineRule="auto"/>
        <w:rPr>
          <w:rFonts w:ascii="Times New Roman" w:hAnsi="Times New Roman" w:cs="Times New Roman"/>
          <w:sz w:val="24"/>
          <w:szCs w:val="24"/>
        </w:rPr>
      </w:pPr>
      <w:r w:rsidRPr="00716C89">
        <w:rPr>
          <w:rFonts w:ascii="Times New Roman" w:hAnsi="Times New Roman" w:cs="Times New Roman"/>
          <w:sz w:val="24"/>
          <w:szCs w:val="24"/>
        </w:rPr>
        <w:t xml:space="preserve">Coach CA (2020) </w:t>
      </w:r>
      <w:r w:rsidRPr="00716C89">
        <w:rPr>
          <w:rFonts w:ascii="Times New Roman" w:hAnsi="Times New Roman" w:cs="Times New Roman"/>
          <w:i/>
          <w:iCs/>
          <w:sz w:val="24"/>
          <w:szCs w:val="24"/>
        </w:rPr>
        <w:t xml:space="preserve">NCCP Fundamental Movement Skills. </w:t>
      </w:r>
      <w:r w:rsidRPr="00716C89">
        <w:rPr>
          <w:rFonts w:ascii="Times New Roman" w:hAnsi="Times New Roman" w:cs="Times New Roman"/>
          <w:sz w:val="24"/>
          <w:szCs w:val="24"/>
        </w:rPr>
        <w:t xml:space="preserve">Available at: </w:t>
      </w:r>
      <w:hyperlink r:id="rId7" w:history="1">
        <w:r w:rsidRPr="00716C89">
          <w:rPr>
            <w:rStyle w:val="Hyperlink"/>
            <w:rFonts w:ascii="Times New Roman" w:hAnsi="Times New Roman" w:cs="Times New Roman"/>
            <w:sz w:val="24"/>
            <w:szCs w:val="24"/>
          </w:rPr>
          <w:t>https://coach.ca/nccp-fundamental-movement-skills</w:t>
        </w:r>
      </w:hyperlink>
      <w:r w:rsidRPr="00716C89">
        <w:rPr>
          <w:rFonts w:ascii="Times New Roman" w:hAnsi="Times New Roman" w:cs="Times New Roman"/>
          <w:sz w:val="24"/>
          <w:szCs w:val="24"/>
        </w:rPr>
        <w:t xml:space="preserve"> (Accessed: 2 April 2020). </w:t>
      </w:r>
    </w:p>
    <w:p w14:paraId="7C921C19" w14:textId="77777777" w:rsidR="00716C89" w:rsidRPr="00716C89" w:rsidRDefault="00716C89" w:rsidP="00716C89">
      <w:pPr>
        <w:spacing w:line="360" w:lineRule="auto"/>
        <w:rPr>
          <w:rFonts w:ascii="Times New Roman" w:hAnsi="Times New Roman" w:cs="Times New Roman"/>
          <w:sz w:val="24"/>
          <w:szCs w:val="24"/>
        </w:rPr>
      </w:pPr>
      <w:r w:rsidRPr="00716C89">
        <w:rPr>
          <w:rFonts w:ascii="Times New Roman" w:hAnsi="Times New Roman" w:cs="Times New Roman"/>
          <w:sz w:val="24"/>
          <w:szCs w:val="24"/>
        </w:rPr>
        <w:t xml:space="preserve">Gov Wales (2009) </w:t>
      </w:r>
      <w:r w:rsidRPr="00716C89">
        <w:rPr>
          <w:rFonts w:ascii="Times New Roman" w:hAnsi="Times New Roman" w:cs="Times New Roman"/>
          <w:i/>
          <w:iCs/>
          <w:sz w:val="24"/>
          <w:szCs w:val="24"/>
        </w:rPr>
        <w:t>Children with Additonal Learning Needs</w:t>
      </w:r>
      <w:r w:rsidRPr="00716C89">
        <w:rPr>
          <w:rFonts w:ascii="Times New Roman" w:hAnsi="Times New Roman" w:cs="Times New Roman"/>
          <w:sz w:val="24"/>
          <w:szCs w:val="24"/>
        </w:rPr>
        <w:t xml:space="preserve">. Available at: </w:t>
      </w:r>
      <w:hyperlink r:id="rId8" w:history="1">
        <w:r w:rsidRPr="00716C89">
          <w:rPr>
            <w:rStyle w:val="Hyperlink"/>
            <w:rFonts w:ascii="Times New Roman" w:hAnsi="Times New Roman" w:cs="Times New Roman"/>
            <w:sz w:val="24"/>
            <w:szCs w:val="24"/>
          </w:rPr>
          <w:t>https://gov.wales/sites/default/files/publications/2018-03/13-children-with-additional-learning-needs.pdf</w:t>
        </w:r>
      </w:hyperlink>
      <w:r w:rsidRPr="00716C89">
        <w:rPr>
          <w:rFonts w:ascii="Times New Roman" w:hAnsi="Times New Roman" w:cs="Times New Roman"/>
          <w:sz w:val="24"/>
          <w:szCs w:val="24"/>
        </w:rPr>
        <w:t xml:space="preserve"> (Accessed: 2 April 2020).</w:t>
      </w:r>
    </w:p>
    <w:p w14:paraId="0C4CE19F" w14:textId="77777777" w:rsidR="00716C89" w:rsidRPr="00716C89" w:rsidRDefault="00716C89" w:rsidP="00716C89">
      <w:pPr>
        <w:spacing w:line="360" w:lineRule="auto"/>
        <w:rPr>
          <w:rFonts w:ascii="Times New Roman" w:hAnsi="Times New Roman" w:cs="Times New Roman"/>
          <w:sz w:val="24"/>
          <w:szCs w:val="24"/>
        </w:rPr>
      </w:pPr>
      <w:r w:rsidRPr="00716C89">
        <w:rPr>
          <w:rFonts w:ascii="Times New Roman" w:hAnsi="Times New Roman" w:cs="Times New Roman"/>
          <w:sz w:val="24"/>
          <w:szCs w:val="24"/>
        </w:rPr>
        <w:t xml:space="preserve">Merrick, M. (2015) ‘Inclusion Spectrum’, </w:t>
      </w:r>
      <w:r w:rsidRPr="00716C89">
        <w:rPr>
          <w:rFonts w:ascii="Times New Roman" w:hAnsi="Times New Roman" w:cs="Times New Roman"/>
          <w:i/>
          <w:iCs/>
          <w:sz w:val="24"/>
          <w:szCs w:val="24"/>
        </w:rPr>
        <w:t>Teaching and Learning in PE</w:t>
      </w:r>
      <w:r w:rsidRPr="00716C89">
        <w:rPr>
          <w:rFonts w:ascii="Times New Roman" w:hAnsi="Times New Roman" w:cs="Times New Roman"/>
          <w:sz w:val="24"/>
          <w:szCs w:val="24"/>
        </w:rPr>
        <w:t xml:space="preserve">, 20 December. Available at: </w:t>
      </w:r>
      <w:hyperlink r:id="rId9" w:history="1">
        <w:r w:rsidRPr="00716C89">
          <w:rPr>
            <w:rStyle w:val="Hyperlink"/>
            <w:rFonts w:ascii="Times New Roman" w:hAnsi="Times New Roman" w:cs="Times New Roman"/>
            <w:sz w:val="24"/>
            <w:szCs w:val="24"/>
          </w:rPr>
          <w:t>https://mezz16blog.wordpress.com/2015/12/20/inclusion-spectrum/</w:t>
        </w:r>
      </w:hyperlink>
      <w:r w:rsidRPr="00716C89">
        <w:rPr>
          <w:rFonts w:ascii="Times New Roman" w:hAnsi="Times New Roman" w:cs="Times New Roman"/>
          <w:sz w:val="24"/>
          <w:szCs w:val="24"/>
        </w:rPr>
        <w:t xml:space="preserve"> (Accessed: 31 March 2020).</w:t>
      </w:r>
    </w:p>
    <w:p w14:paraId="7C785205" w14:textId="77777777" w:rsidR="00716C89" w:rsidRPr="00716C89" w:rsidRDefault="00716C89" w:rsidP="00716C89">
      <w:pPr>
        <w:spacing w:line="360" w:lineRule="auto"/>
        <w:rPr>
          <w:rFonts w:ascii="Times New Roman" w:hAnsi="Times New Roman" w:cs="Times New Roman"/>
          <w:sz w:val="24"/>
          <w:szCs w:val="24"/>
        </w:rPr>
      </w:pPr>
      <w:r w:rsidRPr="00716C89">
        <w:rPr>
          <w:rFonts w:ascii="Times New Roman" w:hAnsi="Times New Roman" w:cs="Times New Roman"/>
          <w:sz w:val="24"/>
          <w:szCs w:val="24"/>
        </w:rPr>
        <w:t xml:space="preserve">Physical Education in the National Curriculum for Wales. (2008) Department for Children, Education, Lifelong Learning and Skills. Welsh Assembly Government. </w:t>
      </w:r>
    </w:p>
    <w:p w14:paraId="2EEF920A" w14:textId="77777777" w:rsidR="00716C89" w:rsidRPr="00716C89" w:rsidRDefault="00716C89" w:rsidP="00716C89">
      <w:pPr>
        <w:spacing w:line="360" w:lineRule="auto"/>
        <w:rPr>
          <w:rFonts w:ascii="Times New Roman" w:hAnsi="Times New Roman" w:cs="Times New Roman"/>
          <w:sz w:val="24"/>
          <w:szCs w:val="24"/>
        </w:rPr>
      </w:pPr>
      <w:r w:rsidRPr="00716C89">
        <w:rPr>
          <w:rFonts w:ascii="Times New Roman" w:hAnsi="Times New Roman" w:cs="Times New Roman"/>
          <w:sz w:val="24"/>
          <w:szCs w:val="24"/>
        </w:rPr>
        <w:t xml:space="preserve">Rae, H. (2010). Teachers’ attitudes to mainstream schooling. Learning disability practice, 13(10), 12-17. </w:t>
      </w:r>
    </w:p>
    <w:p w14:paraId="37C245CD" w14:textId="77777777" w:rsidR="00716C89" w:rsidRPr="00716C89" w:rsidRDefault="00716C89" w:rsidP="00716C89">
      <w:pPr>
        <w:spacing w:line="360" w:lineRule="auto"/>
        <w:rPr>
          <w:rFonts w:ascii="Times New Roman" w:hAnsi="Times New Roman" w:cs="Times New Roman"/>
          <w:sz w:val="24"/>
          <w:szCs w:val="24"/>
        </w:rPr>
      </w:pPr>
      <w:r w:rsidRPr="00716C89">
        <w:rPr>
          <w:rFonts w:ascii="Times New Roman" w:hAnsi="Times New Roman" w:cs="Times New Roman"/>
          <w:sz w:val="24"/>
          <w:szCs w:val="24"/>
        </w:rPr>
        <w:t xml:space="preserve">Telfer, M. (2014) ‘Change your PE Lessons in 4 Steps’, </w:t>
      </w:r>
      <w:r w:rsidRPr="00716C89">
        <w:rPr>
          <w:rFonts w:ascii="Times New Roman" w:hAnsi="Times New Roman" w:cs="Times New Roman"/>
          <w:i/>
          <w:iCs/>
          <w:sz w:val="24"/>
          <w:szCs w:val="24"/>
        </w:rPr>
        <w:t>The PE Hub</w:t>
      </w:r>
      <w:r w:rsidRPr="00716C89">
        <w:rPr>
          <w:rFonts w:ascii="Times New Roman" w:hAnsi="Times New Roman" w:cs="Times New Roman"/>
          <w:sz w:val="24"/>
          <w:szCs w:val="24"/>
        </w:rPr>
        <w:t xml:space="preserve">, 12 November. Available at: </w:t>
      </w:r>
      <w:hyperlink r:id="rId10" w:history="1">
        <w:r w:rsidRPr="00716C89">
          <w:rPr>
            <w:rStyle w:val="Hyperlink"/>
            <w:rFonts w:ascii="Times New Roman" w:hAnsi="Times New Roman" w:cs="Times New Roman"/>
            <w:sz w:val="24"/>
            <w:szCs w:val="24"/>
          </w:rPr>
          <w:t>https://thepehub.co.uk/step-in-pe/</w:t>
        </w:r>
      </w:hyperlink>
      <w:r w:rsidRPr="00716C89">
        <w:rPr>
          <w:rFonts w:ascii="Times New Roman" w:hAnsi="Times New Roman" w:cs="Times New Roman"/>
          <w:sz w:val="24"/>
          <w:szCs w:val="24"/>
        </w:rPr>
        <w:t xml:space="preserve"> (Accessed: 30 March 2020).</w:t>
      </w:r>
    </w:p>
    <w:p w14:paraId="32FC9DD8" w14:textId="77777777" w:rsidR="00716C89" w:rsidRPr="00716C89" w:rsidRDefault="00716C89" w:rsidP="00716C89">
      <w:pPr>
        <w:spacing w:line="360" w:lineRule="auto"/>
        <w:rPr>
          <w:rFonts w:ascii="Times New Roman" w:hAnsi="Times New Roman" w:cs="Times New Roman"/>
          <w:sz w:val="24"/>
          <w:szCs w:val="24"/>
        </w:rPr>
      </w:pPr>
      <w:r w:rsidRPr="00716C89">
        <w:rPr>
          <w:rFonts w:ascii="Times New Roman" w:hAnsi="Times New Roman" w:cs="Times New Roman"/>
          <w:sz w:val="24"/>
          <w:szCs w:val="24"/>
        </w:rPr>
        <w:t xml:space="preserve">The PE Project (2019) </w:t>
      </w:r>
      <w:r w:rsidRPr="00716C89">
        <w:rPr>
          <w:rFonts w:ascii="Times New Roman" w:hAnsi="Times New Roman" w:cs="Times New Roman"/>
          <w:i/>
          <w:iCs/>
          <w:sz w:val="24"/>
          <w:szCs w:val="24"/>
        </w:rPr>
        <w:t xml:space="preserve">Teaching Styles. </w:t>
      </w:r>
      <w:r w:rsidRPr="00716C89">
        <w:rPr>
          <w:rFonts w:ascii="Times New Roman" w:hAnsi="Times New Roman" w:cs="Times New Roman"/>
          <w:sz w:val="24"/>
          <w:szCs w:val="24"/>
        </w:rPr>
        <w:t xml:space="preserve">Available at: </w:t>
      </w:r>
      <w:hyperlink r:id="rId11" w:history="1">
        <w:r w:rsidRPr="00716C89">
          <w:rPr>
            <w:rStyle w:val="Hyperlink"/>
            <w:rFonts w:ascii="Times New Roman" w:hAnsi="Times New Roman" w:cs="Times New Roman"/>
            <w:sz w:val="24"/>
            <w:szCs w:val="24"/>
          </w:rPr>
          <w:t>http://www.thepeproject.com/teaching-styles/</w:t>
        </w:r>
      </w:hyperlink>
      <w:r w:rsidRPr="00716C89">
        <w:rPr>
          <w:rFonts w:ascii="Times New Roman" w:hAnsi="Times New Roman" w:cs="Times New Roman"/>
          <w:sz w:val="24"/>
          <w:szCs w:val="24"/>
        </w:rPr>
        <w:t xml:space="preserve"> (Accessed: 19 December 2019). </w:t>
      </w:r>
    </w:p>
    <w:p w14:paraId="20402F2D" w14:textId="77777777" w:rsidR="00716C89" w:rsidRPr="00716C89" w:rsidRDefault="00716C89" w:rsidP="00716C89">
      <w:pPr>
        <w:spacing w:line="360" w:lineRule="auto"/>
        <w:rPr>
          <w:rFonts w:ascii="Times New Roman" w:hAnsi="Times New Roman" w:cs="Times New Roman"/>
          <w:sz w:val="24"/>
          <w:szCs w:val="24"/>
        </w:rPr>
      </w:pPr>
      <w:r w:rsidRPr="00716C89">
        <w:rPr>
          <w:rFonts w:ascii="Times New Roman" w:hAnsi="Times New Roman" w:cs="Times New Roman"/>
          <w:sz w:val="24"/>
          <w:szCs w:val="24"/>
        </w:rPr>
        <w:lastRenderedPageBreak/>
        <w:t xml:space="preserve">Vickerman, P. (2007) ‘Including Children with Special Educational Needs in Physical Education: has entitlement and accessibility been realised?’, </w:t>
      </w:r>
      <w:r w:rsidRPr="00716C89">
        <w:rPr>
          <w:rFonts w:ascii="Times New Roman" w:hAnsi="Times New Roman" w:cs="Times New Roman"/>
          <w:i/>
          <w:iCs/>
          <w:sz w:val="24"/>
          <w:szCs w:val="24"/>
        </w:rPr>
        <w:t xml:space="preserve">Disability and Society, </w:t>
      </w:r>
      <w:r w:rsidRPr="00716C89">
        <w:rPr>
          <w:rFonts w:ascii="Times New Roman" w:hAnsi="Times New Roman" w:cs="Times New Roman"/>
          <w:sz w:val="24"/>
          <w:szCs w:val="24"/>
        </w:rPr>
        <w:t>27(2).</w:t>
      </w:r>
    </w:p>
    <w:p w14:paraId="595EA4AB" w14:textId="77777777" w:rsidR="00716C89" w:rsidRPr="00716C89" w:rsidRDefault="00716C89" w:rsidP="00716C89">
      <w:pPr>
        <w:spacing w:line="360" w:lineRule="auto"/>
        <w:rPr>
          <w:rFonts w:ascii="Times New Roman" w:hAnsi="Times New Roman" w:cs="Times New Roman"/>
          <w:sz w:val="24"/>
          <w:szCs w:val="24"/>
        </w:rPr>
      </w:pPr>
      <w:r w:rsidRPr="00716C89">
        <w:rPr>
          <w:rFonts w:ascii="Times New Roman" w:hAnsi="Times New Roman" w:cs="Times New Roman"/>
          <w:sz w:val="24"/>
          <w:szCs w:val="24"/>
        </w:rPr>
        <w:t xml:space="preserve">Wales Academy for Health and Physical Literacy (2015) </w:t>
      </w:r>
      <w:r w:rsidRPr="00716C89">
        <w:rPr>
          <w:rFonts w:ascii="Times New Roman" w:hAnsi="Times New Roman" w:cs="Times New Roman"/>
          <w:i/>
          <w:iCs/>
          <w:sz w:val="24"/>
          <w:szCs w:val="24"/>
        </w:rPr>
        <w:t xml:space="preserve">About SKIP-Cymru. </w:t>
      </w:r>
      <w:r w:rsidRPr="00716C89">
        <w:rPr>
          <w:rFonts w:ascii="Times New Roman" w:hAnsi="Times New Roman" w:cs="Times New Roman"/>
          <w:sz w:val="24"/>
          <w:szCs w:val="24"/>
        </w:rPr>
        <w:t xml:space="preserve">Available at: </w:t>
      </w:r>
      <w:hyperlink r:id="rId12" w:history="1">
        <w:r w:rsidRPr="00716C89">
          <w:rPr>
            <w:rStyle w:val="Hyperlink"/>
            <w:rFonts w:ascii="Times New Roman" w:hAnsi="Times New Roman" w:cs="Times New Roman"/>
            <w:sz w:val="24"/>
            <w:szCs w:val="24"/>
          </w:rPr>
          <w:t>https://physicalliteracy.cymru/s-k-i-p/</w:t>
        </w:r>
      </w:hyperlink>
      <w:r w:rsidRPr="00716C89">
        <w:rPr>
          <w:rFonts w:ascii="Times New Roman" w:hAnsi="Times New Roman" w:cs="Times New Roman"/>
          <w:sz w:val="24"/>
          <w:szCs w:val="24"/>
        </w:rPr>
        <w:t xml:space="preserve"> (Accessed: 14 December 2015)</w:t>
      </w:r>
    </w:p>
    <w:p w14:paraId="2B4444DB" w14:textId="77777777" w:rsidR="004374A7" w:rsidRDefault="004374A7"/>
    <w:sectPr w:rsidR="004374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51C"/>
    <w:rsid w:val="00067198"/>
    <w:rsid w:val="00147C6C"/>
    <w:rsid w:val="00180B24"/>
    <w:rsid w:val="00184B1C"/>
    <w:rsid w:val="0018617E"/>
    <w:rsid w:val="001A38D1"/>
    <w:rsid w:val="001A63AF"/>
    <w:rsid w:val="001E24EB"/>
    <w:rsid w:val="001E4DB8"/>
    <w:rsid w:val="00262D26"/>
    <w:rsid w:val="004374A7"/>
    <w:rsid w:val="004A2ACB"/>
    <w:rsid w:val="004A777F"/>
    <w:rsid w:val="004D52A5"/>
    <w:rsid w:val="005249BA"/>
    <w:rsid w:val="00577FB2"/>
    <w:rsid w:val="005F17EA"/>
    <w:rsid w:val="00614737"/>
    <w:rsid w:val="0062455A"/>
    <w:rsid w:val="0064767F"/>
    <w:rsid w:val="0068618F"/>
    <w:rsid w:val="006874EE"/>
    <w:rsid w:val="00705974"/>
    <w:rsid w:val="00716C89"/>
    <w:rsid w:val="007632A7"/>
    <w:rsid w:val="00771188"/>
    <w:rsid w:val="0079204D"/>
    <w:rsid w:val="00797BC2"/>
    <w:rsid w:val="0080551C"/>
    <w:rsid w:val="00AC699B"/>
    <w:rsid w:val="00C21183"/>
    <w:rsid w:val="00C2272F"/>
    <w:rsid w:val="00C641AC"/>
    <w:rsid w:val="00CD68FB"/>
    <w:rsid w:val="00D208C3"/>
    <w:rsid w:val="00D41E9B"/>
    <w:rsid w:val="00E276B4"/>
    <w:rsid w:val="00E96E9C"/>
    <w:rsid w:val="00EA41B2"/>
    <w:rsid w:val="00EF1999"/>
    <w:rsid w:val="00EF3908"/>
    <w:rsid w:val="00F547E4"/>
    <w:rsid w:val="00F57C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7115E"/>
  <w15:chartTrackingRefBased/>
  <w15:docId w15:val="{8FEBD62D-AED0-48DE-8A1E-984C3B222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80551C"/>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80551C"/>
    <w:rPr>
      <w:rFonts w:ascii="Times New Roman" w:eastAsia="Times New Roman" w:hAnsi="Times New Roman" w:cs="Times New Roman"/>
      <w:sz w:val="24"/>
      <w:szCs w:val="20"/>
      <w:lang w:eastAsia="en-GB"/>
    </w:rPr>
  </w:style>
  <w:style w:type="character" w:styleId="Hyperlink">
    <w:name w:val="Hyperlink"/>
    <w:basedOn w:val="DefaultParagraphFont"/>
    <w:uiPriority w:val="99"/>
    <w:unhideWhenUsed/>
    <w:rsid w:val="001A38D1"/>
    <w:rPr>
      <w:color w:val="0563C1" w:themeColor="hyperlink"/>
      <w:u w:val="single"/>
    </w:rPr>
  </w:style>
  <w:style w:type="character" w:styleId="UnresolvedMention">
    <w:name w:val="Unresolved Mention"/>
    <w:basedOn w:val="DefaultParagraphFont"/>
    <w:uiPriority w:val="99"/>
    <w:semiHidden/>
    <w:unhideWhenUsed/>
    <w:rsid w:val="001A38D1"/>
    <w:rPr>
      <w:color w:val="605E5C"/>
      <w:shd w:val="clear" w:color="auto" w:fill="E1DFDD"/>
    </w:rPr>
  </w:style>
  <w:style w:type="character" w:styleId="FollowedHyperlink">
    <w:name w:val="FollowedHyperlink"/>
    <w:basedOn w:val="DefaultParagraphFont"/>
    <w:uiPriority w:val="99"/>
    <w:semiHidden/>
    <w:unhideWhenUsed/>
    <w:rsid w:val="0062455A"/>
    <w:rPr>
      <w:color w:val="954F72" w:themeColor="followedHyperlink"/>
      <w:u w:val="single"/>
    </w:rPr>
  </w:style>
  <w:style w:type="paragraph" w:styleId="Title">
    <w:name w:val="Title"/>
    <w:basedOn w:val="Normal"/>
    <w:link w:val="TitleChar"/>
    <w:uiPriority w:val="10"/>
    <w:qFormat/>
    <w:rsid w:val="00614737"/>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614737"/>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614737"/>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614737"/>
    <w:rPr>
      <w:rFonts w:ascii="Times New Roman" w:eastAsia="MS Minngs" w:hAnsi="Times New Roman" w:cs="Times New Roman"/>
      <w:sz w:val="32"/>
      <w:szCs w:val="32"/>
      <w:u w:val="single"/>
      <w:lang w:eastAsia="en-GB"/>
    </w:rPr>
  </w:style>
  <w:style w:type="paragraph" w:customStyle="1" w:styleId="Modcode">
    <w:name w:val="Modcode"/>
    <w:basedOn w:val="Normal"/>
    <w:rsid w:val="00614737"/>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614737"/>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614737"/>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614737"/>
    <w:pPr>
      <w:spacing w:after="0" w:line="240" w:lineRule="auto"/>
    </w:pPr>
    <w:rPr>
      <w:rFonts w:ascii="Times New Roman" w:eastAsia="Times New Roman" w:hAnsi="Times New Roman" w:cs="Times New Roman"/>
      <w:b/>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6994299">
      <w:bodyDiv w:val="1"/>
      <w:marLeft w:val="0"/>
      <w:marRight w:val="0"/>
      <w:marTop w:val="0"/>
      <w:marBottom w:val="0"/>
      <w:divBdr>
        <w:top w:val="none" w:sz="0" w:space="0" w:color="auto"/>
        <w:left w:val="none" w:sz="0" w:space="0" w:color="auto"/>
        <w:bottom w:val="none" w:sz="0" w:space="0" w:color="auto"/>
        <w:right w:val="none" w:sz="0" w:space="0" w:color="auto"/>
      </w:divBdr>
    </w:div>
    <w:div w:id="1048533862">
      <w:bodyDiv w:val="1"/>
      <w:marLeft w:val="0"/>
      <w:marRight w:val="0"/>
      <w:marTop w:val="0"/>
      <w:marBottom w:val="0"/>
      <w:divBdr>
        <w:top w:val="none" w:sz="0" w:space="0" w:color="auto"/>
        <w:left w:val="none" w:sz="0" w:space="0" w:color="auto"/>
        <w:bottom w:val="none" w:sz="0" w:space="0" w:color="auto"/>
        <w:right w:val="none" w:sz="0" w:space="0" w:color="auto"/>
      </w:divBdr>
    </w:div>
    <w:div w:id="1065179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13-children-with-additional-learning-needs.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oach.ca/nccp-fundamental-movement-skills" TargetMode="External"/><Relationship Id="rId12" Type="http://schemas.openxmlformats.org/officeDocument/2006/relationships/hyperlink" Target="https://physicalliteracy.cymru/s-k-i-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sportdevelopment.org.uk/index.php/browse-all-documents/748-the-inclusion-spectrum" TargetMode="External"/><Relationship Id="rId11" Type="http://schemas.openxmlformats.org/officeDocument/2006/relationships/hyperlink" Target="http://www.thepeproject.com/teaching-styles/" TargetMode="External"/><Relationship Id="rId5" Type="http://schemas.openxmlformats.org/officeDocument/2006/relationships/hyperlink" Target="https://highlandliteracy.com/three-wave-model-for-teaching-and-intervention/" TargetMode="External"/><Relationship Id="rId10" Type="http://schemas.openxmlformats.org/officeDocument/2006/relationships/hyperlink" Target="https://thepehub.co.uk/step-in-pe/" TargetMode="External"/><Relationship Id="rId4" Type="http://schemas.openxmlformats.org/officeDocument/2006/relationships/image" Target="media/image1.jpeg"/><Relationship Id="rId9" Type="http://schemas.openxmlformats.org/officeDocument/2006/relationships/hyperlink" Target="https://mezz16blog.wordpress.com/2015/12/20/inclusion-spectru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3739</TotalTime>
  <Pages>9</Pages>
  <Words>2881</Words>
  <Characters>16422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Sargeant</dc:creator>
  <cp:keywords/>
  <dc:description/>
  <cp:lastModifiedBy>Sophie Sargeant</cp:lastModifiedBy>
  <cp:revision>21</cp:revision>
  <dcterms:created xsi:type="dcterms:W3CDTF">2020-03-23T12:00:00Z</dcterms:created>
  <dcterms:modified xsi:type="dcterms:W3CDTF">2020-04-02T18:00:00Z</dcterms:modified>
</cp:coreProperties>
</file>