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078E63" w14:textId="77777777" w:rsidR="00FB0418" w:rsidRDefault="00FB0418"/>
    <w:p w14:paraId="089E6113" w14:textId="185C38EF" w:rsidR="00AE2776" w:rsidRPr="000E351A" w:rsidRDefault="00AE2776" w:rsidP="00AE2776">
      <w:pPr>
        <w:spacing w:before="240"/>
      </w:pPr>
      <w:r>
        <w:t xml:space="preserve">                  </w:t>
      </w:r>
      <w:r w:rsidRPr="000E351A">
        <w:rPr>
          <w:noProof/>
          <w:lang w:val="en-IN" w:eastAsia="en-IN"/>
        </w:rPr>
        <w:drawing>
          <wp:inline distT="114300" distB="114300" distL="114300" distR="114300" wp14:anchorId="447B1AA1" wp14:editId="41B96895">
            <wp:extent cx="4214813" cy="210740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4214813" cy="2107406"/>
                    </a:xfrm>
                    <a:prstGeom prst="rect">
                      <a:avLst/>
                    </a:prstGeom>
                  </pic:spPr>
                </pic:pic>
              </a:graphicData>
            </a:graphic>
          </wp:inline>
        </w:drawing>
      </w:r>
    </w:p>
    <w:p w14:paraId="3EFED19F" w14:textId="71DBDC33" w:rsidR="00AE2776" w:rsidRPr="001C0AA6" w:rsidRDefault="001C0AA6" w:rsidP="001C0AA6">
      <w:pPr>
        <w:spacing w:before="240" w:line="360" w:lineRule="auto"/>
        <w:jc w:val="center"/>
        <w:rPr>
          <w:rFonts w:ascii="Arial" w:hAnsi="Arial" w:cs="Arial"/>
          <w:b/>
          <w:bCs/>
        </w:rPr>
      </w:pPr>
      <w:proofErr w:type="spellStart"/>
      <w:r w:rsidRPr="001C0AA6">
        <w:rPr>
          <w:rFonts w:ascii="Arial" w:hAnsi="Arial" w:cs="Arial"/>
          <w:b/>
          <w:bCs/>
        </w:rPr>
        <w:t>Programme</w:t>
      </w:r>
      <w:proofErr w:type="spellEnd"/>
      <w:r w:rsidRPr="001C0AA6">
        <w:rPr>
          <w:rFonts w:ascii="Arial" w:hAnsi="Arial" w:cs="Arial"/>
          <w:b/>
          <w:bCs/>
        </w:rPr>
        <w:t>:</w:t>
      </w:r>
      <w:r w:rsidR="00AE2776" w:rsidRPr="001C0AA6">
        <w:rPr>
          <w:rFonts w:ascii="Arial" w:hAnsi="Arial" w:cs="Arial"/>
          <w:b/>
          <w:bCs/>
        </w:rPr>
        <w:t xml:space="preserve"> Master of Business Administration</w:t>
      </w:r>
    </w:p>
    <w:p w14:paraId="50BC91AF" w14:textId="77777777" w:rsidR="00AE2776" w:rsidRPr="001C0AA6" w:rsidRDefault="00AE2776" w:rsidP="001C0AA6">
      <w:pPr>
        <w:spacing w:before="240" w:line="360" w:lineRule="auto"/>
        <w:jc w:val="center"/>
        <w:rPr>
          <w:rFonts w:ascii="Arial" w:hAnsi="Arial" w:cs="Arial"/>
          <w:b/>
          <w:bCs/>
        </w:rPr>
      </w:pPr>
      <w:r w:rsidRPr="001C0AA6">
        <w:rPr>
          <w:rFonts w:ascii="Arial" w:hAnsi="Arial" w:cs="Arial"/>
          <w:b/>
          <w:bCs/>
        </w:rPr>
        <w:t>Module: Financial Management</w:t>
      </w:r>
    </w:p>
    <w:p w14:paraId="6D2DC701" w14:textId="77777777" w:rsidR="00AE2776" w:rsidRPr="001C0AA6" w:rsidRDefault="00AE2776" w:rsidP="001C0AA6">
      <w:pPr>
        <w:spacing w:before="240" w:line="360" w:lineRule="auto"/>
        <w:jc w:val="center"/>
        <w:rPr>
          <w:rFonts w:ascii="Arial" w:hAnsi="Arial" w:cs="Arial"/>
          <w:b/>
          <w:bCs/>
        </w:rPr>
      </w:pPr>
      <w:r w:rsidRPr="001C0AA6">
        <w:rPr>
          <w:rFonts w:ascii="Arial" w:hAnsi="Arial" w:cs="Arial"/>
          <w:b/>
          <w:bCs/>
        </w:rPr>
        <w:t>Module code: LCMB7002</w:t>
      </w:r>
    </w:p>
    <w:p w14:paraId="103868CD" w14:textId="77777777" w:rsidR="00AE2776" w:rsidRPr="001C0AA6" w:rsidRDefault="00AE2776" w:rsidP="001C0AA6">
      <w:pPr>
        <w:spacing w:before="240" w:line="360" w:lineRule="auto"/>
        <w:jc w:val="center"/>
        <w:rPr>
          <w:rFonts w:ascii="Arial" w:hAnsi="Arial" w:cs="Arial"/>
          <w:b/>
          <w:bCs/>
        </w:rPr>
      </w:pPr>
      <w:r w:rsidRPr="001C0AA6">
        <w:rPr>
          <w:rFonts w:ascii="Arial" w:hAnsi="Arial" w:cs="Arial"/>
          <w:b/>
          <w:bCs/>
        </w:rPr>
        <w:t>Assignment Title: Financial performance and management</w:t>
      </w:r>
    </w:p>
    <w:p w14:paraId="5F1948A1" w14:textId="77777777" w:rsidR="00AE2776" w:rsidRPr="001C0AA6" w:rsidRDefault="00AE2776" w:rsidP="001C0AA6">
      <w:pPr>
        <w:spacing w:before="240" w:after="0" w:line="360" w:lineRule="auto"/>
        <w:jc w:val="center"/>
        <w:rPr>
          <w:rFonts w:ascii="Arial" w:hAnsi="Arial" w:cs="Arial"/>
          <w:b/>
          <w:bCs/>
        </w:rPr>
      </w:pPr>
      <w:r w:rsidRPr="001C0AA6">
        <w:rPr>
          <w:rFonts w:ascii="Arial" w:hAnsi="Arial" w:cs="Arial"/>
          <w:b/>
          <w:bCs/>
        </w:rPr>
        <w:t>Lecturer: Patrick Yeboah (Birmingham)</w:t>
      </w:r>
    </w:p>
    <w:p w14:paraId="28AF6A78" w14:textId="77777777" w:rsidR="00AE2776" w:rsidRPr="001C0AA6" w:rsidRDefault="00AE2776" w:rsidP="001C0AA6">
      <w:pPr>
        <w:spacing w:line="360" w:lineRule="auto"/>
        <w:jc w:val="center"/>
        <w:rPr>
          <w:rFonts w:ascii="Arial" w:eastAsia="Times New Roman" w:hAnsi="Arial" w:cs="Arial"/>
          <w:b/>
          <w:bCs/>
        </w:rPr>
      </w:pPr>
      <w:r w:rsidRPr="001C0AA6">
        <w:rPr>
          <w:rFonts w:ascii="Arial" w:eastAsia="Times New Roman" w:hAnsi="Arial" w:cs="Arial"/>
          <w:b/>
          <w:bCs/>
        </w:rPr>
        <w:t xml:space="preserve">Strategic CFO Challenge: </w:t>
      </w:r>
    </w:p>
    <w:p w14:paraId="6C944838" w14:textId="77777777" w:rsidR="00AE2776" w:rsidRPr="001C0AA6" w:rsidRDefault="00AE2776" w:rsidP="001C0AA6">
      <w:pPr>
        <w:spacing w:line="360" w:lineRule="auto"/>
        <w:jc w:val="center"/>
        <w:rPr>
          <w:rFonts w:ascii="Arial" w:eastAsia="Times New Roman" w:hAnsi="Arial" w:cs="Arial"/>
          <w:b/>
          <w:bCs/>
        </w:rPr>
      </w:pPr>
      <w:r w:rsidRPr="001C0AA6">
        <w:rPr>
          <w:rFonts w:ascii="Arial" w:eastAsia="Times New Roman" w:hAnsi="Arial" w:cs="Arial"/>
          <w:b/>
          <w:bCs/>
        </w:rPr>
        <w:t>Saving a Failing Global Firm (A Financial Turnaround Analysis of General Electronics)</w:t>
      </w:r>
    </w:p>
    <w:p w14:paraId="012FE77E" w14:textId="5BC587C5" w:rsidR="00AE2776" w:rsidRPr="001C0AA6" w:rsidRDefault="00AE2776" w:rsidP="001C0AA6">
      <w:pPr>
        <w:spacing w:before="240" w:after="0" w:line="360" w:lineRule="auto"/>
        <w:jc w:val="center"/>
        <w:rPr>
          <w:rFonts w:ascii="Arial" w:hAnsi="Arial" w:cs="Arial"/>
          <w:b/>
          <w:bCs/>
        </w:rPr>
      </w:pPr>
      <w:r w:rsidRPr="001C0AA6">
        <w:rPr>
          <w:rFonts w:ascii="Arial" w:hAnsi="Arial" w:cs="Arial"/>
          <w:b/>
          <w:bCs/>
        </w:rPr>
        <w:t>Student name: Bhargav Jagdishbhai K</w:t>
      </w:r>
      <w:r w:rsidR="0038166F" w:rsidRPr="001C0AA6">
        <w:rPr>
          <w:rFonts w:ascii="Arial" w:hAnsi="Arial" w:cs="Arial"/>
          <w:b/>
          <w:bCs/>
        </w:rPr>
        <w:t>h</w:t>
      </w:r>
      <w:r w:rsidRPr="001C0AA6">
        <w:rPr>
          <w:rFonts w:ascii="Arial" w:hAnsi="Arial" w:cs="Arial"/>
          <w:b/>
          <w:bCs/>
        </w:rPr>
        <w:t>unt</w:t>
      </w:r>
    </w:p>
    <w:p w14:paraId="25D08F50" w14:textId="558CAF34" w:rsidR="00AE2776" w:rsidRPr="001C0AA6" w:rsidRDefault="00AE2776" w:rsidP="001C0AA6">
      <w:pPr>
        <w:spacing w:before="240" w:line="360" w:lineRule="auto"/>
        <w:jc w:val="center"/>
        <w:rPr>
          <w:rFonts w:ascii="Arial" w:hAnsi="Arial" w:cs="Arial"/>
          <w:b/>
          <w:bCs/>
        </w:rPr>
      </w:pPr>
      <w:r w:rsidRPr="001C0AA6">
        <w:rPr>
          <w:rFonts w:ascii="Arial" w:hAnsi="Arial" w:cs="Arial"/>
          <w:b/>
          <w:bCs/>
        </w:rPr>
        <w:t>Student ID number: 2435433</w:t>
      </w:r>
    </w:p>
    <w:p w14:paraId="4D16AEEE" w14:textId="68CFACCA" w:rsidR="00AE2776" w:rsidRPr="001C0AA6" w:rsidRDefault="00AE2776" w:rsidP="001C0AA6">
      <w:pPr>
        <w:spacing w:before="240" w:line="360" w:lineRule="auto"/>
        <w:jc w:val="center"/>
        <w:rPr>
          <w:rFonts w:ascii="Arial" w:hAnsi="Arial" w:cs="Arial"/>
          <w:b/>
          <w:bCs/>
        </w:rPr>
      </w:pPr>
      <w:r w:rsidRPr="001C0AA6">
        <w:rPr>
          <w:rFonts w:ascii="Arial" w:hAnsi="Arial" w:cs="Arial"/>
          <w:b/>
          <w:bCs/>
        </w:rPr>
        <w:t>Word count: 5433</w:t>
      </w:r>
    </w:p>
    <w:p w14:paraId="44D5F1B8" w14:textId="77777777" w:rsidR="00AE2776" w:rsidRPr="001C0AA6" w:rsidRDefault="00AE2776" w:rsidP="001C0AA6">
      <w:pPr>
        <w:spacing w:line="360" w:lineRule="auto"/>
        <w:jc w:val="center"/>
        <w:rPr>
          <w:rFonts w:ascii="Arial" w:hAnsi="Arial" w:cs="Arial"/>
          <w:b/>
          <w:bCs/>
        </w:rPr>
      </w:pPr>
      <w:r w:rsidRPr="001C0AA6">
        <w:rPr>
          <w:rFonts w:ascii="Arial" w:hAnsi="Arial" w:cs="Arial"/>
          <w:b/>
          <w:bCs/>
        </w:rPr>
        <w:t>Submission date: 24th November 2025</w:t>
      </w:r>
    </w:p>
    <w:p w14:paraId="218C32F2" w14:textId="6E5B190F" w:rsidR="79227FA8" w:rsidRPr="00AE2776" w:rsidRDefault="00AE2776" w:rsidP="00AE2776">
      <w:pPr>
        <w:spacing w:line="240" w:lineRule="auto"/>
        <w:rPr>
          <w:b/>
          <w:bCs/>
          <w:sz w:val="28"/>
          <w:szCs w:val="28"/>
        </w:rPr>
      </w:pPr>
      <w:r w:rsidRPr="000E351A">
        <w:rPr>
          <w:b/>
          <w:bCs/>
          <w:sz w:val="28"/>
          <w:szCs w:val="28"/>
        </w:rPr>
        <w:br w:type="page"/>
      </w:r>
    </w:p>
    <w:p w14:paraId="3065222F" w14:textId="52CE5414" w:rsidR="012DD0CE" w:rsidRPr="001C0AA6" w:rsidRDefault="012DD0CE" w:rsidP="001C0AA6">
      <w:pPr>
        <w:spacing w:line="360" w:lineRule="auto"/>
        <w:jc w:val="center"/>
        <w:rPr>
          <w:rFonts w:ascii="Arial" w:eastAsia="Times New Roman" w:hAnsi="Arial" w:cs="Arial"/>
          <w:b/>
          <w:bCs/>
        </w:rPr>
      </w:pPr>
      <w:r w:rsidRPr="001C0AA6">
        <w:rPr>
          <w:rFonts w:ascii="Arial" w:eastAsia="Times New Roman" w:hAnsi="Arial" w:cs="Arial"/>
          <w:b/>
          <w:bCs/>
        </w:rPr>
        <w:lastRenderedPageBreak/>
        <w:t>Table of Content</w:t>
      </w:r>
    </w:p>
    <w:sdt>
      <w:sdtPr>
        <w:rPr>
          <w:rFonts w:ascii="Arial" w:hAnsi="Arial" w:cs="Arial"/>
        </w:rPr>
        <w:id w:val="332598304"/>
        <w:docPartObj>
          <w:docPartGallery w:val="Table of Contents"/>
          <w:docPartUnique/>
        </w:docPartObj>
      </w:sdtPr>
      <w:sdtEndPr/>
      <w:sdtContent>
        <w:p w14:paraId="2E67C814" w14:textId="3A99F007" w:rsidR="79227FA8" w:rsidRPr="001C0AA6" w:rsidRDefault="79227FA8" w:rsidP="001C0AA6">
          <w:pPr>
            <w:pStyle w:val="TOC3"/>
            <w:tabs>
              <w:tab w:val="right" w:leader="dot" w:pos="9360"/>
            </w:tabs>
            <w:spacing w:line="360" w:lineRule="auto"/>
            <w:rPr>
              <w:rStyle w:val="Hyperlink"/>
              <w:rFonts w:ascii="Arial" w:hAnsi="Arial" w:cs="Arial"/>
              <w:noProof/>
            </w:rPr>
          </w:pPr>
          <w:r w:rsidRPr="001C0AA6">
            <w:rPr>
              <w:rFonts w:ascii="Arial" w:hAnsi="Arial" w:cs="Arial"/>
            </w:rPr>
            <w:fldChar w:fldCharType="begin"/>
          </w:r>
          <w:r w:rsidRPr="001C0AA6">
            <w:rPr>
              <w:rFonts w:ascii="Arial" w:hAnsi="Arial" w:cs="Arial"/>
            </w:rPr>
            <w:instrText>TOC \o \z \u \h</w:instrText>
          </w:r>
          <w:r w:rsidRPr="001C0AA6">
            <w:rPr>
              <w:rFonts w:ascii="Arial" w:hAnsi="Arial" w:cs="Arial"/>
            </w:rPr>
            <w:fldChar w:fldCharType="separate"/>
          </w:r>
          <w:hyperlink w:anchor="_Toc824653177">
            <w:r w:rsidRPr="001C0AA6">
              <w:rPr>
                <w:rStyle w:val="Hyperlink"/>
                <w:rFonts w:ascii="Arial" w:hAnsi="Arial" w:cs="Arial"/>
                <w:noProof/>
              </w:rPr>
              <w:t>Executive</w:t>
            </w:r>
            <w:bookmarkStart w:id="0" w:name="_GoBack"/>
            <w:bookmarkEnd w:id="0"/>
            <w:r w:rsidRPr="001C0AA6">
              <w:rPr>
                <w:rStyle w:val="Hyperlink"/>
                <w:rFonts w:ascii="Arial" w:hAnsi="Arial" w:cs="Arial"/>
                <w:noProof/>
              </w:rPr>
              <w:t xml:space="preserve"> Summary</w:t>
            </w:r>
            <w:r w:rsidRPr="001C0AA6">
              <w:rPr>
                <w:rFonts w:ascii="Arial" w:hAnsi="Arial" w:cs="Arial"/>
                <w:noProof/>
              </w:rPr>
              <w:tab/>
            </w:r>
            <w:r w:rsidRPr="001C0AA6">
              <w:rPr>
                <w:rFonts w:ascii="Arial" w:hAnsi="Arial" w:cs="Arial"/>
                <w:noProof/>
              </w:rPr>
              <w:fldChar w:fldCharType="begin"/>
            </w:r>
            <w:r w:rsidRPr="001C0AA6">
              <w:rPr>
                <w:rFonts w:ascii="Arial" w:hAnsi="Arial" w:cs="Arial"/>
                <w:noProof/>
              </w:rPr>
              <w:instrText>PAGEREF _Toc824653177 \h</w:instrText>
            </w:r>
            <w:r w:rsidRPr="001C0AA6">
              <w:rPr>
                <w:rFonts w:ascii="Arial" w:hAnsi="Arial" w:cs="Arial"/>
                <w:noProof/>
              </w:rPr>
            </w:r>
            <w:r w:rsidRPr="001C0AA6">
              <w:rPr>
                <w:rFonts w:ascii="Arial" w:hAnsi="Arial" w:cs="Arial"/>
                <w:noProof/>
              </w:rPr>
              <w:fldChar w:fldCharType="separate"/>
            </w:r>
            <w:r w:rsidR="00292A2E">
              <w:rPr>
                <w:rFonts w:ascii="Arial" w:hAnsi="Arial" w:cs="Arial"/>
                <w:noProof/>
              </w:rPr>
              <w:t>4</w:t>
            </w:r>
            <w:r w:rsidRPr="001C0AA6">
              <w:rPr>
                <w:rFonts w:ascii="Arial" w:hAnsi="Arial" w:cs="Arial"/>
                <w:noProof/>
              </w:rPr>
              <w:fldChar w:fldCharType="end"/>
            </w:r>
          </w:hyperlink>
        </w:p>
        <w:p w14:paraId="0A6A28C7" w14:textId="0BF1AEA5"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317840703">
            <w:r w:rsidR="79227FA8" w:rsidRPr="001C0AA6">
              <w:rPr>
                <w:rStyle w:val="Hyperlink"/>
                <w:rFonts w:ascii="Arial" w:hAnsi="Arial" w:cs="Arial"/>
                <w:noProof/>
              </w:rPr>
              <w:t>1. Introduction</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_Toc1317840703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4</w:t>
            </w:r>
            <w:r w:rsidR="79227FA8" w:rsidRPr="001C0AA6">
              <w:rPr>
                <w:rFonts w:ascii="Arial" w:hAnsi="Arial" w:cs="Arial"/>
                <w:noProof/>
              </w:rPr>
              <w:fldChar w:fldCharType="end"/>
            </w:r>
          </w:hyperlink>
        </w:p>
        <w:p w14:paraId="242BFC4C" w14:textId="2E8AB48D" w:rsidR="79227FA8" w:rsidRPr="001C0AA6" w:rsidRDefault="00502682" w:rsidP="001C0AA6">
          <w:pPr>
            <w:pStyle w:val="TOC2"/>
            <w:tabs>
              <w:tab w:val="right" w:leader="dot" w:pos="9360"/>
            </w:tabs>
            <w:spacing w:line="360" w:lineRule="auto"/>
            <w:rPr>
              <w:rStyle w:val="Hyperlink"/>
              <w:rFonts w:ascii="Arial" w:hAnsi="Arial" w:cs="Arial"/>
              <w:noProof/>
            </w:rPr>
          </w:pPr>
          <w:hyperlink w:anchor="_Toc666729525">
            <w:r w:rsidR="79227FA8" w:rsidRPr="001C0AA6">
              <w:rPr>
                <w:rStyle w:val="Hyperlink"/>
                <w:rFonts w:ascii="Arial" w:hAnsi="Arial" w:cs="Arial"/>
                <w:noProof/>
              </w:rPr>
              <w:t>2: Financial Health Check</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_Toc666729525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6</w:t>
            </w:r>
            <w:r w:rsidR="79227FA8" w:rsidRPr="001C0AA6">
              <w:rPr>
                <w:rFonts w:ascii="Arial" w:hAnsi="Arial" w:cs="Arial"/>
                <w:noProof/>
              </w:rPr>
              <w:fldChar w:fldCharType="end"/>
            </w:r>
          </w:hyperlink>
        </w:p>
        <w:p w14:paraId="7D0895B3" w14:textId="5F789DF8"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868372132">
            <w:r w:rsidR="79227FA8" w:rsidRPr="001C0AA6">
              <w:rPr>
                <w:rStyle w:val="Hyperlink"/>
                <w:rFonts w:ascii="Arial" w:hAnsi="Arial" w:cs="Arial"/>
                <w:noProof/>
              </w:rPr>
              <w:t>2.1 Overview</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_Toc1868372132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6</w:t>
            </w:r>
            <w:r w:rsidR="79227FA8" w:rsidRPr="001C0AA6">
              <w:rPr>
                <w:rFonts w:ascii="Arial" w:hAnsi="Arial" w:cs="Arial"/>
                <w:noProof/>
              </w:rPr>
              <w:fldChar w:fldCharType="end"/>
            </w:r>
          </w:hyperlink>
        </w:p>
        <w:p w14:paraId="5BBB1A9C" w14:textId="53E70960"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2085448501">
            <w:r w:rsidR="79227FA8" w:rsidRPr="001C0AA6">
              <w:rPr>
                <w:rStyle w:val="Hyperlink"/>
                <w:rFonts w:ascii="Arial" w:hAnsi="Arial" w:cs="Arial"/>
                <w:noProof/>
              </w:rPr>
              <w:t>2.2 Profitability Ratios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_Toc2085448501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6</w:t>
            </w:r>
            <w:r w:rsidR="79227FA8" w:rsidRPr="001C0AA6">
              <w:rPr>
                <w:rFonts w:ascii="Arial" w:hAnsi="Arial" w:cs="Arial"/>
                <w:noProof/>
              </w:rPr>
              <w:fldChar w:fldCharType="end"/>
            </w:r>
          </w:hyperlink>
        </w:p>
        <w:p w14:paraId="0093E00C" w14:textId="2188E6E0"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430599383">
            <w:r w:rsidR="79227FA8" w:rsidRPr="001C0AA6">
              <w:rPr>
                <w:rStyle w:val="Hyperlink"/>
                <w:rFonts w:ascii="Arial" w:hAnsi="Arial" w:cs="Arial"/>
                <w:noProof/>
              </w:rPr>
              <w:t>2.2.1 Gross Profit Margin</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_Toc430599383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6</w:t>
            </w:r>
            <w:r w:rsidR="79227FA8" w:rsidRPr="001C0AA6">
              <w:rPr>
                <w:rFonts w:ascii="Arial" w:hAnsi="Arial" w:cs="Arial"/>
                <w:noProof/>
              </w:rPr>
              <w:fldChar w:fldCharType="end"/>
            </w:r>
          </w:hyperlink>
        </w:p>
        <w:p w14:paraId="138D07D6" w14:textId="075728D0"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1209497234">
            <w:r w:rsidR="79227FA8" w:rsidRPr="001C0AA6">
              <w:rPr>
                <w:rStyle w:val="Hyperlink"/>
                <w:rFonts w:ascii="Arial" w:hAnsi="Arial" w:cs="Arial"/>
                <w:noProof/>
              </w:rPr>
              <w:t>2.2.2 Operating Profit Margin</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_Toc1209497234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7</w:t>
            </w:r>
            <w:r w:rsidR="79227FA8" w:rsidRPr="001C0AA6">
              <w:rPr>
                <w:rFonts w:ascii="Arial" w:hAnsi="Arial" w:cs="Arial"/>
                <w:noProof/>
              </w:rPr>
              <w:fldChar w:fldCharType="end"/>
            </w:r>
          </w:hyperlink>
        </w:p>
        <w:p w14:paraId="0747EDA4" w14:textId="0F088CBF"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58910973">
            <w:r w:rsidR="79227FA8" w:rsidRPr="001C0AA6">
              <w:rPr>
                <w:rStyle w:val="Hyperlink"/>
                <w:rFonts w:ascii="Arial" w:hAnsi="Arial" w:cs="Arial"/>
                <w:noProof/>
              </w:rPr>
              <w:t>2.2.3 Net Profit Margin</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_Toc58910973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7</w:t>
            </w:r>
            <w:r w:rsidR="79227FA8" w:rsidRPr="001C0AA6">
              <w:rPr>
                <w:rFonts w:ascii="Arial" w:hAnsi="Arial" w:cs="Arial"/>
                <w:noProof/>
              </w:rPr>
              <w:fldChar w:fldCharType="end"/>
            </w:r>
          </w:hyperlink>
        </w:p>
        <w:p w14:paraId="6E9B84A3" w14:textId="5D7D8158"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1736934841">
            <w:r w:rsidR="79227FA8" w:rsidRPr="001C0AA6">
              <w:rPr>
                <w:rStyle w:val="Hyperlink"/>
                <w:rFonts w:ascii="Arial" w:hAnsi="Arial" w:cs="Arial"/>
                <w:noProof/>
              </w:rPr>
              <w:t>2.2.4 Return on Assets (ROA)</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_Toc1736934841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8</w:t>
            </w:r>
            <w:r w:rsidR="79227FA8" w:rsidRPr="001C0AA6">
              <w:rPr>
                <w:rFonts w:ascii="Arial" w:hAnsi="Arial" w:cs="Arial"/>
                <w:noProof/>
              </w:rPr>
              <w:fldChar w:fldCharType="end"/>
            </w:r>
          </w:hyperlink>
        </w:p>
        <w:p w14:paraId="373F1AC1" w14:textId="70F819BF"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429793839">
            <w:r w:rsidR="79227FA8" w:rsidRPr="001C0AA6">
              <w:rPr>
                <w:rStyle w:val="Hyperlink"/>
                <w:rFonts w:ascii="Arial" w:hAnsi="Arial" w:cs="Arial"/>
                <w:noProof/>
              </w:rPr>
              <w:t>2.2.5 Return on Equity (ROE)</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_Toc429793839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8</w:t>
            </w:r>
            <w:r w:rsidR="79227FA8" w:rsidRPr="001C0AA6">
              <w:rPr>
                <w:rFonts w:ascii="Arial" w:hAnsi="Arial" w:cs="Arial"/>
                <w:noProof/>
              </w:rPr>
              <w:fldChar w:fldCharType="end"/>
            </w:r>
          </w:hyperlink>
        </w:p>
        <w:p w14:paraId="450FA9AB" w14:textId="78395E19"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168715623">
            <w:r w:rsidR="79227FA8" w:rsidRPr="001C0AA6">
              <w:rPr>
                <w:rStyle w:val="Hyperlink"/>
                <w:rFonts w:ascii="Arial" w:hAnsi="Arial" w:cs="Arial"/>
                <w:noProof/>
              </w:rPr>
              <w:t>2.3 Liquidity Ratios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_Toc1168715623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9</w:t>
            </w:r>
            <w:r w:rsidR="79227FA8" w:rsidRPr="001C0AA6">
              <w:rPr>
                <w:rFonts w:ascii="Arial" w:hAnsi="Arial" w:cs="Arial"/>
                <w:noProof/>
              </w:rPr>
              <w:fldChar w:fldCharType="end"/>
            </w:r>
          </w:hyperlink>
        </w:p>
        <w:p w14:paraId="3CEBB20C" w14:textId="7B4AD4C6"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804607029">
            <w:r w:rsidR="79227FA8" w:rsidRPr="001C0AA6">
              <w:rPr>
                <w:rStyle w:val="Hyperlink"/>
                <w:rFonts w:ascii="Arial" w:hAnsi="Arial" w:cs="Arial"/>
                <w:noProof/>
              </w:rPr>
              <w:t>2.3.1 Current Ratio</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_Toc804607029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9</w:t>
            </w:r>
            <w:r w:rsidR="79227FA8" w:rsidRPr="001C0AA6">
              <w:rPr>
                <w:rFonts w:ascii="Arial" w:hAnsi="Arial" w:cs="Arial"/>
                <w:noProof/>
              </w:rPr>
              <w:fldChar w:fldCharType="end"/>
            </w:r>
          </w:hyperlink>
        </w:p>
        <w:p w14:paraId="63B3994F" w14:textId="172C486D"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1298845557">
            <w:r w:rsidR="79227FA8" w:rsidRPr="001C0AA6">
              <w:rPr>
                <w:rStyle w:val="Hyperlink"/>
                <w:rFonts w:ascii="Arial" w:hAnsi="Arial" w:cs="Arial"/>
                <w:noProof/>
              </w:rPr>
              <w:t>2.3.2 Quick Ratio</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_Toc1298845557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9</w:t>
            </w:r>
            <w:r w:rsidR="79227FA8" w:rsidRPr="001C0AA6">
              <w:rPr>
                <w:rFonts w:ascii="Arial" w:hAnsi="Arial" w:cs="Arial"/>
                <w:noProof/>
              </w:rPr>
              <w:fldChar w:fldCharType="end"/>
            </w:r>
          </w:hyperlink>
        </w:p>
        <w:p w14:paraId="533FBF7F" w14:textId="4EF7AD30"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153249381">
            <w:r w:rsidR="79227FA8" w:rsidRPr="001C0AA6">
              <w:rPr>
                <w:rStyle w:val="Hyperlink"/>
                <w:rFonts w:ascii="Arial" w:hAnsi="Arial" w:cs="Arial"/>
                <w:noProof/>
              </w:rPr>
              <w:t>2.4 Efficiency Ratios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_Toc1153249381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10</w:t>
            </w:r>
            <w:r w:rsidR="79227FA8" w:rsidRPr="001C0AA6">
              <w:rPr>
                <w:rFonts w:ascii="Arial" w:hAnsi="Arial" w:cs="Arial"/>
                <w:noProof/>
              </w:rPr>
              <w:fldChar w:fldCharType="end"/>
            </w:r>
          </w:hyperlink>
        </w:p>
        <w:p w14:paraId="32BA8DE7" w14:textId="53E5B87B"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1663799175">
            <w:r w:rsidR="79227FA8" w:rsidRPr="001C0AA6">
              <w:rPr>
                <w:rStyle w:val="Hyperlink"/>
                <w:rFonts w:ascii="Arial" w:hAnsi="Arial" w:cs="Arial"/>
                <w:noProof/>
              </w:rPr>
              <w:t>2.4.1 Inventory Turnover</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_Toc1663799175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10</w:t>
            </w:r>
            <w:r w:rsidR="79227FA8" w:rsidRPr="001C0AA6">
              <w:rPr>
                <w:rFonts w:ascii="Arial" w:hAnsi="Arial" w:cs="Arial"/>
                <w:noProof/>
              </w:rPr>
              <w:fldChar w:fldCharType="end"/>
            </w:r>
          </w:hyperlink>
        </w:p>
        <w:p w14:paraId="70770AB4" w14:textId="272FA42E"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306253031">
            <w:r w:rsidR="79227FA8" w:rsidRPr="001C0AA6">
              <w:rPr>
                <w:rStyle w:val="Hyperlink"/>
                <w:rFonts w:ascii="Arial" w:hAnsi="Arial" w:cs="Arial"/>
                <w:noProof/>
              </w:rPr>
              <w:t>2.5 Gearing Ratios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_Toc1306253031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11</w:t>
            </w:r>
            <w:r w:rsidR="79227FA8" w:rsidRPr="001C0AA6">
              <w:rPr>
                <w:rFonts w:ascii="Arial" w:hAnsi="Arial" w:cs="Arial"/>
                <w:noProof/>
              </w:rPr>
              <w:fldChar w:fldCharType="end"/>
            </w:r>
          </w:hyperlink>
        </w:p>
        <w:p w14:paraId="25321557" w14:textId="238206F7"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1075896796">
            <w:r w:rsidR="79227FA8" w:rsidRPr="001C0AA6">
              <w:rPr>
                <w:rStyle w:val="Hyperlink"/>
                <w:rFonts w:ascii="Arial" w:hAnsi="Arial" w:cs="Arial"/>
                <w:noProof/>
              </w:rPr>
              <w:t>2.5.1 Debt-to-Equity Ratio</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_Toc1075896796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11</w:t>
            </w:r>
            <w:r w:rsidR="79227FA8" w:rsidRPr="001C0AA6">
              <w:rPr>
                <w:rFonts w:ascii="Arial" w:hAnsi="Arial" w:cs="Arial"/>
                <w:noProof/>
              </w:rPr>
              <w:fldChar w:fldCharType="end"/>
            </w:r>
          </w:hyperlink>
        </w:p>
        <w:p w14:paraId="6762288D" w14:textId="4D03DBDA"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420327099">
            <w:r w:rsidR="79227FA8" w:rsidRPr="001C0AA6">
              <w:rPr>
                <w:rStyle w:val="Hyperlink"/>
                <w:rFonts w:ascii="Arial" w:hAnsi="Arial" w:cs="Arial"/>
                <w:noProof/>
              </w:rPr>
              <w:t>2.6 Investment Ratios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_Toc1420327099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11</w:t>
            </w:r>
            <w:r w:rsidR="79227FA8" w:rsidRPr="001C0AA6">
              <w:rPr>
                <w:rFonts w:ascii="Arial" w:hAnsi="Arial" w:cs="Arial"/>
                <w:noProof/>
              </w:rPr>
              <w:fldChar w:fldCharType="end"/>
            </w:r>
          </w:hyperlink>
        </w:p>
        <w:p w14:paraId="0EFDD82A" w14:textId="6350BC0E"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545332010">
            <w:r w:rsidR="79227FA8" w:rsidRPr="001C0AA6">
              <w:rPr>
                <w:rStyle w:val="Hyperlink"/>
                <w:rFonts w:ascii="Arial" w:hAnsi="Arial" w:cs="Arial"/>
                <w:noProof/>
              </w:rPr>
              <w:t>Earnings per Share (EPS)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_Toc545332010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11</w:t>
            </w:r>
            <w:r w:rsidR="79227FA8" w:rsidRPr="001C0AA6">
              <w:rPr>
                <w:rFonts w:ascii="Arial" w:hAnsi="Arial" w:cs="Arial"/>
                <w:noProof/>
              </w:rPr>
              <w:fldChar w:fldCharType="end"/>
            </w:r>
          </w:hyperlink>
        </w:p>
        <w:p w14:paraId="311634AF" w14:textId="4A4965CD"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003311866">
            <w:r w:rsidR="79227FA8" w:rsidRPr="001C0AA6">
              <w:rPr>
                <w:rStyle w:val="Hyperlink"/>
                <w:rFonts w:ascii="Arial" w:hAnsi="Arial" w:cs="Arial"/>
                <w:noProof/>
              </w:rPr>
              <w:t>2.7 Altman Z-Score (Corporate Failure Prediction)</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_Toc1003311866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12</w:t>
            </w:r>
            <w:r w:rsidR="79227FA8" w:rsidRPr="001C0AA6">
              <w:rPr>
                <w:rFonts w:ascii="Arial" w:hAnsi="Arial" w:cs="Arial"/>
                <w:noProof/>
              </w:rPr>
              <w:fldChar w:fldCharType="end"/>
            </w:r>
          </w:hyperlink>
        </w:p>
        <w:p w14:paraId="5FE20A2E" w14:textId="19CA28C1" w:rsidR="79227FA8" w:rsidRPr="001C0AA6" w:rsidRDefault="00502682" w:rsidP="001C0AA6">
          <w:pPr>
            <w:pStyle w:val="TOC2"/>
            <w:tabs>
              <w:tab w:val="right" w:leader="dot" w:pos="9360"/>
            </w:tabs>
            <w:spacing w:line="360" w:lineRule="auto"/>
            <w:rPr>
              <w:rStyle w:val="Hyperlink"/>
              <w:rFonts w:ascii="Arial" w:hAnsi="Arial" w:cs="Arial"/>
              <w:noProof/>
            </w:rPr>
          </w:pPr>
          <w:hyperlink w:anchor="_Toc1395709895">
            <w:r w:rsidR="79227FA8" w:rsidRPr="001C0AA6">
              <w:rPr>
                <w:rStyle w:val="Hyperlink"/>
                <w:rFonts w:ascii="Arial" w:hAnsi="Arial" w:cs="Arial"/>
                <w:noProof/>
              </w:rPr>
              <w:t>3: Working Capital Management (≈900 words)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_Toc1395709895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13</w:t>
            </w:r>
            <w:r w:rsidR="79227FA8" w:rsidRPr="001C0AA6">
              <w:rPr>
                <w:rFonts w:ascii="Arial" w:hAnsi="Arial" w:cs="Arial"/>
                <w:noProof/>
              </w:rPr>
              <w:fldChar w:fldCharType="end"/>
            </w:r>
          </w:hyperlink>
        </w:p>
        <w:p w14:paraId="4AF8A267" w14:textId="5E16D87C"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619455506">
            <w:r w:rsidR="79227FA8" w:rsidRPr="001C0AA6">
              <w:rPr>
                <w:rStyle w:val="Hyperlink"/>
                <w:rFonts w:ascii="Arial" w:hAnsi="Arial" w:cs="Arial"/>
                <w:noProof/>
              </w:rPr>
              <w:t>3.1 Overview</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_Toc1619455506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13</w:t>
            </w:r>
            <w:r w:rsidR="79227FA8" w:rsidRPr="001C0AA6">
              <w:rPr>
                <w:rFonts w:ascii="Arial" w:hAnsi="Arial" w:cs="Arial"/>
                <w:noProof/>
              </w:rPr>
              <w:fldChar w:fldCharType="end"/>
            </w:r>
          </w:hyperlink>
        </w:p>
        <w:p w14:paraId="1BE7750F" w14:textId="0BA96409"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689771873">
            <w:r w:rsidR="79227FA8" w:rsidRPr="001C0AA6">
              <w:rPr>
                <w:rStyle w:val="Hyperlink"/>
                <w:rFonts w:ascii="Arial" w:hAnsi="Arial" w:cs="Arial"/>
                <w:noProof/>
              </w:rPr>
              <w:t>3.2 Working Capital Trends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_Toc1689771873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13</w:t>
            </w:r>
            <w:r w:rsidR="79227FA8" w:rsidRPr="001C0AA6">
              <w:rPr>
                <w:rFonts w:ascii="Arial" w:hAnsi="Arial" w:cs="Arial"/>
                <w:noProof/>
              </w:rPr>
              <w:fldChar w:fldCharType="end"/>
            </w:r>
          </w:hyperlink>
        </w:p>
        <w:p w14:paraId="69E5F137" w14:textId="628A8151"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845163545">
            <w:r w:rsidR="79227FA8" w:rsidRPr="001C0AA6">
              <w:rPr>
                <w:rStyle w:val="Hyperlink"/>
                <w:rFonts w:ascii="Arial" w:hAnsi="Arial" w:cs="Arial"/>
                <w:noProof/>
              </w:rPr>
              <w:t>3.3 Components of Working Capital</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_Toc1845163545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14</w:t>
            </w:r>
            <w:r w:rsidR="79227FA8" w:rsidRPr="001C0AA6">
              <w:rPr>
                <w:rFonts w:ascii="Arial" w:hAnsi="Arial" w:cs="Arial"/>
                <w:noProof/>
              </w:rPr>
              <w:fldChar w:fldCharType="end"/>
            </w:r>
          </w:hyperlink>
        </w:p>
        <w:p w14:paraId="1AB0D421" w14:textId="62EF5AB9"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900423547">
            <w:r w:rsidR="79227FA8" w:rsidRPr="001C0AA6">
              <w:rPr>
                <w:rStyle w:val="Hyperlink"/>
                <w:rFonts w:ascii="Arial" w:hAnsi="Arial" w:cs="Arial"/>
                <w:noProof/>
              </w:rPr>
              <w:t>3.3.1 Inventory</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_Toc900423547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14</w:t>
            </w:r>
            <w:r w:rsidR="79227FA8" w:rsidRPr="001C0AA6">
              <w:rPr>
                <w:rFonts w:ascii="Arial" w:hAnsi="Arial" w:cs="Arial"/>
                <w:noProof/>
              </w:rPr>
              <w:fldChar w:fldCharType="end"/>
            </w:r>
          </w:hyperlink>
        </w:p>
        <w:p w14:paraId="74633893" w14:textId="72CA0F16"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1511366390">
            <w:r w:rsidR="79227FA8" w:rsidRPr="001C0AA6">
              <w:rPr>
                <w:rStyle w:val="Hyperlink"/>
                <w:rFonts w:ascii="Arial" w:hAnsi="Arial" w:cs="Arial"/>
                <w:noProof/>
              </w:rPr>
              <w:t>3.3.2 Accounts Receivable</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_Toc1511366390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14</w:t>
            </w:r>
            <w:r w:rsidR="79227FA8" w:rsidRPr="001C0AA6">
              <w:rPr>
                <w:rFonts w:ascii="Arial" w:hAnsi="Arial" w:cs="Arial"/>
                <w:noProof/>
              </w:rPr>
              <w:fldChar w:fldCharType="end"/>
            </w:r>
          </w:hyperlink>
        </w:p>
        <w:p w14:paraId="0DEBC6AA" w14:textId="7444CB00"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491191553">
            <w:r w:rsidR="79227FA8" w:rsidRPr="001C0AA6">
              <w:rPr>
                <w:rStyle w:val="Hyperlink"/>
                <w:rFonts w:ascii="Arial" w:hAnsi="Arial" w:cs="Arial"/>
                <w:noProof/>
              </w:rPr>
              <w:t>3.3.3 Accounts Payable</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_Toc491191553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14</w:t>
            </w:r>
            <w:r w:rsidR="79227FA8" w:rsidRPr="001C0AA6">
              <w:rPr>
                <w:rFonts w:ascii="Arial" w:hAnsi="Arial" w:cs="Arial"/>
                <w:noProof/>
              </w:rPr>
              <w:fldChar w:fldCharType="end"/>
            </w:r>
          </w:hyperlink>
        </w:p>
        <w:p w14:paraId="0ACAAC52" w14:textId="12FEC36E"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252844231">
            <w:r w:rsidR="79227FA8" w:rsidRPr="001C0AA6">
              <w:rPr>
                <w:rStyle w:val="Hyperlink"/>
                <w:rFonts w:ascii="Arial" w:hAnsi="Arial" w:cs="Arial"/>
                <w:noProof/>
              </w:rPr>
              <w:t>3.3.4 Cash and Marketable Securities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_Toc252844231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14</w:t>
            </w:r>
            <w:r w:rsidR="79227FA8" w:rsidRPr="001C0AA6">
              <w:rPr>
                <w:rFonts w:ascii="Arial" w:hAnsi="Arial" w:cs="Arial"/>
                <w:noProof/>
              </w:rPr>
              <w:fldChar w:fldCharType="end"/>
            </w:r>
          </w:hyperlink>
        </w:p>
        <w:p w14:paraId="72B40A7E" w14:textId="150A14B0"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30870734">
            <w:r w:rsidR="79227FA8" w:rsidRPr="001C0AA6">
              <w:rPr>
                <w:rStyle w:val="Hyperlink"/>
                <w:rFonts w:ascii="Arial" w:hAnsi="Arial" w:cs="Arial"/>
                <w:noProof/>
              </w:rPr>
              <w:t>3.4 Cash Conversion Cycle (CCC)</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_Toc30870734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15</w:t>
            </w:r>
            <w:r w:rsidR="79227FA8" w:rsidRPr="001C0AA6">
              <w:rPr>
                <w:rFonts w:ascii="Arial" w:hAnsi="Arial" w:cs="Arial"/>
                <w:noProof/>
              </w:rPr>
              <w:fldChar w:fldCharType="end"/>
            </w:r>
          </w:hyperlink>
        </w:p>
        <w:p w14:paraId="43FE8B18" w14:textId="4F58E2E7"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168153524">
            <w:r w:rsidR="79227FA8" w:rsidRPr="001C0AA6">
              <w:rPr>
                <w:rStyle w:val="Hyperlink"/>
                <w:rFonts w:ascii="Arial" w:hAnsi="Arial" w:cs="Arial"/>
                <w:noProof/>
              </w:rPr>
              <w:t>3.5 Liquidity Management Strategy</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_Toc1168153524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15</w:t>
            </w:r>
            <w:r w:rsidR="79227FA8" w:rsidRPr="001C0AA6">
              <w:rPr>
                <w:rFonts w:ascii="Arial" w:hAnsi="Arial" w:cs="Arial"/>
                <w:noProof/>
              </w:rPr>
              <w:fldChar w:fldCharType="end"/>
            </w:r>
          </w:hyperlink>
        </w:p>
        <w:p w14:paraId="2AF215C8" w14:textId="5CA5E923"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351631939">
            <w:r w:rsidR="79227FA8" w:rsidRPr="001C0AA6">
              <w:rPr>
                <w:rStyle w:val="Hyperlink"/>
                <w:rFonts w:ascii="Arial" w:hAnsi="Arial" w:cs="Arial"/>
                <w:noProof/>
              </w:rPr>
              <w:t>3.6 Financing Mix and Short-term Borrowing</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_Toc351631939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16</w:t>
            </w:r>
            <w:r w:rsidR="79227FA8" w:rsidRPr="001C0AA6">
              <w:rPr>
                <w:rFonts w:ascii="Arial" w:hAnsi="Arial" w:cs="Arial"/>
                <w:noProof/>
              </w:rPr>
              <w:fldChar w:fldCharType="end"/>
            </w:r>
          </w:hyperlink>
        </w:p>
        <w:p w14:paraId="6AB1FEA9" w14:textId="70CC85F1"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568248444">
            <w:r w:rsidR="79227FA8" w:rsidRPr="001C0AA6">
              <w:rPr>
                <w:rStyle w:val="Hyperlink"/>
                <w:rFonts w:ascii="Arial" w:hAnsi="Arial" w:cs="Arial"/>
                <w:noProof/>
              </w:rPr>
              <w:t>3.7 Evaluation of Working Capital Policy</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_Toc568248444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16</w:t>
            </w:r>
            <w:r w:rsidR="79227FA8" w:rsidRPr="001C0AA6">
              <w:rPr>
                <w:rFonts w:ascii="Arial" w:hAnsi="Arial" w:cs="Arial"/>
                <w:noProof/>
              </w:rPr>
              <w:fldChar w:fldCharType="end"/>
            </w:r>
          </w:hyperlink>
        </w:p>
        <w:p w14:paraId="474B50A2" w14:textId="10A737EC" w:rsidR="79227FA8" w:rsidRPr="001C0AA6" w:rsidRDefault="00502682" w:rsidP="001C0AA6">
          <w:pPr>
            <w:pStyle w:val="TOC2"/>
            <w:tabs>
              <w:tab w:val="right" w:leader="dot" w:pos="9360"/>
            </w:tabs>
            <w:spacing w:line="360" w:lineRule="auto"/>
            <w:rPr>
              <w:rStyle w:val="Hyperlink"/>
              <w:rFonts w:ascii="Arial" w:hAnsi="Arial" w:cs="Arial"/>
              <w:noProof/>
            </w:rPr>
          </w:pPr>
          <w:hyperlink w:anchor="_Toc1199197336">
            <w:r w:rsidR="79227FA8" w:rsidRPr="001C0AA6">
              <w:rPr>
                <w:rStyle w:val="Hyperlink"/>
                <w:rFonts w:ascii="Arial" w:hAnsi="Arial" w:cs="Arial"/>
                <w:noProof/>
              </w:rPr>
              <w:t>4: Strategic Financial Restructuring Plan</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_Toc1199197336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17</w:t>
            </w:r>
            <w:r w:rsidR="79227FA8" w:rsidRPr="001C0AA6">
              <w:rPr>
                <w:rFonts w:ascii="Arial" w:hAnsi="Arial" w:cs="Arial"/>
                <w:noProof/>
              </w:rPr>
              <w:fldChar w:fldCharType="end"/>
            </w:r>
          </w:hyperlink>
        </w:p>
        <w:p w14:paraId="37A2A627" w14:textId="4FB029C7"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817838872">
            <w:r w:rsidR="79227FA8" w:rsidRPr="001C0AA6">
              <w:rPr>
                <w:rStyle w:val="Hyperlink"/>
                <w:rFonts w:ascii="Arial" w:hAnsi="Arial" w:cs="Arial"/>
                <w:noProof/>
              </w:rPr>
              <w:t>4.1 Overview</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_Toc1817838872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17</w:t>
            </w:r>
            <w:r w:rsidR="79227FA8" w:rsidRPr="001C0AA6">
              <w:rPr>
                <w:rFonts w:ascii="Arial" w:hAnsi="Arial" w:cs="Arial"/>
                <w:noProof/>
              </w:rPr>
              <w:fldChar w:fldCharType="end"/>
            </w:r>
          </w:hyperlink>
        </w:p>
        <w:p w14:paraId="241AEE21" w14:textId="030D0355"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77771564">
            <w:r w:rsidR="79227FA8" w:rsidRPr="001C0AA6">
              <w:rPr>
                <w:rStyle w:val="Hyperlink"/>
                <w:rFonts w:ascii="Arial" w:hAnsi="Arial" w:cs="Arial"/>
                <w:noProof/>
              </w:rPr>
              <w:t>4.2 Capital Structure Optimization</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_Toc177771564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17</w:t>
            </w:r>
            <w:r w:rsidR="79227FA8" w:rsidRPr="001C0AA6">
              <w:rPr>
                <w:rFonts w:ascii="Arial" w:hAnsi="Arial" w:cs="Arial"/>
                <w:noProof/>
              </w:rPr>
              <w:fldChar w:fldCharType="end"/>
            </w:r>
          </w:hyperlink>
        </w:p>
        <w:p w14:paraId="1DB6C37D" w14:textId="1A76259E"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356749738">
            <w:r w:rsidR="79227FA8" w:rsidRPr="001C0AA6">
              <w:rPr>
                <w:rStyle w:val="Hyperlink"/>
                <w:rFonts w:ascii="Arial" w:hAnsi="Arial" w:cs="Arial"/>
                <w:noProof/>
              </w:rPr>
              <w:t>4.2.1 Current Position</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_Toc356749738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17</w:t>
            </w:r>
            <w:r w:rsidR="79227FA8" w:rsidRPr="001C0AA6">
              <w:rPr>
                <w:rFonts w:ascii="Arial" w:hAnsi="Arial" w:cs="Arial"/>
                <w:noProof/>
              </w:rPr>
              <w:fldChar w:fldCharType="end"/>
            </w:r>
          </w:hyperlink>
        </w:p>
        <w:p w14:paraId="2B88A473" w14:textId="5FC231BA"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1876570245">
            <w:r w:rsidR="79227FA8" w:rsidRPr="001C0AA6">
              <w:rPr>
                <w:rStyle w:val="Hyperlink"/>
                <w:rFonts w:ascii="Arial" w:hAnsi="Arial" w:cs="Arial"/>
                <w:noProof/>
              </w:rPr>
              <w:t>4.2.2 Proposed Strategy</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_Toc1876570245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18</w:t>
            </w:r>
            <w:r w:rsidR="79227FA8" w:rsidRPr="001C0AA6">
              <w:rPr>
                <w:rFonts w:ascii="Arial" w:hAnsi="Arial" w:cs="Arial"/>
                <w:noProof/>
              </w:rPr>
              <w:fldChar w:fldCharType="end"/>
            </w:r>
          </w:hyperlink>
        </w:p>
        <w:p w14:paraId="69CB5E25" w14:textId="58228CC5"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8579031">
            <w:r w:rsidR="79227FA8" w:rsidRPr="001C0AA6">
              <w:rPr>
                <w:rStyle w:val="Hyperlink"/>
                <w:rFonts w:ascii="Arial" w:hAnsi="Arial" w:cs="Arial"/>
                <w:noProof/>
              </w:rPr>
              <w:t>4.3 Operational and Cost Restructuring</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_Toc8579031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19</w:t>
            </w:r>
            <w:r w:rsidR="79227FA8" w:rsidRPr="001C0AA6">
              <w:rPr>
                <w:rFonts w:ascii="Arial" w:hAnsi="Arial" w:cs="Arial"/>
                <w:noProof/>
              </w:rPr>
              <w:fldChar w:fldCharType="end"/>
            </w:r>
          </w:hyperlink>
        </w:p>
        <w:p w14:paraId="3B1C4997" w14:textId="0A7E60F6"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500943125">
            <w:r w:rsidR="79227FA8" w:rsidRPr="001C0AA6">
              <w:rPr>
                <w:rStyle w:val="Hyperlink"/>
                <w:rFonts w:ascii="Arial" w:hAnsi="Arial" w:cs="Arial"/>
                <w:noProof/>
              </w:rPr>
              <w:t>4.3.1 Problem Analysis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_Toc500943125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19</w:t>
            </w:r>
            <w:r w:rsidR="79227FA8" w:rsidRPr="001C0AA6">
              <w:rPr>
                <w:rFonts w:ascii="Arial" w:hAnsi="Arial" w:cs="Arial"/>
                <w:noProof/>
              </w:rPr>
              <w:fldChar w:fldCharType="end"/>
            </w:r>
          </w:hyperlink>
        </w:p>
        <w:p w14:paraId="4652B4B3" w14:textId="08940DA6"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344648458">
            <w:r w:rsidR="79227FA8" w:rsidRPr="001C0AA6">
              <w:rPr>
                <w:rStyle w:val="Hyperlink"/>
                <w:rFonts w:ascii="Arial" w:hAnsi="Arial" w:cs="Arial"/>
                <w:noProof/>
              </w:rPr>
              <w:t>4.3.2 Cost Rationalization Plan</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_Toc344648458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19</w:t>
            </w:r>
            <w:r w:rsidR="79227FA8" w:rsidRPr="001C0AA6">
              <w:rPr>
                <w:rFonts w:ascii="Arial" w:hAnsi="Arial" w:cs="Arial"/>
                <w:noProof/>
              </w:rPr>
              <w:fldChar w:fldCharType="end"/>
            </w:r>
          </w:hyperlink>
        </w:p>
        <w:p w14:paraId="050856D4" w14:textId="5AC0995D"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551792397">
            <w:r w:rsidR="79227FA8" w:rsidRPr="001C0AA6">
              <w:rPr>
                <w:rStyle w:val="Hyperlink"/>
                <w:rFonts w:ascii="Arial" w:hAnsi="Arial" w:cs="Arial"/>
                <w:noProof/>
              </w:rPr>
              <w:t>4.4 Asset Portfolio Rationalization</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_Toc1551792397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19</w:t>
            </w:r>
            <w:r w:rsidR="79227FA8" w:rsidRPr="001C0AA6">
              <w:rPr>
                <w:rFonts w:ascii="Arial" w:hAnsi="Arial" w:cs="Arial"/>
                <w:noProof/>
              </w:rPr>
              <w:fldChar w:fldCharType="end"/>
            </w:r>
          </w:hyperlink>
        </w:p>
        <w:p w14:paraId="2028F8A6" w14:textId="6936AAE5"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1272733563">
            <w:r w:rsidR="79227FA8" w:rsidRPr="001C0AA6">
              <w:rPr>
                <w:rStyle w:val="Hyperlink"/>
                <w:rFonts w:ascii="Arial" w:hAnsi="Arial" w:cs="Arial"/>
                <w:noProof/>
              </w:rPr>
              <w:t>4.4.1 Asset Disposal and Redeployment</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_Toc1272733563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20</w:t>
            </w:r>
            <w:r w:rsidR="79227FA8" w:rsidRPr="001C0AA6">
              <w:rPr>
                <w:rFonts w:ascii="Arial" w:hAnsi="Arial" w:cs="Arial"/>
                <w:noProof/>
              </w:rPr>
              <w:fldChar w:fldCharType="end"/>
            </w:r>
          </w:hyperlink>
        </w:p>
        <w:p w14:paraId="71396652" w14:textId="163ADB49" w:rsidR="79227FA8" w:rsidRPr="001C0AA6" w:rsidRDefault="00502682" w:rsidP="001C0AA6">
          <w:pPr>
            <w:pStyle w:val="TOC4"/>
            <w:tabs>
              <w:tab w:val="right" w:leader="dot" w:pos="9360"/>
            </w:tabs>
            <w:spacing w:line="360" w:lineRule="auto"/>
            <w:rPr>
              <w:rStyle w:val="Hyperlink"/>
              <w:rFonts w:ascii="Arial" w:hAnsi="Arial" w:cs="Arial"/>
              <w:noProof/>
            </w:rPr>
          </w:pPr>
          <w:hyperlink w:anchor="_Toc1062161524">
            <w:r w:rsidR="79227FA8" w:rsidRPr="001C0AA6">
              <w:rPr>
                <w:rStyle w:val="Hyperlink"/>
                <w:rFonts w:ascii="Arial" w:hAnsi="Arial" w:cs="Arial"/>
                <w:noProof/>
              </w:rPr>
              <w:t>4.4.2 Reinvestment in Core and Growth Segments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_Toc1062161524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20</w:t>
            </w:r>
            <w:r w:rsidR="79227FA8" w:rsidRPr="001C0AA6">
              <w:rPr>
                <w:rFonts w:ascii="Arial" w:hAnsi="Arial" w:cs="Arial"/>
                <w:noProof/>
              </w:rPr>
              <w:fldChar w:fldCharType="end"/>
            </w:r>
          </w:hyperlink>
        </w:p>
        <w:p w14:paraId="6EFEEBF2" w14:textId="2CA8A33E"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461205321">
            <w:r w:rsidR="79227FA8" w:rsidRPr="001C0AA6">
              <w:rPr>
                <w:rStyle w:val="Hyperlink"/>
                <w:rFonts w:ascii="Arial" w:hAnsi="Arial" w:cs="Arial"/>
                <w:noProof/>
              </w:rPr>
              <w:t>4.5 Human Capital and Organizational Reform</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_Toc461205321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20</w:t>
            </w:r>
            <w:r w:rsidR="79227FA8" w:rsidRPr="001C0AA6">
              <w:rPr>
                <w:rFonts w:ascii="Arial" w:hAnsi="Arial" w:cs="Arial"/>
                <w:noProof/>
              </w:rPr>
              <w:fldChar w:fldCharType="end"/>
            </w:r>
          </w:hyperlink>
        </w:p>
        <w:p w14:paraId="511DF29D" w14:textId="26C0AC92"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232202045">
            <w:r w:rsidR="79227FA8" w:rsidRPr="001C0AA6">
              <w:rPr>
                <w:rStyle w:val="Hyperlink"/>
                <w:rFonts w:ascii="Arial" w:hAnsi="Arial" w:cs="Arial"/>
                <w:noProof/>
              </w:rPr>
              <w:t>4.6 Ethical and Global Governance Restructuring</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_Toc232202045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21</w:t>
            </w:r>
            <w:r w:rsidR="79227FA8" w:rsidRPr="001C0AA6">
              <w:rPr>
                <w:rFonts w:ascii="Arial" w:hAnsi="Arial" w:cs="Arial"/>
                <w:noProof/>
              </w:rPr>
              <w:fldChar w:fldCharType="end"/>
            </w:r>
          </w:hyperlink>
        </w:p>
        <w:p w14:paraId="565E4131" w14:textId="30DD7075"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718559074">
            <w:r w:rsidR="79227FA8" w:rsidRPr="001C0AA6">
              <w:rPr>
                <w:rStyle w:val="Hyperlink"/>
                <w:rFonts w:ascii="Arial" w:hAnsi="Arial" w:cs="Arial"/>
                <w:noProof/>
              </w:rPr>
              <w:t>4.7 Projected Financial Impact</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_Toc1718559074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21</w:t>
            </w:r>
            <w:r w:rsidR="79227FA8" w:rsidRPr="001C0AA6">
              <w:rPr>
                <w:rFonts w:ascii="Arial" w:hAnsi="Arial" w:cs="Arial"/>
                <w:noProof/>
              </w:rPr>
              <w:fldChar w:fldCharType="end"/>
            </w:r>
          </w:hyperlink>
        </w:p>
        <w:p w14:paraId="7E8F8DA6" w14:textId="3DDEF503"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356732605">
            <w:r w:rsidR="79227FA8" w:rsidRPr="001C0AA6">
              <w:rPr>
                <w:rStyle w:val="Hyperlink"/>
                <w:rFonts w:ascii="Arial" w:hAnsi="Arial" w:cs="Arial"/>
                <w:noProof/>
              </w:rPr>
              <w:t>4.8 Summary</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_Toc356732605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22</w:t>
            </w:r>
            <w:r w:rsidR="79227FA8" w:rsidRPr="001C0AA6">
              <w:rPr>
                <w:rFonts w:ascii="Arial" w:hAnsi="Arial" w:cs="Arial"/>
                <w:noProof/>
              </w:rPr>
              <w:fldChar w:fldCharType="end"/>
            </w:r>
          </w:hyperlink>
        </w:p>
        <w:p w14:paraId="2175F4BA" w14:textId="2CCACEF0" w:rsidR="79227FA8" w:rsidRPr="001C0AA6" w:rsidRDefault="00502682" w:rsidP="001C0AA6">
          <w:pPr>
            <w:pStyle w:val="TOC2"/>
            <w:tabs>
              <w:tab w:val="right" w:leader="dot" w:pos="9360"/>
            </w:tabs>
            <w:spacing w:line="360" w:lineRule="auto"/>
            <w:rPr>
              <w:rStyle w:val="Hyperlink"/>
              <w:rFonts w:ascii="Arial" w:hAnsi="Arial" w:cs="Arial"/>
              <w:noProof/>
            </w:rPr>
          </w:pPr>
          <w:hyperlink w:anchor="_Toc587487529">
            <w:r w:rsidR="79227FA8" w:rsidRPr="001C0AA6">
              <w:rPr>
                <w:rStyle w:val="Hyperlink"/>
                <w:rFonts w:ascii="Arial" w:hAnsi="Arial" w:cs="Arial"/>
                <w:noProof/>
              </w:rPr>
              <w:t>5: Investment Appraisal and Capital Budgeting</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_Toc587487529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22</w:t>
            </w:r>
            <w:r w:rsidR="79227FA8" w:rsidRPr="001C0AA6">
              <w:rPr>
                <w:rFonts w:ascii="Arial" w:hAnsi="Arial" w:cs="Arial"/>
                <w:noProof/>
              </w:rPr>
              <w:fldChar w:fldCharType="end"/>
            </w:r>
          </w:hyperlink>
        </w:p>
        <w:p w14:paraId="52B8D732" w14:textId="376A9B25"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441636769">
            <w:r w:rsidR="79227FA8" w:rsidRPr="001C0AA6">
              <w:rPr>
                <w:rStyle w:val="Hyperlink"/>
                <w:rFonts w:ascii="Arial" w:hAnsi="Arial" w:cs="Arial"/>
                <w:noProof/>
              </w:rPr>
              <w:t>5.1 Overview</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_Toc441636769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22</w:t>
            </w:r>
            <w:r w:rsidR="79227FA8" w:rsidRPr="001C0AA6">
              <w:rPr>
                <w:rFonts w:ascii="Arial" w:hAnsi="Arial" w:cs="Arial"/>
                <w:noProof/>
              </w:rPr>
              <w:fldChar w:fldCharType="end"/>
            </w:r>
          </w:hyperlink>
        </w:p>
        <w:p w14:paraId="5295746A" w14:textId="33623C84"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323496156">
            <w:r w:rsidR="79227FA8" w:rsidRPr="001C0AA6">
              <w:rPr>
                <w:rStyle w:val="Hyperlink"/>
                <w:rFonts w:ascii="Arial" w:hAnsi="Arial" w:cs="Arial"/>
                <w:noProof/>
              </w:rPr>
              <w:t>5.2 Project Data and Cash Flow Assumptions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_Toc1323496156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23</w:t>
            </w:r>
            <w:r w:rsidR="79227FA8" w:rsidRPr="001C0AA6">
              <w:rPr>
                <w:rFonts w:ascii="Arial" w:hAnsi="Arial" w:cs="Arial"/>
                <w:noProof/>
              </w:rPr>
              <w:fldChar w:fldCharType="end"/>
            </w:r>
          </w:hyperlink>
        </w:p>
        <w:p w14:paraId="75AA2E8A" w14:textId="6E907E2A"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63485379">
            <w:r w:rsidR="79227FA8" w:rsidRPr="001C0AA6">
              <w:rPr>
                <w:rStyle w:val="Hyperlink"/>
                <w:rFonts w:ascii="Arial" w:hAnsi="Arial" w:cs="Arial"/>
                <w:noProof/>
              </w:rPr>
              <w:t>5.3 Payback Period (PBP)</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_Toc63485379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23</w:t>
            </w:r>
            <w:r w:rsidR="79227FA8" w:rsidRPr="001C0AA6">
              <w:rPr>
                <w:rFonts w:ascii="Arial" w:hAnsi="Arial" w:cs="Arial"/>
                <w:noProof/>
              </w:rPr>
              <w:fldChar w:fldCharType="end"/>
            </w:r>
          </w:hyperlink>
        </w:p>
        <w:p w14:paraId="76C1EA5E" w14:textId="2F0AE578"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2020737570">
            <w:r w:rsidR="79227FA8" w:rsidRPr="001C0AA6">
              <w:rPr>
                <w:rStyle w:val="Hyperlink"/>
                <w:rFonts w:ascii="Arial" w:hAnsi="Arial" w:cs="Arial"/>
                <w:noProof/>
              </w:rPr>
              <w:t>5.4 Accounting Rate of Return (ARR)</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_Toc2020737570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24</w:t>
            </w:r>
            <w:r w:rsidR="79227FA8" w:rsidRPr="001C0AA6">
              <w:rPr>
                <w:rFonts w:ascii="Arial" w:hAnsi="Arial" w:cs="Arial"/>
                <w:noProof/>
              </w:rPr>
              <w:fldChar w:fldCharType="end"/>
            </w:r>
          </w:hyperlink>
        </w:p>
        <w:p w14:paraId="57987AC7" w14:textId="31C31ED3"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661888775">
            <w:r w:rsidR="79227FA8" w:rsidRPr="001C0AA6">
              <w:rPr>
                <w:rStyle w:val="Hyperlink"/>
                <w:rFonts w:ascii="Arial" w:hAnsi="Arial" w:cs="Arial"/>
                <w:noProof/>
              </w:rPr>
              <w:t>5.5 Net Present Value (NPV)</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_Toc661888775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24</w:t>
            </w:r>
            <w:r w:rsidR="79227FA8" w:rsidRPr="001C0AA6">
              <w:rPr>
                <w:rFonts w:ascii="Arial" w:hAnsi="Arial" w:cs="Arial"/>
                <w:noProof/>
              </w:rPr>
              <w:fldChar w:fldCharType="end"/>
            </w:r>
          </w:hyperlink>
        </w:p>
        <w:p w14:paraId="5393FFD5" w14:textId="7322C5B2"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511862654">
            <w:r w:rsidR="79227FA8" w:rsidRPr="001C0AA6">
              <w:rPr>
                <w:rStyle w:val="Hyperlink"/>
                <w:rFonts w:ascii="Arial" w:hAnsi="Arial" w:cs="Arial"/>
                <w:noProof/>
              </w:rPr>
              <w:t>5.6 Profitability Index (PI)</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_Toc1511862654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25</w:t>
            </w:r>
            <w:r w:rsidR="79227FA8" w:rsidRPr="001C0AA6">
              <w:rPr>
                <w:rFonts w:ascii="Arial" w:hAnsi="Arial" w:cs="Arial"/>
                <w:noProof/>
              </w:rPr>
              <w:fldChar w:fldCharType="end"/>
            </w:r>
          </w:hyperlink>
        </w:p>
        <w:p w14:paraId="23F4E3E5" w14:textId="1C253E52"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185156808">
            <w:r w:rsidR="79227FA8" w:rsidRPr="001C0AA6">
              <w:rPr>
                <w:rStyle w:val="Hyperlink"/>
                <w:rFonts w:ascii="Arial" w:hAnsi="Arial" w:cs="Arial"/>
                <w:noProof/>
              </w:rPr>
              <w:t>5.7 Internal Rate of Return (IRR)</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_Toc1185156808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25</w:t>
            </w:r>
            <w:r w:rsidR="79227FA8" w:rsidRPr="001C0AA6">
              <w:rPr>
                <w:rFonts w:ascii="Arial" w:hAnsi="Arial" w:cs="Arial"/>
                <w:noProof/>
              </w:rPr>
              <w:fldChar w:fldCharType="end"/>
            </w:r>
          </w:hyperlink>
        </w:p>
        <w:p w14:paraId="58D37716" w14:textId="09D0C27E"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467673471">
            <w:r w:rsidR="79227FA8" w:rsidRPr="001C0AA6">
              <w:rPr>
                <w:rStyle w:val="Hyperlink"/>
                <w:rFonts w:ascii="Arial" w:hAnsi="Arial" w:cs="Arial"/>
                <w:noProof/>
              </w:rPr>
              <w:t>5.8 Capital Rationing Decision</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_Toc1467673471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26</w:t>
            </w:r>
            <w:r w:rsidR="79227FA8" w:rsidRPr="001C0AA6">
              <w:rPr>
                <w:rFonts w:ascii="Arial" w:hAnsi="Arial" w:cs="Arial"/>
                <w:noProof/>
              </w:rPr>
              <w:fldChar w:fldCharType="end"/>
            </w:r>
          </w:hyperlink>
        </w:p>
        <w:p w14:paraId="0035D00A" w14:textId="66226FFF"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45838528">
            <w:r w:rsidR="79227FA8" w:rsidRPr="001C0AA6">
              <w:rPr>
                <w:rStyle w:val="Hyperlink"/>
                <w:rFonts w:ascii="Arial" w:hAnsi="Arial" w:cs="Arial"/>
                <w:noProof/>
              </w:rPr>
              <w:t>5.9 Sensitivity and Risk Analysis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_Toc45838528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26</w:t>
            </w:r>
            <w:r w:rsidR="79227FA8" w:rsidRPr="001C0AA6">
              <w:rPr>
                <w:rFonts w:ascii="Arial" w:hAnsi="Arial" w:cs="Arial"/>
                <w:noProof/>
              </w:rPr>
              <w:fldChar w:fldCharType="end"/>
            </w:r>
          </w:hyperlink>
        </w:p>
        <w:p w14:paraId="0FB8FBB2" w14:textId="50319CC9"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327668959">
            <w:r w:rsidR="79227FA8" w:rsidRPr="001C0AA6">
              <w:rPr>
                <w:rStyle w:val="Hyperlink"/>
                <w:rFonts w:ascii="Arial" w:hAnsi="Arial" w:cs="Arial"/>
                <w:noProof/>
              </w:rPr>
              <w:t>5.10 Discussion of Findings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_Toc1327668959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26</w:t>
            </w:r>
            <w:r w:rsidR="79227FA8" w:rsidRPr="001C0AA6">
              <w:rPr>
                <w:rFonts w:ascii="Arial" w:hAnsi="Arial" w:cs="Arial"/>
                <w:noProof/>
              </w:rPr>
              <w:fldChar w:fldCharType="end"/>
            </w:r>
          </w:hyperlink>
        </w:p>
        <w:p w14:paraId="33B92E69" w14:textId="27E3B12A" w:rsidR="79227FA8" w:rsidRPr="001C0AA6" w:rsidRDefault="00502682" w:rsidP="001C0AA6">
          <w:pPr>
            <w:pStyle w:val="TOC2"/>
            <w:tabs>
              <w:tab w:val="right" w:leader="dot" w:pos="9360"/>
            </w:tabs>
            <w:spacing w:line="360" w:lineRule="auto"/>
            <w:rPr>
              <w:rStyle w:val="Hyperlink"/>
              <w:rFonts w:ascii="Arial" w:hAnsi="Arial" w:cs="Arial"/>
              <w:noProof/>
            </w:rPr>
          </w:pPr>
          <w:hyperlink w:anchor="_Toc185977013">
            <w:r w:rsidR="79227FA8" w:rsidRPr="001C0AA6">
              <w:rPr>
                <w:rStyle w:val="Hyperlink"/>
                <w:rFonts w:ascii="Arial" w:hAnsi="Arial" w:cs="Arial"/>
                <w:noProof/>
              </w:rPr>
              <w:t>6. Conclusion and Recommendations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_Toc185977013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27</w:t>
            </w:r>
            <w:r w:rsidR="79227FA8" w:rsidRPr="001C0AA6">
              <w:rPr>
                <w:rFonts w:ascii="Arial" w:hAnsi="Arial" w:cs="Arial"/>
                <w:noProof/>
              </w:rPr>
              <w:fldChar w:fldCharType="end"/>
            </w:r>
          </w:hyperlink>
        </w:p>
        <w:p w14:paraId="389D53FC" w14:textId="50F3F11B"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2015317108">
            <w:r w:rsidR="79227FA8" w:rsidRPr="001C0AA6">
              <w:rPr>
                <w:rStyle w:val="Hyperlink"/>
                <w:rFonts w:ascii="Arial" w:hAnsi="Arial" w:cs="Arial"/>
                <w:noProof/>
              </w:rPr>
              <w:t>6.1 Conclusion</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_Toc2015317108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27</w:t>
            </w:r>
            <w:r w:rsidR="79227FA8" w:rsidRPr="001C0AA6">
              <w:rPr>
                <w:rFonts w:ascii="Arial" w:hAnsi="Arial" w:cs="Arial"/>
                <w:noProof/>
              </w:rPr>
              <w:fldChar w:fldCharType="end"/>
            </w:r>
          </w:hyperlink>
        </w:p>
        <w:p w14:paraId="5D68E6FA" w14:textId="579AC71E"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647999892">
            <w:r w:rsidR="79227FA8" w:rsidRPr="001C0AA6">
              <w:rPr>
                <w:rStyle w:val="Hyperlink"/>
                <w:rFonts w:ascii="Arial" w:hAnsi="Arial" w:cs="Arial"/>
                <w:noProof/>
              </w:rPr>
              <w:t>6.2 Recommendations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_Toc1647999892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28</w:t>
            </w:r>
            <w:r w:rsidR="79227FA8" w:rsidRPr="001C0AA6">
              <w:rPr>
                <w:rFonts w:ascii="Arial" w:hAnsi="Arial" w:cs="Arial"/>
                <w:noProof/>
              </w:rPr>
              <w:fldChar w:fldCharType="end"/>
            </w:r>
          </w:hyperlink>
        </w:p>
        <w:p w14:paraId="7551344A" w14:textId="5AF936ED"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1174208004">
            <w:r w:rsidR="79227FA8" w:rsidRPr="001C0AA6">
              <w:rPr>
                <w:rStyle w:val="Hyperlink"/>
                <w:rFonts w:ascii="Arial" w:hAnsi="Arial" w:cs="Arial"/>
                <w:noProof/>
              </w:rPr>
              <w:t>6.3 Final Remark</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_Toc1174208004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28</w:t>
            </w:r>
            <w:r w:rsidR="79227FA8" w:rsidRPr="001C0AA6">
              <w:rPr>
                <w:rFonts w:ascii="Arial" w:hAnsi="Arial" w:cs="Arial"/>
                <w:noProof/>
              </w:rPr>
              <w:fldChar w:fldCharType="end"/>
            </w:r>
          </w:hyperlink>
        </w:p>
        <w:p w14:paraId="6A44CB26" w14:textId="0124AE3A" w:rsidR="79227FA8" w:rsidRPr="001C0AA6" w:rsidRDefault="00502682" w:rsidP="001C0AA6">
          <w:pPr>
            <w:pStyle w:val="TOC3"/>
            <w:tabs>
              <w:tab w:val="right" w:leader="dot" w:pos="9360"/>
            </w:tabs>
            <w:spacing w:line="360" w:lineRule="auto"/>
            <w:rPr>
              <w:rStyle w:val="Hyperlink"/>
              <w:rFonts w:ascii="Arial" w:hAnsi="Arial" w:cs="Arial"/>
              <w:noProof/>
            </w:rPr>
          </w:pPr>
          <w:hyperlink w:anchor="_Toc901389536">
            <w:r w:rsidR="79227FA8" w:rsidRPr="001C0AA6">
              <w:rPr>
                <w:rStyle w:val="Hyperlink"/>
                <w:rFonts w:ascii="Arial" w:hAnsi="Arial" w:cs="Arial"/>
                <w:noProof/>
              </w:rPr>
              <w:t>REFERENCES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_Toc901389536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29</w:t>
            </w:r>
            <w:r w:rsidR="79227FA8" w:rsidRPr="001C0AA6">
              <w:rPr>
                <w:rFonts w:ascii="Arial" w:hAnsi="Arial" w:cs="Arial"/>
                <w:noProof/>
              </w:rPr>
              <w:fldChar w:fldCharType="end"/>
            </w:r>
          </w:hyperlink>
        </w:p>
        <w:p w14:paraId="43E980D1" w14:textId="3842219C" w:rsidR="79227FA8" w:rsidRPr="001C0AA6" w:rsidRDefault="00502682" w:rsidP="001C0AA6">
          <w:pPr>
            <w:pStyle w:val="TOC3"/>
            <w:tabs>
              <w:tab w:val="right" w:leader="dot" w:pos="9360"/>
            </w:tabs>
            <w:spacing w:line="360" w:lineRule="auto"/>
            <w:rPr>
              <w:rStyle w:val="Hyperlink"/>
              <w:rFonts w:ascii="Arial" w:hAnsi="Arial" w:cs="Arial"/>
            </w:rPr>
          </w:pPr>
          <w:hyperlink w:anchor="_Toc1331028320">
            <w:r w:rsidR="79227FA8" w:rsidRPr="001C0AA6">
              <w:rPr>
                <w:rStyle w:val="Hyperlink"/>
                <w:rFonts w:ascii="Arial" w:hAnsi="Arial" w:cs="Arial"/>
                <w:noProof/>
              </w:rPr>
              <w:t>APPENDICES</w:t>
            </w:r>
            <w:r w:rsidR="79227FA8" w:rsidRPr="001C0AA6">
              <w:rPr>
                <w:rFonts w:ascii="Arial" w:hAnsi="Arial" w:cs="Arial"/>
                <w:noProof/>
              </w:rPr>
              <w:tab/>
            </w:r>
            <w:r w:rsidR="79227FA8" w:rsidRPr="001C0AA6">
              <w:rPr>
                <w:rFonts w:ascii="Arial" w:hAnsi="Arial" w:cs="Arial"/>
                <w:noProof/>
              </w:rPr>
              <w:fldChar w:fldCharType="begin"/>
            </w:r>
            <w:r w:rsidR="79227FA8" w:rsidRPr="001C0AA6">
              <w:rPr>
                <w:rFonts w:ascii="Arial" w:hAnsi="Arial" w:cs="Arial"/>
                <w:noProof/>
              </w:rPr>
              <w:instrText>PAGEREF _Toc1331028320 \h</w:instrText>
            </w:r>
            <w:r w:rsidR="79227FA8" w:rsidRPr="001C0AA6">
              <w:rPr>
                <w:rFonts w:ascii="Arial" w:hAnsi="Arial" w:cs="Arial"/>
                <w:noProof/>
              </w:rPr>
            </w:r>
            <w:r w:rsidR="79227FA8" w:rsidRPr="001C0AA6">
              <w:rPr>
                <w:rFonts w:ascii="Arial" w:hAnsi="Arial" w:cs="Arial"/>
                <w:noProof/>
              </w:rPr>
              <w:fldChar w:fldCharType="separate"/>
            </w:r>
            <w:r w:rsidR="00292A2E">
              <w:rPr>
                <w:rFonts w:ascii="Arial" w:hAnsi="Arial" w:cs="Arial"/>
                <w:noProof/>
              </w:rPr>
              <w:t>31</w:t>
            </w:r>
            <w:r w:rsidR="79227FA8" w:rsidRPr="001C0AA6">
              <w:rPr>
                <w:rFonts w:ascii="Arial" w:hAnsi="Arial" w:cs="Arial"/>
                <w:noProof/>
              </w:rPr>
              <w:fldChar w:fldCharType="end"/>
            </w:r>
          </w:hyperlink>
          <w:r w:rsidR="79227FA8" w:rsidRPr="001C0AA6">
            <w:rPr>
              <w:rFonts w:ascii="Arial" w:hAnsi="Arial" w:cs="Arial"/>
            </w:rPr>
            <w:fldChar w:fldCharType="end"/>
          </w:r>
        </w:p>
      </w:sdtContent>
    </w:sdt>
    <w:p w14:paraId="087E1B3A" w14:textId="13DB0435" w:rsidR="79227FA8" w:rsidRDefault="79227FA8" w:rsidP="79227FA8">
      <w:pPr>
        <w:jc w:val="center"/>
        <w:rPr>
          <w:rFonts w:ascii="Times New Roman" w:eastAsia="Times New Roman" w:hAnsi="Times New Roman" w:cs="Times New Roman"/>
          <w:b/>
          <w:bCs/>
        </w:rPr>
      </w:pPr>
    </w:p>
    <w:p w14:paraId="668AB61F" w14:textId="7FBAA461" w:rsidR="79227FA8" w:rsidRDefault="79227FA8" w:rsidP="79227FA8">
      <w:pPr>
        <w:pStyle w:val="Heading3"/>
        <w:spacing w:before="281" w:after="281" w:line="480" w:lineRule="auto"/>
        <w:jc w:val="both"/>
        <w:rPr>
          <w:rFonts w:ascii="Times New Roman" w:eastAsia="Times New Roman" w:hAnsi="Times New Roman" w:cs="Times New Roman"/>
          <w:b/>
          <w:bCs/>
          <w:color w:val="auto"/>
          <w:sz w:val="24"/>
          <w:szCs w:val="24"/>
        </w:rPr>
      </w:pPr>
    </w:p>
    <w:p w14:paraId="216E52D4" w14:textId="0B25A81C" w:rsidR="79227FA8" w:rsidRDefault="79227FA8" w:rsidP="79227FA8"/>
    <w:p w14:paraId="085E8228" w14:textId="0342F071" w:rsidR="79227FA8" w:rsidRDefault="79227FA8" w:rsidP="79227FA8"/>
    <w:p w14:paraId="2D36E7D9" w14:textId="3996B0A5" w:rsidR="79227FA8" w:rsidRDefault="79227FA8" w:rsidP="79227FA8"/>
    <w:p w14:paraId="2A206682" w14:textId="07940287" w:rsidR="79227FA8" w:rsidRDefault="79227FA8" w:rsidP="79227FA8"/>
    <w:p w14:paraId="57EE2ADC" w14:textId="167FDF9E" w:rsidR="79227FA8" w:rsidRDefault="79227FA8" w:rsidP="79227FA8"/>
    <w:p w14:paraId="06F29A4E" w14:textId="11BFA452" w:rsidR="79227FA8" w:rsidRDefault="79227FA8" w:rsidP="79227FA8"/>
    <w:p w14:paraId="06816AD5" w14:textId="25442C45" w:rsidR="79227FA8" w:rsidRDefault="79227FA8" w:rsidP="79227FA8"/>
    <w:p w14:paraId="4ED92489" w14:textId="5B12E4CB" w:rsidR="79227FA8" w:rsidRDefault="79227FA8" w:rsidP="79227FA8"/>
    <w:p w14:paraId="4F7DBC2E" w14:textId="6F5A2294" w:rsidR="79058A68" w:rsidRPr="001C0AA6" w:rsidRDefault="70DBD5C1" w:rsidP="001C0AA6">
      <w:pPr>
        <w:pStyle w:val="Heading3"/>
        <w:spacing w:before="281" w:after="281" w:line="360" w:lineRule="auto"/>
        <w:jc w:val="both"/>
        <w:rPr>
          <w:rFonts w:ascii="Arial" w:eastAsia="Times New Roman" w:hAnsi="Arial" w:cs="Arial"/>
          <w:b/>
          <w:bCs/>
          <w:color w:val="auto"/>
          <w:sz w:val="24"/>
          <w:szCs w:val="24"/>
        </w:rPr>
      </w:pPr>
      <w:bookmarkStart w:id="1" w:name="_Toc824653177"/>
      <w:r w:rsidRPr="001C0AA6">
        <w:rPr>
          <w:rFonts w:ascii="Arial" w:eastAsia="Times New Roman" w:hAnsi="Arial" w:cs="Arial"/>
          <w:b/>
          <w:bCs/>
          <w:color w:val="auto"/>
          <w:sz w:val="24"/>
          <w:szCs w:val="24"/>
        </w:rPr>
        <w:lastRenderedPageBreak/>
        <w:t>Executive Summary</w:t>
      </w:r>
      <w:bookmarkEnd w:id="1"/>
    </w:p>
    <w:p w14:paraId="34AE61A4" w14:textId="34BFB427" w:rsidR="79058A68" w:rsidRPr="001C0AA6" w:rsidRDefault="79919A26" w:rsidP="001C0AA6">
      <w:pPr>
        <w:spacing w:before="281" w:after="281" w:line="360" w:lineRule="auto"/>
        <w:jc w:val="both"/>
        <w:rPr>
          <w:rFonts w:ascii="Arial" w:eastAsia="Times New Roman" w:hAnsi="Arial" w:cs="Arial"/>
        </w:rPr>
      </w:pPr>
      <w:r w:rsidRPr="001C0AA6">
        <w:rPr>
          <w:rFonts w:ascii="Arial" w:eastAsia="Times New Roman" w:hAnsi="Arial" w:cs="Arial"/>
        </w:rPr>
        <w:t xml:space="preserve">This is a report on a financial and strategic analysis of General Electronics (GE) which is a multinational corporation in the consumer electronics business that is in dire financial distress. The discussion includes the financial performance of the company in the period between 2020 and 2024, and in this time, the profitability of GE decreased significantly, with the company recording two consecutive net losses in 2023 (£98.2 billion) and 2024 (£24.0 billion). The analysis refers to declining profitability, poor use of assets, high operating cost, and declining liquidity as the key factors of financial instability in the firm. The report measures the relative risk of solvency of the company using financial ratio analysis and corporate failure prediction models, including the Altman Z-Score, and provides a benchmark on turnaround strategies. </w:t>
      </w:r>
    </w:p>
    <w:p w14:paraId="2D22F8CC" w14:textId="29F34991" w:rsidR="79058A68" w:rsidRPr="001C0AA6" w:rsidRDefault="79919A26" w:rsidP="001C0AA6">
      <w:pPr>
        <w:spacing w:before="281" w:after="281" w:line="360" w:lineRule="auto"/>
        <w:jc w:val="both"/>
        <w:rPr>
          <w:rFonts w:ascii="Arial" w:eastAsia="Times New Roman" w:hAnsi="Arial" w:cs="Arial"/>
        </w:rPr>
      </w:pPr>
      <w:r w:rsidRPr="001C0AA6">
        <w:rPr>
          <w:rFonts w:ascii="Arial" w:eastAsia="Times New Roman" w:hAnsi="Arial" w:cs="Arial"/>
        </w:rPr>
        <w:t xml:space="preserve">This </w:t>
      </w:r>
      <w:r w:rsidR="456698A9" w:rsidRPr="001C0AA6">
        <w:rPr>
          <w:rFonts w:ascii="Arial" w:eastAsia="Times New Roman" w:hAnsi="Arial" w:cs="Arial"/>
        </w:rPr>
        <w:t xml:space="preserve">report </w:t>
      </w:r>
      <w:r w:rsidRPr="001C0AA6">
        <w:rPr>
          <w:rFonts w:ascii="Arial" w:eastAsia="Times New Roman" w:hAnsi="Arial" w:cs="Arial"/>
        </w:rPr>
        <w:t>proposes a complete turnaround strategy to the crisis that covers strategic cost cuts, sell-off of non-core business activities, working capital optimization, and strategic investments in technology areas that have been identified to be growing best. Finally, three investment projects are analyzed based on capital budgeting methods, i.e., Payback Period (PBP), Accounting rate of Return (ARR), Net Present Value (NPV), Profitability Index (PI), and Internal rate of Return (IRR). With a capital limit of less than £60 million, the analysis suggests investment of Project A and Project B as they have the best mix of high NPV, payment that are acceptable, and moderate risk exposure that will secure the creation of sustainable shareholder value.</w:t>
      </w:r>
    </w:p>
    <w:p w14:paraId="02D552C3" w14:textId="70CB1939" w:rsidR="79058A68" w:rsidRPr="001C0AA6" w:rsidRDefault="70DBD5C1" w:rsidP="001C0AA6">
      <w:pPr>
        <w:pStyle w:val="Heading3"/>
        <w:spacing w:before="281" w:after="281" w:line="360" w:lineRule="auto"/>
        <w:jc w:val="both"/>
        <w:rPr>
          <w:rFonts w:ascii="Arial" w:eastAsia="Times New Roman" w:hAnsi="Arial" w:cs="Arial"/>
          <w:b/>
          <w:bCs/>
          <w:color w:val="auto"/>
          <w:sz w:val="24"/>
          <w:szCs w:val="24"/>
        </w:rPr>
      </w:pPr>
      <w:bookmarkStart w:id="2" w:name="_Toc1317840703"/>
      <w:r w:rsidRPr="001C0AA6">
        <w:rPr>
          <w:rFonts w:ascii="Arial" w:eastAsia="Times New Roman" w:hAnsi="Arial" w:cs="Arial"/>
          <w:b/>
          <w:bCs/>
          <w:color w:val="auto"/>
          <w:sz w:val="24"/>
          <w:szCs w:val="24"/>
        </w:rPr>
        <w:t>1. Introduction</w:t>
      </w:r>
      <w:bookmarkEnd w:id="2"/>
    </w:p>
    <w:p w14:paraId="7EF5C278" w14:textId="3F0071D7" w:rsidR="79058A68" w:rsidRPr="001C0AA6" w:rsidRDefault="6B3D7C4D" w:rsidP="001C0AA6">
      <w:pPr>
        <w:spacing w:before="240" w:after="240" w:line="360" w:lineRule="auto"/>
        <w:jc w:val="both"/>
        <w:rPr>
          <w:rFonts w:ascii="Arial" w:eastAsia="Times New Roman" w:hAnsi="Arial" w:cs="Arial"/>
        </w:rPr>
      </w:pPr>
      <w:r w:rsidRPr="001C0AA6">
        <w:rPr>
          <w:rFonts w:ascii="Arial" w:eastAsia="Times New Roman" w:hAnsi="Arial" w:cs="Arial"/>
        </w:rPr>
        <w:t xml:space="preserve">The current business world is also defined by instability, technological upheaval, and intense rivalry - all of which have had a fundamental impact on the consumer electronics industry in the world. General electronics (GE), a company that was once a strong force in this sector, is currently in a serious financial crisis due to poor sales, cost of operation, and unsuitable capital structures. Revenues in the company have decreased between 2020 and 2024 as the company is experiencing growing losses and declining cash reserves, which are reducing revenues to £614.7 billion in 2020 and then to £394.9 billion </w:t>
      </w:r>
      <w:r w:rsidRPr="001C0AA6">
        <w:rPr>
          <w:rFonts w:ascii="Arial" w:eastAsia="Times New Roman" w:hAnsi="Arial" w:cs="Arial"/>
        </w:rPr>
        <w:lastRenderedPageBreak/>
        <w:t xml:space="preserve">in 2024. Being a new Chief Financial Officer (CFO), the key issue is to identify the reasons why the company has been fading financially and create an all-encompassing recovery strategy that will help the company to regain its profitability, liquidity, and investor trust. </w:t>
      </w:r>
    </w:p>
    <w:p w14:paraId="700A9899" w14:textId="51BB7FBD" w:rsidR="79058A68" w:rsidRPr="001C0AA6" w:rsidRDefault="6B3D7C4D" w:rsidP="001C0AA6">
      <w:pPr>
        <w:spacing w:before="240" w:after="240" w:line="360" w:lineRule="auto"/>
        <w:jc w:val="both"/>
        <w:rPr>
          <w:rFonts w:ascii="Arial" w:eastAsia="Times New Roman" w:hAnsi="Arial" w:cs="Arial"/>
        </w:rPr>
      </w:pPr>
      <w:r w:rsidRPr="001C0AA6">
        <w:rPr>
          <w:rFonts w:ascii="Arial" w:eastAsia="Times New Roman" w:hAnsi="Arial" w:cs="Arial"/>
        </w:rPr>
        <w:t xml:space="preserve">The report combines the financial analysis with the strategic management approach in a bid to manage the turnaround of GE. It starts by giving an in-depth financial health check that is based on five years of statements and an overview of working capital efficiency to increase liquidity. The following sections give a plan of restructuring that is based on the operational, financing, and ethical aspects, and end up with the investment appraisal of three strategic projects based on the new growth of the firm goals. </w:t>
      </w:r>
    </w:p>
    <w:p w14:paraId="7F513B01" w14:textId="1320CC14" w:rsidR="79058A68" w:rsidRPr="001C0AA6" w:rsidRDefault="70DBD5C1" w:rsidP="001C0AA6">
      <w:pPr>
        <w:spacing w:before="240" w:after="240" w:line="360" w:lineRule="auto"/>
        <w:jc w:val="both"/>
        <w:rPr>
          <w:rFonts w:ascii="Arial" w:eastAsia="Times New Roman" w:hAnsi="Arial" w:cs="Arial"/>
        </w:rPr>
      </w:pPr>
      <w:r w:rsidRPr="001C0AA6">
        <w:rPr>
          <w:rFonts w:ascii="Arial" w:eastAsia="Times New Roman" w:hAnsi="Arial" w:cs="Arial"/>
        </w:rPr>
        <w:t>The purpose of this report is twofold:</w:t>
      </w:r>
    </w:p>
    <w:p w14:paraId="0AB48F0A" w14:textId="1ACBCB16" w:rsidR="79058A68" w:rsidRPr="001C0AA6" w:rsidRDefault="70DBD5C1" w:rsidP="001C0AA6">
      <w:pPr>
        <w:pStyle w:val="ListParagraph"/>
        <w:numPr>
          <w:ilvl w:val="0"/>
          <w:numId w:val="21"/>
        </w:numPr>
        <w:spacing w:before="240" w:after="240" w:line="360" w:lineRule="auto"/>
        <w:jc w:val="both"/>
        <w:rPr>
          <w:rFonts w:ascii="Arial" w:eastAsia="Times New Roman" w:hAnsi="Arial" w:cs="Arial"/>
        </w:rPr>
      </w:pPr>
      <w:r w:rsidRPr="001C0AA6">
        <w:rPr>
          <w:rFonts w:ascii="Arial" w:eastAsia="Times New Roman" w:hAnsi="Arial" w:cs="Arial"/>
        </w:rPr>
        <w:t>To evaluate GE’s financial position using quantitative and qualitative techniques that reveal key weaknesses and performance trends.</w:t>
      </w:r>
    </w:p>
    <w:p w14:paraId="3556CE1C" w14:textId="58C63DAE" w:rsidR="79058A68" w:rsidRPr="001C0AA6" w:rsidRDefault="70DBD5C1" w:rsidP="001C0AA6">
      <w:pPr>
        <w:pStyle w:val="ListParagraph"/>
        <w:numPr>
          <w:ilvl w:val="0"/>
          <w:numId w:val="21"/>
        </w:numPr>
        <w:spacing w:before="240" w:after="240" w:line="360" w:lineRule="auto"/>
        <w:jc w:val="both"/>
        <w:rPr>
          <w:rFonts w:ascii="Arial" w:eastAsia="Times New Roman" w:hAnsi="Arial" w:cs="Arial"/>
        </w:rPr>
      </w:pPr>
      <w:r w:rsidRPr="001C0AA6">
        <w:rPr>
          <w:rFonts w:ascii="Arial" w:eastAsia="Times New Roman" w:hAnsi="Arial" w:cs="Arial"/>
        </w:rPr>
        <w:t>To design and justify actionable financial strategies that are both feasible and consistent with global ethical and corporate governance standards.</w:t>
      </w:r>
    </w:p>
    <w:p w14:paraId="1F17246A" w14:textId="5963E4DE" w:rsidR="79058A68" w:rsidRPr="001C0AA6" w:rsidRDefault="70DBD5C1" w:rsidP="001C0AA6">
      <w:pPr>
        <w:spacing w:before="240" w:after="240" w:line="360" w:lineRule="auto"/>
        <w:jc w:val="both"/>
        <w:rPr>
          <w:rFonts w:ascii="Arial" w:eastAsia="Times New Roman" w:hAnsi="Arial" w:cs="Arial"/>
        </w:rPr>
      </w:pPr>
      <w:r w:rsidRPr="001C0AA6">
        <w:rPr>
          <w:rFonts w:ascii="Arial" w:eastAsia="Times New Roman" w:hAnsi="Arial" w:cs="Arial"/>
        </w:rPr>
        <w:t xml:space="preserve">The methodology combines ratio analysis, trend evaluation, and capital budgeting models </w:t>
      </w:r>
      <w:proofErr w:type="gramStart"/>
      <w:r w:rsidR="4BA016E4" w:rsidRPr="001C0AA6">
        <w:rPr>
          <w:rFonts w:ascii="Arial" w:eastAsia="Times New Roman" w:hAnsi="Arial" w:cs="Arial"/>
        </w:rPr>
        <w:t>The</w:t>
      </w:r>
      <w:proofErr w:type="gramEnd"/>
      <w:r w:rsidR="4BA016E4" w:rsidRPr="001C0AA6">
        <w:rPr>
          <w:rFonts w:ascii="Arial" w:eastAsia="Times New Roman" w:hAnsi="Arial" w:cs="Arial"/>
        </w:rPr>
        <w:t xml:space="preserve"> approach is a mix of ratio analysis, trend analysis, and capital budgeting approaches that are relevant in sophisticated financial management models. The calculations are based on data of the consolidated income statement, balance sheet and cash flow statements. This practice will make sure that all strategic recommendations are evidence-based and connected to financial outcomes that can be measured. The results will be used to offer the Board concise, factual recommendations on financial recovery, capital distribution and long term strategic direction. The report eventually concludes that a rigorous use of financial management principles backed by sound investment, ethical leadership and flexibility of global markets could turn General Electronics around financial woes into exemplary recovery.</w:t>
      </w:r>
    </w:p>
    <w:p w14:paraId="358B7D79" w14:textId="3774A422" w:rsidR="79058A68" w:rsidRPr="001C0AA6" w:rsidRDefault="70DBD5C1" w:rsidP="001C0AA6">
      <w:pPr>
        <w:pStyle w:val="Heading2"/>
        <w:spacing w:before="240" w:after="240" w:line="360" w:lineRule="auto"/>
        <w:jc w:val="both"/>
        <w:rPr>
          <w:rFonts w:ascii="Arial" w:eastAsia="Times New Roman" w:hAnsi="Arial" w:cs="Arial"/>
          <w:b/>
          <w:bCs/>
          <w:color w:val="auto"/>
          <w:sz w:val="24"/>
          <w:szCs w:val="24"/>
        </w:rPr>
      </w:pPr>
      <w:bookmarkStart w:id="3" w:name="_Toc666729525"/>
      <w:r w:rsidRPr="001C0AA6">
        <w:rPr>
          <w:rFonts w:ascii="Arial" w:eastAsia="Times New Roman" w:hAnsi="Arial" w:cs="Arial"/>
          <w:b/>
          <w:bCs/>
          <w:color w:val="auto"/>
          <w:sz w:val="24"/>
          <w:szCs w:val="24"/>
        </w:rPr>
        <w:lastRenderedPageBreak/>
        <w:t>2: Financial Health Check</w:t>
      </w:r>
      <w:bookmarkEnd w:id="3"/>
    </w:p>
    <w:p w14:paraId="5B88CBE3" w14:textId="252651A0" w:rsidR="79058A68" w:rsidRPr="001C0AA6" w:rsidRDefault="70DBD5C1" w:rsidP="001C0AA6">
      <w:pPr>
        <w:pStyle w:val="Heading3"/>
        <w:spacing w:line="360" w:lineRule="auto"/>
        <w:jc w:val="both"/>
        <w:rPr>
          <w:rFonts w:ascii="Arial" w:eastAsia="Times New Roman" w:hAnsi="Arial" w:cs="Arial"/>
          <w:b/>
          <w:bCs/>
          <w:color w:val="auto"/>
          <w:sz w:val="24"/>
          <w:szCs w:val="24"/>
        </w:rPr>
      </w:pPr>
      <w:bookmarkStart w:id="4" w:name="_Toc1868372132"/>
      <w:r w:rsidRPr="001C0AA6">
        <w:rPr>
          <w:rFonts w:ascii="Arial" w:eastAsia="Times New Roman" w:hAnsi="Arial" w:cs="Arial"/>
          <w:b/>
          <w:bCs/>
          <w:color w:val="auto"/>
          <w:sz w:val="24"/>
          <w:szCs w:val="24"/>
        </w:rPr>
        <w:t>2.1 Overview</w:t>
      </w:r>
      <w:bookmarkEnd w:id="4"/>
    </w:p>
    <w:p w14:paraId="698E3A49" w14:textId="3832F851" w:rsidR="79058A68" w:rsidRPr="001C0AA6" w:rsidRDefault="20882006" w:rsidP="001C0AA6">
      <w:pPr>
        <w:spacing w:before="281" w:after="281" w:line="360" w:lineRule="auto"/>
        <w:jc w:val="both"/>
        <w:rPr>
          <w:rFonts w:ascii="Arial" w:eastAsia="Times New Roman" w:hAnsi="Arial" w:cs="Arial"/>
        </w:rPr>
      </w:pPr>
      <w:r w:rsidRPr="001C0AA6">
        <w:rPr>
          <w:rFonts w:ascii="Arial" w:eastAsia="Times New Roman" w:hAnsi="Arial" w:cs="Arial"/>
        </w:rPr>
        <w:t>The financial profile of General Electronics (GE) in the 20202024 shows that there is an overall decline in profitability, efficiency, and solvency. Although the company has a high asset and equity base, its operating performance has failed miserably owing to the decline in sales and high costs, as well as, poor generation of cash. This section is based on the ratio analysis to estimate the financial position of the company in a broad way. The ratios are computed on the basis of the consolidated income statement, the balance sheet and the statement of cash flow that are given over the five year period.</w:t>
      </w:r>
    </w:p>
    <w:p w14:paraId="3555DCCF" w14:textId="5A669B17" w:rsidR="79058A68" w:rsidRPr="001C0AA6" w:rsidRDefault="70DBD5C1" w:rsidP="001C0AA6">
      <w:pPr>
        <w:pStyle w:val="Heading3"/>
        <w:spacing w:before="281" w:after="281" w:line="360" w:lineRule="auto"/>
        <w:jc w:val="both"/>
        <w:rPr>
          <w:rFonts w:ascii="Arial" w:eastAsia="Times New Roman" w:hAnsi="Arial" w:cs="Arial"/>
          <w:color w:val="auto"/>
          <w:sz w:val="24"/>
          <w:szCs w:val="24"/>
        </w:rPr>
      </w:pPr>
      <w:bookmarkStart w:id="5" w:name="_Toc2085448501"/>
      <w:r w:rsidRPr="001C0AA6">
        <w:rPr>
          <w:rFonts w:ascii="Arial" w:eastAsia="Times New Roman" w:hAnsi="Arial" w:cs="Arial"/>
          <w:b/>
          <w:bCs/>
          <w:color w:val="auto"/>
          <w:sz w:val="24"/>
          <w:szCs w:val="24"/>
        </w:rPr>
        <w:t>2.2 Profitability Ratios</w:t>
      </w:r>
      <w:bookmarkEnd w:id="5"/>
    </w:p>
    <w:p w14:paraId="01EF859F" w14:textId="2D883F23" w:rsidR="79058A68" w:rsidRPr="001C0AA6" w:rsidRDefault="70DBD5C1" w:rsidP="001C0AA6">
      <w:pPr>
        <w:spacing w:before="240" w:after="240" w:line="360" w:lineRule="auto"/>
        <w:jc w:val="both"/>
        <w:rPr>
          <w:rFonts w:ascii="Arial" w:eastAsia="Times New Roman" w:hAnsi="Arial" w:cs="Arial"/>
        </w:rPr>
      </w:pPr>
      <w:r w:rsidRPr="001C0AA6">
        <w:rPr>
          <w:rFonts w:ascii="Arial" w:eastAsia="Times New Roman" w:hAnsi="Arial" w:cs="Arial"/>
        </w:rPr>
        <w:t>Profitability ratios measure GE’s ability to generate earnings relative to sales, assets, and equity.</w:t>
      </w:r>
    </w:p>
    <w:p w14:paraId="45F4765C" w14:textId="741BEA8D" w:rsidR="79058A68" w:rsidRPr="001C0AA6" w:rsidRDefault="70DBD5C1" w:rsidP="001C0AA6">
      <w:pPr>
        <w:pStyle w:val="Heading4"/>
        <w:spacing w:before="319" w:after="319" w:line="360" w:lineRule="auto"/>
        <w:jc w:val="both"/>
        <w:rPr>
          <w:rFonts w:ascii="Arial" w:eastAsia="Times New Roman" w:hAnsi="Arial" w:cs="Arial"/>
          <w:b/>
          <w:bCs/>
          <w:color w:val="auto"/>
        </w:rPr>
      </w:pPr>
      <w:bookmarkStart w:id="6" w:name="_Toc430599383"/>
      <w:r w:rsidRPr="001C0AA6">
        <w:rPr>
          <w:rFonts w:ascii="Arial" w:eastAsia="Times New Roman" w:hAnsi="Arial" w:cs="Arial"/>
          <w:b/>
          <w:bCs/>
          <w:color w:val="auto"/>
        </w:rPr>
        <w:t>2.2.1 Gross Profit Margin</w:t>
      </w:r>
      <w:bookmarkEnd w:id="6"/>
    </w:p>
    <w:p w14:paraId="01B963B8" w14:textId="32A9A087" w:rsidR="79227FA8" w:rsidRPr="001C0AA6" w:rsidRDefault="79227FA8" w:rsidP="001C0AA6">
      <w:pPr>
        <w:spacing w:line="360" w:lineRule="auto"/>
        <w:jc w:val="center"/>
        <w:rPr>
          <w:rFonts w:ascii="Arial" w:hAnsi="Arial" w:cs="Arial"/>
        </w:rPr>
      </w:pPr>
      <m:oMathPara>
        <m:oMath>
          <m:r>
            <w:rPr>
              <w:rFonts w:ascii="Cambria Math" w:hAnsi="Cambria Math" w:cs="Arial"/>
            </w:rPr>
            <m:t>Gross </m:t>
          </m:r>
          <m:func>
            <m:funcPr>
              <m:ctrlPr>
                <w:rPr>
                  <w:rFonts w:ascii="Cambria Math" w:hAnsi="Cambria Math" w:cs="Arial"/>
                </w:rPr>
              </m:ctrlPr>
            </m:funcPr>
            <m:fName>
              <m:r>
                <m:rPr>
                  <m:sty m:val="p"/>
                </m:rPr>
                <w:rPr>
                  <w:rFonts w:ascii="Cambria Math" w:hAnsi="Cambria Math" w:cs="Arial"/>
                </w:rPr>
                <m:t>Pr</m:t>
              </m:r>
            </m:fName>
            <m:e>
              <m:r>
                <w:rPr>
                  <w:rFonts w:ascii="Cambria Math" w:hAnsi="Cambria Math" w:cs="Arial"/>
                </w:rPr>
                <m:t>o</m:t>
              </m:r>
            </m:e>
          </m:func>
          <m:r>
            <w:rPr>
              <w:rFonts w:ascii="Cambria Math" w:hAnsi="Cambria Math" w:cs="Arial"/>
            </w:rPr>
            <m:t>fit M</m:t>
          </m:r>
          <m:func>
            <m:funcPr>
              <m:ctrlPr>
                <w:rPr>
                  <w:rFonts w:ascii="Cambria Math" w:hAnsi="Cambria Math" w:cs="Arial"/>
                </w:rPr>
              </m:ctrlPr>
            </m:funcPr>
            <m:fName>
              <m:r>
                <m:rPr>
                  <m:sty m:val="p"/>
                </m:rPr>
                <w:rPr>
                  <w:rFonts w:ascii="Cambria Math" w:hAnsi="Cambria Math" w:cs="Arial"/>
                </w:rPr>
                <m:t>arg</m:t>
              </m:r>
            </m:fName>
            <m:e>
              <m:r>
                <w:rPr>
                  <w:rFonts w:ascii="Cambria Math" w:hAnsi="Cambria Math" w:cs="Arial"/>
                </w:rPr>
                <m:t>i</m:t>
              </m:r>
            </m:e>
          </m:func>
          <m:r>
            <w:rPr>
              <w:rFonts w:ascii="Cambria Math" w:hAnsi="Cambria Math" w:cs="Arial"/>
            </w:rPr>
            <m:t>n=</m:t>
          </m:r>
          <m:f>
            <m:fPr>
              <m:ctrlPr>
                <w:rPr>
                  <w:rFonts w:ascii="Cambria Math" w:hAnsi="Cambria Math" w:cs="Arial"/>
                </w:rPr>
              </m:ctrlPr>
            </m:fPr>
            <m:num>
              <m:r>
                <w:rPr>
                  <w:rFonts w:ascii="Cambria Math" w:hAnsi="Cambria Math" w:cs="Arial"/>
                </w:rPr>
                <m:t>Gross</m:t>
              </m:r>
              <m:func>
                <m:funcPr>
                  <m:ctrlPr>
                    <w:rPr>
                      <w:rFonts w:ascii="Cambria Math" w:hAnsi="Cambria Math" w:cs="Arial"/>
                    </w:rPr>
                  </m:ctrlPr>
                </m:funcPr>
                <m:fName>
                  <m:r>
                    <m:rPr>
                      <m:sty m:val="p"/>
                    </m:rPr>
                    <w:rPr>
                      <w:rFonts w:ascii="Cambria Math" w:hAnsi="Cambria Math" w:cs="Arial"/>
                    </w:rPr>
                    <m:t>Pr</m:t>
                  </m:r>
                </m:fName>
                <m:e>
                  <m:r>
                    <w:rPr>
                      <w:rFonts w:ascii="Cambria Math" w:hAnsi="Cambria Math" w:cs="Arial"/>
                    </w:rPr>
                    <m:t>o</m:t>
                  </m:r>
                </m:e>
              </m:func>
              <m:r>
                <w:rPr>
                  <w:rFonts w:ascii="Cambria Math" w:hAnsi="Cambria Math" w:cs="Arial"/>
                </w:rPr>
                <m:t>fit​</m:t>
              </m:r>
            </m:num>
            <m:den>
              <m:r>
                <w:rPr>
                  <w:rFonts w:ascii="Cambria Math" w:hAnsi="Cambria Math" w:cs="Arial"/>
                </w:rPr>
                <m:t>NetSales</m:t>
              </m:r>
            </m:den>
          </m:f>
          <m:r>
            <w:rPr>
              <w:rFonts w:ascii="Cambria Math" w:hAnsi="Cambria Math" w:cs="Arial"/>
            </w:rPr>
            <m:t>×100</m:t>
          </m:r>
        </m:oMath>
      </m:oMathPara>
    </w:p>
    <w:tbl>
      <w:tblPr>
        <w:tblStyle w:val="PlainTable2"/>
        <w:tblW w:w="9505" w:type="dxa"/>
        <w:tblLayout w:type="fixed"/>
        <w:tblLook w:val="06A0" w:firstRow="1" w:lastRow="0" w:firstColumn="1" w:lastColumn="0" w:noHBand="1" w:noVBand="1"/>
      </w:tblPr>
      <w:tblGrid>
        <w:gridCol w:w="1920"/>
        <w:gridCol w:w="2400"/>
        <w:gridCol w:w="2663"/>
        <w:gridCol w:w="2522"/>
      </w:tblGrid>
      <w:tr w:rsidR="3BC40808" w:rsidRPr="001C0AA6" w14:paraId="56997479" w14:textId="77777777" w:rsidTr="79227F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20" w:type="dxa"/>
            <w:vAlign w:val="center"/>
          </w:tcPr>
          <w:p w14:paraId="1ED1F372" w14:textId="0D6F7430"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Year</w:t>
            </w:r>
          </w:p>
        </w:tc>
        <w:tc>
          <w:tcPr>
            <w:tcW w:w="2400" w:type="dxa"/>
            <w:vAlign w:val="center"/>
          </w:tcPr>
          <w:p w14:paraId="268FE6A9" w14:textId="268AAB08" w:rsidR="3BC40808" w:rsidRPr="001C0AA6" w:rsidRDefault="1B422081" w:rsidP="001C0A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Gross Profit (£m)</w:t>
            </w:r>
          </w:p>
        </w:tc>
        <w:tc>
          <w:tcPr>
            <w:tcW w:w="2663" w:type="dxa"/>
            <w:vAlign w:val="center"/>
          </w:tcPr>
          <w:p w14:paraId="0CA6C2CB" w14:textId="26A4697A" w:rsidR="3BC40808" w:rsidRPr="001C0AA6" w:rsidRDefault="1B422081" w:rsidP="001C0A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Net Sales (£m)</w:t>
            </w:r>
          </w:p>
        </w:tc>
        <w:tc>
          <w:tcPr>
            <w:tcW w:w="2522" w:type="dxa"/>
            <w:vAlign w:val="center"/>
          </w:tcPr>
          <w:p w14:paraId="271A57E2" w14:textId="5F6BB6B2" w:rsidR="3BC40808" w:rsidRPr="001C0AA6" w:rsidRDefault="1B422081" w:rsidP="001C0A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GPM (%)</w:t>
            </w:r>
          </w:p>
        </w:tc>
      </w:tr>
      <w:tr w:rsidR="3BC40808" w:rsidRPr="001C0AA6" w14:paraId="66D4F4AE"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920" w:type="dxa"/>
            <w:vAlign w:val="center"/>
          </w:tcPr>
          <w:p w14:paraId="6CC28CC6" w14:textId="67E74E3D" w:rsidR="3BC40808" w:rsidRPr="001C0AA6" w:rsidRDefault="1B422081" w:rsidP="001C0AA6">
            <w:pPr>
              <w:spacing w:line="360" w:lineRule="auto"/>
              <w:rPr>
                <w:rFonts w:ascii="Arial" w:eastAsia="Times New Roman" w:hAnsi="Arial" w:cs="Arial"/>
              </w:rPr>
            </w:pPr>
            <w:r w:rsidRPr="001C0AA6">
              <w:rPr>
                <w:rFonts w:ascii="Arial" w:eastAsia="Times New Roman" w:hAnsi="Arial" w:cs="Arial"/>
              </w:rPr>
              <w:t>2020</w:t>
            </w:r>
          </w:p>
        </w:tc>
        <w:tc>
          <w:tcPr>
            <w:tcW w:w="2400" w:type="dxa"/>
            <w:vAlign w:val="center"/>
          </w:tcPr>
          <w:p w14:paraId="1159BD0D" w14:textId="1C657C5D"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176,256</w:t>
            </w:r>
          </w:p>
        </w:tc>
        <w:tc>
          <w:tcPr>
            <w:tcW w:w="2663" w:type="dxa"/>
            <w:vAlign w:val="center"/>
          </w:tcPr>
          <w:p w14:paraId="0285A492" w14:textId="16F55782"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614,680</w:t>
            </w:r>
          </w:p>
        </w:tc>
        <w:tc>
          <w:tcPr>
            <w:tcW w:w="2522" w:type="dxa"/>
            <w:vAlign w:val="center"/>
          </w:tcPr>
          <w:p w14:paraId="1B4FCE41" w14:textId="5C2C61D8"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28.7</w:t>
            </w:r>
          </w:p>
        </w:tc>
      </w:tr>
      <w:tr w:rsidR="3BC40808" w:rsidRPr="001C0AA6" w14:paraId="7246A584"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920" w:type="dxa"/>
            <w:vAlign w:val="center"/>
          </w:tcPr>
          <w:p w14:paraId="3392A7CA" w14:textId="0DE21853" w:rsidR="3BC40808" w:rsidRPr="001C0AA6" w:rsidRDefault="1B422081" w:rsidP="001C0AA6">
            <w:pPr>
              <w:spacing w:line="360" w:lineRule="auto"/>
              <w:rPr>
                <w:rFonts w:ascii="Arial" w:eastAsia="Times New Roman" w:hAnsi="Arial" w:cs="Arial"/>
              </w:rPr>
            </w:pPr>
            <w:r w:rsidRPr="001C0AA6">
              <w:rPr>
                <w:rFonts w:ascii="Arial" w:eastAsia="Times New Roman" w:hAnsi="Arial" w:cs="Arial"/>
              </w:rPr>
              <w:t>2021</w:t>
            </w:r>
          </w:p>
        </w:tc>
        <w:tc>
          <w:tcPr>
            <w:tcW w:w="2400" w:type="dxa"/>
            <w:vAlign w:val="center"/>
          </w:tcPr>
          <w:p w14:paraId="4EFCC1A3" w14:textId="77ACED16"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173,016</w:t>
            </w:r>
          </w:p>
        </w:tc>
        <w:tc>
          <w:tcPr>
            <w:tcW w:w="2663" w:type="dxa"/>
            <w:vAlign w:val="center"/>
          </w:tcPr>
          <w:p w14:paraId="1998DB52" w14:textId="0CE0F4AB"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601,602</w:t>
            </w:r>
          </w:p>
        </w:tc>
        <w:tc>
          <w:tcPr>
            <w:tcW w:w="2522" w:type="dxa"/>
            <w:vAlign w:val="center"/>
          </w:tcPr>
          <w:p w14:paraId="3FC14F94" w14:textId="5C8CAC68"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28.7</w:t>
            </w:r>
          </w:p>
        </w:tc>
      </w:tr>
      <w:tr w:rsidR="3BC40808" w:rsidRPr="001C0AA6" w14:paraId="6EA033F4"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920" w:type="dxa"/>
            <w:vAlign w:val="center"/>
          </w:tcPr>
          <w:p w14:paraId="4913CD83" w14:textId="2F435723" w:rsidR="3BC40808" w:rsidRPr="001C0AA6" w:rsidRDefault="1B422081" w:rsidP="001C0AA6">
            <w:pPr>
              <w:spacing w:line="360" w:lineRule="auto"/>
              <w:rPr>
                <w:rFonts w:ascii="Arial" w:eastAsia="Times New Roman" w:hAnsi="Arial" w:cs="Arial"/>
              </w:rPr>
            </w:pPr>
            <w:r w:rsidRPr="001C0AA6">
              <w:rPr>
                <w:rFonts w:ascii="Arial" w:eastAsia="Times New Roman" w:hAnsi="Arial" w:cs="Arial"/>
              </w:rPr>
              <w:t>2022</w:t>
            </w:r>
          </w:p>
        </w:tc>
        <w:tc>
          <w:tcPr>
            <w:tcW w:w="2400" w:type="dxa"/>
            <w:vAlign w:val="center"/>
          </w:tcPr>
          <w:p w14:paraId="0704BFAD" w14:textId="54E30E26"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152,292</w:t>
            </w:r>
          </w:p>
        </w:tc>
        <w:tc>
          <w:tcPr>
            <w:tcW w:w="2663" w:type="dxa"/>
            <w:vAlign w:val="center"/>
          </w:tcPr>
          <w:p w14:paraId="4156CC12" w14:textId="6F294D63"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542,751</w:t>
            </w:r>
          </w:p>
        </w:tc>
        <w:tc>
          <w:tcPr>
            <w:tcW w:w="2522" w:type="dxa"/>
            <w:vAlign w:val="center"/>
          </w:tcPr>
          <w:p w14:paraId="70184D47" w14:textId="55D9A815"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28.1</w:t>
            </w:r>
          </w:p>
        </w:tc>
      </w:tr>
      <w:tr w:rsidR="3BC40808" w:rsidRPr="001C0AA6" w14:paraId="4EE30DA4"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920" w:type="dxa"/>
            <w:vAlign w:val="center"/>
          </w:tcPr>
          <w:p w14:paraId="10F85445" w14:textId="05AF0C82" w:rsidR="3BC40808" w:rsidRPr="001C0AA6" w:rsidRDefault="1B422081" w:rsidP="001C0AA6">
            <w:pPr>
              <w:spacing w:line="360" w:lineRule="auto"/>
              <w:rPr>
                <w:rFonts w:ascii="Arial" w:eastAsia="Times New Roman" w:hAnsi="Arial" w:cs="Arial"/>
              </w:rPr>
            </w:pPr>
            <w:r w:rsidRPr="001C0AA6">
              <w:rPr>
                <w:rFonts w:ascii="Arial" w:eastAsia="Times New Roman" w:hAnsi="Arial" w:cs="Arial"/>
              </w:rPr>
              <w:t>2023</w:t>
            </w:r>
          </w:p>
        </w:tc>
        <w:tc>
          <w:tcPr>
            <w:tcW w:w="2400" w:type="dxa"/>
            <w:vAlign w:val="center"/>
          </w:tcPr>
          <w:p w14:paraId="3430070D" w14:textId="0B721C02"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97,560</w:t>
            </w:r>
          </w:p>
        </w:tc>
        <w:tc>
          <w:tcPr>
            <w:tcW w:w="2663" w:type="dxa"/>
            <w:vAlign w:val="center"/>
          </w:tcPr>
          <w:p w14:paraId="12C198E9" w14:textId="11440509"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420,457</w:t>
            </w:r>
          </w:p>
        </w:tc>
        <w:tc>
          <w:tcPr>
            <w:tcW w:w="2522" w:type="dxa"/>
            <w:vAlign w:val="center"/>
          </w:tcPr>
          <w:p w14:paraId="0EB87AD6" w14:textId="2897D810"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23.2</w:t>
            </w:r>
          </w:p>
        </w:tc>
      </w:tr>
      <w:tr w:rsidR="3BC40808" w:rsidRPr="001C0AA6" w14:paraId="18DD4A72"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920" w:type="dxa"/>
            <w:vAlign w:val="center"/>
          </w:tcPr>
          <w:p w14:paraId="0A9706FC" w14:textId="1605E6F9" w:rsidR="3BC40808" w:rsidRPr="001C0AA6" w:rsidRDefault="1B422081" w:rsidP="001C0AA6">
            <w:pPr>
              <w:spacing w:line="360" w:lineRule="auto"/>
              <w:rPr>
                <w:rFonts w:ascii="Arial" w:eastAsia="Times New Roman" w:hAnsi="Arial" w:cs="Arial"/>
              </w:rPr>
            </w:pPr>
            <w:r w:rsidRPr="001C0AA6">
              <w:rPr>
                <w:rFonts w:ascii="Arial" w:eastAsia="Times New Roman" w:hAnsi="Arial" w:cs="Arial"/>
              </w:rPr>
              <w:t>2024</w:t>
            </w:r>
          </w:p>
        </w:tc>
        <w:tc>
          <w:tcPr>
            <w:tcW w:w="2400" w:type="dxa"/>
            <w:vAlign w:val="center"/>
          </w:tcPr>
          <w:p w14:paraId="18E1D72D" w14:textId="31CA9DE7"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113,994</w:t>
            </w:r>
          </w:p>
        </w:tc>
        <w:tc>
          <w:tcPr>
            <w:tcW w:w="2663" w:type="dxa"/>
            <w:vAlign w:val="center"/>
          </w:tcPr>
          <w:p w14:paraId="3AF1693E" w14:textId="22C16D2F"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394,879</w:t>
            </w:r>
          </w:p>
        </w:tc>
        <w:tc>
          <w:tcPr>
            <w:tcW w:w="2522" w:type="dxa"/>
            <w:vAlign w:val="center"/>
          </w:tcPr>
          <w:p w14:paraId="593F7E2E" w14:textId="2F70330A"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28.9</w:t>
            </w:r>
          </w:p>
        </w:tc>
      </w:tr>
    </w:tbl>
    <w:p w14:paraId="37683494" w14:textId="34F959C4" w:rsidR="3BC40808" w:rsidRPr="001C0AA6" w:rsidRDefault="617E935D" w:rsidP="001C0AA6">
      <w:pPr>
        <w:spacing w:before="240" w:after="240" w:line="360" w:lineRule="auto"/>
        <w:jc w:val="both"/>
        <w:rPr>
          <w:rFonts w:ascii="Arial" w:eastAsia="Times New Roman" w:hAnsi="Arial" w:cs="Arial"/>
          <w:b/>
          <w:bCs/>
        </w:rPr>
      </w:pPr>
      <w:r w:rsidRPr="001C0AA6">
        <w:rPr>
          <w:rFonts w:ascii="Arial" w:eastAsia="Times New Roman" w:hAnsi="Arial" w:cs="Arial"/>
          <w:b/>
          <w:bCs/>
        </w:rPr>
        <w:t>Interpretation:</w:t>
      </w:r>
    </w:p>
    <w:p w14:paraId="742D15F1" w14:textId="2A82F2FB" w:rsidR="3BC40808" w:rsidRPr="001C0AA6" w:rsidRDefault="617E935D" w:rsidP="001C0AA6">
      <w:pPr>
        <w:spacing w:before="240" w:after="240" w:line="360" w:lineRule="auto"/>
        <w:jc w:val="both"/>
        <w:rPr>
          <w:rFonts w:ascii="Arial" w:eastAsia="Times New Roman" w:hAnsi="Arial" w:cs="Arial"/>
        </w:rPr>
      </w:pPr>
      <w:r w:rsidRPr="001C0AA6">
        <w:rPr>
          <w:rFonts w:ascii="Arial" w:eastAsia="Times New Roman" w:hAnsi="Arial" w:cs="Arial"/>
        </w:rPr>
        <w:t xml:space="preserve">The gross profit margin remained relatively strong (around 28%) until 2022, but plummeted to 23.2% in 2023, reflecting production inefficiencies and increased cost of sales. The partial recovery to 28.9% in 2024 is mainly due to cost-cutting and inventory </w:t>
      </w:r>
      <w:r w:rsidRPr="001C0AA6">
        <w:rPr>
          <w:rFonts w:ascii="Arial" w:eastAsia="Times New Roman" w:hAnsi="Arial" w:cs="Arial"/>
        </w:rPr>
        <w:lastRenderedPageBreak/>
        <w:t>adjustments, not genuine growth in revenue. Overall, margins are unstable and expose volatility in manufacturing efficiency.</w:t>
      </w:r>
    </w:p>
    <w:p w14:paraId="67C63F96" w14:textId="0E11D2D0" w:rsidR="617E935D" w:rsidRPr="001C0AA6" w:rsidRDefault="617E935D" w:rsidP="001C0AA6">
      <w:pPr>
        <w:pStyle w:val="Heading4"/>
        <w:spacing w:before="240" w:after="240" w:line="360" w:lineRule="auto"/>
        <w:jc w:val="both"/>
        <w:rPr>
          <w:rFonts w:ascii="Arial" w:eastAsia="Times New Roman" w:hAnsi="Arial" w:cs="Arial"/>
          <w:b/>
          <w:bCs/>
          <w:color w:val="auto"/>
        </w:rPr>
      </w:pPr>
      <w:bookmarkStart w:id="7" w:name="_Toc1209497234"/>
      <w:r w:rsidRPr="001C0AA6">
        <w:rPr>
          <w:rFonts w:ascii="Arial" w:eastAsia="Times New Roman" w:hAnsi="Arial" w:cs="Arial"/>
          <w:b/>
          <w:bCs/>
          <w:color w:val="auto"/>
        </w:rPr>
        <w:t>2.2.2 Operating Profit Margin</w:t>
      </w:r>
      <w:bookmarkEnd w:id="7"/>
    </w:p>
    <w:p w14:paraId="213FD5B2" w14:textId="0BE19E4B" w:rsidR="79227FA8" w:rsidRPr="001C0AA6" w:rsidRDefault="79227FA8" w:rsidP="001C0AA6">
      <w:pPr>
        <w:spacing w:line="360" w:lineRule="auto"/>
        <w:jc w:val="center"/>
        <w:rPr>
          <w:rFonts w:ascii="Arial" w:hAnsi="Arial" w:cs="Arial"/>
        </w:rPr>
      </w:pPr>
      <m:oMathPara>
        <m:oMath>
          <m:r>
            <w:rPr>
              <w:rFonts w:ascii="Cambria Math" w:hAnsi="Cambria Math" w:cs="Arial"/>
            </w:rPr>
            <m:t>Operating M</m:t>
          </m:r>
          <m:func>
            <m:funcPr>
              <m:ctrlPr>
                <w:rPr>
                  <w:rFonts w:ascii="Cambria Math" w:hAnsi="Cambria Math" w:cs="Arial"/>
                </w:rPr>
              </m:ctrlPr>
            </m:funcPr>
            <m:fName>
              <m:r>
                <m:rPr>
                  <m:sty m:val="p"/>
                </m:rPr>
                <w:rPr>
                  <w:rFonts w:ascii="Cambria Math" w:hAnsi="Cambria Math" w:cs="Arial"/>
                </w:rPr>
                <m:t>arg</m:t>
              </m:r>
            </m:fName>
            <m:e>
              <m:r>
                <w:rPr>
                  <w:rFonts w:ascii="Cambria Math" w:hAnsi="Cambria Math" w:cs="Arial"/>
                </w:rPr>
                <m:t>i</m:t>
              </m:r>
            </m:e>
          </m:func>
          <m:r>
            <w:rPr>
              <w:rFonts w:ascii="Cambria Math" w:hAnsi="Cambria Math" w:cs="Arial"/>
            </w:rPr>
            <m:t>n=</m:t>
          </m:r>
          <m:f>
            <m:fPr>
              <m:ctrlPr>
                <w:rPr>
                  <w:rFonts w:ascii="Cambria Math" w:hAnsi="Cambria Math" w:cs="Arial"/>
                </w:rPr>
              </m:ctrlPr>
            </m:fPr>
            <m:num>
              <m:r>
                <w:rPr>
                  <w:rFonts w:ascii="Cambria Math" w:hAnsi="Cambria Math" w:cs="Arial"/>
                </w:rPr>
                <m:t>Operating Income​</m:t>
              </m:r>
            </m:num>
            <m:den>
              <m:r>
                <w:rPr>
                  <w:rFonts w:ascii="Cambria Math" w:hAnsi="Cambria Math" w:cs="Arial"/>
                </w:rPr>
                <m:t>NetSales</m:t>
              </m:r>
            </m:den>
          </m:f>
          <m:r>
            <w:rPr>
              <w:rFonts w:ascii="Cambria Math" w:hAnsi="Cambria Math" w:cs="Arial"/>
            </w:rPr>
            <m:t>×100</m:t>
          </m:r>
        </m:oMath>
      </m:oMathPara>
    </w:p>
    <w:tbl>
      <w:tblPr>
        <w:tblStyle w:val="PlainTable2"/>
        <w:tblW w:w="9510" w:type="dxa"/>
        <w:tblLayout w:type="fixed"/>
        <w:tblLook w:val="06A0" w:firstRow="1" w:lastRow="0" w:firstColumn="1" w:lastColumn="0" w:noHBand="1" w:noVBand="1"/>
      </w:tblPr>
      <w:tblGrid>
        <w:gridCol w:w="2235"/>
        <w:gridCol w:w="3120"/>
        <w:gridCol w:w="2173"/>
        <w:gridCol w:w="1982"/>
      </w:tblGrid>
      <w:tr w:rsidR="3BC40808" w:rsidRPr="001C0AA6" w14:paraId="7C61751B" w14:textId="77777777" w:rsidTr="79227F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35" w:type="dxa"/>
            <w:vAlign w:val="center"/>
          </w:tcPr>
          <w:p w14:paraId="42A8AFD2" w14:textId="6F0B62F4"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Year</w:t>
            </w:r>
          </w:p>
        </w:tc>
        <w:tc>
          <w:tcPr>
            <w:tcW w:w="3120" w:type="dxa"/>
            <w:vAlign w:val="center"/>
          </w:tcPr>
          <w:p w14:paraId="5F4C91F8" w14:textId="3DB3B5FD" w:rsidR="3BC40808" w:rsidRPr="001C0AA6" w:rsidRDefault="1B422081" w:rsidP="001C0A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Operating Income (£m)</w:t>
            </w:r>
          </w:p>
        </w:tc>
        <w:tc>
          <w:tcPr>
            <w:tcW w:w="2173" w:type="dxa"/>
            <w:vAlign w:val="center"/>
          </w:tcPr>
          <w:p w14:paraId="4E5E9D0A" w14:textId="432A72AA" w:rsidR="3BC40808" w:rsidRPr="001C0AA6" w:rsidRDefault="1B422081" w:rsidP="001C0A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Net Sales (£m)</w:t>
            </w:r>
          </w:p>
        </w:tc>
        <w:tc>
          <w:tcPr>
            <w:tcW w:w="1982" w:type="dxa"/>
            <w:vAlign w:val="center"/>
          </w:tcPr>
          <w:p w14:paraId="0782B451" w14:textId="2A6F20D8" w:rsidR="3BC40808" w:rsidRPr="001C0AA6" w:rsidRDefault="1B422081" w:rsidP="001C0A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OPM (%)</w:t>
            </w:r>
          </w:p>
        </w:tc>
      </w:tr>
      <w:tr w:rsidR="3BC40808" w:rsidRPr="001C0AA6" w14:paraId="67849430"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235" w:type="dxa"/>
            <w:vAlign w:val="center"/>
          </w:tcPr>
          <w:p w14:paraId="21C6324F" w14:textId="26815882" w:rsidR="3BC40808" w:rsidRPr="001C0AA6" w:rsidRDefault="1B422081" w:rsidP="001C0AA6">
            <w:pPr>
              <w:spacing w:line="360" w:lineRule="auto"/>
              <w:rPr>
                <w:rFonts w:ascii="Arial" w:eastAsia="Times New Roman" w:hAnsi="Arial" w:cs="Arial"/>
              </w:rPr>
            </w:pPr>
            <w:r w:rsidRPr="001C0AA6">
              <w:rPr>
                <w:rFonts w:ascii="Arial" w:eastAsia="Times New Roman" w:hAnsi="Arial" w:cs="Arial"/>
              </w:rPr>
              <w:t>2020</w:t>
            </w:r>
          </w:p>
        </w:tc>
        <w:tc>
          <w:tcPr>
            <w:tcW w:w="3120" w:type="dxa"/>
            <w:vAlign w:val="center"/>
          </w:tcPr>
          <w:p w14:paraId="160BB841" w14:textId="5E279E68"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37,267</w:t>
            </w:r>
          </w:p>
        </w:tc>
        <w:tc>
          <w:tcPr>
            <w:tcW w:w="2173" w:type="dxa"/>
            <w:vAlign w:val="center"/>
          </w:tcPr>
          <w:p w14:paraId="37F37023" w14:textId="21F8A911"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614,680</w:t>
            </w:r>
          </w:p>
        </w:tc>
        <w:tc>
          <w:tcPr>
            <w:tcW w:w="1982" w:type="dxa"/>
            <w:vAlign w:val="center"/>
          </w:tcPr>
          <w:p w14:paraId="1F617F36" w14:textId="334559E1"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6.1</w:t>
            </w:r>
          </w:p>
        </w:tc>
      </w:tr>
      <w:tr w:rsidR="3BC40808" w:rsidRPr="001C0AA6" w14:paraId="7B35CFC1"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235" w:type="dxa"/>
            <w:vAlign w:val="center"/>
          </w:tcPr>
          <w:p w14:paraId="5A3080DE" w14:textId="36E639D8" w:rsidR="3BC40808" w:rsidRPr="001C0AA6" w:rsidRDefault="1B422081" w:rsidP="001C0AA6">
            <w:pPr>
              <w:spacing w:line="360" w:lineRule="auto"/>
              <w:rPr>
                <w:rFonts w:ascii="Arial" w:eastAsia="Times New Roman" w:hAnsi="Arial" w:cs="Arial"/>
              </w:rPr>
            </w:pPr>
            <w:r w:rsidRPr="001C0AA6">
              <w:rPr>
                <w:rFonts w:ascii="Arial" w:eastAsia="Times New Roman" w:hAnsi="Arial" w:cs="Arial"/>
              </w:rPr>
              <w:t>2021</w:t>
            </w:r>
          </w:p>
        </w:tc>
        <w:tc>
          <w:tcPr>
            <w:tcW w:w="3120" w:type="dxa"/>
            <w:vAlign w:val="center"/>
          </w:tcPr>
          <w:p w14:paraId="32A78569" w14:textId="0653194A"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23,253</w:t>
            </w:r>
          </w:p>
        </w:tc>
        <w:tc>
          <w:tcPr>
            <w:tcW w:w="2173" w:type="dxa"/>
            <w:vAlign w:val="center"/>
          </w:tcPr>
          <w:p w14:paraId="5666E28F" w14:textId="4FB36A2E"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601,602</w:t>
            </w:r>
          </w:p>
        </w:tc>
        <w:tc>
          <w:tcPr>
            <w:tcW w:w="1982" w:type="dxa"/>
            <w:vAlign w:val="center"/>
          </w:tcPr>
          <w:p w14:paraId="7BB0A2CC" w14:textId="60EA0B09"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3.9</w:t>
            </w:r>
          </w:p>
        </w:tc>
      </w:tr>
      <w:tr w:rsidR="3BC40808" w:rsidRPr="001C0AA6" w14:paraId="2930BA6B"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235" w:type="dxa"/>
            <w:vAlign w:val="center"/>
          </w:tcPr>
          <w:p w14:paraId="7278B29F" w14:textId="6144F472" w:rsidR="3BC40808" w:rsidRPr="001C0AA6" w:rsidRDefault="1B422081" w:rsidP="001C0AA6">
            <w:pPr>
              <w:spacing w:line="360" w:lineRule="auto"/>
              <w:rPr>
                <w:rFonts w:ascii="Arial" w:eastAsia="Times New Roman" w:hAnsi="Arial" w:cs="Arial"/>
              </w:rPr>
            </w:pPr>
            <w:r w:rsidRPr="001C0AA6">
              <w:rPr>
                <w:rFonts w:ascii="Arial" w:eastAsia="Times New Roman" w:hAnsi="Arial" w:cs="Arial"/>
              </w:rPr>
              <w:t>2022</w:t>
            </w:r>
          </w:p>
        </w:tc>
        <w:tc>
          <w:tcPr>
            <w:tcW w:w="3120" w:type="dxa"/>
            <w:vAlign w:val="center"/>
          </w:tcPr>
          <w:p w14:paraId="05F259B2" w14:textId="73EF965F"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14,548</w:t>
            </w:r>
          </w:p>
        </w:tc>
        <w:tc>
          <w:tcPr>
            <w:tcW w:w="2173" w:type="dxa"/>
            <w:vAlign w:val="center"/>
          </w:tcPr>
          <w:p w14:paraId="44AA9536" w14:textId="65F10ADF"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542,751</w:t>
            </w:r>
          </w:p>
        </w:tc>
        <w:tc>
          <w:tcPr>
            <w:tcW w:w="1982" w:type="dxa"/>
            <w:vAlign w:val="center"/>
          </w:tcPr>
          <w:p w14:paraId="6246134B" w14:textId="2147F145"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2.7</w:t>
            </w:r>
          </w:p>
        </w:tc>
      </w:tr>
      <w:tr w:rsidR="3BC40808" w:rsidRPr="001C0AA6" w14:paraId="036B8FA3"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235" w:type="dxa"/>
            <w:vAlign w:val="center"/>
          </w:tcPr>
          <w:p w14:paraId="2BE3335B" w14:textId="612B324E" w:rsidR="3BC40808" w:rsidRPr="001C0AA6" w:rsidRDefault="1B422081" w:rsidP="001C0AA6">
            <w:pPr>
              <w:spacing w:line="360" w:lineRule="auto"/>
              <w:rPr>
                <w:rFonts w:ascii="Arial" w:eastAsia="Times New Roman" w:hAnsi="Arial" w:cs="Arial"/>
              </w:rPr>
            </w:pPr>
            <w:r w:rsidRPr="001C0AA6">
              <w:rPr>
                <w:rFonts w:ascii="Arial" w:eastAsia="Times New Roman" w:hAnsi="Arial" w:cs="Arial"/>
              </w:rPr>
              <w:t>2023</w:t>
            </w:r>
          </w:p>
        </w:tc>
        <w:tc>
          <w:tcPr>
            <w:tcW w:w="3120" w:type="dxa"/>
            <w:vAlign w:val="center"/>
          </w:tcPr>
          <w:p w14:paraId="7C2485E4" w14:textId="4590E701"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-85,301</w:t>
            </w:r>
          </w:p>
        </w:tc>
        <w:tc>
          <w:tcPr>
            <w:tcW w:w="2173" w:type="dxa"/>
            <w:vAlign w:val="center"/>
          </w:tcPr>
          <w:p w14:paraId="3529D7CD" w14:textId="2A9FD9DA"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420,457</w:t>
            </w:r>
          </w:p>
        </w:tc>
        <w:tc>
          <w:tcPr>
            <w:tcW w:w="1982" w:type="dxa"/>
            <w:vAlign w:val="center"/>
          </w:tcPr>
          <w:p w14:paraId="51D87C96" w14:textId="59DA9DEA"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-20.3</w:t>
            </w:r>
          </w:p>
        </w:tc>
      </w:tr>
      <w:tr w:rsidR="3BC40808" w:rsidRPr="001C0AA6" w14:paraId="5E8AD4E9"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235" w:type="dxa"/>
            <w:vAlign w:val="center"/>
          </w:tcPr>
          <w:p w14:paraId="7282A043" w14:textId="78EEA3BE" w:rsidR="3BC40808" w:rsidRPr="001C0AA6" w:rsidRDefault="1B422081" w:rsidP="001C0AA6">
            <w:pPr>
              <w:spacing w:line="360" w:lineRule="auto"/>
              <w:rPr>
                <w:rFonts w:ascii="Arial" w:eastAsia="Times New Roman" w:hAnsi="Arial" w:cs="Arial"/>
              </w:rPr>
            </w:pPr>
            <w:r w:rsidRPr="001C0AA6">
              <w:rPr>
                <w:rFonts w:ascii="Arial" w:eastAsia="Times New Roman" w:hAnsi="Arial" w:cs="Arial"/>
              </w:rPr>
              <w:t>2024</w:t>
            </w:r>
          </w:p>
        </w:tc>
        <w:tc>
          <w:tcPr>
            <w:tcW w:w="3120" w:type="dxa"/>
            <w:vAlign w:val="center"/>
          </w:tcPr>
          <w:p w14:paraId="182816A6" w14:textId="3BA32017"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-15,297</w:t>
            </w:r>
          </w:p>
        </w:tc>
        <w:tc>
          <w:tcPr>
            <w:tcW w:w="2173" w:type="dxa"/>
            <w:vAlign w:val="center"/>
          </w:tcPr>
          <w:p w14:paraId="458E5E0C" w14:textId="422335EC"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394,879</w:t>
            </w:r>
          </w:p>
        </w:tc>
        <w:tc>
          <w:tcPr>
            <w:tcW w:w="1982" w:type="dxa"/>
            <w:vAlign w:val="center"/>
          </w:tcPr>
          <w:p w14:paraId="643C10AA" w14:textId="5E185D77" w:rsidR="3BC40808" w:rsidRPr="001C0AA6" w:rsidRDefault="1B422081" w:rsidP="001C0AA6">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-3.9</w:t>
            </w:r>
          </w:p>
        </w:tc>
      </w:tr>
    </w:tbl>
    <w:p w14:paraId="1411E9F5" w14:textId="7C86409D" w:rsidR="4B122D13" w:rsidRPr="001C0AA6" w:rsidRDefault="617E935D" w:rsidP="001C0AA6">
      <w:pPr>
        <w:spacing w:before="240" w:after="240" w:line="360" w:lineRule="auto"/>
        <w:jc w:val="both"/>
        <w:rPr>
          <w:rFonts w:ascii="Arial" w:eastAsia="Times New Roman" w:hAnsi="Arial" w:cs="Arial"/>
          <w:b/>
          <w:bCs/>
        </w:rPr>
      </w:pPr>
      <w:r w:rsidRPr="001C0AA6">
        <w:rPr>
          <w:rFonts w:ascii="Arial" w:eastAsia="Times New Roman" w:hAnsi="Arial" w:cs="Arial"/>
          <w:b/>
          <w:bCs/>
        </w:rPr>
        <w:t>Interpretation:</w:t>
      </w:r>
    </w:p>
    <w:p w14:paraId="1FA71C3E" w14:textId="2627662E" w:rsidR="4B122D13" w:rsidRPr="001C0AA6" w:rsidRDefault="617E935D" w:rsidP="001C0AA6">
      <w:pPr>
        <w:spacing w:before="240" w:after="240" w:line="360" w:lineRule="auto"/>
        <w:jc w:val="both"/>
        <w:rPr>
          <w:rFonts w:ascii="Arial" w:eastAsia="Times New Roman" w:hAnsi="Arial" w:cs="Arial"/>
        </w:rPr>
      </w:pPr>
      <w:r w:rsidRPr="001C0AA6">
        <w:rPr>
          <w:rFonts w:ascii="Arial" w:eastAsia="Times New Roman" w:hAnsi="Arial" w:cs="Arial"/>
        </w:rPr>
        <w:t>Operating profitability has collapsed. From a positive 6.1% in 2020, GE has fallen to severe operating losses. The £85.3 billion operating loss in 2023 reflects high operating expenses, impairment charges, and declining sales. Despite some cost recovery in 2024, operations remain unprofitable.</w:t>
      </w:r>
    </w:p>
    <w:p w14:paraId="7EB9A769" w14:textId="1269D7D1" w:rsidR="617E935D" w:rsidRPr="001C0AA6" w:rsidRDefault="617E935D" w:rsidP="001C0AA6">
      <w:pPr>
        <w:pStyle w:val="Heading4"/>
        <w:spacing w:line="360" w:lineRule="auto"/>
        <w:jc w:val="both"/>
        <w:rPr>
          <w:rFonts w:ascii="Arial" w:eastAsia="Times New Roman" w:hAnsi="Arial" w:cs="Arial"/>
          <w:b/>
          <w:bCs/>
          <w:color w:val="auto"/>
        </w:rPr>
      </w:pPr>
      <w:bookmarkStart w:id="8" w:name="_Toc58910973"/>
      <w:r w:rsidRPr="001C0AA6">
        <w:rPr>
          <w:rFonts w:ascii="Arial" w:eastAsia="Times New Roman" w:hAnsi="Arial" w:cs="Arial"/>
          <w:b/>
          <w:bCs/>
          <w:color w:val="auto"/>
        </w:rPr>
        <w:t>2.2.3 Net Profit Margin</w:t>
      </w:r>
      <w:bookmarkEnd w:id="8"/>
    </w:p>
    <w:p w14:paraId="6C26F323" w14:textId="50BB35EA" w:rsidR="79227FA8" w:rsidRPr="001C0AA6" w:rsidRDefault="79227FA8" w:rsidP="001C0AA6">
      <w:pPr>
        <w:spacing w:line="360" w:lineRule="auto"/>
        <w:rPr>
          <w:rFonts w:ascii="Arial" w:hAnsi="Arial" w:cs="Arial"/>
        </w:rPr>
      </w:pPr>
    </w:p>
    <w:p w14:paraId="0ED94B75" w14:textId="5336F5B4" w:rsidR="79227FA8" w:rsidRPr="001C0AA6" w:rsidRDefault="79227FA8" w:rsidP="001C0AA6">
      <w:pPr>
        <w:spacing w:line="360" w:lineRule="auto"/>
        <w:jc w:val="center"/>
        <w:rPr>
          <w:rFonts w:ascii="Arial" w:hAnsi="Arial" w:cs="Arial"/>
        </w:rPr>
      </w:pPr>
      <m:oMathPara>
        <m:oMath>
          <m:r>
            <w:rPr>
              <w:rFonts w:ascii="Cambria Math" w:hAnsi="Cambria Math" w:cs="Arial"/>
            </w:rPr>
            <m:t>Net </m:t>
          </m:r>
          <m:func>
            <m:funcPr>
              <m:ctrlPr>
                <w:rPr>
                  <w:rFonts w:ascii="Cambria Math" w:hAnsi="Cambria Math" w:cs="Arial"/>
                </w:rPr>
              </m:ctrlPr>
            </m:funcPr>
            <m:fName>
              <m:r>
                <m:rPr>
                  <m:sty m:val="p"/>
                </m:rPr>
                <w:rPr>
                  <w:rFonts w:ascii="Cambria Math" w:hAnsi="Cambria Math" w:cs="Arial"/>
                </w:rPr>
                <m:t>Pr</m:t>
              </m:r>
            </m:fName>
            <m:e>
              <m:r>
                <w:rPr>
                  <w:rFonts w:ascii="Cambria Math" w:hAnsi="Cambria Math" w:cs="Arial"/>
                </w:rPr>
                <m:t>o</m:t>
              </m:r>
            </m:e>
          </m:func>
          <m:r>
            <w:rPr>
              <w:rFonts w:ascii="Cambria Math" w:hAnsi="Cambria Math" w:cs="Arial"/>
            </w:rPr>
            <m:t>fit M</m:t>
          </m:r>
          <m:func>
            <m:funcPr>
              <m:ctrlPr>
                <w:rPr>
                  <w:rFonts w:ascii="Cambria Math" w:hAnsi="Cambria Math" w:cs="Arial"/>
                </w:rPr>
              </m:ctrlPr>
            </m:funcPr>
            <m:fName>
              <m:r>
                <m:rPr>
                  <m:sty m:val="p"/>
                </m:rPr>
                <w:rPr>
                  <w:rFonts w:ascii="Cambria Math" w:hAnsi="Cambria Math" w:cs="Arial"/>
                </w:rPr>
                <m:t>arg</m:t>
              </m:r>
            </m:fName>
            <m:e>
              <m:r>
                <w:rPr>
                  <w:rFonts w:ascii="Cambria Math" w:hAnsi="Cambria Math" w:cs="Arial"/>
                </w:rPr>
                <m:t>i</m:t>
              </m:r>
            </m:e>
          </m:func>
          <m:r>
            <w:rPr>
              <w:rFonts w:ascii="Cambria Math" w:hAnsi="Cambria Math" w:cs="Arial"/>
            </w:rPr>
            <m:t>n=</m:t>
          </m:r>
          <m:f>
            <m:fPr>
              <m:ctrlPr>
                <w:rPr>
                  <w:rFonts w:ascii="Cambria Math" w:hAnsi="Cambria Math" w:cs="Arial"/>
                </w:rPr>
              </m:ctrlPr>
            </m:fPr>
            <m:num>
              <m:r>
                <w:rPr>
                  <w:rFonts w:ascii="Cambria Math" w:hAnsi="Cambria Math" w:cs="Arial"/>
                </w:rPr>
                <m:t>Net Income​</m:t>
              </m:r>
            </m:num>
            <m:den>
              <m:r>
                <w:rPr>
                  <w:rFonts w:ascii="Cambria Math" w:hAnsi="Cambria Math" w:cs="Arial"/>
                </w:rPr>
                <m:t>NetSales</m:t>
              </m:r>
            </m:den>
          </m:f>
          <m:r>
            <w:rPr>
              <w:rFonts w:ascii="Cambria Math" w:hAnsi="Cambria Math" w:cs="Arial"/>
            </w:rPr>
            <m:t>×100</m:t>
          </m:r>
        </m:oMath>
      </m:oMathPara>
    </w:p>
    <w:tbl>
      <w:tblPr>
        <w:tblStyle w:val="PlainTable2"/>
        <w:tblW w:w="9506" w:type="dxa"/>
        <w:tblLayout w:type="fixed"/>
        <w:tblLook w:val="06A0" w:firstRow="1" w:lastRow="0" w:firstColumn="1" w:lastColumn="0" w:noHBand="1" w:noVBand="1"/>
      </w:tblPr>
      <w:tblGrid>
        <w:gridCol w:w="2055"/>
        <w:gridCol w:w="2850"/>
        <w:gridCol w:w="2274"/>
        <w:gridCol w:w="2327"/>
      </w:tblGrid>
      <w:tr w:rsidR="3BC40808" w:rsidRPr="001C0AA6" w14:paraId="448C7564" w14:textId="77777777" w:rsidTr="79227F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55" w:type="dxa"/>
            <w:vAlign w:val="center"/>
          </w:tcPr>
          <w:p w14:paraId="3442FF12" w14:textId="527DC5B8"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Year</w:t>
            </w:r>
          </w:p>
        </w:tc>
        <w:tc>
          <w:tcPr>
            <w:tcW w:w="2850" w:type="dxa"/>
            <w:vAlign w:val="center"/>
          </w:tcPr>
          <w:p w14:paraId="37793058" w14:textId="155CAEEE"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Net Income (£m)</w:t>
            </w:r>
          </w:p>
        </w:tc>
        <w:tc>
          <w:tcPr>
            <w:tcW w:w="2274" w:type="dxa"/>
            <w:vAlign w:val="center"/>
          </w:tcPr>
          <w:p w14:paraId="73CD9633" w14:textId="21E9A42C"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Net Sales (£m)</w:t>
            </w:r>
          </w:p>
        </w:tc>
        <w:tc>
          <w:tcPr>
            <w:tcW w:w="2327" w:type="dxa"/>
            <w:vAlign w:val="center"/>
          </w:tcPr>
          <w:p w14:paraId="2B665873" w14:textId="472BC53B"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NPM (%)</w:t>
            </w:r>
          </w:p>
        </w:tc>
      </w:tr>
      <w:tr w:rsidR="3BC40808" w:rsidRPr="001C0AA6" w14:paraId="54BD7180"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055" w:type="dxa"/>
            <w:vAlign w:val="center"/>
          </w:tcPr>
          <w:p w14:paraId="6C213E57" w14:textId="525D89B0"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2020</w:t>
            </w:r>
          </w:p>
        </w:tc>
        <w:tc>
          <w:tcPr>
            <w:tcW w:w="2850" w:type="dxa"/>
            <w:vAlign w:val="center"/>
          </w:tcPr>
          <w:p w14:paraId="7C6DD8DB" w14:textId="02B8D4A7"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38,572</w:t>
            </w:r>
          </w:p>
        </w:tc>
        <w:tc>
          <w:tcPr>
            <w:tcW w:w="2274" w:type="dxa"/>
            <w:vAlign w:val="center"/>
          </w:tcPr>
          <w:p w14:paraId="49E7F8D2" w14:textId="5524F35B"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614,680</w:t>
            </w:r>
          </w:p>
        </w:tc>
        <w:tc>
          <w:tcPr>
            <w:tcW w:w="2327" w:type="dxa"/>
            <w:vAlign w:val="center"/>
          </w:tcPr>
          <w:p w14:paraId="3E56B0D3" w14:textId="36ADDB25"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6.3</w:t>
            </w:r>
          </w:p>
        </w:tc>
      </w:tr>
      <w:tr w:rsidR="3BC40808" w:rsidRPr="001C0AA6" w14:paraId="13DEC008"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055" w:type="dxa"/>
            <w:vAlign w:val="center"/>
          </w:tcPr>
          <w:p w14:paraId="10845B41" w14:textId="37E0C627"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2021</w:t>
            </w:r>
          </w:p>
        </w:tc>
        <w:tc>
          <w:tcPr>
            <w:tcW w:w="2850" w:type="dxa"/>
            <w:vAlign w:val="center"/>
          </w:tcPr>
          <w:p w14:paraId="3FAC05CD" w14:textId="3A2E1C08"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5,301</w:t>
            </w:r>
          </w:p>
        </w:tc>
        <w:tc>
          <w:tcPr>
            <w:tcW w:w="2274" w:type="dxa"/>
            <w:vAlign w:val="center"/>
          </w:tcPr>
          <w:p w14:paraId="457F4142" w14:textId="2AF2F2C9"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601,602</w:t>
            </w:r>
          </w:p>
        </w:tc>
        <w:tc>
          <w:tcPr>
            <w:tcW w:w="2327" w:type="dxa"/>
            <w:vAlign w:val="center"/>
          </w:tcPr>
          <w:p w14:paraId="2618DE05" w14:textId="10B1C4B0"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0.9</w:t>
            </w:r>
          </w:p>
        </w:tc>
      </w:tr>
      <w:tr w:rsidR="3BC40808" w:rsidRPr="001C0AA6" w14:paraId="4418B707"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055" w:type="dxa"/>
            <w:vAlign w:val="center"/>
          </w:tcPr>
          <w:p w14:paraId="6CB5893C" w14:textId="002226EC"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2022</w:t>
            </w:r>
          </w:p>
        </w:tc>
        <w:tc>
          <w:tcPr>
            <w:tcW w:w="2850" w:type="dxa"/>
            <w:vAlign w:val="center"/>
          </w:tcPr>
          <w:p w14:paraId="2D8B87D1" w14:textId="45DE49A5"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407</w:t>
            </w:r>
          </w:p>
        </w:tc>
        <w:tc>
          <w:tcPr>
            <w:tcW w:w="2274" w:type="dxa"/>
            <w:vAlign w:val="center"/>
          </w:tcPr>
          <w:p w14:paraId="5A3A7B36" w14:textId="5F5184C2"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542,751</w:t>
            </w:r>
          </w:p>
        </w:tc>
        <w:tc>
          <w:tcPr>
            <w:tcW w:w="2327" w:type="dxa"/>
            <w:vAlign w:val="center"/>
          </w:tcPr>
          <w:p w14:paraId="1F7D885E" w14:textId="01835570"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0.1</w:t>
            </w:r>
          </w:p>
        </w:tc>
      </w:tr>
      <w:tr w:rsidR="3BC40808" w:rsidRPr="001C0AA6" w14:paraId="50EE3F0E"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055" w:type="dxa"/>
            <w:vAlign w:val="center"/>
          </w:tcPr>
          <w:p w14:paraId="36F62DAD" w14:textId="228829B9"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2023</w:t>
            </w:r>
          </w:p>
        </w:tc>
        <w:tc>
          <w:tcPr>
            <w:tcW w:w="2850" w:type="dxa"/>
            <w:vAlign w:val="center"/>
          </w:tcPr>
          <w:p w14:paraId="7BED6203" w14:textId="43AD51A6"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-98,238</w:t>
            </w:r>
          </w:p>
        </w:tc>
        <w:tc>
          <w:tcPr>
            <w:tcW w:w="2274" w:type="dxa"/>
            <w:vAlign w:val="center"/>
          </w:tcPr>
          <w:p w14:paraId="69135F0D" w14:textId="1C78F6CF"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420,457</w:t>
            </w:r>
          </w:p>
        </w:tc>
        <w:tc>
          <w:tcPr>
            <w:tcW w:w="2327" w:type="dxa"/>
            <w:vAlign w:val="center"/>
          </w:tcPr>
          <w:p w14:paraId="600DDB84" w14:textId="7660CDBB"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-23.4</w:t>
            </w:r>
          </w:p>
        </w:tc>
      </w:tr>
      <w:tr w:rsidR="3BC40808" w:rsidRPr="001C0AA6" w14:paraId="373DDA48"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055" w:type="dxa"/>
            <w:vAlign w:val="center"/>
          </w:tcPr>
          <w:p w14:paraId="44326819" w14:textId="7CE614FF"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2024</w:t>
            </w:r>
          </w:p>
        </w:tc>
        <w:tc>
          <w:tcPr>
            <w:tcW w:w="2850" w:type="dxa"/>
            <w:vAlign w:val="center"/>
          </w:tcPr>
          <w:p w14:paraId="3D0BD19E" w14:textId="291D1D50"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-24,029</w:t>
            </w:r>
          </w:p>
        </w:tc>
        <w:tc>
          <w:tcPr>
            <w:tcW w:w="2274" w:type="dxa"/>
            <w:vAlign w:val="center"/>
          </w:tcPr>
          <w:p w14:paraId="7A8B13F6" w14:textId="393EA68F"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394,879</w:t>
            </w:r>
          </w:p>
        </w:tc>
        <w:tc>
          <w:tcPr>
            <w:tcW w:w="2327" w:type="dxa"/>
            <w:vAlign w:val="center"/>
          </w:tcPr>
          <w:p w14:paraId="44D2DE2D" w14:textId="6DC54A43"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-6.1</w:t>
            </w:r>
          </w:p>
        </w:tc>
      </w:tr>
    </w:tbl>
    <w:p w14:paraId="1C3E862F" w14:textId="65D4E04B" w:rsidR="3BC40808" w:rsidRPr="001C0AA6" w:rsidRDefault="617E935D" w:rsidP="001C0AA6">
      <w:pPr>
        <w:spacing w:before="240" w:after="240" w:line="360" w:lineRule="auto"/>
        <w:jc w:val="both"/>
        <w:rPr>
          <w:rFonts w:ascii="Arial" w:eastAsia="Times New Roman" w:hAnsi="Arial" w:cs="Arial"/>
          <w:b/>
          <w:bCs/>
        </w:rPr>
      </w:pPr>
      <w:r w:rsidRPr="001C0AA6">
        <w:rPr>
          <w:rFonts w:ascii="Arial" w:eastAsia="Times New Roman" w:hAnsi="Arial" w:cs="Arial"/>
          <w:b/>
          <w:bCs/>
        </w:rPr>
        <w:t>Interpretation:</w:t>
      </w:r>
    </w:p>
    <w:p w14:paraId="0944E681" w14:textId="54372EAE" w:rsidR="3BC40808" w:rsidRPr="001C0AA6" w:rsidRDefault="617E935D" w:rsidP="001C0AA6">
      <w:pPr>
        <w:spacing w:before="240" w:after="240" w:line="360" w:lineRule="auto"/>
        <w:jc w:val="both"/>
        <w:rPr>
          <w:rFonts w:ascii="Arial" w:eastAsia="Times New Roman" w:hAnsi="Arial" w:cs="Arial"/>
        </w:rPr>
      </w:pPr>
      <w:r w:rsidRPr="001C0AA6">
        <w:rPr>
          <w:rFonts w:ascii="Arial" w:eastAsia="Times New Roman" w:hAnsi="Arial" w:cs="Arial"/>
        </w:rPr>
        <w:lastRenderedPageBreak/>
        <w:t>The firm’s bottom-line profitability has eroded dramatically, turning into deep net losses in 2023 and 2024. This trend underscores structural issues such as excessive debt servicing, operating inefficiency, and declining demand for core products.</w:t>
      </w:r>
    </w:p>
    <w:p w14:paraId="2D4B52C1" w14:textId="02F53A7D" w:rsidR="4B122D13" w:rsidRPr="001C0AA6" w:rsidRDefault="617E935D" w:rsidP="001C0AA6">
      <w:pPr>
        <w:pStyle w:val="Heading4"/>
        <w:spacing w:before="240" w:after="240" w:line="360" w:lineRule="auto"/>
        <w:jc w:val="both"/>
        <w:rPr>
          <w:rFonts w:ascii="Arial" w:eastAsia="Times New Roman" w:hAnsi="Arial" w:cs="Arial"/>
          <w:b/>
          <w:bCs/>
          <w:color w:val="auto"/>
        </w:rPr>
      </w:pPr>
      <w:bookmarkStart w:id="9" w:name="_Toc1736934841"/>
      <w:r w:rsidRPr="001C0AA6">
        <w:rPr>
          <w:rFonts w:ascii="Arial" w:eastAsia="Times New Roman" w:hAnsi="Arial" w:cs="Arial"/>
          <w:b/>
          <w:bCs/>
          <w:color w:val="auto"/>
        </w:rPr>
        <w:t>2.2.4 Return on Assets (ROA)</w:t>
      </w:r>
      <w:bookmarkEnd w:id="9"/>
    </w:p>
    <w:p w14:paraId="6E07B333" w14:textId="09490D4F" w:rsidR="79227FA8" w:rsidRPr="001C0AA6" w:rsidRDefault="79227FA8" w:rsidP="001C0AA6">
      <w:pPr>
        <w:spacing w:line="360" w:lineRule="auto"/>
        <w:jc w:val="center"/>
        <w:rPr>
          <w:rFonts w:ascii="Arial" w:hAnsi="Arial" w:cs="Arial"/>
        </w:rPr>
      </w:pPr>
      <m:oMathPara>
        <m:oMath>
          <m:r>
            <w:rPr>
              <w:rFonts w:ascii="Cambria Math" w:hAnsi="Cambria Math" w:cs="Arial"/>
            </w:rPr>
            <m:t>ROA=</m:t>
          </m:r>
          <m:f>
            <m:fPr>
              <m:ctrlPr>
                <w:rPr>
                  <w:rFonts w:ascii="Cambria Math" w:hAnsi="Cambria Math" w:cs="Arial"/>
                </w:rPr>
              </m:ctrlPr>
            </m:fPr>
            <m:num>
              <m:r>
                <w:rPr>
                  <w:rFonts w:ascii="Cambria Math" w:hAnsi="Cambria Math" w:cs="Arial"/>
                </w:rPr>
                <m:t>Net Income​</m:t>
              </m:r>
            </m:num>
            <m:den>
              <m:r>
                <w:rPr>
                  <w:rFonts w:ascii="Cambria Math" w:hAnsi="Cambria Math" w:cs="Arial"/>
                </w:rPr>
                <m:t>Total Assets</m:t>
              </m:r>
            </m:den>
          </m:f>
          <m:r>
            <w:rPr>
              <w:rFonts w:ascii="Cambria Math" w:hAnsi="Cambria Math" w:cs="Arial"/>
            </w:rPr>
            <m:t>×100</m:t>
          </m:r>
        </m:oMath>
      </m:oMathPara>
    </w:p>
    <w:p w14:paraId="7286C72E" w14:textId="30D05E9B" w:rsidR="79227FA8" w:rsidRPr="001C0AA6" w:rsidRDefault="79227FA8" w:rsidP="001C0AA6">
      <w:pPr>
        <w:spacing w:line="360" w:lineRule="auto"/>
        <w:jc w:val="center"/>
        <w:rPr>
          <w:rFonts w:ascii="Arial" w:hAnsi="Arial" w:cs="Arial"/>
        </w:rPr>
      </w:pPr>
    </w:p>
    <w:tbl>
      <w:tblPr>
        <w:tblStyle w:val="PlainTable2"/>
        <w:tblW w:w="9508" w:type="dxa"/>
        <w:tblLayout w:type="fixed"/>
        <w:tblLook w:val="06A0" w:firstRow="1" w:lastRow="0" w:firstColumn="1" w:lastColumn="0" w:noHBand="1" w:noVBand="1"/>
      </w:tblPr>
      <w:tblGrid>
        <w:gridCol w:w="2385"/>
        <w:gridCol w:w="2505"/>
        <w:gridCol w:w="2334"/>
        <w:gridCol w:w="2284"/>
      </w:tblGrid>
      <w:tr w:rsidR="3BC40808" w:rsidRPr="001C0AA6" w14:paraId="7774AD06" w14:textId="77777777" w:rsidTr="79227F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385" w:type="dxa"/>
            <w:vAlign w:val="center"/>
          </w:tcPr>
          <w:p w14:paraId="37AF95E3" w14:textId="0FED187C"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Year</w:t>
            </w:r>
          </w:p>
        </w:tc>
        <w:tc>
          <w:tcPr>
            <w:tcW w:w="2505" w:type="dxa"/>
            <w:vAlign w:val="center"/>
          </w:tcPr>
          <w:p w14:paraId="4376A2EF" w14:textId="6B67C962"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Net Income (£m)</w:t>
            </w:r>
          </w:p>
        </w:tc>
        <w:tc>
          <w:tcPr>
            <w:tcW w:w="2334" w:type="dxa"/>
            <w:vAlign w:val="center"/>
          </w:tcPr>
          <w:p w14:paraId="29D7E3B3" w14:textId="1345446C"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Total Assets (£m)</w:t>
            </w:r>
          </w:p>
        </w:tc>
        <w:tc>
          <w:tcPr>
            <w:tcW w:w="2284" w:type="dxa"/>
            <w:vAlign w:val="center"/>
          </w:tcPr>
          <w:p w14:paraId="7CF45692" w14:textId="060669FF"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ROA (%)</w:t>
            </w:r>
          </w:p>
        </w:tc>
      </w:tr>
      <w:tr w:rsidR="3BC40808" w:rsidRPr="001C0AA6" w14:paraId="491618A4"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385" w:type="dxa"/>
            <w:vAlign w:val="center"/>
          </w:tcPr>
          <w:p w14:paraId="4EEBC079" w14:textId="54713865"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2020</w:t>
            </w:r>
          </w:p>
        </w:tc>
        <w:tc>
          <w:tcPr>
            <w:tcW w:w="2505" w:type="dxa"/>
            <w:vAlign w:val="center"/>
          </w:tcPr>
          <w:p w14:paraId="48578E01" w14:textId="0EBCE873"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38,572</w:t>
            </w:r>
          </w:p>
        </w:tc>
        <w:tc>
          <w:tcPr>
            <w:tcW w:w="2334" w:type="dxa"/>
            <w:vAlign w:val="center"/>
          </w:tcPr>
          <w:p w14:paraId="4E858C77" w14:textId="5D3079C2"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510,290</w:t>
            </w:r>
          </w:p>
        </w:tc>
        <w:tc>
          <w:tcPr>
            <w:tcW w:w="2284" w:type="dxa"/>
            <w:vAlign w:val="center"/>
          </w:tcPr>
          <w:p w14:paraId="3665691F" w14:textId="5374ABC6"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7.6</w:t>
            </w:r>
          </w:p>
        </w:tc>
      </w:tr>
      <w:tr w:rsidR="3BC40808" w:rsidRPr="001C0AA6" w14:paraId="665EAEB0"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385" w:type="dxa"/>
            <w:vAlign w:val="center"/>
          </w:tcPr>
          <w:p w14:paraId="40A95683" w14:textId="2293A68F"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2021</w:t>
            </w:r>
          </w:p>
        </w:tc>
        <w:tc>
          <w:tcPr>
            <w:tcW w:w="2505" w:type="dxa"/>
            <w:vAlign w:val="center"/>
          </w:tcPr>
          <w:p w14:paraId="700F74E9" w14:textId="12014A75"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5,301</w:t>
            </w:r>
          </w:p>
        </w:tc>
        <w:tc>
          <w:tcPr>
            <w:tcW w:w="2334" w:type="dxa"/>
            <w:vAlign w:val="center"/>
          </w:tcPr>
          <w:p w14:paraId="235B97A7" w14:textId="10FADB73"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510,348</w:t>
            </w:r>
          </w:p>
        </w:tc>
        <w:tc>
          <w:tcPr>
            <w:tcW w:w="2284" w:type="dxa"/>
            <w:vAlign w:val="center"/>
          </w:tcPr>
          <w:p w14:paraId="6D0C3702" w14:textId="67D8A201"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1.0</w:t>
            </w:r>
          </w:p>
        </w:tc>
      </w:tr>
      <w:tr w:rsidR="3BC40808" w:rsidRPr="001C0AA6" w14:paraId="4777B5D0"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385" w:type="dxa"/>
            <w:vAlign w:val="center"/>
          </w:tcPr>
          <w:p w14:paraId="52B60210" w14:textId="51D05C64"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2022</w:t>
            </w:r>
          </w:p>
        </w:tc>
        <w:tc>
          <w:tcPr>
            <w:tcW w:w="2505" w:type="dxa"/>
            <w:vAlign w:val="center"/>
          </w:tcPr>
          <w:p w14:paraId="3BB69295" w14:textId="2D81190C"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407</w:t>
            </w:r>
          </w:p>
        </w:tc>
        <w:tc>
          <w:tcPr>
            <w:tcW w:w="2334" w:type="dxa"/>
            <w:vAlign w:val="center"/>
          </w:tcPr>
          <w:p w14:paraId="7F88218D" w14:textId="507BAA3B"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504,163</w:t>
            </w:r>
          </w:p>
        </w:tc>
        <w:tc>
          <w:tcPr>
            <w:tcW w:w="2284" w:type="dxa"/>
            <w:vAlign w:val="center"/>
          </w:tcPr>
          <w:p w14:paraId="01BF68C1" w14:textId="1AD5A322"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0.1</w:t>
            </w:r>
          </w:p>
        </w:tc>
      </w:tr>
      <w:tr w:rsidR="3BC40808" w:rsidRPr="001C0AA6" w14:paraId="0125F441"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385" w:type="dxa"/>
            <w:vAlign w:val="center"/>
          </w:tcPr>
          <w:p w14:paraId="04FE9F6B" w14:textId="573FD155"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2023</w:t>
            </w:r>
          </w:p>
        </w:tc>
        <w:tc>
          <w:tcPr>
            <w:tcW w:w="2505" w:type="dxa"/>
            <w:vAlign w:val="center"/>
          </w:tcPr>
          <w:p w14:paraId="16231C4D" w14:textId="7AACCC6E"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-98,238</w:t>
            </w:r>
          </w:p>
        </w:tc>
        <w:tc>
          <w:tcPr>
            <w:tcW w:w="2334" w:type="dxa"/>
            <w:vAlign w:val="center"/>
          </w:tcPr>
          <w:p w14:paraId="377A60A1" w14:textId="2EEDCAD5"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355,872</w:t>
            </w:r>
          </w:p>
        </w:tc>
        <w:tc>
          <w:tcPr>
            <w:tcW w:w="2284" w:type="dxa"/>
            <w:vAlign w:val="center"/>
          </w:tcPr>
          <w:p w14:paraId="0828FAB5" w14:textId="47DC069F"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-27.6</w:t>
            </w:r>
          </w:p>
        </w:tc>
      </w:tr>
      <w:tr w:rsidR="3BC40808" w:rsidRPr="001C0AA6" w14:paraId="134EB9AB"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385" w:type="dxa"/>
            <w:vAlign w:val="center"/>
          </w:tcPr>
          <w:p w14:paraId="2E8359D7" w14:textId="4F11DC66"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2024</w:t>
            </w:r>
          </w:p>
        </w:tc>
        <w:tc>
          <w:tcPr>
            <w:tcW w:w="2505" w:type="dxa"/>
            <w:vAlign w:val="center"/>
          </w:tcPr>
          <w:p w14:paraId="25DA001C" w14:textId="7DBF9F2E"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-24,029</w:t>
            </w:r>
          </w:p>
        </w:tc>
        <w:tc>
          <w:tcPr>
            <w:tcW w:w="2334" w:type="dxa"/>
            <w:vAlign w:val="center"/>
          </w:tcPr>
          <w:p w14:paraId="4FDA1D2D" w14:textId="6F45F46F"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323,354</w:t>
            </w:r>
          </w:p>
        </w:tc>
        <w:tc>
          <w:tcPr>
            <w:tcW w:w="2284" w:type="dxa"/>
            <w:vAlign w:val="center"/>
          </w:tcPr>
          <w:p w14:paraId="7C2AA70A" w14:textId="7123DAD5"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-7.4</w:t>
            </w:r>
          </w:p>
        </w:tc>
      </w:tr>
    </w:tbl>
    <w:p w14:paraId="44E77A8B" w14:textId="2B88CE86" w:rsidR="3BC40808" w:rsidRPr="001C0AA6" w:rsidRDefault="617E935D" w:rsidP="001C0AA6">
      <w:pPr>
        <w:spacing w:before="240" w:after="240" w:line="360" w:lineRule="auto"/>
        <w:jc w:val="both"/>
        <w:rPr>
          <w:rFonts w:ascii="Arial" w:eastAsia="Times New Roman" w:hAnsi="Arial" w:cs="Arial"/>
          <w:b/>
          <w:bCs/>
        </w:rPr>
      </w:pPr>
      <w:r w:rsidRPr="001C0AA6">
        <w:rPr>
          <w:rFonts w:ascii="Arial" w:eastAsia="Times New Roman" w:hAnsi="Arial" w:cs="Arial"/>
          <w:b/>
          <w:bCs/>
        </w:rPr>
        <w:t>Interpretation:</w:t>
      </w:r>
    </w:p>
    <w:p w14:paraId="1ECCF079" w14:textId="47BEE841" w:rsidR="3BC40808" w:rsidRPr="001C0AA6" w:rsidRDefault="617E935D" w:rsidP="001C0AA6">
      <w:pPr>
        <w:spacing w:before="240" w:after="240" w:line="360" w:lineRule="auto"/>
        <w:jc w:val="both"/>
        <w:rPr>
          <w:rFonts w:ascii="Arial" w:eastAsia="Times New Roman" w:hAnsi="Arial" w:cs="Arial"/>
        </w:rPr>
      </w:pPr>
      <w:r w:rsidRPr="001C0AA6">
        <w:rPr>
          <w:rFonts w:ascii="Arial" w:eastAsia="Times New Roman" w:hAnsi="Arial" w:cs="Arial"/>
        </w:rPr>
        <w:t>GE’s asset utilization has declined consistently. The negative ROA in the last two years indicates that assets are not generating returns and are possibly underutilized or impaired.</w:t>
      </w:r>
    </w:p>
    <w:p w14:paraId="553A7B79" w14:textId="33662F92" w:rsidR="4B122D13" w:rsidRPr="001C0AA6" w:rsidRDefault="617E935D" w:rsidP="001C0AA6">
      <w:pPr>
        <w:pStyle w:val="Heading4"/>
        <w:spacing w:before="240" w:after="240" w:line="360" w:lineRule="auto"/>
        <w:jc w:val="both"/>
        <w:rPr>
          <w:rFonts w:ascii="Arial" w:eastAsia="Times New Roman" w:hAnsi="Arial" w:cs="Arial"/>
          <w:b/>
          <w:bCs/>
          <w:color w:val="auto"/>
        </w:rPr>
      </w:pPr>
      <w:bookmarkStart w:id="10" w:name="_Toc429793839"/>
      <w:r w:rsidRPr="001C0AA6">
        <w:rPr>
          <w:rFonts w:ascii="Arial" w:eastAsia="Times New Roman" w:hAnsi="Arial" w:cs="Arial"/>
          <w:b/>
          <w:bCs/>
          <w:color w:val="auto"/>
        </w:rPr>
        <w:t>2.2.5 Return on Equity (ROE)</w:t>
      </w:r>
      <w:bookmarkEnd w:id="10"/>
    </w:p>
    <w:p w14:paraId="67AED93C" w14:textId="572448E5" w:rsidR="79227FA8" w:rsidRPr="001C0AA6" w:rsidRDefault="79227FA8" w:rsidP="001C0AA6">
      <w:pPr>
        <w:spacing w:line="360" w:lineRule="auto"/>
        <w:jc w:val="center"/>
        <w:rPr>
          <w:rFonts w:ascii="Arial" w:eastAsia="Times New Roman" w:hAnsi="Arial" w:cs="Arial"/>
        </w:rPr>
      </w:pPr>
      <m:oMathPara>
        <m:oMath>
          <m:r>
            <w:rPr>
              <w:rFonts w:ascii="Cambria Math" w:hAnsi="Cambria Math" w:cs="Arial"/>
            </w:rPr>
            <m:t>ROe=</m:t>
          </m:r>
          <m:f>
            <m:fPr>
              <m:ctrlPr>
                <w:rPr>
                  <w:rFonts w:ascii="Cambria Math" w:hAnsi="Cambria Math" w:cs="Arial"/>
                </w:rPr>
              </m:ctrlPr>
            </m:fPr>
            <m:num>
              <m:r>
                <w:rPr>
                  <w:rFonts w:ascii="Cambria Math" w:hAnsi="Cambria Math" w:cs="Arial"/>
                </w:rPr>
                <m:t>Net Income​</m:t>
              </m:r>
            </m:num>
            <m:den>
              <m:r>
                <w:rPr>
                  <w:rFonts w:ascii="Cambria Math" w:hAnsi="Cambria Math" w:cs="Arial"/>
                </w:rPr>
                <m:t>Shareholders Equity</m:t>
              </m:r>
            </m:den>
          </m:f>
          <m:r>
            <w:rPr>
              <w:rFonts w:ascii="Cambria Math" w:hAnsi="Cambria Math" w:cs="Arial"/>
            </w:rPr>
            <m:t>×100</m:t>
          </m:r>
        </m:oMath>
      </m:oMathPara>
    </w:p>
    <w:tbl>
      <w:tblPr>
        <w:tblStyle w:val="PlainTable2"/>
        <w:tblW w:w="9500" w:type="dxa"/>
        <w:tblLayout w:type="fixed"/>
        <w:tblLook w:val="06A0" w:firstRow="1" w:lastRow="0" w:firstColumn="1" w:lastColumn="0" w:noHBand="1" w:noVBand="1"/>
      </w:tblPr>
      <w:tblGrid>
        <w:gridCol w:w="1815"/>
        <w:gridCol w:w="2940"/>
        <w:gridCol w:w="2364"/>
        <w:gridCol w:w="2381"/>
      </w:tblGrid>
      <w:tr w:rsidR="3BC40808" w:rsidRPr="001C0AA6" w14:paraId="6F47603B" w14:textId="77777777" w:rsidTr="79227F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15" w:type="dxa"/>
            <w:vAlign w:val="center"/>
          </w:tcPr>
          <w:p w14:paraId="6D7AC44D" w14:textId="00E271EC"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Year</w:t>
            </w:r>
          </w:p>
        </w:tc>
        <w:tc>
          <w:tcPr>
            <w:tcW w:w="2940" w:type="dxa"/>
            <w:vAlign w:val="center"/>
          </w:tcPr>
          <w:p w14:paraId="18D4AC86" w14:textId="7305C5BB"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Net Income (£m)</w:t>
            </w:r>
          </w:p>
        </w:tc>
        <w:tc>
          <w:tcPr>
            <w:tcW w:w="2364" w:type="dxa"/>
            <w:vAlign w:val="center"/>
          </w:tcPr>
          <w:p w14:paraId="4E48CF3A" w14:textId="124BBF8D"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Equity (£m)</w:t>
            </w:r>
          </w:p>
        </w:tc>
        <w:tc>
          <w:tcPr>
            <w:tcW w:w="2381" w:type="dxa"/>
            <w:vAlign w:val="center"/>
          </w:tcPr>
          <w:p w14:paraId="273B293F" w14:textId="3643C40D"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ROE (%)</w:t>
            </w:r>
          </w:p>
        </w:tc>
      </w:tr>
      <w:tr w:rsidR="3BC40808" w:rsidRPr="001C0AA6" w14:paraId="1A328D13"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815" w:type="dxa"/>
            <w:vAlign w:val="center"/>
          </w:tcPr>
          <w:p w14:paraId="0291F1A7" w14:textId="4817B9A0"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2020</w:t>
            </w:r>
          </w:p>
        </w:tc>
        <w:tc>
          <w:tcPr>
            <w:tcW w:w="2940" w:type="dxa"/>
            <w:vAlign w:val="center"/>
          </w:tcPr>
          <w:p w14:paraId="426138C9" w14:textId="65C52591"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38,572</w:t>
            </w:r>
          </w:p>
        </w:tc>
        <w:tc>
          <w:tcPr>
            <w:tcW w:w="2364" w:type="dxa"/>
            <w:vAlign w:val="center"/>
          </w:tcPr>
          <w:p w14:paraId="25DEFC1D" w14:textId="37725C2A"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313,301</w:t>
            </w:r>
          </w:p>
        </w:tc>
        <w:tc>
          <w:tcPr>
            <w:tcW w:w="2381" w:type="dxa"/>
            <w:vAlign w:val="center"/>
          </w:tcPr>
          <w:p w14:paraId="54474FE2" w14:textId="56B6B391"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12.3</w:t>
            </w:r>
          </w:p>
        </w:tc>
      </w:tr>
      <w:tr w:rsidR="3BC40808" w:rsidRPr="001C0AA6" w14:paraId="34580F82"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815" w:type="dxa"/>
            <w:vAlign w:val="center"/>
          </w:tcPr>
          <w:p w14:paraId="0BD0E88B" w14:textId="72548513"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2021</w:t>
            </w:r>
          </w:p>
        </w:tc>
        <w:tc>
          <w:tcPr>
            <w:tcW w:w="2940" w:type="dxa"/>
            <w:vAlign w:val="center"/>
          </w:tcPr>
          <w:p w14:paraId="21137CC2" w14:textId="0E7D0B52"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5,301</w:t>
            </w:r>
          </w:p>
        </w:tc>
        <w:tc>
          <w:tcPr>
            <w:tcW w:w="2364" w:type="dxa"/>
            <w:vAlign w:val="center"/>
          </w:tcPr>
          <w:p w14:paraId="39150DD4" w14:textId="7C7F6C79"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275,949</w:t>
            </w:r>
          </w:p>
        </w:tc>
        <w:tc>
          <w:tcPr>
            <w:tcW w:w="2381" w:type="dxa"/>
            <w:vAlign w:val="center"/>
          </w:tcPr>
          <w:p w14:paraId="6B286AF3" w14:textId="0210BE60"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1.9</w:t>
            </w:r>
          </w:p>
        </w:tc>
      </w:tr>
      <w:tr w:rsidR="3BC40808" w:rsidRPr="001C0AA6" w14:paraId="097C794F"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815" w:type="dxa"/>
            <w:vAlign w:val="center"/>
          </w:tcPr>
          <w:p w14:paraId="40732EAA" w14:textId="0FDFFB04"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2022</w:t>
            </w:r>
          </w:p>
        </w:tc>
        <w:tc>
          <w:tcPr>
            <w:tcW w:w="2940" w:type="dxa"/>
            <w:vAlign w:val="center"/>
          </w:tcPr>
          <w:p w14:paraId="1B144708" w14:textId="421CFD09"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407</w:t>
            </w:r>
          </w:p>
        </w:tc>
        <w:tc>
          <w:tcPr>
            <w:tcW w:w="2364" w:type="dxa"/>
            <w:vAlign w:val="center"/>
          </w:tcPr>
          <w:p w14:paraId="604B8D73" w14:textId="39502BF8"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268,406</w:t>
            </w:r>
          </w:p>
        </w:tc>
        <w:tc>
          <w:tcPr>
            <w:tcW w:w="2381" w:type="dxa"/>
            <w:vAlign w:val="center"/>
          </w:tcPr>
          <w:p w14:paraId="1284814B" w14:textId="1C99EFF1"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0.2</w:t>
            </w:r>
          </w:p>
        </w:tc>
      </w:tr>
      <w:tr w:rsidR="3BC40808" w:rsidRPr="001C0AA6" w14:paraId="7CD66483"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815" w:type="dxa"/>
            <w:vAlign w:val="center"/>
          </w:tcPr>
          <w:p w14:paraId="052A0919" w14:textId="02550804"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2023</w:t>
            </w:r>
          </w:p>
        </w:tc>
        <w:tc>
          <w:tcPr>
            <w:tcW w:w="2940" w:type="dxa"/>
            <w:vAlign w:val="center"/>
          </w:tcPr>
          <w:p w14:paraId="3BD69B0D" w14:textId="76823033"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-98,238</w:t>
            </w:r>
          </w:p>
        </w:tc>
        <w:tc>
          <w:tcPr>
            <w:tcW w:w="2364" w:type="dxa"/>
            <w:vAlign w:val="center"/>
          </w:tcPr>
          <w:p w14:paraId="78387755" w14:textId="7A3E3D4A"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178,920</w:t>
            </w:r>
          </w:p>
        </w:tc>
        <w:tc>
          <w:tcPr>
            <w:tcW w:w="2381" w:type="dxa"/>
            <w:vAlign w:val="center"/>
          </w:tcPr>
          <w:p w14:paraId="711A21B6" w14:textId="3B1D38DF"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-54.9</w:t>
            </w:r>
          </w:p>
        </w:tc>
      </w:tr>
      <w:tr w:rsidR="3BC40808" w:rsidRPr="001C0AA6" w14:paraId="5F550A56"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815" w:type="dxa"/>
            <w:vAlign w:val="center"/>
          </w:tcPr>
          <w:p w14:paraId="706EDFEB" w14:textId="58755C2E"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2024</w:t>
            </w:r>
          </w:p>
        </w:tc>
        <w:tc>
          <w:tcPr>
            <w:tcW w:w="2940" w:type="dxa"/>
            <w:vAlign w:val="center"/>
          </w:tcPr>
          <w:p w14:paraId="41E5A2B9" w14:textId="111FC0D5"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-24,029</w:t>
            </w:r>
          </w:p>
        </w:tc>
        <w:tc>
          <w:tcPr>
            <w:tcW w:w="2364" w:type="dxa"/>
            <w:vAlign w:val="center"/>
          </w:tcPr>
          <w:p w14:paraId="776B79E4" w14:textId="58B1A76B"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153,105</w:t>
            </w:r>
          </w:p>
        </w:tc>
        <w:tc>
          <w:tcPr>
            <w:tcW w:w="2381" w:type="dxa"/>
            <w:vAlign w:val="center"/>
          </w:tcPr>
          <w:p w14:paraId="64881D91" w14:textId="2BBD69AF"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-15.7</w:t>
            </w:r>
          </w:p>
        </w:tc>
      </w:tr>
    </w:tbl>
    <w:p w14:paraId="309A149D" w14:textId="1C7CC79F" w:rsidR="3BC40808" w:rsidRPr="001C0AA6" w:rsidRDefault="617E935D" w:rsidP="001C0AA6">
      <w:pPr>
        <w:spacing w:before="240" w:after="240" w:line="360" w:lineRule="auto"/>
        <w:jc w:val="both"/>
        <w:rPr>
          <w:rFonts w:ascii="Arial" w:eastAsia="Times New Roman" w:hAnsi="Arial" w:cs="Arial"/>
          <w:b/>
          <w:bCs/>
        </w:rPr>
      </w:pPr>
      <w:r w:rsidRPr="001C0AA6">
        <w:rPr>
          <w:rFonts w:ascii="Arial" w:eastAsia="Times New Roman" w:hAnsi="Arial" w:cs="Arial"/>
          <w:b/>
          <w:bCs/>
        </w:rPr>
        <w:t>Interpretation:</w:t>
      </w:r>
    </w:p>
    <w:p w14:paraId="2C95ADEF" w14:textId="59FF6EC1" w:rsidR="3BC40808" w:rsidRPr="001C0AA6" w:rsidRDefault="617E935D" w:rsidP="001C0AA6">
      <w:pPr>
        <w:spacing w:before="240" w:after="240" w:line="360" w:lineRule="auto"/>
        <w:jc w:val="both"/>
        <w:rPr>
          <w:rFonts w:ascii="Arial" w:eastAsia="Times New Roman" w:hAnsi="Arial" w:cs="Arial"/>
        </w:rPr>
      </w:pPr>
      <w:r w:rsidRPr="001C0AA6">
        <w:rPr>
          <w:rFonts w:ascii="Arial" w:eastAsia="Times New Roman" w:hAnsi="Arial" w:cs="Arial"/>
        </w:rPr>
        <w:lastRenderedPageBreak/>
        <w:t>The collapse in ROE highlights shareholder value destruction. GE’s equity base has eroded by over 50% since 2020, while net losses have wiped out retained earnings. This indicates a potential crisis of investor confidence and poor financial governance.</w:t>
      </w:r>
    </w:p>
    <w:p w14:paraId="23E3D6A7" w14:textId="3203B66D" w:rsidR="4B122D13" w:rsidRPr="001C0AA6" w:rsidRDefault="617E935D" w:rsidP="001C0AA6">
      <w:pPr>
        <w:pStyle w:val="Heading3"/>
        <w:spacing w:before="240" w:after="240" w:line="360" w:lineRule="auto"/>
        <w:jc w:val="both"/>
        <w:rPr>
          <w:rFonts w:ascii="Arial" w:eastAsia="Times New Roman" w:hAnsi="Arial" w:cs="Arial"/>
          <w:b/>
          <w:bCs/>
          <w:color w:val="auto"/>
          <w:sz w:val="24"/>
          <w:szCs w:val="24"/>
        </w:rPr>
      </w:pPr>
      <w:bookmarkStart w:id="11" w:name="_Toc1168715623"/>
      <w:r w:rsidRPr="001C0AA6">
        <w:rPr>
          <w:rFonts w:ascii="Arial" w:eastAsia="Times New Roman" w:hAnsi="Arial" w:cs="Arial"/>
          <w:b/>
          <w:bCs/>
          <w:color w:val="auto"/>
          <w:sz w:val="24"/>
          <w:szCs w:val="24"/>
        </w:rPr>
        <w:t>2.3 Liquidity Ratios</w:t>
      </w:r>
      <w:bookmarkEnd w:id="11"/>
    </w:p>
    <w:p w14:paraId="5F1FBD16" w14:textId="58F3B135" w:rsidR="4B122D13" w:rsidRPr="001C0AA6" w:rsidRDefault="617E935D" w:rsidP="001C0AA6">
      <w:pPr>
        <w:spacing w:before="240" w:after="240" w:line="360" w:lineRule="auto"/>
        <w:jc w:val="both"/>
        <w:rPr>
          <w:rFonts w:ascii="Arial" w:eastAsia="Times New Roman" w:hAnsi="Arial" w:cs="Arial"/>
        </w:rPr>
      </w:pPr>
      <w:r w:rsidRPr="001C0AA6">
        <w:rPr>
          <w:rFonts w:ascii="Arial" w:eastAsia="Times New Roman" w:hAnsi="Arial" w:cs="Arial"/>
        </w:rPr>
        <w:t>Liquidity ratios assess the firm’s ability to meet short-term obligations.</w:t>
      </w:r>
    </w:p>
    <w:p w14:paraId="7F64FDB2" w14:textId="0377A89D" w:rsidR="4B122D13" w:rsidRPr="001C0AA6" w:rsidRDefault="617E935D" w:rsidP="001C0AA6">
      <w:pPr>
        <w:pStyle w:val="Heading4"/>
        <w:spacing w:before="319" w:after="319" w:line="360" w:lineRule="auto"/>
        <w:jc w:val="both"/>
        <w:rPr>
          <w:rFonts w:ascii="Arial" w:eastAsia="Times New Roman" w:hAnsi="Arial" w:cs="Arial"/>
          <w:b/>
          <w:bCs/>
          <w:color w:val="auto"/>
        </w:rPr>
      </w:pPr>
      <w:bookmarkStart w:id="12" w:name="_Toc804607029"/>
      <w:r w:rsidRPr="001C0AA6">
        <w:rPr>
          <w:rFonts w:ascii="Arial" w:eastAsia="Times New Roman" w:hAnsi="Arial" w:cs="Arial"/>
          <w:b/>
          <w:bCs/>
          <w:color w:val="auto"/>
        </w:rPr>
        <w:t>2.3.1 Current Ratio</w:t>
      </w:r>
      <w:bookmarkEnd w:id="12"/>
    </w:p>
    <w:p w14:paraId="12AE8B2B" w14:textId="798FDCBB" w:rsidR="79227FA8" w:rsidRPr="001C0AA6" w:rsidRDefault="79227FA8" w:rsidP="001C0AA6">
      <w:pPr>
        <w:spacing w:line="360" w:lineRule="auto"/>
        <w:jc w:val="center"/>
        <w:rPr>
          <w:rFonts w:ascii="Arial" w:eastAsia="Times New Roman" w:hAnsi="Arial" w:cs="Arial"/>
        </w:rPr>
      </w:pPr>
      <m:oMathPara>
        <m:oMath>
          <m:r>
            <w:rPr>
              <w:rFonts w:ascii="Cambria Math" w:hAnsi="Cambria Math" w:cs="Arial"/>
            </w:rPr>
            <m:t>Current Ratio=</m:t>
          </m:r>
          <m:f>
            <m:fPr>
              <m:ctrlPr>
                <w:rPr>
                  <w:rFonts w:ascii="Cambria Math" w:hAnsi="Cambria Math" w:cs="Arial"/>
                </w:rPr>
              </m:ctrlPr>
            </m:fPr>
            <m:num>
              <m:r>
                <w:rPr>
                  <w:rFonts w:ascii="Cambria Math" w:hAnsi="Cambria Math" w:cs="Arial"/>
                </w:rPr>
                <m:t>Current Assets</m:t>
              </m:r>
            </m:num>
            <m:den>
              <m:r>
                <w:rPr>
                  <w:rFonts w:ascii="Cambria Math" w:hAnsi="Cambria Math" w:cs="Arial"/>
                </w:rPr>
                <m:t>Current Liabilities</m:t>
              </m:r>
            </m:den>
          </m:f>
        </m:oMath>
      </m:oMathPara>
    </w:p>
    <w:tbl>
      <w:tblPr>
        <w:tblStyle w:val="PlainTable2"/>
        <w:tblW w:w="9497" w:type="dxa"/>
        <w:tblLayout w:type="fixed"/>
        <w:tblLook w:val="06A0" w:firstRow="1" w:lastRow="0" w:firstColumn="1" w:lastColumn="0" w:noHBand="1" w:noVBand="1"/>
      </w:tblPr>
      <w:tblGrid>
        <w:gridCol w:w="1695"/>
        <w:gridCol w:w="3195"/>
        <w:gridCol w:w="2947"/>
        <w:gridCol w:w="1660"/>
      </w:tblGrid>
      <w:tr w:rsidR="3BC40808" w:rsidRPr="001C0AA6" w14:paraId="7E6C7912" w14:textId="77777777" w:rsidTr="79227F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5" w:type="dxa"/>
            <w:vAlign w:val="center"/>
          </w:tcPr>
          <w:p w14:paraId="5664EE31" w14:textId="7EEBEBBE"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Year</w:t>
            </w:r>
          </w:p>
        </w:tc>
        <w:tc>
          <w:tcPr>
            <w:tcW w:w="3195" w:type="dxa"/>
            <w:vAlign w:val="center"/>
          </w:tcPr>
          <w:p w14:paraId="1E684C96" w14:textId="7EE23281"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Current Assets (£m)</w:t>
            </w:r>
          </w:p>
        </w:tc>
        <w:tc>
          <w:tcPr>
            <w:tcW w:w="2947" w:type="dxa"/>
            <w:vAlign w:val="center"/>
          </w:tcPr>
          <w:p w14:paraId="6BE32DF6" w14:textId="0CE3C258"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Current Liabilities (£m)</w:t>
            </w:r>
          </w:p>
        </w:tc>
        <w:tc>
          <w:tcPr>
            <w:tcW w:w="1660" w:type="dxa"/>
            <w:vAlign w:val="center"/>
          </w:tcPr>
          <w:p w14:paraId="67B8976E" w14:textId="31683FDD"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Ratio</w:t>
            </w:r>
          </w:p>
        </w:tc>
      </w:tr>
      <w:tr w:rsidR="3BC40808" w:rsidRPr="001C0AA6" w14:paraId="1320C44B"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695" w:type="dxa"/>
            <w:vAlign w:val="center"/>
          </w:tcPr>
          <w:p w14:paraId="20A3D037" w14:textId="33BF8608"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2020</w:t>
            </w:r>
          </w:p>
        </w:tc>
        <w:tc>
          <w:tcPr>
            <w:tcW w:w="3195" w:type="dxa"/>
            <w:vAlign w:val="center"/>
          </w:tcPr>
          <w:p w14:paraId="42D14379" w14:textId="67F87258"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326,843</w:t>
            </w:r>
          </w:p>
        </w:tc>
        <w:tc>
          <w:tcPr>
            <w:tcW w:w="2947" w:type="dxa"/>
            <w:vAlign w:val="center"/>
          </w:tcPr>
          <w:p w14:paraId="4041EC78" w14:textId="4D6D70C3"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179,510</w:t>
            </w:r>
          </w:p>
        </w:tc>
        <w:tc>
          <w:tcPr>
            <w:tcW w:w="1660" w:type="dxa"/>
            <w:vAlign w:val="center"/>
          </w:tcPr>
          <w:p w14:paraId="704104CD" w14:textId="26073C23"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1.82</w:t>
            </w:r>
          </w:p>
        </w:tc>
      </w:tr>
      <w:tr w:rsidR="3BC40808" w:rsidRPr="001C0AA6" w14:paraId="5595CC72"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695" w:type="dxa"/>
            <w:vAlign w:val="center"/>
          </w:tcPr>
          <w:p w14:paraId="689AE5E3" w14:textId="06877E1A"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2021</w:t>
            </w:r>
          </w:p>
        </w:tc>
        <w:tc>
          <w:tcPr>
            <w:tcW w:w="3195" w:type="dxa"/>
            <w:vAlign w:val="center"/>
          </w:tcPr>
          <w:p w14:paraId="04CF5B53" w14:textId="5A3C6B9C"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337,146</w:t>
            </w:r>
          </w:p>
        </w:tc>
        <w:tc>
          <w:tcPr>
            <w:tcW w:w="2947" w:type="dxa"/>
            <w:vAlign w:val="center"/>
          </w:tcPr>
          <w:p w14:paraId="625E06B6" w14:textId="5BBB1535"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216,787</w:t>
            </w:r>
          </w:p>
        </w:tc>
        <w:tc>
          <w:tcPr>
            <w:tcW w:w="1660" w:type="dxa"/>
            <w:vAlign w:val="center"/>
          </w:tcPr>
          <w:p w14:paraId="10DCB2BB" w14:textId="39E0503A"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1.55</w:t>
            </w:r>
          </w:p>
        </w:tc>
      </w:tr>
      <w:tr w:rsidR="3BC40808" w:rsidRPr="001C0AA6" w14:paraId="1206A9AA"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695" w:type="dxa"/>
            <w:vAlign w:val="center"/>
          </w:tcPr>
          <w:p w14:paraId="1B87E8CF" w14:textId="5A960E8C"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2022</w:t>
            </w:r>
          </w:p>
        </w:tc>
        <w:tc>
          <w:tcPr>
            <w:tcW w:w="3195" w:type="dxa"/>
            <w:vAlign w:val="center"/>
          </w:tcPr>
          <w:p w14:paraId="555C3F40" w14:textId="6569E33E"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338,040</w:t>
            </w:r>
          </w:p>
        </w:tc>
        <w:tc>
          <w:tcPr>
            <w:tcW w:w="2947" w:type="dxa"/>
            <w:vAlign w:val="center"/>
          </w:tcPr>
          <w:p w14:paraId="7BBA098B" w14:textId="25D03CF6"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216,473</w:t>
            </w:r>
          </w:p>
        </w:tc>
        <w:tc>
          <w:tcPr>
            <w:tcW w:w="1660" w:type="dxa"/>
            <w:vAlign w:val="center"/>
          </w:tcPr>
          <w:p w14:paraId="5757EE5A" w14:textId="1A28661A"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1.56</w:t>
            </w:r>
          </w:p>
        </w:tc>
      </w:tr>
      <w:tr w:rsidR="3BC40808" w:rsidRPr="001C0AA6" w14:paraId="4265330C"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695" w:type="dxa"/>
            <w:vAlign w:val="center"/>
          </w:tcPr>
          <w:p w14:paraId="2350E243" w14:textId="2035535A"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2023</w:t>
            </w:r>
          </w:p>
        </w:tc>
        <w:tc>
          <w:tcPr>
            <w:tcW w:w="3195" w:type="dxa"/>
            <w:vAlign w:val="center"/>
          </w:tcPr>
          <w:p w14:paraId="47282721" w14:textId="2321B78C"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258,851</w:t>
            </w:r>
          </w:p>
        </w:tc>
        <w:tc>
          <w:tcPr>
            <w:tcW w:w="2947" w:type="dxa"/>
            <w:vAlign w:val="center"/>
          </w:tcPr>
          <w:p w14:paraId="33E708C5" w14:textId="7B68229C"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161,148</w:t>
            </w:r>
          </w:p>
        </w:tc>
        <w:tc>
          <w:tcPr>
            <w:tcW w:w="1660" w:type="dxa"/>
            <w:vAlign w:val="center"/>
          </w:tcPr>
          <w:p w14:paraId="46C4E4B5" w14:textId="237C2EE7"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1.61</w:t>
            </w:r>
          </w:p>
        </w:tc>
      </w:tr>
      <w:tr w:rsidR="3BC40808" w:rsidRPr="001C0AA6" w14:paraId="39C163D3"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695" w:type="dxa"/>
            <w:vAlign w:val="center"/>
          </w:tcPr>
          <w:p w14:paraId="41628171" w14:textId="0F3B0419"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2024</w:t>
            </w:r>
          </w:p>
        </w:tc>
        <w:tc>
          <w:tcPr>
            <w:tcW w:w="3195" w:type="dxa"/>
            <w:vAlign w:val="center"/>
          </w:tcPr>
          <w:p w14:paraId="0FD3ECB0" w14:textId="43AC0AED"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242,494</w:t>
            </w:r>
          </w:p>
        </w:tc>
        <w:tc>
          <w:tcPr>
            <w:tcW w:w="2947" w:type="dxa"/>
            <w:vAlign w:val="center"/>
          </w:tcPr>
          <w:p w14:paraId="01CA90FB" w14:textId="5DADD01A"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158,291</w:t>
            </w:r>
          </w:p>
        </w:tc>
        <w:tc>
          <w:tcPr>
            <w:tcW w:w="1660" w:type="dxa"/>
            <w:vAlign w:val="center"/>
          </w:tcPr>
          <w:p w14:paraId="3FFB72D2" w14:textId="6F105BB2"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1.53</w:t>
            </w:r>
          </w:p>
        </w:tc>
      </w:tr>
    </w:tbl>
    <w:p w14:paraId="3D4ABF8A" w14:textId="5B0FD3A3" w:rsidR="3BC40808" w:rsidRPr="001C0AA6" w:rsidRDefault="617E935D" w:rsidP="001C0AA6">
      <w:pPr>
        <w:spacing w:before="240" w:after="240" w:line="360" w:lineRule="auto"/>
        <w:jc w:val="both"/>
        <w:rPr>
          <w:rFonts w:ascii="Arial" w:eastAsia="Times New Roman" w:hAnsi="Arial" w:cs="Arial"/>
          <w:b/>
          <w:bCs/>
        </w:rPr>
      </w:pPr>
      <w:r w:rsidRPr="001C0AA6">
        <w:rPr>
          <w:rFonts w:ascii="Arial" w:eastAsia="Times New Roman" w:hAnsi="Arial" w:cs="Arial"/>
          <w:b/>
          <w:bCs/>
        </w:rPr>
        <w:t>Interpretation:</w:t>
      </w:r>
    </w:p>
    <w:p w14:paraId="36BA3AFC" w14:textId="5C64D90C" w:rsidR="3BC40808" w:rsidRPr="001C0AA6" w:rsidRDefault="617E935D" w:rsidP="001C0AA6">
      <w:pPr>
        <w:spacing w:before="240" w:after="240" w:line="360" w:lineRule="auto"/>
        <w:jc w:val="both"/>
        <w:rPr>
          <w:rFonts w:ascii="Arial" w:eastAsia="Times New Roman" w:hAnsi="Arial" w:cs="Arial"/>
        </w:rPr>
      </w:pPr>
      <w:r w:rsidRPr="001C0AA6">
        <w:rPr>
          <w:rFonts w:ascii="Arial" w:eastAsia="Times New Roman" w:hAnsi="Arial" w:cs="Arial"/>
        </w:rPr>
        <w:t>The current ratio remains above 1, but the declining trend signals weakening liquidity. Cash balances are shrinking, and working capital is under stress, particularly given the high reliance on short-term credit.</w:t>
      </w:r>
    </w:p>
    <w:p w14:paraId="1F8EB940" w14:textId="1A0A9344" w:rsidR="4B122D13" w:rsidRPr="001C0AA6" w:rsidRDefault="617E935D" w:rsidP="001C0AA6">
      <w:pPr>
        <w:pStyle w:val="Heading4"/>
        <w:spacing w:before="240" w:after="240" w:line="360" w:lineRule="auto"/>
        <w:jc w:val="both"/>
        <w:rPr>
          <w:rFonts w:ascii="Arial" w:eastAsia="Times New Roman" w:hAnsi="Arial" w:cs="Arial"/>
          <w:b/>
          <w:bCs/>
          <w:color w:val="auto"/>
        </w:rPr>
      </w:pPr>
      <w:bookmarkStart w:id="13" w:name="_Toc1298845557"/>
      <w:r w:rsidRPr="001C0AA6">
        <w:rPr>
          <w:rFonts w:ascii="Arial" w:eastAsia="Times New Roman" w:hAnsi="Arial" w:cs="Arial"/>
          <w:b/>
          <w:bCs/>
          <w:color w:val="auto"/>
        </w:rPr>
        <w:t>2.3.2 Quick Ratio</w:t>
      </w:r>
      <w:bookmarkEnd w:id="13"/>
    </w:p>
    <w:p w14:paraId="01AB9537" w14:textId="0E0B7D1C" w:rsidR="79227FA8" w:rsidRPr="001C0AA6" w:rsidRDefault="79227FA8" w:rsidP="001C0AA6">
      <w:pPr>
        <w:spacing w:line="360" w:lineRule="auto"/>
        <w:jc w:val="center"/>
        <w:rPr>
          <w:rFonts w:ascii="Arial" w:eastAsia="Times New Roman" w:hAnsi="Arial" w:cs="Arial"/>
        </w:rPr>
      </w:pPr>
      <m:oMathPara>
        <m:oMath>
          <m:r>
            <w:rPr>
              <w:rFonts w:ascii="Cambria Math" w:hAnsi="Cambria Math" w:cs="Arial"/>
            </w:rPr>
            <m:t>Quick Ratio=</m:t>
          </m:r>
          <m:f>
            <m:fPr>
              <m:ctrlPr>
                <w:rPr>
                  <w:rFonts w:ascii="Cambria Math" w:hAnsi="Cambria Math" w:cs="Arial"/>
                </w:rPr>
              </m:ctrlPr>
            </m:fPr>
            <m:num>
              <m:r>
                <w:rPr>
                  <w:rFonts w:ascii="Cambria Math" w:hAnsi="Cambria Math" w:cs="Arial"/>
                </w:rPr>
                <m:t>Current Assets - Inventories</m:t>
              </m:r>
            </m:num>
            <m:den>
              <m:r>
                <w:rPr>
                  <w:rFonts w:ascii="Cambria Math" w:hAnsi="Cambria Math" w:cs="Arial"/>
                </w:rPr>
                <m:t>Current Liabilities</m:t>
              </m:r>
            </m:den>
          </m:f>
        </m:oMath>
      </m:oMathPara>
    </w:p>
    <w:p w14:paraId="60733A42" w14:textId="5DE07470" w:rsidR="79227FA8" w:rsidRPr="001C0AA6" w:rsidRDefault="79227FA8" w:rsidP="001C0AA6">
      <w:pPr>
        <w:spacing w:line="360" w:lineRule="auto"/>
        <w:jc w:val="both"/>
        <w:rPr>
          <w:rFonts w:ascii="Arial" w:eastAsia="Times New Roman" w:hAnsi="Arial" w:cs="Arial"/>
        </w:rPr>
      </w:pPr>
    </w:p>
    <w:tbl>
      <w:tblPr>
        <w:tblStyle w:val="PlainTable2"/>
        <w:tblW w:w="9443" w:type="dxa"/>
        <w:tblLayout w:type="fixed"/>
        <w:tblLook w:val="06A0" w:firstRow="1" w:lastRow="0" w:firstColumn="1" w:lastColumn="0" w:noHBand="1" w:noVBand="1"/>
      </w:tblPr>
      <w:tblGrid>
        <w:gridCol w:w="2835"/>
        <w:gridCol w:w="4020"/>
        <w:gridCol w:w="2588"/>
      </w:tblGrid>
      <w:tr w:rsidR="3BC40808" w:rsidRPr="001C0AA6" w14:paraId="72088337" w14:textId="77777777" w:rsidTr="79227F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6EDE07ED" w14:textId="0A601607"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Year</w:t>
            </w:r>
          </w:p>
        </w:tc>
        <w:tc>
          <w:tcPr>
            <w:tcW w:w="4020" w:type="dxa"/>
            <w:vAlign w:val="center"/>
          </w:tcPr>
          <w:p w14:paraId="441D97A1" w14:textId="653B2A0F"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Quick Assets (£m)</w:t>
            </w:r>
          </w:p>
        </w:tc>
        <w:tc>
          <w:tcPr>
            <w:tcW w:w="2588" w:type="dxa"/>
            <w:vAlign w:val="center"/>
          </w:tcPr>
          <w:p w14:paraId="6F1B2D2E" w14:textId="7C88997C"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Ratio</w:t>
            </w:r>
          </w:p>
        </w:tc>
      </w:tr>
      <w:tr w:rsidR="3BC40808" w:rsidRPr="001C0AA6" w14:paraId="7293DB96"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31FA3236" w14:textId="3B9FADF5"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2020</w:t>
            </w:r>
          </w:p>
        </w:tc>
        <w:tc>
          <w:tcPr>
            <w:tcW w:w="4020" w:type="dxa"/>
            <w:vAlign w:val="center"/>
          </w:tcPr>
          <w:p w14:paraId="4395ECA7" w14:textId="5D2BD417"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206,413</w:t>
            </w:r>
          </w:p>
        </w:tc>
        <w:tc>
          <w:tcPr>
            <w:tcW w:w="2588" w:type="dxa"/>
            <w:vAlign w:val="center"/>
          </w:tcPr>
          <w:p w14:paraId="7D8CA650" w14:textId="50D5D47E"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1.15</w:t>
            </w:r>
          </w:p>
        </w:tc>
      </w:tr>
      <w:tr w:rsidR="3BC40808" w:rsidRPr="001C0AA6" w14:paraId="288FA250"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1FC7CBAD" w14:textId="11270B06"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2021</w:t>
            </w:r>
          </w:p>
        </w:tc>
        <w:tc>
          <w:tcPr>
            <w:tcW w:w="4020" w:type="dxa"/>
            <w:vAlign w:val="center"/>
          </w:tcPr>
          <w:p w14:paraId="69FAD241" w14:textId="7B60E31D"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202,677</w:t>
            </w:r>
          </w:p>
        </w:tc>
        <w:tc>
          <w:tcPr>
            <w:tcW w:w="2588" w:type="dxa"/>
            <w:vAlign w:val="center"/>
          </w:tcPr>
          <w:p w14:paraId="73078265" w14:textId="134215EC"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0.94</w:t>
            </w:r>
          </w:p>
        </w:tc>
      </w:tr>
      <w:tr w:rsidR="3BC40808" w:rsidRPr="001C0AA6" w14:paraId="133D9893"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6EAB5BC8" w14:textId="1465CE0B"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lastRenderedPageBreak/>
              <w:t>2022</w:t>
            </w:r>
          </w:p>
        </w:tc>
        <w:tc>
          <w:tcPr>
            <w:tcW w:w="4020" w:type="dxa"/>
            <w:vAlign w:val="center"/>
          </w:tcPr>
          <w:p w14:paraId="7FD64CAF" w14:textId="4D3674A1"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197,859</w:t>
            </w:r>
          </w:p>
        </w:tc>
        <w:tc>
          <w:tcPr>
            <w:tcW w:w="2588" w:type="dxa"/>
            <w:vAlign w:val="center"/>
          </w:tcPr>
          <w:p w14:paraId="17840EF9" w14:textId="5BC29947"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0.91</w:t>
            </w:r>
          </w:p>
        </w:tc>
      </w:tr>
      <w:tr w:rsidR="3BC40808" w:rsidRPr="001C0AA6" w14:paraId="33960510"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58A517B1" w14:textId="20F25CF2"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2023</w:t>
            </w:r>
          </w:p>
        </w:tc>
        <w:tc>
          <w:tcPr>
            <w:tcW w:w="4020" w:type="dxa"/>
            <w:vAlign w:val="center"/>
          </w:tcPr>
          <w:p w14:paraId="1FAC02E7" w14:textId="08FD74F8"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170,578</w:t>
            </w:r>
          </w:p>
        </w:tc>
        <w:tc>
          <w:tcPr>
            <w:tcW w:w="2588" w:type="dxa"/>
            <w:vAlign w:val="center"/>
          </w:tcPr>
          <w:p w14:paraId="3DD22F60" w14:textId="350A1F88"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1.06</w:t>
            </w:r>
          </w:p>
        </w:tc>
      </w:tr>
      <w:tr w:rsidR="3BC40808" w:rsidRPr="001C0AA6" w14:paraId="56F0F5ED"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703F0E8D" w14:textId="66F333EF"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2024</w:t>
            </w:r>
          </w:p>
        </w:tc>
        <w:tc>
          <w:tcPr>
            <w:tcW w:w="4020" w:type="dxa"/>
            <w:vAlign w:val="center"/>
          </w:tcPr>
          <w:p w14:paraId="0D7C1DC0" w14:textId="7F15F349"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163,139</w:t>
            </w:r>
          </w:p>
        </w:tc>
        <w:tc>
          <w:tcPr>
            <w:tcW w:w="2588" w:type="dxa"/>
            <w:vAlign w:val="center"/>
          </w:tcPr>
          <w:p w14:paraId="16BA08DC" w14:textId="485534E8"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1.03</w:t>
            </w:r>
          </w:p>
        </w:tc>
      </w:tr>
    </w:tbl>
    <w:p w14:paraId="67C4B12C" w14:textId="32E0F3F3" w:rsidR="3BC40808" w:rsidRPr="001C0AA6" w:rsidRDefault="617E935D" w:rsidP="001C0AA6">
      <w:pPr>
        <w:spacing w:before="240" w:after="240" w:line="360" w:lineRule="auto"/>
        <w:jc w:val="both"/>
        <w:rPr>
          <w:rFonts w:ascii="Arial" w:eastAsia="Times New Roman" w:hAnsi="Arial" w:cs="Arial"/>
          <w:b/>
          <w:bCs/>
        </w:rPr>
      </w:pPr>
      <w:r w:rsidRPr="001C0AA6">
        <w:rPr>
          <w:rFonts w:ascii="Arial" w:eastAsia="Times New Roman" w:hAnsi="Arial" w:cs="Arial"/>
          <w:b/>
          <w:bCs/>
        </w:rPr>
        <w:t>Interpretation:</w:t>
      </w:r>
    </w:p>
    <w:p w14:paraId="32B594AC" w14:textId="5760AA92" w:rsidR="3BC40808" w:rsidRPr="001C0AA6" w:rsidRDefault="617E935D" w:rsidP="001C0AA6">
      <w:pPr>
        <w:spacing w:before="240" w:after="240" w:line="360" w:lineRule="auto"/>
        <w:jc w:val="both"/>
        <w:rPr>
          <w:rFonts w:ascii="Arial" w:eastAsia="Times New Roman" w:hAnsi="Arial" w:cs="Arial"/>
        </w:rPr>
      </w:pPr>
      <w:r w:rsidRPr="001C0AA6">
        <w:rPr>
          <w:rFonts w:ascii="Arial" w:eastAsia="Times New Roman" w:hAnsi="Arial" w:cs="Arial"/>
        </w:rPr>
        <w:t>The quick ratio fluctuates around 1.0, suggesting that the company barely meets its short-term obligations without relying on inventory sales. Liquidity is tight, and the margin of safety is diminishing.</w:t>
      </w:r>
    </w:p>
    <w:p w14:paraId="2B17B538" w14:textId="7E1BF621" w:rsidR="4B122D13" w:rsidRPr="001C0AA6" w:rsidRDefault="617E935D" w:rsidP="001C0AA6">
      <w:pPr>
        <w:pStyle w:val="Heading3"/>
        <w:spacing w:before="240" w:after="240" w:line="360" w:lineRule="auto"/>
        <w:jc w:val="both"/>
        <w:rPr>
          <w:rFonts w:ascii="Arial" w:eastAsia="Times New Roman" w:hAnsi="Arial" w:cs="Arial"/>
          <w:b/>
          <w:bCs/>
          <w:color w:val="auto"/>
          <w:sz w:val="24"/>
          <w:szCs w:val="24"/>
        </w:rPr>
      </w:pPr>
      <w:bookmarkStart w:id="14" w:name="_Toc1153249381"/>
      <w:r w:rsidRPr="001C0AA6">
        <w:rPr>
          <w:rFonts w:ascii="Arial" w:eastAsia="Times New Roman" w:hAnsi="Arial" w:cs="Arial"/>
          <w:b/>
          <w:bCs/>
          <w:color w:val="auto"/>
          <w:sz w:val="24"/>
          <w:szCs w:val="24"/>
        </w:rPr>
        <w:t>2.4 Efficiency Ratios</w:t>
      </w:r>
      <w:bookmarkEnd w:id="14"/>
    </w:p>
    <w:p w14:paraId="5D50C930" w14:textId="35B6F22A" w:rsidR="4B122D13" w:rsidRPr="001C0AA6" w:rsidRDefault="617E935D" w:rsidP="001C0AA6">
      <w:pPr>
        <w:pStyle w:val="Heading4"/>
        <w:spacing w:before="319" w:after="319" w:line="360" w:lineRule="auto"/>
        <w:jc w:val="both"/>
        <w:rPr>
          <w:rFonts w:ascii="Arial" w:eastAsia="Times New Roman" w:hAnsi="Arial" w:cs="Arial"/>
          <w:b/>
          <w:bCs/>
          <w:color w:val="auto"/>
        </w:rPr>
      </w:pPr>
      <w:bookmarkStart w:id="15" w:name="_Toc1663799175"/>
      <w:r w:rsidRPr="001C0AA6">
        <w:rPr>
          <w:rFonts w:ascii="Arial" w:eastAsia="Times New Roman" w:hAnsi="Arial" w:cs="Arial"/>
          <w:b/>
          <w:bCs/>
          <w:color w:val="auto"/>
        </w:rPr>
        <w:t>2.4.1 Inventory Turnover</w:t>
      </w:r>
      <w:bookmarkEnd w:id="15"/>
    </w:p>
    <w:p w14:paraId="160F417A" w14:textId="433BFC57" w:rsidR="79227FA8" w:rsidRPr="001C0AA6" w:rsidRDefault="79227FA8" w:rsidP="001C0AA6">
      <w:pPr>
        <w:spacing w:line="360" w:lineRule="auto"/>
        <w:jc w:val="center"/>
        <w:rPr>
          <w:rFonts w:ascii="Arial" w:hAnsi="Arial" w:cs="Arial"/>
        </w:rPr>
      </w:pPr>
      <m:oMathPara>
        <m:oMath>
          <m:r>
            <w:rPr>
              <w:rFonts w:ascii="Cambria Math" w:hAnsi="Cambria Math" w:cs="Arial"/>
            </w:rPr>
            <m:t>Inventory Turnover=</m:t>
          </m:r>
          <m:f>
            <m:fPr>
              <m:ctrlPr>
                <w:rPr>
                  <w:rFonts w:ascii="Cambria Math" w:hAnsi="Cambria Math" w:cs="Arial"/>
                </w:rPr>
              </m:ctrlPr>
            </m:fPr>
            <m:num>
              <m:r>
                <w:rPr>
                  <w:rFonts w:ascii="Cambria Math" w:hAnsi="Cambria Math" w:cs="Arial"/>
                </w:rPr>
                <m:t>Cost of Sales</m:t>
              </m:r>
            </m:num>
            <m:den>
              <m:r>
                <w:rPr>
                  <w:rFonts w:ascii="Cambria Math" w:hAnsi="Cambria Math" w:cs="Arial"/>
                </w:rPr>
                <m:t>Inventory</m:t>
              </m:r>
            </m:den>
          </m:f>
        </m:oMath>
      </m:oMathPara>
    </w:p>
    <w:p w14:paraId="4258D4EF" w14:textId="5F3F619B" w:rsidR="79227FA8" w:rsidRPr="001C0AA6" w:rsidRDefault="79227FA8" w:rsidP="001C0AA6">
      <w:pPr>
        <w:spacing w:line="360" w:lineRule="auto"/>
        <w:jc w:val="center"/>
        <w:rPr>
          <w:rFonts w:ascii="Arial" w:hAnsi="Arial" w:cs="Arial"/>
        </w:rPr>
      </w:pPr>
    </w:p>
    <w:tbl>
      <w:tblPr>
        <w:tblStyle w:val="PlainTable2"/>
        <w:tblW w:w="9270" w:type="dxa"/>
        <w:tblLayout w:type="fixed"/>
        <w:tblLook w:val="06A0" w:firstRow="1" w:lastRow="0" w:firstColumn="1" w:lastColumn="0" w:noHBand="1" w:noVBand="1"/>
      </w:tblPr>
      <w:tblGrid>
        <w:gridCol w:w="4410"/>
        <w:gridCol w:w="4860"/>
      </w:tblGrid>
      <w:tr w:rsidR="3BC40808" w:rsidRPr="001C0AA6" w14:paraId="7202BF69" w14:textId="77777777" w:rsidTr="79227F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10" w:type="dxa"/>
          </w:tcPr>
          <w:p w14:paraId="5B686EEE" w14:textId="42032F08"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Year</w:t>
            </w:r>
          </w:p>
        </w:tc>
        <w:tc>
          <w:tcPr>
            <w:tcW w:w="4860" w:type="dxa"/>
          </w:tcPr>
          <w:p w14:paraId="69E66F11" w14:textId="091875AE" w:rsidR="3BC40808" w:rsidRPr="001C0AA6" w:rsidRDefault="1B422081" w:rsidP="001C0A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Ratio (times)</w:t>
            </w:r>
          </w:p>
        </w:tc>
      </w:tr>
      <w:tr w:rsidR="3BC40808" w:rsidRPr="001C0AA6" w14:paraId="21F1C9C4"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4410" w:type="dxa"/>
          </w:tcPr>
          <w:p w14:paraId="27AD0223" w14:textId="7513036F"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2020</w:t>
            </w:r>
          </w:p>
        </w:tc>
        <w:tc>
          <w:tcPr>
            <w:tcW w:w="4860" w:type="dxa"/>
          </w:tcPr>
          <w:p w14:paraId="5063153E" w14:textId="1132E5DD"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3.64</w:t>
            </w:r>
          </w:p>
        </w:tc>
      </w:tr>
      <w:tr w:rsidR="3BC40808" w:rsidRPr="001C0AA6" w14:paraId="757FC74D"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4410" w:type="dxa"/>
          </w:tcPr>
          <w:p w14:paraId="3B1B3F86" w14:textId="7A90A26C"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2021</w:t>
            </w:r>
          </w:p>
        </w:tc>
        <w:tc>
          <w:tcPr>
            <w:tcW w:w="4860" w:type="dxa"/>
          </w:tcPr>
          <w:p w14:paraId="0126A4EC" w14:textId="1D752377"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3.19</w:t>
            </w:r>
          </w:p>
        </w:tc>
      </w:tr>
      <w:tr w:rsidR="3BC40808" w:rsidRPr="001C0AA6" w14:paraId="60F9A369"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4410" w:type="dxa"/>
          </w:tcPr>
          <w:p w14:paraId="18AEB059" w14:textId="23BBACEC"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2022</w:t>
            </w:r>
          </w:p>
        </w:tc>
        <w:tc>
          <w:tcPr>
            <w:tcW w:w="4860" w:type="dxa"/>
          </w:tcPr>
          <w:p w14:paraId="26C543CC" w14:textId="55EF1E0E"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2.78</w:t>
            </w:r>
          </w:p>
        </w:tc>
      </w:tr>
      <w:tr w:rsidR="3BC40808" w:rsidRPr="001C0AA6" w14:paraId="56E3FA87"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4410" w:type="dxa"/>
          </w:tcPr>
          <w:p w14:paraId="4F2686C5" w14:textId="327C9388"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2023</w:t>
            </w:r>
          </w:p>
        </w:tc>
        <w:tc>
          <w:tcPr>
            <w:tcW w:w="4860" w:type="dxa"/>
          </w:tcPr>
          <w:p w14:paraId="155F1BCA" w14:textId="2DB95895"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3.66</w:t>
            </w:r>
          </w:p>
        </w:tc>
      </w:tr>
      <w:tr w:rsidR="3BC40808" w:rsidRPr="001C0AA6" w14:paraId="50A913CD"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4410" w:type="dxa"/>
          </w:tcPr>
          <w:p w14:paraId="4AD6AEDF" w14:textId="21D1CB08"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2024</w:t>
            </w:r>
          </w:p>
        </w:tc>
        <w:tc>
          <w:tcPr>
            <w:tcW w:w="4860" w:type="dxa"/>
          </w:tcPr>
          <w:p w14:paraId="254BDF14" w14:textId="47300A31"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3.54</w:t>
            </w:r>
          </w:p>
        </w:tc>
      </w:tr>
    </w:tbl>
    <w:p w14:paraId="03BB4FA0" w14:textId="52D0019C" w:rsidR="4B122D13" w:rsidRPr="001C0AA6" w:rsidRDefault="617E935D" w:rsidP="001C0AA6">
      <w:pPr>
        <w:spacing w:before="240" w:after="240" w:line="360" w:lineRule="auto"/>
        <w:jc w:val="both"/>
        <w:rPr>
          <w:rFonts w:ascii="Arial" w:eastAsia="Times New Roman" w:hAnsi="Arial" w:cs="Arial"/>
          <w:b/>
          <w:bCs/>
        </w:rPr>
      </w:pPr>
      <w:r w:rsidRPr="001C0AA6">
        <w:rPr>
          <w:rFonts w:ascii="Arial" w:eastAsia="Times New Roman" w:hAnsi="Arial" w:cs="Arial"/>
          <w:b/>
          <w:bCs/>
        </w:rPr>
        <w:t>Interpretation:</w:t>
      </w:r>
    </w:p>
    <w:p w14:paraId="5D9D2613" w14:textId="1F5FD320" w:rsidR="4B122D13" w:rsidRPr="001C0AA6" w:rsidRDefault="617E935D" w:rsidP="001C0AA6">
      <w:pPr>
        <w:spacing w:before="240" w:after="240" w:line="360" w:lineRule="auto"/>
        <w:jc w:val="both"/>
        <w:rPr>
          <w:rFonts w:ascii="Arial" w:eastAsia="Times New Roman" w:hAnsi="Arial" w:cs="Arial"/>
        </w:rPr>
      </w:pPr>
      <w:r w:rsidRPr="001C0AA6">
        <w:rPr>
          <w:rFonts w:ascii="Arial" w:eastAsia="Times New Roman" w:hAnsi="Arial" w:cs="Arial"/>
        </w:rPr>
        <w:t xml:space="preserve"> Inventory management shows volatility. High inventory levels in 2022 indicate overstocking, tying up cash, whereas improvements in 2023–24 reflect better control.</w:t>
      </w:r>
    </w:p>
    <w:p w14:paraId="50F84484" w14:textId="1E4D45A8" w:rsidR="4B122D13" w:rsidRPr="001C0AA6" w:rsidRDefault="617E935D" w:rsidP="001C0AA6">
      <w:pPr>
        <w:pStyle w:val="Heading3"/>
        <w:spacing w:before="281" w:after="281" w:line="360" w:lineRule="auto"/>
        <w:jc w:val="both"/>
        <w:rPr>
          <w:rFonts w:ascii="Arial" w:eastAsia="Times New Roman" w:hAnsi="Arial" w:cs="Arial"/>
          <w:b/>
          <w:bCs/>
          <w:color w:val="auto"/>
          <w:sz w:val="24"/>
          <w:szCs w:val="24"/>
        </w:rPr>
      </w:pPr>
      <w:bookmarkStart w:id="16" w:name="_Toc1306253031"/>
      <w:r w:rsidRPr="001C0AA6">
        <w:rPr>
          <w:rFonts w:ascii="Arial" w:eastAsia="Times New Roman" w:hAnsi="Arial" w:cs="Arial"/>
          <w:b/>
          <w:bCs/>
          <w:color w:val="auto"/>
          <w:sz w:val="24"/>
          <w:szCs w:val="24"/>
        </w:rPr>
        <w:lastRenderedPageBreak/>
        <w:t>2.5 Gearing Ratios</w:t>
      </w:r>
      <w:bookmarkEnd w:id="16"/>
    </w:p>
    <w:p w14:paraId="0F4963D3" w14:textId="2490D321" w:rsidR="4B122D13" w:rsidRPr="001C0AA6" w:rsidRDefault="617E935D" w:rsidP="001C0AA6">
      <w:pPr>
        <w:pStyle w:val="Heading4"/>
        <w:spacing w:before="319" w:after="319" w:line="360" w:lineRule="auto"/>
        <w:jc w:val="both"/>
        <w:rPr>
          <w:rFonts w:ascii="Arial" w:eastAsia="Times New Roman" w:hAnsi="Arial" w:cs="Arial"/>
          <w:b/>
          <w:bCs/>
          <w:color w:val="auto"/>
        </w:rPr>
      </w:pPr>
      <w:bookmarkStart w:id="17" w:name="_Toc1075896796"/>
      <w:r w:rsidRPr="001C0AA6">
        <w:rPr>
          <w:rFonts w:ascii="Arial" w:eastAsia="Times New Roman" w:hAnsi="Arial" w:cs="Arial"/>
          <w:b/>
          <w:bCs/>
          <w:color w:val="auto"/>
        </w:rPr>
        <w:t>2.5.1 Debt-to-Equity Ratio</w:t>
      </w:r>
      <w:bookmarkEnd w:id="17"/>
    </w:p>
    <w:p w14:paraId="68894042" w14:textId="37C59DB2" w:rsidR="79227FA8" w:rsidRPr="001C0AA6" w:rsidRDefault="79227FA8" w:rsidP="001C0AA6">
      <w:pPr>
        <w:spacing w:line="360" w:lineRule="auto"/>
        <w:jc w:val="center"/>
        <w:rPr>
          <w:rFonts w:ascii="Arial" w:eastAsia="Times New Roman" w:hAnsi="Arial" w:cs="Arial"/>
        </w:rPr>
      </w:pPr>
      <m:oMathPara>
        <m:oMath>
          <m:r>
            <w:rPr>
              <w:rFonts w:ascii="Cambria Math" w:hAnsi="Cambria Math" w:cs="Arial"/>
            </w:rPr>
            <m:t>Debt to Equity=</m:t>
          </m:r>
          <m:f>
            <m:fPr>
              <m:ctrlPr>
                <w:rPr>
                  <w:rFonts w:ascii="Cambria Math" w:hAnsi="Cambria Math" w:cs="Arial"/>
                </w:rPr>
              </m:ctrlPr>
            </m:fPr>
            <m:num>
              <m:r>
                <w:rPr>
                  <w:rFonts w:ascii="Cambria Math" w:hAnsi="Cambria Math" w:cs="Arial"/>
                </w:rPr>
                <m:t>Total Liabilities</m:t>
              </m:r>
            </m:num>
            <m:den>
              <m:r>
                <w:rPr>
                  <w:rFonts w:ascii="Cambria Math" w:hAnsi="Cambria Math" w:cs="Arial"/>
                </w:rPr>
                <m:t>Shareholde</m:t>
              </m:r>
              <m:sSup>
                <m:sSupPr>
                  <m:ctrlPr>
                    <w:rPr>
                      <w:rFonts w:ascii="Cambria Math" w:hAnsi="Cambria Math" w:cs="Arial"/>
                    </w:rPr>
                  </m:ctrlPr>
                </m:sSupPr>
                <m:e>
                  <m:r>
                    <w:rPr>
                      <w:rFonts w:ascii="Cambria Math" w:hAnsi="Cambria Math" w:cs="Arial"/>
                    </w:rPr>
                    <m:t>r</m:t>
                  </m:r>
                </m:e>
                <m:sup>
                  <m:r>
                    <w:rPr>
                      <w:rFonts w:ascii="Cambria Math" w:hAnsi="Cambria Math" w:cs="Arial"/>
                    </w:rPr>
                    <m:t>'</m:t>
                  </m:r>
                </m:sup>
              </m:sSup>
              <m:r>
                <w:rPr>
                  <w:rFonts w:ascii="Cambria Math" w:hAnsi="Cambria Math" w:cs="Arial"/>
                </w:rPr>
                <m:t>s Equity</m:t>
              </m:r>
            </m:den>
          </m:f>
        </m:oMath>
      </m:oMathPara>
    </w:p>
    <w:tbl>
      <w:tblPr>
        <w:tblStyle w:val="PlainTable2"/>
        <w:tblW w:w="8190" w:type="dxa"/>
        <w:tblLayout w:type="fixed"/>
        <w:tblLook w:val="06A0" w:firstRow="1" w:lastRow="0" w:firstColumn="1" w:lastColumn="0" w:noHBand="1" w:noVBand="1"/>
      </w:tblPr>
      <w:tblGrid>
        <w:gridCol w:w="3885"/>
        <w:gridCol w:w="4305"/>
      </w:tblGrid>
      <w:tr w:rsidR="3BC40808" w:rsidRPr="001C0AA6" w14:paraId="761CA71F" w14:textId="77777777" w:rsidTr="79227FA8">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885" w:type="dxa"/>
          </w:tcPr>
          <w:p w14:paraId="6FA72E0B" w14:textId="1A6C984B"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Year</w:t>
            </w:r>
          </w:p>
        </w:tc>
        <w:tc>
          <w:tcPr>
            <w:tcW w:w="4305" w:type="dxa"/>
          </w:tcPr>
          <w:p w14:paraId="11ED4316" w14:textId="3061E4A3" w:rsidR="3BC40808" w:rsidRPr="001C0AA6" w:rsidRDefault="1B422081" w:rsidP="001C0A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Ratio</w:t>
            </w:r>
          </w:p>
        </w:tc>
      </w:tr>
      <w:tr w:rsidR="3BC40808" w:rsidRPr="001C0AA6" w14:paraId="62CD151E"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3885" w:type="dxa"/>
          </w:tcPr>
          <w:p w14:paraId="59D4DA8E" w14:textId="730DE690"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2020</w:t>
            </w:r>
          </w:p>
        </w:tc>
        <w:tc>
          <w:tcPr>
            <w:tcW w:w="4305" w:type="dxa"/>
          </w:tcPr>
          <w:p w14:paraId="08F26905" w14:textId="56B9148B"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0.63</w:t>
            </w:r>
          </w:p>
        </w:tc>
      </w:tr>
      <w:tr w:rsidR="3BC40808" w:rsidRPr="001C0AA6" w14:paraId="13A40E0F"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3885" w:type="dxa"/>
          </w:tcPr>
          <w:p w14:paraId="789A4E12" w14:textId="36648BBF"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2021</w:t>
            </w:r>
          </w:p>
        </w:tc>
        <w:tc>
          <w:tcPr>
            <w:tcW w:w="4305" w:type="dxa"/>
          </w:tcPr>
          <w:p w14:paraId="55BCB87E" w14:textId="1B1BBE47"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0.85</w:t>
            </w:r>
          </w:p>
        </w:tc>
      </w:tr>
      <w:tr w:rsidR="3BC40808" w:rsidRPr="001C0AA6" w14:paraId="03F843E6"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3885" w:type="dxa"/>
          </w:tcPr>
          <w:p w14:paraId="158AA77C" w14:textId="18560970"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2022</w:t>
            </w:r>
          </w:p>
        </w:tc>
        <w:tc>
          <w:tcPr>
            <w:tcW w:w="4305" w:type="dxa"/>
          </w:tcPr>
          <w:p w14:paraId="1A3D0D56" w14:textId="6119895B"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0.88</w:t>
            </w:r>
          </w:p>
        </w:tc>
      </w:tr>
      <w:tr w:rsidR="3BC40808" w:rsidRPr="001C0AA6" w14:paraId="73222AC7"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3885" w:type="dxa"/>
          </w:tcPr>
          <w:p w14:paraId="393D1C32" w14:textId="6F8C894E"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2023</w:t>
            </w:r>
          </w:p>
        </w:tc>
        <w:tc>
          <w:tcPr>
            <w:tcW w:w="4305" w:type="dxa"/>
          </w:tcPr>
          <w:p w14:paraId="01C2EA3E" w14:textId="275BB21E"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0.99</w:t>
            </w:r>
          </w:p>
        </w:tc>
      </w:tr>
      <w:tr w:rsidR="3BC40808" w:rsidRPr="001C0AA6" w14:paraId="10B6AFC1"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3885" w:type="dxa"/>
          </w:tcPr>
          <w:p w14:paraId="2A9C038D" w14:textId="6FA8FF91"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2024</w:t>
            </w:r>
          </w:p>
        </w:tc>
        <w:tc>
          <w:tcPr>
            <w:tcW w:w="4305" w:type="dxa"/>
          </w:tcPr>
          <w:p w14:paraId="11B3D994" w14:textId="2C9B0BF0"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1.11</w:t>
            </w:r>
          </w:p>
        </w:tc>
      </w:tr>
    </w:tbl>
    <w:p w14:paraId="7C27DD1A" w14:textId="2F99AAFE" w:rsidR="3BC40808" w:rsidRPr="001C0AA6" w:rsidRDefault="617E935D" w:rsidP="001C0AA6">
      <w:pPr>
        <w:spacing w:before="240" w:after="240" w:line="360" w:lineRule="auto"/>
        <w:jc w:val="both"/>
        <w:rPr>
          <w:rFonts w:ascii="Arial" w:eastAsia="Times New Roman" w:hAnsi="Arial" w:cs="Arial"/>
          <w:b/>
          <w:bCs/>
        </w:rPr>
      </w:pPr>
      <w:r w:rsidRPr="001C0AA6">
        <w:rPr>
          <w:rFonts w:ascii="Arial" w:eastAsia="Times New Roman" w:hAnsi="Arial" w:cs="Arial"/>
          <w:b/>
          <w:bCs/>
        </w:rPr>
        <w:t>Interpretation:</w:t>
      </w:r>
    </w:p>
    <w:p w14:paraId="2228C7CD" w14:textId="37BE861B" w:rsidR="3BC40808" w:rsidRPr="001C0AA6" w:rsidRDefault="617E935D" w:rsidP="001C0AA6">
      <w:pPr>
        <w:spacing w:before="240" w:after="240" w:line="360" w:lineRule="auto"/>
        <w:jc w:val="both"/>
        <w:rPr>
          <w:rFonts w:ascii="Arial" w:eastAsia="Times New Roman" w:hAnsi="Arial" w:cs="Arial"/>
        </w:rPr>
      </w:pPr>
      <w:r w:rsidRPr="001C0AA6">
        <w:rPr>
          <w:rFonts w:ascii="Arial" w:eastAsia="Times New Roman" w:hAnsi="Arial" w:cs="Arial"/>
        </w:rPr>
        <w:t>GE’s leverage has increased sharply, crossing the critical threshold of 1.0 in 2024. This indicates that debt now exceeds equity a warning sign of financial distress and reduced creditworthiness.</w:t>
      </w:r>
    </w:p>
    <w:p w14:paraId="6C99DD63" w14:textId="0175521B" w:rsidR="4B122D13" w:rsidRPr="001C0AA6" w:rsidRDefault="617E935D" w:rsidP="001C0AA6">
      <w:pPr>
        <w:pStyle w:val="Heading3"/>
        <w:spacing w:before="240" w:after="240" w:line="360" w:lineRule="auto"/>
        <w:jc w:val="both"/>
        <w:rPr>
          <w:rFonts w:ascii="Arial" w:eastAsia="Times New Roman" w:hAnsi="Arial" w:cs="Arial"/>
          <w:b/>
          <w:bCs/>
          <w:color w:val="auto"/>
          <w:sz w:val="24"/>
          <w:szCs w:val="24"/>
        </w:rPr>
      </w:pPr>
      <w:bookmarkStart w:id="18" w:name="_Toc1420327099"/>
      <w:r w:rsidRPr="001C0AA6">
        <w:rPr>
          <w:rFonts w:ascii="Arial" w:eastAsia="Times New Roman" w:hAnsi="Arial" w:cs="Arial"/>
          <w:b/>
          <w:bCs/>
          <w:color w:val="auto"/>
          <w:sz w:val="24"/>
          <w:szCs w:val="24"/>
        </w:rPr>
        <w:t>2.6 Investment Ratios</w:t>
      </w:r>
      <w:bookmarkEnd w:id="18"/>
    </w:p>
    <w:p w14:paraId="43EB3358" w14:textId="05847A48" w:rsidR="4B122D13" w:rsidRPr="001C0AA6" w:rsidRDefault="617E935D" w:rsidP="001C0AA6">
      <w:pPr>
        <w:pStyle w:val="Heading4"/>
        <w:spacing w:before="319" w:after="319" w:line="360" w:lineRule="auto"/>
        <w:jc w:val="both"/>
        <w:rPr>
          <w:rFonts w:ascii="Arial" w:eastAsia="Times New Roman" w:hAnsi="Arial" w:cs="Arial"/>
          <w:b/>
          <w:bCs/>
          <w:color w:val="auto"/>
        </w:rPr>
      </w:pPr>
      <w:bookmarkStart w:id="19" w:name="_Toc545332010"/>
      <w:r w:rsidRPr="001C0AA6">
        <w:rPr>
          <w:rFonts w:ascii="Arial" w:eastAsia="Times New Roman" w:hAnsi="Arial" w:cs="Arial"/>
          <w:b/>
          <w:bCs/>
          <w:color w:val="auto"/>
        </w:rPr>
        <w:t>Earnings per Share (EPS)</w:t>
      </w:r>
      <w:bookmarkEnd w:id="19"/>
    </w:p>
    <w:tbl>
      <w:tblPr>
        <w:tblStyle w:val="PlainTable2"/>
        <w:tblW w:w="8460" w:type="dxa"/>
        <w:tblLayout w:type="fixed"/>
        <w:tblLook w:val="06A0" w:firstRow="1" w:lastRow="0" w:firstColumn="1" w:lastColumn="0" w:noHBand="1" w:noVBand="1"/>
      </w:tblPr>
      <w:tblGrid>
        <w:gridCol w:w="3900"/>
        <w:gridCol w:w="4560"/>
      </w:tblGrid>
      <w:tr w:rsidR="3BC40808" w:rsidRPr="001C0AA6" w14:paraId="27A38B46" w14:textId="77777777" w:rsidTr="79227F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00" w:type="dxa"/>
          </w:tcPr>
          <w:p w14:paraId="4A6415A5" w14:textId="690B341C"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Year</w:t>
            </w:r>
          </w:p>
        </w:tc>
        <w:tc>
          <w:tcPr>
            <w:tcW w:w="4560" w:type="dxa"/>
          </w:tcPr>
          <w:p w14:paraId="79CAA422" w14:textId="55050BC5" w:rsidR="3BC40808" w:rsidRPr="001C0AA6" w:rsidRDefault="1B422081" w:rsidP="001C0A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Basic EPS (£)</w:t>
            </w:r>
          </w:p>
        </w:tc>
      </w:tr>
      <w:tr w:rsidR="3BC40808" w:rsidRPr="001C0AA6" w14:paraId="1575B46F"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3900" w:type="dxa"/>
          </w:tcPr>
          <w:p w14:paraId="0C4F3505" w14:textId="280D81A0"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2020</w:t>
            </w:r>
          </w:p>
        </w:tc>
        <w:tc>
          <w:tcPr>
            <w:tcW w:w="4560" w:type="dxa"/>
          </w:tcPr>
          <w:p w14:paraId="41433EB4" w14:textId="02922D0C"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2.78</w:t>
            </w:r>
          </w:p>
        </w:tc>
      </w:tr>
      <w:tr w:rsidR="3BC40808" w:rsidRPr="001C0AA6" w14:paraId="77ED308A"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3900" w:type="dxa"/>
          </w:tcPr>
          <w:p w14:paraId="418773DB" w14:textId="7922F6AE"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2021</w:t>
            </w:r>
          </w:p>
        </w:tc>
        <w:tc>
          <w:tcPr>
            <w:tcW w:w="4560" w:type="dxa"/>
          </w:tcPr>
          <w:p w14:paraId="190ACEE0" w14:textId="23BE5406"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0.39</w:t>
            </w:r>
          </w:p>
        </w:tc>
      </w:tr>
      <w:tr w:rsidR="3BC40808" w:rsidRPr="001C0AA6" w14:paraId="4233FC41"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3900" w:type="dxa"/>
          </w:tcPr>
          <w:p w14:paraId="27E0E245" w14:textId="25EB4E50"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2022</w:t>
            </w:r>
          </w:p>
        </w:tc>
        <w:tc>
          <w:tcPr>
            <w:tcW w:w="4560" w:type="dxa"/>
          </w:tcPr>
          <w:p w14:paraId="1A92060A" w14:textId="2ACEAD8C"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0.03</w:t>
            </w:r>
          </w:p>
        </w:tc>
      </w:tr>
      <w:tr w:rsidR="3BC40808" w:rsidRPr="001C0AA6" w14:paraId="6EA41BB7"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3900" w:type="dxa"/>
          </w:tcPr>
          <w:p w14:paraId="06CF6089" w14:textId="23D8E52C"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2023</w:t>
            </w:r>
          </w:p>
        </w:tc>
        <w:tc>
          <w:tcPr>
            <w:tcW w:w="4560" w:type="dxa"/>
          </w:tcPr>
          <w:p w14:paraId="7590AC33" w14:textId="2B3AA3D8"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-7.64</w:t>
            </w:r>
          </w:p>
        </w:tc>
      </w:tr>
      <w:tr w:rsidR="3BC40808" w:rsidRPr="001C0AA6" w14:paraId="0151DF5C"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3900" w:type="dxa"/>
          </w:tcPr>
          <w:p w14:paraId="416519A3" w14:textId="23874875"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2024</w:t>
            </w:r>
          </w:p>
        </w:tc>
        <w:tc>
          <w:tcPr>
            <w:tcW w:w="4560" w:type="dxa"/>
          </w:tcPr>
          <w:p w14:paraId="71839409" w14:textId="2BB543AA"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-1.85</w:t>
            </w:r>
          </w:p>
        </w:tc>
      </w:tr>
    </w:tbl>
    <w:p w14:paraId="64B20747" w14:textId="3D0E39EC" w:rsidR="3BC40808" w:rsidRPr="001C0AA6" w:rsidRDefault="617E935D" w:rsidP="001C0AA6">
      <w:pPr>
        <w:spacing w:before="240" w:after="240" w:line="360" w:lineRule="auto"/>
        <w:jc w:val="both"/>
        <w:rPr>
          <w:rFonts w:ascii="Arial" w:eastAsia="Times New Roman" w:hAnsi="Arial" w:cs="Arial"/>
          <w:b/>
          <w:bCs/>
        </w:rPr>
      </w:pPr>
      <w:r w:rsidRPr="001C0AA6">
        <w:rPr>
          <w:rFonts w:ascii="Arial" w:eastAsia="Times New Roman" w:hAnsi="Arial" w:cs="Arial"/>
          <w:b/>
          <w:bCs/>
        </w:rPr>
        <w:t>Interpretation:</w:t>
      </w:r>
    </w:p>
    <w:p w14:paraId="1D91CF7E" w14:textId="09FA8D21" w:rsidR="3BC40808" w:rsidRPr="001C0AA6" w:rsidRDefault="617E935D" w:rsidP="001C0AA6">
      <w:pPr>
        <w:spacing w:before="240" w:after="240" w:line="360" w:lineRule="auto"/>
        <w:jc w:val="both"/>
        <w:rPr>
          <w:rFonts w:ascii="Arial" w:eastAsia="Times New Roman" w:hAnsi="Arial" w:cs="Arial"/>
        </w:rPr>
      </w:pPr>
      <w:r w:rsidRPr="001C0AA6">
        <w:rPr>
          <w:rFonts w:ascii="Arial" w:eastAsia="Times New Roman" w:hAnsi="Arial" w:cs="Arial"/>
        </w:rPr>
        <w:t>EPS trends confirm investor losses and erosion of market confidence. The steep negative EPS values reflect poor profitability and threaten the firm’s market valuation.</w:t>
      </w:r>
    </w:p>
    <w:p w14:paraId="1F70F1E7" w14:textId="255BED33" w:rsidR="4B122D13" w:rsidRPr="001C0AA6" w:rsidRDefault="617E935D" w:rsidP="001C0AA6">
      <w:pPr>
        <w:pStyle w:val="Heading3"/>
        <w:spacing w:before="240" w:after="240" w:line="360" w:lineRule="auto"/>
        <w:jc w:val="both"/>
        <w:rPr>
          <w:rFonts w:ascii="Arial" w:eastAsia="Times New Roman" w:hAnsi="Arial" w:cs="Arial"/>
          <w:b/>
          <w:bCs/>
          <w:color w:val="auto"/>
          <w:sz w:val="24"/>
          <w:szCs w:val="24"/>
        </w:rPr>
      </w:pPr>
      <w:bookmarkStart w:id="20" w:name="_Toc1003311866"/>
      <w:r w:rsidRPr="001C0AA6">
        <w:rPr>
          <w:rFonts w:ascii="Arial" w:eastAsia="Times New Roman" w:hAnsi="Arial" w:cs="Arial"/>
          <w:b/>
          <w:bCs/>
          <w:color w:val="auto"/>
          <w:sz w:val="24"/>
          <w:szCs w:val="24"/>
        </w:rPr>
        <w:lastRenderedPageBreak/>
        <w:t>2.7 Altman Z-Score (Corporate Failure Prediction)</w:t>
      </w:r>
      <w:bookmarkEnd w:id="20"/>
    </w:p>
    <w:p w14:paraId="154DBF95" w14:textId="6FA8992D" w:rsidR="617E935D" w:rsidRPr="001C0AA6" w:rsidRDefault="617E935D" w:rsidP="001C0AA6">
      <w:pPr>
        <w:spacing w:before="240" w:after="240" w:line="360" w:lineRule="auto"/>
        <w:jc w:val="both"/>
        <w:rPr>
          <w:rFonts w:ascii="Arial" w:eastAsia="Times New Roman" w:hAnsi="Arial" w:cs="Arial"/>
        </w:rPr>
      </w:pPr>
      <w:r w:rsidRPr="001C0AA6">
        <w:rPr>
          <w:rFonts w:ascii="Arial" w:eastAsia="Times New Roman" w:hAnsi="Arial" w:cs="Arial"/>
        </w:rPr>
        <w:t>Using the Altman Z-Score model for public manufacturing firms:</w:t>
      </w:r>
    </w:p>
    <w:p w14:paraId="5B790669" w14:textId="67A0AC70" w:rsidR="79227FA8" w:rsidRPr="001C0AA6" w:rsidRDefault="79227FA8" w:rsidP="001C0AA6">
      <w:pPr>
        <w:spacing w:before="240" w:after="240" w:line="360" w:lineRule="auto"/>
        <w:jc w:val="center"/>
        <w:rPr>
          <w:rFonts w:ascii="Arial" w:eastAsia="Aptos" w:hAnsi="Arial" w:cs="Arial"/>
        </w:rPr>
      </w:pPr>
      <m:oMathPara>
        <m:oMath>
          <m:r>
            <w:rPr>
              <w:rFonts w:ascii="Cambria Math" w:hAnsi="Cambria Math" w:cs="Arial"/>
            </w:rPr>
            <m:t>Z=1.2</m:t>
          </m:r>
          <m:d>
            <m:dPr>
              <m:ctrlPr>
                <w:rPr>
                  <w:rFonts w:ascii="Cambria Math" w:hAnsi="Cambria Math" w:cs="Arial"/>
                </w:rPr>
              </m:ctrlPr>
            </m:dPr>
            <m:e>
              <m:sSub>
                <m:sSubPr>
                  <m:ctrlPr>
                    <w:rPr>
                      <w:rFonts w:ascii="Cambria Math" w:hAnsi="Cambria Math" w:cs="Arial"/>
                    </w:rPr>
                  </m:ctrlPr>
                </m:sSubPr>
                <m:e>
                  <m:r>
                    <w:rPr>
                      <w:rFonts w:ascii="Cambria Math" w:hAnsi="Cambria Math" w:cs="Arial"/>
                    </w:rPr>
                    <m:t>X</m:t>
                  </m:r>
                </m:e>
                <m:sub>
                  <m:r>
                    <w:rPr>
                      <w:rFonts w:ascii="Cambria Math" w:hAnsi="Cambria Math" w:cs="Arial"/>
                    </w:rPr>
                    <m:t>1</m:t>
                  </m:r>
                </m:sub>
              </m:sSub>
            </m:e>
          </m:d>
          <m:r>
            <w:rPr>
              <w:rFonts w:ascii="Cambria Math" w:hAnsi="Cambria Math" w:cs="Arial"/>
            </w:rPr>
            <m:t>+1.4</m:t>
          </m:r>
          <m:d>
            <m:dPr>
              <m:ctrlPr>
                <w:rPr>
                  <w:rFonts w:ascii="Cambria Math" w:hAnsi="Cambria Math" w:cs="Arial"/>
                </w:rPr>
              </m:ctrlPr>
            </m:dPr>
            <m:e>
              <m:sSub>
                <m:sSubPr>
                  <m:ctrlPr>
                    <w:rPr>
                      <w:rFonts w:ascii="Cambria Math" w:hAnsi="Cambria Math" w:cs="Arial"/>
                    </w:rPr>
                  </m:ctrlPr>
                </m:sSubPr>
                <m:e>
                  <m:r>
                    <w:rPr>
                      <w:rFonts w:ascii="Cambria Math" w:hAnsi="Cambria Math" w:cs="Arial"/>
                    </w:rPr>
                    <m:t>X</m:t>
                  </m:r>
                </m:e>
                <m:sub>
                  <m:r>
                    <w:rPr>
                      <w:rFonts w:ascii="Cambria Math" w:hAnsi="Cambria Math" w:cs="Arial"/>
                    </w:rPr>
                    <m:t>2</m:t>
                  </m:r>
                </m:sub>
              </m:sSub>
              <m:r>
                <w:rPr>
                  <w:rFonts w:ascii="Cambria Math" w:hAnsi="Cambria Math" w:cs="Arial"/>
                </w:rPr>
                <m:t>​</m:t>
              </m:r>
            </m:e>
          </m:d>
          <m:r>
            <w:rPr>
              <w:rFonts w:ascii="Cambria Math" w:hAnsi="Cambria Math" w:cs="Arial"/>
            </w:rPr>
            <m:t>+3.3</m:t>
          </m:r>
          <m:d>
            <m:dPr>
              <m:ctrlPr>
                <w:rPr>
                  <w:rFonts w:ascii="Cambria Math" w:hAnsi="Cambria Math" w:cs="Arial"/>
                </w:rPr>
              </m:ctrlPr>
            </m:dPr>
            <m:e>
              <m:sSub>
                <m:sSubPr>
                  <m:ctrlPr>
                    <w:rPr>
                      <w:rFonts w:ascii="Cambria Math" w:hAnsi="Cambria Math" w:cs="Arial"/>
                    </w:rPr>
                  </m:ctrlPr>
                </m:sSubPr>
                <m:e>
                  <m:r>
                    <w:rPr>
                      <w:rFonts w:ascii="Cambria Math" w:hAnsi="Cambria Math" w:cs="Arial"/>
                    </w:rPr>
                    <m:t>X</m:t>
                  </m:r>
                </m:e>
                <m:sub>
                  <m:r>
                    <w:rPr>
                      <w:rFonts w:ascii="Cambria Math" w:hAnsi="Cambria Math" w:cs="Arial"/>
                    </w:rPr>
                    <m:t>3</m:t>
                  </m:r>
                </m:sub>
              </m:sSub>
              <m:r>
                <w:rPr>
                  <w:rFonts w:ascii="Cambria Math" w:hAnsi="Cambria Math" w:cs="Arial"/>
                </w:rPr>
                <m:t>​</m:t>
              </m:r>
            </m:e>
          </m:d>
          <m:r>
            <w:rPr>
              <w:rFonts w:ascii="Cambria Math" w:hAnsi="Cambria Math" w:cs="Arial"/>
            </w:rPr>
            <m:t>+0.6</m:t>
          </m:r>
          <m:d>
            <m:dPr>
              <m:ctrlPr>
                <w:rPr>
                  <w:rFonts w:ascii="Cambria Math" w:hAnsi="Cambria Math" w:cs="Arial"/>
                </w:rPr>
              </m:ctrlPr>
            </m:dPr>
            <m:e>
              <m:sSub>
                <m:sSubPr>
                  <m:ctrlPr>
                    <w:rPr>
                      <w:rFonts w:ascii="Cambria Math" w:hAnsi="Cambria Math" w:cs="Arial"/>
                    </w:rPr>
                  </m:ctrlPr>
                </m:sSubPr>
                <m:e>
                  <m:r>
                    <w:rPr>
                      <w:rFonts w:ascii="Cambria Math" w:hAnsi="Cambria Math" w:cs="Arial"/>
                    </w:rPr>
                    <m:t>X</m:t>
                  </m:r>
                </m:e>
                <m:sub>
                  <m:r>
                    <w:rPr>
                      <w:rFonts w:ascii="Cambria Math" w:hAnsi="Cambria Math" w:cs="Arial"/>
                    </w:rPr>
                    <m:t>4</m:t>
                  </m:r>
                </m:sub>
              </m:sSub>
            </m:e>
          </m:d>
          <m:r>
            <w:rPr>
              <w:rFonts w:ascii="Cambria Math" w:hAnsi="Cambria Math" w:cs="Arial"/>
            </w:rPr>
            <m:t>+1.0</m:t>
          </m:r>
          <m:d>
            <m:dPr>
              <m:ctrlPr>
                <w:rPr>
                  <w:rFonts w:ascii="Cambria Math" w:hAnsi="Cambria Math" w:cs="Arial"/>
                </w:rPr>
              </m:ctrlPr>
            </m:dPr>
            <m:e>
              <m:sSub>
                <m:sSubPr>
                  <m:ctrlPr>
                    <w:rPr>
                      <w:rFonts w:ascii="Cambria Math" w:hAnsi="Cambria Math" w:cs="Arial"/>
                    </w:rPr>
                  </m:ctrlPr>
                </m:sSubPr>
                <m:e>
                  <m:r>
                    <w:rPr>
                      <w:rFonts w:ascii="Cambria Math" w:hAnsi="Cambria Math" w:cs="Arial"/>
                    </w:rPr>
                    <m:t>X</m:t>
                  </m:r>
                </m:e>
                <m:sub>
                  <m:r>
                    <w:rPr>
                      <w:rFonts w:ascii="Cambria Math" w:hAnsi="Cambria Math" w:cs="Arial"/>
                    </w:rPr>
                    <m:t>5</m:t>
                  </m:r>
                </m:sub>
              </m:sSub>
            </m:e>
          </m:d>
        </m:oMath>
      </m:oMathPara>
    </w:p>
    <w:p w14:paraId="53187A54" w14:textId="72E53F70" w:rsidR="617E935D" w:rsidRPr="001C0AA6" w:rsidRDefault="617E935D" w:rsidP="001C0AA6">
      <w:pPr>
        <w:spacing w:before="240" w:after="240" w:line="360" w:lineRule="auto"/>
        <w:rPr>
          <w:rFonts w:ascii="Arial" w:hAnsi="Arial" w:cs="Arial"/>
        </w:rPr>
      </w:pPr>
      <w:r w:rsidRPr="001C0AA6">
        <w:rPr>
          <w:rFonts w:ascii="Arial" w:eastAsia="Aptos" w:hAnsi="Arial" w:cs="Arial"/>
        </w:rPr>
        <w:t>Where:</w:t>
      </w:r>
    </w:p>
    <w:p w14:paraId="106135DB" w14:textId="5A826C23" w:rsidR="79227FA8" w:rsidRPr="001C0AA6" w:rsidRDefault="00502682" w:rsidP="001C0AA6">
      <w:pPr>
        <w:pStyle w:val="ListParagraph"/>
        <w:numPr>
          <w:ilvl w:val="0"/>
          <w:numId w:val="3"/>
        </w:numPr>
        <w:spacing w:before="240" w:after="240" w:line="360" w:lineRule="auto"/>
        <w:rPr>
          <w:rFonts w:ascii="Arial" w:eastAsia="Aptos" w:hAnsi="Arial" w:cs="Arial"/>
        </w:rPr>
      </w:pPr>
      <m:oMath>
        <m:sSub>
          <m:sSubPr>
            <m:ctrlPr>
              <w:rPr>
                <w:rFonts w:ascii="Cambria Math" w:hAnsi="Cambria Math" w:cs="Arial"/>
              </w:rPr>
            </m:ctrlPr>
          </m:sSubPr>
          <m:e>
            <m:r>
              <w:rPr>
                <w:rFonts w:ascii="Cambria Math" w:hAnsi="Cambria Math" w:cs="Arial"/>
              </w:rPr>
              <m:t>X</m:t>
            </m:r>
          </m:e>
          <m:sub>
            <m:r>
              <w:rPr>
                <w:rFonts w:ascii="Cambria Math" w:hAnsi="Cambria Math" w:cs="Arial"/>
              </w:rPr>
              <m:t>1</m:t>
            </m:r>
          </m:sub>
        </m:sSub>
        <m:r>
          <w:rPr>
            <w:rFonts w:ascii="Cambria Math" w:hAnsi="Cambria Math" w:cs="Arial"/>
          </w:rPr>
          <m:t>=</m:t>
        </m:r>
        <m:f>
          <m:fPr>
            <m:ctrlPr>
              <w:rPr>
                <w:rFonts w:ascii="Cambria Math" w:hAnsi="Cambria Math" w:cs="Arial"/>
              </w:rPr>
            </m:ctrlPr>
          </m:fPr>
          <m:num>
            <m:r>
              <w:rPr>
                <w:rFonts w:ascii="Cambria Math" w:hAnsi="Cambria Math" w:cs="Arial"/>
              </w:rPr>
              <m:t>WorkingCapital</m:t>
            </m:r>
          </m:num>
          <m:den>
            <m:r>
              <w:rPr>
                <w:rFonts w:ascii="Cambria Math" w:hAnsi="Cambria Math" w:cs="Arial"/>
              </w:rPr>
              <m:t>TotalAssets</m:t>
            </m:r>
          </m:den>
        </m:f>
      </m:oMath>
    </w:p>
    <w:p w14:paraId="321F82F3" w14:textId="664367A1" w:rsidR="79227FA8" w:rsidRPr="001C0AA6" w:rsidRDefault="00502682" w:rsidP="001C0AA6">
      <w:pPr>
        <w:pStyle w:val="ListParagraph"/>
        <w:numPr>
          <w:ilvl w:val="0"/>
          <w:numId w:val="3"/>
        </w:numPr>
        <w:spacing w:before="240" w:after="240" w:line="360" w:lineRule="auto"/>
        <w:rPr>
          <w:rFonts w:ascii="Arial" w:hAnsi="Arial" w:cs="Arial"/>
        </w:rPr>
      </w:pPr>
      <m:oMath>
        <m:sSub>
          <m:sSubPr>
            <m:ctrlPr>
              <w:rPr>
                <w:rFonts w:ascii="Cambria Math" w:hAnsi="Cambria Math" w:cs="Arial"/>
              </w:rPr>
            </m:ctrlPr>
          </m:sSubPr>
          <m:e>
            <m:r>
              <w:rPr>
                <w:rFonts w:ascii="Cambria Math" w:hAnsi="Cambria Math" w:cs="Arial"/>
              </w:rPr>
              <m:t>X</m:t>
            </m:r>
          </m:e>
          <m:sub>
            <m:r>
              <w:rPr>
                <w:rFonts w:ascii="Cambria Math" w:hAnsi="Cambria Math" w:cs="Arial"/>
              </w:rPr>
              <m:t>2</m:t>
            </m:r>
          </m:sub>
        </m:sSub>
        <m:r>
          <w:rPr>
            <w:rFonts w:ascii="Cambria Math" w:hAnsi="Cambria Math" w:cs="Arial"/>
          </w:rPr>
          <m:t>=</m:t>
        </m:r>
        <m:f>
          <m:fPr>
            <m:ctrlPr>
              <w:rPr>
                <w:rFonts w:ascii="Cambria Math" w:hAnsi="Cambria Math" w:cs="Arial"/>
              </w:rPr>
            </m:ctrlPr>
          </m:fPr>
          <m:num>
            <m:r>
              <w:rPr>
                <w:rFonts w:ascii="Cambria Math" w:hAnsi="Cambria Math" w:cs="Arial"/>
              </w:rPr>
              <m:t>Retained Earnings</m:t>
            </m:r>
          </m:num>
          <m:den>
            <m:r>
              <w:rPr>
                <w:rFonts w:ascii="Cambria Math" w:hAnsi="Cambria Math" w:cs="Arial"/>
              </w:rPr>
              <m:t>TotalAssets</m:t>
            </m:r>
          </m:den>
        </m:f>
      </m:oMath>
    </w:p>
    <w:p w14:paraId="094F4227" w14:textId="31C89F0E" w:rsidR="79227FA8" w:rsidRPr="001C0AA6" w:rsidRDefault="00502682" w:rsidP="001C0AA6">
      <w:pPr>
        <w:pStyle w:val="ListParagraph"/>
        <w:numPr>
          <w:ilvl w:val="0"/>
          <w:numId w:val="3"/>
        </w:numPr>
        <w:spacing w:before="240" w:after="240" w:line="360" w:lineRule="auto"/>
        <w:rPr>
          <w:rFonts w:ascii="Arial" w:hAnsi="Arial" w:cs="Arial"/>
        </w:rPr>
      </w:pPr>
      <m:oMath>
        <m:sSub>
          <m:sSubPr>
            <m:ctrlPr>
              <w:rPr>
                <w:rFonts w:ascii="Cambria Math" w:hAnsi="Cambria Math" w:cs="Arial"/>
              </w:rPr>
            </m:ctrlPr>
          </m:sSubPr>
          <m:e>
            <m:r>
              <w:rPr>
                <w:rFonts w:ascii="Cambria Math" w:hAnsi="Cambria Math" w:cs="Arial"/>
              </w:rPr>
              <m:t>X</m:t>
            </m:r>
          </m:e>
          <m:sub>
            <m:r>
              <w:rPr>
                <w:rFonts w:ascii="Cambria Math" w:hAnsi="Cambria Math" w:cs="Arial"/>
              </w:rPr>
              <m:t>3</m:t>
            </m:r>
          </m:sub>
        </m:sSub>
        <m:r>
          <w:rPr>
            <w:rFonts w:ascii="Cambria Math" w:hAnsi="Cambria Math" w:cs="Arial"/>
          </w:rPr>
          <m:t>=</m:t>
        </m:r>
        <m:f>
          <m:fPr>
            <m:ctrlPr>
              <w:rPr>
                <w:rFonts w:ascii="Cambria Math" w:hAnsi="Cambria Math" w:cs="Arial"/>
              </w:rPr>
            </m:ctrlPr>
          </m:fPr>
          <m:num>
            <m:r>
              <w:rPr>
                <w:rFonts w:ascii="Cambria Math" w:hAnsi="Cambria Math" w:cs="Arial"/>
              </w:rPr>
              <m:t>EBIT</m:t>
            </m:r>
          </m:num>
          <m:den>
            <m:r>
              <w:rPr>
                <w:rFonts w:ascii="Cambria Math" w:hAnsi="Cambria Math" w:cs="Arial"/>
              </w:rPr>
              <m:t>TotalAssets</m:t>
            </m:r>
          </m:den>
        </m:f>
      </m:oMath>
    </w:p>
    <w:p w14:paraId="32B31244" w14:textId="2C5684B1" w:rsidR="79227FA8" w:rsidRPr="001C0AA6" w:rsidRDefault="00502682" w:rsidP="001C0AA6">
      <w:pPr>
        <w:pStyle w:val="ListParagraph"/>
        <w:numPr>
          <w:ilvl w:val="0"/>
          <w:numId w:val="3"/>
        </w:numPr>
        <w:spacing w:before="240" w:after="240" w:line="360" w:lineRule="auto"/>
        <w:rPr>
          <w:rFonts w:ascii="Arial" w:hAnsi="Arial" w:cs="Arial"/>
        </w:rPr>
      </w:pPr>
      <m:oMath>
        <m:sSub>
          <m:sSubPr>
            <m:ctrlPr>
              <w:rPr>
                <w:rFonts w:ascii="Cambria Math" w:hAnsi="Cambria Math" w:cs="Arial"/>
              </w:rPr>
            </m:ctrlPr>
          </m:sSubPr>
          <m:e>
            <m:r>
              <w:rPr>
                <w:rFonts w:ascii="Cambria Math" w:hAnsi="Cambria Math" w:cs="Arial"/>
              </w:rPr>
              <m:t>X</m:t>
            </m:r>
          </m:e>
          <m:sub>
            <m:r>
              <w:rPr>
                <w:rFonts w:ascii="Cambria Math" w:hAnsi="Cambria Math" w:cs="Arial"/>
              </w:rPr>
              <m:t>4</m:t>
            </m:r>
          </m:sub>
        </m:sSub>
        <m:r>
          <w:rPr>
            <w:rFonts w:ascii="Cambria Math" w:hAnsi="Cambria Math" w:cs="Arial"/>
          </w:rPr>
          <m:t>=</m:t>
        </m:r>
        <m:f>
          <m:fPr>
            <m:ctrlPr>
              <w:rPr>
                <w:rFonts w:ascii="Cambria Math" w:hAnsi="Cambria Math" w:cs="Arial"/>
              </w:rPr>
            </m:ctrlPr>
          </m:fPr>
          <m:num>
            <m:r>
              <w:rPr>
                <w:rFonts w:ascii="Cambria Math" w:hAnsi="Cambria Math" w:cs="Arial"/>
              </w:rPr>
              <m:t>Market Value of Equity</m:t>
            </m:r>
          </m:num>
          <m:den>
            <m:r>
              <w:rPr>
                <w:rFonts w:ascii="Cambria Math" w:hAnsi="Cambria Math" w:cs="Arial"/>
              </w:rPr>
              <m:t>Total Liabilities</m:t>
            </m:r>
          </m:den>
        </m:f>
      </m:oMath>
    </w:p>
    <w:p w14:paraId="00B5B824" w14:textId="1A52F792" w:rsidR="79227FA8" w:rsidRPr="001C0AA6" w:rsidRDefault="00502682" w:rsidP="001C0AA6">
      <w:pPr>
        <w:pStyle w:val="ListParagraph"/>
        <w:numPr>
          <w:ilvl w:val="0"/>
          <w:numId w:val="3"/>
        </w:numPr>
        <w:spacing w:before="240" w:after="240" w:line="360" w:lineRule="auto"/>
        <w:rPr>
          <w:rFonts w:ascii="Arial" w:eastAsia="Aptos" w:hAnsi="Arial" w:cs="Arial"/>
        </w:rPr>
      </w:pPr>
      <m:oMath>
        <m:sSub>
          <m:sSubPr>
            <m:ctrlPr>
              <w:rPr>
                <w:rFonts w:ascii="Cambria Math" w:hAnsi="Cambria Math" w:cs="Arial"/>
              </w:rPr>
            </m:ctrlPr>
          </m:sSubPr>
          <m:e>
            <m:r>
              <w:rPr>
                <w:rFonts w:ascii="Cambria Math" w:hAnsi="Cambria Math" w:cs="Arial"/>
              </w:rPr>
              <m:t>X</m:t>
            </m:r>
          </m:e>
          <m:sub>
            <m:r>
              <w:rPr>
                <w:rFonts w:ascii="Cambria Math" w:hAnsi="Cambria Math" w:cs="Arial"/>
              </w:rPr>
              <m:t>5</m:t>
            </m:r>
          </m:sub>
        </m:sSub>
        <m:r>
          <w:rPr>
            <w:rFonts w:ascii="Cambria Math" w:hAnsi="Cambria Math" w:cs="Arial"/>
          </w:rPr>
          <m:t>=</m:t>
        </m:r>
        <m:f>
          <m:fPr>
            <m:ctrlPr>
              <w:rPr>
                <w:rFonts w:ascii="Cambria Math" w:hAnsi="Cambria Math" w:cs="Arial"/>
              </w:rPr>
            </m:ctrlPr>
          </m:fPr>
          <m:num>
            <m:r>
              <w:rPr>
                <w:rFonts w:ascii="Cambria Math" w:hAnsi="Cambria Math" w:cs="Arial"/>
              </w:rPr>
              <m:t>Net Sales</m:t>
            </m:r>
          </m:num>
          <m:den>
            <m:r>
              <w:rPr>
                <w:rFonts w:ascii="Cambria Math" w:hAnsi="Cambria Math" w:cs="Arial"/>
              </w:rPr>
              <m:t>Total Assets</m:t>
            </m:r>
          </m:den>
        </m:f>
      </m:oMath>
    </w:p>
    <w:p w14:paraId="4DC01900" w14:textId="0BD61A28" w:rsidR="4B122D13" w:rsidRPr="001C0AA6" w:rsidRDefault="617E935D" w:rsidP="001C0AA6">
      <w:pPr>
        <w:spacing w:before="240" w:after="240" w:line="360" w:lineRule="auto"/>
        <w:rPr>
          <w:rFonts w:ascii="Arial" w:eastAsia="Times New Roman" w:hAnsi="Arial" w:cs="Arial"/>
        </w:rPr>
      </w:pPr>
      <w:r w:rsidRPr="001C0AA6">
        <w:rPr>
          <w:rFonts w:ascii="Arial" w:eastAsia="Times New Roman" w:hAnsi="Arial" w:cs="Arial"/>
        </w:rPr>
        <w:t>For 2024 (approximation in £m):</w:t>
      </w:r>
    </w:p>
    <w:p w14:paraId="6C0B2104" w14:textId="06B6F2E5" w:rsidR="4B122D13" w:rsidRPr="001C0AA6" w:rsidRDefault="617E935D" w:rsidP="001C0AA6">
      <w:pPr>
        <w:pStyle w:val="ListParagraph"/>
        <w:numPr>
          <w:ilvl w:val="0"/>
          <w:numId w:val="19"/>
        </w:numPr>
        <w:spacing w:before="240" w:after="240" w:line="360" w:lineRule="auto"/>
        <w:rPr>
          <w:rFonts w:ascii="Arial" w:eastAsia="Times New Roman" w:hAnsi="Arial" w:cs="Arial"/>
        </w:rPr>
      </w:pPr>
      <w:r w:rsidRPr="001C0AA6">
        <w:rPr>
          <w:rFonts w:ascii="Arial" w:eastAsia="Times New Roman" w:hAnsi="Arial" w:cs="Arial"/>
        </w:rPr>
        <w:t>Working Capital = (242,494 – 158,291) = 84,203</w:t>
      </w:r>
    </w:p>
    <w:p w14:paraId="38769DE3" w14:textId="0719F207" w:rsidR="4B122D13" w:rsidRPr="001C0AA6" w:rsidRDefault="617E935D" w:rsidP="001C0AA6">
      <w:pPr>
        <w:pStyle w:val="ListParagraph"/>
        <w:numPr>
          <w:ilvl w:val="0"/>
          <w:numId w:val="19"/>
        </w:numPr>
        <w:spacing w:before="240" w:after="240" w:line="360" w:lineRule="auto"/>
        <w:rPr>
          <w:rFonts w:ascii="Arial" w:eastAsia="Times New Roman" w:hAnsi="Arial" w:cs="Arial"/>
        </w:rPr>
      </w:pPr>
      <w:r w:rsidRPr="001C0AA6">
        <w:rPr>
          <w:rFonts w:ascii="Arial" w:eastAsia="Times New Roman" w:hAnsi="Arial" w:cs="Arial"/>
        </w:rPr>
        <w:t>Retained Earnings = 208,431</w:t>
      </w:r>
    </w:p>
    <w:p w14:paraId="2DA9E272" w14:textId="19C1C62E" w:rsidR="4B122D13" w:rsidRPr="001C0AA6" w:rsidRDefault="617E935D" w:rsidP="001C0AA6">
      <w:pPr>
        <w:pStyle w:val="ListParagraph"/>
        <w:numPr>
          <w:ilvl w:val="0"/>
          <w:numId w:val="19"/>
        </w:numPr>
        <w:spacing w:before="240" w:after="240" w:line="360" w:lineRule="auto"/>
        <w:rPr>
          <w:rFonts w:ascii="Arial" w:eastAsia="Times New Roman" w:hAnsi="Arial" w:cs="Arial"/>
        </w:rPr>
      </w:pPr>
      <w:r w:rsidRPr="001C0AA6">
        <w:rPr>
          <w:rFonts w:ascii="Arial" w:eastAsia="Times New Roman" w:hAnsi="Arial" w:cs="Arial"/>
        </w:rPr>
        <w:t>EBIT ≈ Operating Income = -15,297</w:t>
      </w:r>
    </w:p>
    <w:p w14:paraId="608CE974" w14:textId="0B549327" w:rsidR="4B122D13" w:rsidRPr="001C0AA6" w:rsidRDefault="617E935D" w:rsidP="001C0AA6">
      <w:pPr>
        <w:pStyle w:val="ListParagraph"/>
        <w:numPr>
          <w:ilvl w:val="0"/>
          <w:numId w:val="19"/>
        </w:numPr>
        <w:spacing w:before="240" w:after="240" w:line="360" w:lineRule="auto"/>
        <w:rPr>
          <w:rFonts w:ascii="Arial" w:eastAsia="Times New Roman" w:hAnsi="Arial" w:cs="Arial"/>
        </w:rPr>
      </w:pPr>
      <w:r w:rsidRPr="001C0AA6">
        <w:rPr>
          <w:rFonts w:ascii="Arial" w:eastAsia="Times New Roman" w:hAnsi="Arial" w:cs="Arial"/>
        </w:rPr>
        <w:t>Total Assets = 323,354</w:t>
      </w:r>
    </w:p>
    <w:p w14:paraId="20A75400" w14:textId="0AABFA77" w:rsidR="4B122D13" w:rsidRPr="001C0AA6" w:rsidRDefault="617E935D" w:rsidP="001C0AA6">
      <w:pPr>
        <w:pStyle w:val="ListParagraph"/>
        <w:numPr>
          <w:ilvl w:val="0"/>
          <w:numId w:val="19"/>
        </w:numPr>
        <w:spacing w:before="240" w:after="240" w:line="360" w:lineRule="auto"/>
        <w:rPr>
          <w:rFonts w:ascii="Arial" w:eastAsia="Times New Roman" w:hAnsi="Arial" w:cs="Arial"/>
        </w:rPr>
      </w:pPr>
      <w:r w:rsidRPr="001C0AA6">
        <w:rPr>
          <w:rFonts w:ascii="Arial" w:eastAsia="Times New Roman" w:hAnsi="Arial" w:cs="Arial"/>
        </w:rPr>
        <w:t>Total Liabilities = 170,249</w:t>
      </w:r>
    </w:p>
    <w:p w14:paraId="41E37CFE" w14:textId="56FDC5E3" w:rsidR="4B122D13" w:rsidRPr="001C0AA6" w:rsidRDefault="617E935D" w:rsidP="001C0AA6">
      <w:pPr>
        <w:pStyle w:val="ListParagraph"/>
        <w:numPr>
          <w:ilvl w:val="0"/>
          <w:numId w:val="19"/>
        </w:numPr>
        <w:spacing w:before="240" w:after="240" w:line="360" w:lineRule="auto"/>
        <w:rPr>
          <w:rFonts w:ascii="Arial" w:eastAsia="Times New Roman" w:hAnsi="Arial" w:cs="Arial"/>
        </w:rPr>
      </w:pPr>
      <w:r w:rsidRPr="001C0AA6">
        <w:rPr>
          <w:rFonts w:ascii="Arial" w:eastAsia="Times New Roman" w:hAnsi="Arial" w:cs="Arial"/>
        </w:rPr>
        <w:t>Net Sales = 394,879</w:t>
      </w:r>
    </w:p>
    <w:p w14:paraId="12A6CA56" w14:textId="2E818823" w:rsidR="4B122D13" w:rsidRPr="001C0AA6" w:rsidRDefault="4B122D13" w:rsidP="001C0AA6">
      <w:pPr>
        <w:spacing w:before="240" w:after="240" w:line="360" w:lineRule="auto"/>
        <w:rPr>
          <w:rFonts w:ascii="Arial" w:eastAsia="Times New Roman" w:hAnsi="Arial" w:cs="Arial"/>
          <w:b/>
          <w:bCs/>
        </w:rPr>
      </w:pPr>
      <m:oMath>
        <m:r>
          <w:rPr>
            <w:rFonts w:ascii="Cambria Math" w:hAnsi="Cambria Math" w:cs="Arial"/>
          </w:rPr>
          <m:t>Z=1.2</m:t>
        </m:r>
        <m:d>
          <m:dPr>
            <m:ctrlPr>
              <w:rPr>
                <w:rFonts w:ascii="Cambria Math" w:hAnsi="Cambria Math" w:cs="Arial"/>
              </w:rPr>
            </m:ctrlPr>
          </m:dPr>
          <m:e>
            <m:r>
              <w:rPr>
                <w:rFonts w:ascii="Cambria Math" w:hAnsi="Cambria Math" w:cs="Arial"/>
              </w:rPr>
              <m:t>0.26</m:t>
            </m:r>
          </m:e>
        </m:d>
        <m:r>
          <w:rPr>
            <w:rFonts w:ascii="Cambria Math" w:hAnsi="Cambria Math" w:cs="Arial"/>
          </w:rPr>
          <m:t>+1.4</m:t>
        </m:r>
        <m:d>
          <m:dPr>
            <m:ctrlPr>
              <w:rPr>
                <w:rFonts w:ascii="Cambria Math" w:hAnsi="Cambria Math" w:cs="Arial"/>
              </w:rPr>
            </m:ctrlPr>
          </m:dPr>
          <m:e>
            <m:r>
              <w:rPr>
                <w:rFonts w:ascii="Cambria Math" w:hAnsi="Cambria Math" w:cs="Arial"/>
              </w:rPr>
              <m:t>0.64</m:t>
            </m:r>
          </m:e>
        </m:d>
        <m:r>
          <w:rPr>
            <w:rFonts w:ascii="Cambria Math" w:hAnsi="Cambria Math" w:cs="Arial"/>
          </w:rPr>
          <m:t>+3.3</m:t>
        </m:r>
        <m:d>
          <m:dPr>
            <m:ctrlPr>
              <w:rPr>
                <w:rFonts w:ascii="Cambria Math" w:hAnsi="Cambria Math" w:cs="Arial"/>
              </w:rPr>
            </m:ctrlPr>
          </m:dPr>
          <m:e>
            <m:r>
              <w:rPr>
                <w:rFonts w:ascii="Cambria Math" w:hAnsi="Cambria Math" w:cs="Arial"/>
              </w:rPr>
              <m:t>-0.05</m:t>
            </m:r>
          </m:e>
        </m:d>
        <m:r>
          <w:rPr>
            <w:rFonts w:ascii="Cambria Math" w:hAnsi="Cambria Math" w:cs="Arial"/>
          </w:rPr>
          <m:t>+0.6</m:t>
        </m:r>
        <m:d>
          <m:dPr>
            <m:ctrlPr>
              <w:rPr>
                <w:rFonts w:ascii="Cambria Math" w:hAnsi="Cambria Math" w:cs="Arial"/>
              </w:rPr>
            </m:ctrlPr>
          </m:dPr>
          <m:e>
            <m:r>
              <w:rPr>
                <w:rFonts w:ascii="Cambria Math" w:hAnsi="Cambria Math" w:cs="Arial"/>
              </w:rPr>
              <m:t>0.90</m:t>
            </m:r>
          </m:e>
        </m:d>
        <m:r>
          <w:rPr>
            <w:rFonts w:ascii="Cambria Math" w:hAnsi="Cambria Math" w:cs="Arial"/>
          </w:rPr>
          <m:t>+1.0</m:t>
        </m:r>
        <m:d>
          <m:dPr>
            <m:ctrlPr>
              <w:rPr>
                <w:rFonts w:ascii="Cambria Math" w:hAnsi="Cambria Math" w:cs="Arial"/>
              </w:rPr>
            </m:ctrlPr>
          </m:dPr>
          <m:e>
            <m:r>
              <w:rPr>
                <w:rFonts w:ascii="Cambria Math" w:hAnsi="Cambria Math" w:cs="Arial"/>
              </w:rPr>
              <m:t>1.22</m:t>
            </m:r>
          </m:e>
        </m:d>
        <m:r>
          <w:rPr>
            <w:rFonts w:ascii="Cambria Math" w:hAnsi="Cambria Math" w:cs="Arial"/>
          </w:rPr>
          <m:t>=0.312+0.896-0.165+0.54+1.22=2.80</m:t>
        </m:r>
      </m:oMath>
      <w:r w:rsidR="1366C317" w:rsidRPr="001C0AA6">
        <w:rPr>
          <w:rFonts w:ascii="Arial" w:eastAsia="Times New Roman" w:hAnsi="Arial" w:cs="Arial"/>
          <w:b/>
          <w:bCs/>
        </w:rPr>
        <w:t>I</w:t>
      </w:r>
      <w:proofErr w:type="spellStart"/>
      <w:r w:rsidR="617E935D" w:rsidRPr="001C0AA6">
        <w:rPr>
          <w:rFonts w:ascii="Arial" w:eastAsia="Times New Roman" w:hAnsi="Arial" w:cs="Arial"/>
          <w:b/>
          <w:bCs/>
        </w:rPr>
        <w:t>nterpretation</w:t>
      </w:r>
      <w:proofErr w:type="spellEnd"/>
      <w:r w:rsidR="617E935D" w:rsidRPr="001C0AA6">
        <w:rPr>
          <w:rFonts w:ascii="Arial" w:eastAsia="Times New Roman" w:hAnsi="Arial" w:cs="Arial"/>
          <w:b/>
          <w:bCs/>
        </w:rPr>
        <w:t>:</w:t>
      </w:r>
    </w:p>
    <w:p w14:paraId="1AE080B6" w14:textId="2D11251D" w:rsidR="4B122D13" w:rsidRPr="001C0AA6" w:rsidRDefault="617E935D" w:rsidP="001C0AA6">
      <w:pPr>
        <w:spacing w:before="240" w:after="240" w:line="360" w:lineRule="auto"/>
        <w:rPr>
          <w:rFonts w:ascii="Arial" w:eastAsia="Times New Roman" w:hAnsi="Arial" w:cs="Arial"/>
          <w:b/>
          <w:bCs/>
        </w:rPr>
      </w:pPr>
      <w:r w:rsidRPr="001C0AA6">
        <w:rPr>
          <w:rFonts w:ascii="Arial" w:eastAsia="Times New Roman" w:hAnsi="Arial" w:cs="Arial"/>
        </w:rPr>
        <w:t xml:space="preserve">An Altman Z-Score below </w:t>
      </w:r>
      <w:r w:rsidRPr="001C0AA6">
        <w:rPr>
          <w:rFonts w:ascii="Arial" w:eastAsia="Times New Roman" w:hAnsi="Arial" w:cs="Arial"/>
          <w:b/>
          <w:bCs/>
        </w:rPr>
        <w:t>2.99</w:t>
      </w:r>
      <w:r w:rsidRPr="001C0AA6">
        <w:rPr>
          <w:rFonts w:ascii="Arial" w:eastAsia="Times New Roman" w:hAnsi="Arial" w:cs="Arial"/>
        </w:rPr>
        <w:t xml:space="preserve"> indicates the </w:t>
      </w:r>
      <w:r w:rsidRPr="001C0AA6">
        <w:rPr>
          <w:rFonts w:ascii="Arial" w:eastAsia="Times New Roman" w:hAnsi="Arial" w:cs="Arial"/>
          <w:i/>
          <w:iCs/>
        </w:rPr>
        <w:t>distress zone</w:t>
      </w:r>
      <w:r w:rsidRPr="001C0AA6">
        <w:rPr>
          <w:rFonts w:ascii="Arial" w:eastAsia="Times New Roman" w:hAnsi="Arial" w:cs="Arial"/>
        </w:rPr>
        <w:t xml:space="preserve">. GE’s score of </w:t>
      </w:r>
      <w:r w:rsidRPr="001C0AA6">
        <w:rPr>
          <w:rFonts w:ascii="Arial" w:eastAsia="Times New Roman" w:hAnsi="Arial" w:cs="Arial"/>
          <w:b/>
          <w:bCs/>
        </w:rPr>
        <w:t>2.8</w:t>
      </w:r>
      <w:r w:rsidRPr="001C0AA6">
        <w:rPr>
          <w:rFonts w:ascii="Arial" w:eastAsia="Times New Roman" w:hAnsi="Arial" w:cs="Arial"/>
        </w:rPr>
        <w:t xml:space="preserve"> confirms significant bankruptcy risk if corrective actions are not taken.</w:t>
      </w:r>
    </w:p>
    <w:p w14:paraId="741DDA82" w14:textId="463D97E9" w:rsidR="4B122D13" w:rsidRPr="001C0AA6" w:rsidRDefault="617E935D" w:rsidP="001C0AA6">
      <w:pPr>
        <w:pStyle w:val="Heading2"/>
        <w:spacing w:before="299" w:after="299" w:line="360" w:lineRule="auto"/>
        <w:jc w:val="both"/>
        <w:rPr>
          <w:rFonts w:ascii="Arial" w:eastAsia="Times New Roman" w:hAnsi="Arial" w:cs="Arial"/>
          <w:b/>
          <w:bCs/>
          <w:color w:val="auto"/>
          <w:sz w:val="24"/>
          <w:szCs w:val="24"/>
        </w:rPr>
      </w:pPr>
      <w:bookmarkStart w:id="21" w:name="_Toc1395709895"/>
      <w:r w:rsidRPr="001C0AA6">
        <w:rPr>
          <w:rFonts w:ascii="Arial" w:eastAsia="Times New Roman" w:hAnsi="Arial" w:cs="Arial"/>
          <w:b/>
          <w:bCs/>
          <w:color w:val="auto"/>
          <w:sz w:val="24"/>
          <w:szCs w:val="24"/>
        </w:rPr>
        <w:lastRenderedPageBreak/>
        <w:t>3: Working Capital Management (≈900 words)</w:t>
      </w:r>
      <w:bookmarkEnd w:id="21"/>
    </w:p>
    <w:p w14:paraId="1CD2F4B6" w14:textId="5505A090" w:rsidR="4B122D13" w:rsidRPr="001C0AA6" w:rsidRDefault="617E935D" w:rsidP="001C0AA6">
      <w:pPr>
        <w:pStyle w:val="Heading3"/>
        <w:spacing w:before="281" w:after="281" w:line="360" w:lineRule="auto"/>
        <w:jc w:val="both"/>
        <w:rPr>
          <w:rFonts w:ascii="Arial" w:eastAsia="Times New Roman" w:hAnsi="Arial" w:cs="Arial"/>
          <w:b/>
          <w:bCs/>
          <w:color w:val="auto"/>
          <w:sz w:val="24"/>
          <w:szCs w:val="24"/>
        </w:rPr>
      </w:pPr>
      <w:bookmarkStart w:id="22" w:name="_Toc1619455506"/>
      <w:r w:rsidRPr="001C0AA6">
        <w:rPr>
          <w:rFonts w:ascii="Arial" w:eastAsia="Times New Roman" w:hAnsi="Arial" w:cs="Arial"/>
          <w:b/>
          <w:bCs/>
          <w:color w:val="auto"/>
          <w:sz w:val="24"/>
          <w:szCs w:val="24"/>
        </w:rPr>
        <w:t>3.1 Overview</w:t>
      </w:r>
      <w:bookmarkEnd w:id="22"/>
    </w:p>
    <w:p w14:paraId="6D598395" w14:textId="469FB29E" w:rsidR="4B122D13" w:rsidRPr="001C0AA6" w:rsidRDefault="34494C8A" w:rsidP="001C0AA6">
      <w:pPr>
        <w:spacing w:before="281" w:after="281" w:line="360" w:lineRule="auto"/>
        <w:jc w:val="both"/>
        <w:rPr>
          <w:rFonts w:ascii="Arial" w:eastAsia="Times New Roman" w:hAnsi="Arial" w:cs="Arial"/>
        </w:rPr>
      </w:pPr>
      <w:r w:rsidRPr="001C0AA6">
        <w:rPr>
          <w:rFonts w:ascii="Arial" w:eastAsia="Times New Roman" w:hAnsi="Arial" w:cs="Arial"/>
        </w:rPr>
        <w:t>Working capital management (WCM) is also essential to maintaining the level of liquidity and allowing the firm to operate without going out of business, particularly when it is a financially troubled company such as General Electronics (GE). In the 20202024 period, GE has experienced an extremely bad working capital position because of the inefficiency in collectibles, irregular inventory controls, and poor cash flows. This part of the assignment will investigate the cash conversion cycle (CCC), liquidity status, and short-term financing strategy of this firm to understand whether GE is able to fulfill its immediate commitments and continue its normal operations.</w:t>
      </w:r>
    </w:p>
    <w:p w14:paraId="02C0930E" w14:textId="74177E1B" w:rsidR="4B122D13" w:rsidRPr="001C0AA6" w:rsidRDefault="617E935D" w:rsidP="001C0AA6">
      <w:pPr>
        <w:pStyle w:val="Heading3"/>
        <w:spacing w:before="281" w:after="281" w:line="360" w:lineRule="auto"/>
        <w:jc w:val="both"/>
        <w:rPr>
          <w:rFonts w:ascii="Arial" w:eastAsia="Times New Roman" w:hAnsi="Arial" w:cs="Arial"/>
          <w:b/>
          <w:bCs/>
          <w:color w:val="auto"/>
          <w:sz w:val="24"/>
          <w:szCs w:val="24"/>
        </w:rPr>
      </w:pPr>
      <w:bookmarkStart w:id="23" w:name="_Toc1689771873"/>
      <w:r w:rsidRPr="001C0AA6">
        <w:rPr>
          <w:rFonts w:ascii="Arial" w:eastAsia="Times New Roman" w:hAnsi="Arial" w:cs="Arial"/>
          <w:b/>
          <w:bCs/>
          <w:color w:val="auto"/>
          <w:sz w:val="24"/>
          <w:szCs w:val="24"/>
        </w:rPr>
        <w:t>3.2 Working Capital Trends</w:t>
      </w:r>
      <w:bookmarkEnd w:id="23"/>
    </w:p>
    <w:p w14:paraId="5E73C7A3" w14:textId="1849E54F" w:rsidR="4B122D13" w:rsidRPr="001C0AA6" w:rsidRDefault="617E935D" w:rsidP="001C0AA6">
      <w:pPr>
        <w:spacing w:before="240" w:after="240" w:line="360" w:lineRule="auto"/>
        <w:jc w:val="both"/>
        <w:rPr>
          <w:rFonts w:ascii="Arial" w:eastAsia="Times New Roman" w:hAnsi="Arial" w:cs="Arial"/>
        </w:rPr>
      </w:pPr>
      <w:r w:rsidRPr="001C0AA6">
        <w:rPr>
          <w:rFonts w:ascii="Arial" w:eastAsia="Times New Roman" w:hAnsi="Arial" w:cs="Arial"/>
        </w:rPr>
        <w:t>Working capital (WC) is calculated as:</w:t>
      </w:r>
    </w:p>
    <w:p w14:paraId="5283F72B" w14:textId="069950AE" w:rsidR="79227FA8" w:rsidRPr="001C0AA6" w:rsidRDefault="79227FA8" w:rsidP="001C0AA6">
      <w:pPr>
        <w:spacing w:before="240" w:after="240" w:line="360" w:lineRule="auto"/>
        <w:jc w:val="center"/>
        <w:rPr>
          <w:rFonts w:ascii="Arial" w:eastAsia="Times New Roman" w:hAnsi="Arial" w:cs="Arial"/>
        </w:rPr>
      </w:pPr>
      <m:oMathPara>
        <m:oMath>
          <m:r>
            <w:rPr>
              <w:rFonts w:ascii="Cambria Math" w:hAnsi="Cambria Math" w:cs="Arial"/>
            </w:rPr>
            <m:t>WorkingCapital=CurrentAssets-CurrentLiabilities </m:t>
          </m:r>
        </m:oMath>
      </m:oMathPara>
    </w:p>
    <w:tbl>
      <w:tblPr>
        <w:tblStyle w:val="PlainTable2"/>
        <w:tblW w:w="9496" w:type="dxa"/>
        <w:tblLayout w:type="fixed"/>
        <w:tblLook w:val="06A0" w:firstRow="1" w:lastRow="0" w:firstColumn="1" w:lastColumn="0" w:noHBand="1" w:noVBand="1"/>
      </w:tblPr>
      <w:tblGrid>
        <w:gridCol w:w="1455"/>
        <w:gridCol w:w="2595"/>
        <w:gridCol w:w="2812"/>
        <w:gridCol w:w="2634"/>
      </w:tblGrid>
      <w:tr w:rsidR="3BC40808" w:rsidRPr="001C0AA6" w14:paraId="7167704B" w14:textId="77777777" w:rsidTr="79227F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55" w:type="dxa"/>
            <w:vAlign w:val="center"/>
          </w:tcPr>
          <w:p w14:paraId="1B3E6DFA" w14:textId="6EA7E1E6"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Year</w:t>
            </w:r>
          </w:p>
        </w:tc>
        <w:tc>
          <w:tcPr>
            <w:tcW w:w="2595" w:type="dxa"/>
            <w:vAlign w:val="center"/>
          </w:tcPr>
          <w:p w14:paraId="438572FF" w14:textId="11472BEC"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Current Assets (£m)</w:t>
            </w:r>
          </w:p>
        </w:tc>
        <w:tc>
          <w:tcPr>
            <w:tcW w:w="2812" w:type="dxa"/>
            <w:vAlign w:val="center"/>
          </w:tcPr>
          <w:p w14:paraId="1345AE1E" w14:textId="059E3740"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Current Liabilities (£m)</w:t>
            </w:r>
          </w:p>
        </w:tc>
        <w:tc>
          <w:tcPr>
            <w:tcW w:w="2634" w:type="dxa"/>
            <w:vAlign w:val="center"/>
          </w:tcPr>
          <w:p w14:paraId="3649C393" w14:textId="60E3E587"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Working Capital (£m)</w:t>
            </w:r>
          </w:p>
        </w:tc>
      </w:tr>
      <w:tr w:rsidR="3BC40808" w:rsidRPr="001C0AA6" w14:paraId="36A0F0DC" w14:textId="77777777" w:rsidTr="79227FA8">
        <w:trPr>
          <w:trHeight w:val="585"/>
        </w:trPr>
        <w:tc>
          <w:tcPr>
            <w:cnfStyle w:val="001000000000" w:firstRow="0" w:lastRow="0" w:firstColumn="1" w:lastColumn="0" w:oddVBand="0" w:evenVBand="0" w:oddHBand="0" w:evenHBand="0" w:firstRowFirstColumn="0" w:firstRowLastColumn="0" w:lastRowFirstColumn="0" w:lastRowLastColumn="0"/>
            <w:tcW w:w="1455" w:type="dxa"/>
            <w:vAlign w:val="center"/>
          </w:tcPr>
          <w:p w14:paraId="689E5F32" w14:textId="12722702"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2020</w:t>
            </w:r>
          </w:p>
        </w:tc>
        <w:tc>
          <w:tcPr>
            <w:tcW w:w="2595" w:type="dxa"/>
            <w:vAlign w:val="center"/>
          </w:tcPr>
          <w:p w14:paraId="6CA5E792" w14:textId="1EE88A08"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326,843</w:t>
            </w:r>
          </w:p>
        </w:tc>
        <w:tc>
          <w:tcPr>
            <w:tcW w:w="2812" w:type="dxa"/>
            <w:vAlign w:val="center"/>
          </w:tcPr>
          <w:p w14:paraId="0C92BA6E" w14:textId="5D02CCD7"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179,510</w:t>
            </w:r>
          </w:p>
        </w:tc>
        <w:tc>
          <w:tcPr>
            <w:tcW w:w="2634" w:type="dxa"/>
            <w:vAlign w:val="center"/>
          </w:tcPr>
          <w:p w14:paraId="1EBE3188" w14:textId="40EE17FA"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147,333</w:t>
            </w:r>
          </w:p>
        </w:tc>
      </w:tr>
      <w:tr w:rsidR="3BC40808" w:rsidRPr="001C0AA6" w14:paraId="370A65E2"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455" w:type="dxa"/>
            <w:vAlign w:val="center"/>
          </w:tcPr>
          <w:p w14:paraId="7781E954" w14:textId="19EB6B16"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2021</w:t>
            </w:r>
          </w:p>
        </w:tc>
        <w:tc>
          <w:tcPr>
            <w:tcW w:w="2595" w:type="dxa"/>
            <w:vAlign w:val="center"/>
          </w:tcPr>
          <w:p w14:paraId="1AF249A8" w14:textId="04531DE1"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337,146</w:t>
            </w:r>
          </w:p>
        </w:tc>
        <w:tc>
          <w:tcPr>
            <w:tcW w:w="2812" w:type="dxa"/>
            <w:vAlign w:val="center"/>
          </w:tcPr>
          <w:p w14:paraId="2A73F9B4" w14:textId="24B58049"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216,787</w:t>
            </w:r>
          </w:p>
        </w:tc>
        <w:tc>
          <w:tcPr>
            <w:tcW w:w="2634" w:type="dxa"/>
            <w:vAlign w:val="center"/>
          </w:tcPr>
          <w:p w14:paraId="243A3625" w14:textId="5565E9E4"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120,359</w:t>
            </w:r>
          </w:p>
        </w:tc>
      </w:tr>
      <w:tr w:rsidR="3BC40808" w:rsidRPr="001C0AA6" w14:paraId="00DD9903" w14:textId="77777777" w:rsidTr="79227FA8">
        <w:trPr>
          <w:trHeight w:val="495"/>
        </w:trPr>
        <w:tc>
          <w:tcPr>
            <w:cnfStyle w:val="001000000000" w:firstRow="0" w:lastRow="0" w:firstColumn="1" w:lastColumn="0" w:oddVBand="0" w:evenVBand="0" w:oddHBand="0" w:evenHBand="0" w:firstRowFirstColumn="0" w:firstRowLastColumn="0" w:lastRowFirstColumn="0" w:lastRowLastColumn="0"/>
            <w:tcW w:w="1455" w:type="dxa"/>
            <w:vAlign w:val="center"/>
          </w:tcPr>
          <w:p w14:paraId="2F9F62F8" w14:textId="1D075ACF"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2022</w:t>
            </w:r>
          </w:p>
        </w:tc>
        <w:tc>
          <w:tcPr>
            <w:tcW w:w="2595" w:type="dxa"/>
            <w:vAlign w:val="center"/>
          </w:tcPr>
          <w:p w14:paraId="3514AC1A" w14:textId="2DBA8552"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338,040</w:t>
            </w:r>
          </w:p>
        </w:tc>
        <w:tc>
          <w:tcPr>
            <w:tcW w:w="2812" w:type="dxa"/>
            <w:vAlign w:val="center"/>
          </w:tcPr>
          <w:p w14:paraId="2D528071" w14:textId="0F96B2C2"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216,473</w:t>
            </w:r>
          </w:p>
        </w:tc>
        <w:tc>
          <w:tcPr>
            <w:tcW w:w="2634" w:type="dxa"/>
            <w:vAlign w:val="center"/>
          </w:tcPr>
          <w:p w14:paraId="7DC4EF94" w14:textId="38027067"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121,567</w:t>
            </w:r>
          </w:p>
        </w:tc>
      </w:tr>
      <w:tr w:rsidR="3BC40808" w:rsidRPr="001C0AA6" w14:paraId="0A373C7C"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455" w:type="dxa"/>
            <w:vAlign w:val="center"/>
          </w:tcPr>
          <w:p w14:paraId="57A03732" w14:textId="5A761416"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2023</w:t>
            </w:r>
          </w:p>
        </w:tc>
        <w:tc>
          <w:tcPr>
            <w:tcW w:w="2595" w:type="dxa"/>
            <w:vAlign w:val="center"/>
          </w:tcPr>
          <w:p w14:paraId="1037F745" w14:textId="04CE1661"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258,851</w:t>
            </w:r>
          </w:p>
        </w:tc>
        <w:tc>
          <w:tcPr>
            <w:tcW w:w="2812" w:type="dxa"/>
            <w:vAlign w:val="center"/>
          </w:tcPr>
          <w:p w14:paraId="0B267882" w14:textId="47270306"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161,148</w:t>
            </w:r>
          </w:p>
        </w:tc>
        <w:tc>
          <w:tcPr>
            <w:tcW w:w="2634" w:type="dxa"/>
            <w:vAlign w:val="center"/>
          </w:tcPr>
          <w:p w14:paraId="7800A955" w14:textId="3768CFFB"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97,703</w:t>
            </w:r>
          </w:p>
        </w:tc>
      </w:tr>
      <w:tr w:rsidR="3BC40808" w:rsidRPr="001C0AA6" w14:paraId="5DE7F3AE"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455" w:type="dxa"/>
            <w:vAlign w:val="center"/>
          </w:tcPr>
          <w:p w14:paraId="3C811711" w14:textId="42164C60"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2024</w:t>
            </w:r>
          </w:p>
        </w:tc>
        <w:tc>
          <w:tcPr>
            <w:tcW w:w="2595" w:type="dxa"/>
            <w:vAlign w:val="center"/>
          </w:tcPr>
          <w:p w14:paraId="7C3E46B5" w14:textId="2DD5CA67"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242,494</w:t>
            </w:r>
          </w:p>
        </w:tc>
        <w:tc>
          <w:tcPr>
            <w:tcW w:w="2812" w:type="dxa"/>
            <w:vAlign w:val="center"/>
          </w:tcPr>
          <w:p w14:paraId="56CEACEE" w14:textId="6C7EFB0F"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158,291</w:t>
            </w:r>
          </w:p>
        </w:tc>
        <w:tc>
          <w:tcPr>
            <w:tcW w:w="2634" w:type="dxa"/>
            <w:vAlign w:val="center"/>
          </w:tcPr>
          <w:p w14:paraId="108B2364" w14:textId="6DCF7CDB"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84,203</w:t>
            </w:r>
          </w:p>
        </w:tc>
      </w:tr>
    </w:tbl>
    <w:p w14:paraId="70D24DFC" w14:textId="7B66F99D" w:rsidR="3F441BBD" w:rsidRPr="001C0AA6" w:rsidRDefault="1F7F68A5" w:rsidP="001C0AA6">
      <w:pPr>
        <w:spacing w:before="240" w:after="240" w:line="360" w:lineRule="auto"/>
        <w:jc w:val="both"/>
        <w:rPr>
          <w:rFonts w:ascii="Arial" w:eastAsia="Times New Roman" w:hAnsi="Arial" w:cs="Arial"/>
        </w:rPr>
      </w:pPr>
      <w:r w:rsidRPr="001C0AA6">
        <w:rPr>
          <w:rFonts w:ascii="Arial" w:eastAsia="Times New Roman" w:hAnsi="Arial" w:cs="Arial"/>
          <w:b/>
          <w:bCs/>
        </w:rPr>
        <w:t>Interpretation</w:t>
      </w:r>
      <w:proofErr w:type="gramStart"/>
      <w:r w:rsidRPr="001C0AA6">
        <w:rPr>
          <w:rFonts w:ascii="Arial" w:eastAsia="Times New Roman" w:hAnsi="Arial" w:cs="Arial"/>
          <w:b/>
          <w:bCs/>
        </w:rPr>
        <w:t>:</w:t>
      </w:r>
      <w:proofErr w:type="gramEnd"/>
      <w:r w:rsidR="3F441BBD" w:rsidRPr="001C0AA6">
        <w:rPr>
          <w:rFonts w:ascii="Arial" w:hAnsi="Arial" w:cs="Arial"/>
        </w:rPr>
        <w:br/>
      </w:r>
      <w:r w:rsidR="2B6DE95F" w:rsidRPr="001C0AA6">
        <w:rPr>
          <w:rFonts w:ascii="Arial" w:eastAsia="Times New Roman" w:hAnsi="Arial" w:cs="Arial"/>
        </w:rPr>
        <w:t>The working capital in GE has decreased progressively by nearly 43 per cent within 5 years of time, portraying the decline of the liquidity reserves. This contraction implies that the current liabilities are increasing at a higher rate as compared to the current assets which strain on short term solvency. The fall is also worrying considering the concomitant decline in net income and sales.</w:t>
      </w:r>
    </w:p>
    <w:p w14:paraId="5B7E1075" w14:textId="1FB67FB6" w:rsidR="3F441BBD" w:rsidRPr="001C0AA6" w:rsidRDefault="1F7F68A5" w:rsidP="001C0AA6">
      <w:pPr>
        <w:pStyle w:val="Heading3"/>
        <w:spacing w:before="240" w:after="240" w:line="360" w:lineRule="auto"/>
        <w:jc w:val="both"/>
        <w:rPr>
          <w:rFonts w:ascii="Arial" w:eastAsia="Times New Roman" w:hAnsi="Arial" w:cs="Arial"/>
          <w:b/>
          <w:bCs/>
          <w:color w:val="auto"/>
          <w:sz w:val="24"/>
          <w:szCs w:val="24"/>
        </w:rPr>
      </w:pPr>
      <w:bookmarkStart w:id="24" w:name="_Toc1845163545"/>
      <w:r w:rsidRPr="001C0AA6">
        <w:rPr>
          <w:rFonts w:ascii="Arial" w:eastAsia="Times New Roman" w:hAnsi="Arial" w:cs="Arial"/>
          <w:b/>
          <w:bCs/>
          <w:color w:val="auto"/>
          <w:sz w:val="24"/>
          <w:szCs w:val="24"/>
        </w:rPr>
        <w:lastRenderedPageBreak/>
        <w:t>3.3 Components of Working Capital</w:t>
      </w:r>
      <w:bookmarkEnd w:id="24"/>
    </w:p>
    <w:p w14:paraId="1022E007" w14:textId="7CD33222" w:rsidR="3F441BBD" w:rsidRPr="001C0AA6" w:rsidRDefault="1F7F68A5" w:rsidP="001C0AA6">
      <w:pPr>
        <w:pStyle w:val="Heading4"/>
        <w:spacing w:before="319" w:after="319" w:line="360" w:lineRule="auto"/>
        <w:jc w:val="both"/>
        <w:rPr>
          <w:rFonts w:ascii="Arial" w:eastAsia="Times New Roman" w:hAnsi="Arial" w:cs="Arial"/>
          <w:b/>
          <w:bCs/>
          <w:color w:val="auto"/>
        </w:rPr>
      </w:pPr>
      <w:bookmarkStart w:id="25" w:name="_Toc900423547"/>
      <w:r w:rsidRPr="001C0AA6">
        <w:rPr>
          <w:rFonts w:ascii="Arial" w:eastAsia="Times New Roman" w:hAnsi="Arial" w:cs="Arial"/>
          <w:b/>
          <w:bCs/>
          <w:color w:val="auto"/>
        </w:rPr>
        <w:t>3.3.1 Inventory</w:t>
      </w:r>
      <w:bookmarkEnd w:id="25"/>
    </w:p>
    <w:p w14:paraId="7581BE45" w14:textId="0C68AED3" w:rsidR="3F441BBD" w:rsidRPr="001C0AA6" w:rsidRDefault="1C37833C" w:rsidP="001C0AA6">
      <w:pPr>
        <w:spacing w:before="240" w:after="240" w:line="360" w:lineRule="auto"/>
        <w:jc w:val="both"/>
        <w:rPr>
          <w:rFonts w:ascii="Arial" w:eastAsia="Times New Roman" w:hAnsi="Arial" w:cs="Arial"/>
        </w:rPr>
      </w:pPr>
      <w:r w:rsidRPr="001C0AA6">
        <w:rPr>
          <w:rFonts w:ascii="Arial" w:eastAsia="Times New Roman" w:hAnsi="Arial" w:cs="Arial"/>
        </w:rPr>
        <w:t>There have been irregular movements with the inventory levels. Inventory turnover decreased to 2.78 times in 2022, which signals to overstocking and possible obsolescence of electronic parts. This wastage holds down cash in vain. Turnover showed a slight improvement in 20232024 (3.5 times) but it is still lower than the industry averages (5-6 times/year). To prevent capital lock-up, GE will be forced to use leaner inventory policy through incorporation of real time demand forecasting as well as just in time (JIT) systems.</w:t>
      </w:r>
    </w:p>
    <w:p w14:paraId="76908317" w14:textId="7CE38E12" w:rsidR="3F441BBD" w:rsidRPr="001C0AA6" w:rsidRDefault="1F7F68A5" w:rsidP="001C0AA6">
      <w:pPr>
        <w:pStyle w:val="Heading4"/>
        <w:spacing w:before="240" w:after="240" w:line="360" w:lineRule="auto"/>
        <w:jc w:val="both"/>
        <w:rPr>
          <w:rFonts w:ascii="Arial" w:eastAsia="Times New Roman" w:hAnsi="Arial" w:cs="Arial"/>
          <w:b/>
          <w:bCs/>
          <w:color w:val="auto"/>
        </w:rPr>
      </w:pPr>
      <w:bookmarkStart w:id="26" w:name="_Toc1511366390"/>
      <w:r w:rsidRPr="001C0AA6">
        <w:rPr>
          <w:rFonts w:ascii="Arial" w:eastAsia="Times New Roman" w:hAnsi="Arial" w:cs="Arial"/>
          <w:b/>
          <w:bCs/>
          <w:color w:val="auto"/>
        </w:rPr>
        <w:t>3.3.2 Accounts Receivable</w:t>
      </w:r>
      <w:bookmarkEnd w:id="26"/>
    </w:p>
    <w:p w14:paraId="6B6BA2BD" w14:textId="378960BA" w:rsidR="3F441BBD" w:rsidRPr="001C0AA6" w:rsidRDefault="7F0F0229" w:rsidP="001C0AA6">
      <w:pPr>
        <w:spacing w:before="240" w:after="240" w:line="360" w:lineRule="auto"/>
        <w:jc w:val="both"/>
        <w:rPr>
          <w:rFonts w:ascii="Arial" w:eastAsia="Times New Roman" w:hAnsi="Arial" w:cs="Arial"/>
        </w:rPr>
      </w:pPr>
      <w:r w:rsidRPr="001C0AA6">
        <w:rPr>
          <w:rFonts w:ascii="Arial" w:eastAsia="Times New Roman" w:hAnsi="Arial" w:cs="Arial"/>
        </w:rPr>
        <w:t>The receivables turnover ratio dropped by 4.75 in 2020 to 3.46 in 2024 indicating that customers are paying later. This means that there will be an increment of collection period by about 77 days to 105 days. This causes delays that limit the operating cash flow and compels the company to increase dependence on external funding. To enhance liquidity, it is necessary to have a tighter policy on credit control, in the form of early payment discount or penalty on late payment.</w:t>
      </w:r>
    </w:p>
    <w:p w14:paraId="2E3FFD44" w14:textId="27115F53" w:rsidR="3F441BBD" w:rsidRPr="001C0AA6" w:rsidRDefault="1F7F68A5" w:rsidP="001C0AA6">
      <w:pPr>
        <w:pStyle w:val="Heading4"/>
        <w:spacing w:before="240" w:after="240" w:line="360" w:lineRule="auto"/>
        <w:jc w:val="both"/>
        <w:rPr>
          <w:rFonts w:ascii="Arial" w:eastAsia="Times New Roman" w:hAnsi="Arial" w:cs="Arial"/>
          <w:b/>
          <w:bCs/>
          <w:color w:val="auto"/>
        </w:rPr>
      </w:pPr>
      <w:bookmarkStart w:id="27" w:name="_Toc491191553"/>
      <w:r w:rsidRPr="001C0AA6">
        <w:rPr>
          <w:rFonts w:ascii="Arial" w:eastAsia="Times New Roman" w:hAnsi="Arial" w:cs="Arial"/>
          <w:b/>
          <w:bCs/>
          <w:color w:val="auto"/>
        </w:rPr>
        <w:t>3.3.3 Accounts Payable</w:t>
      </w:r>
      <w:bookmarkEnd w:id="27"/>
    </w:p>
    <w:p w14:paraId="2E22FED2" w14:textId="022EFF87" w:rsidR="11B708D8" w:rsidRPr="001C0AA6" w:rsidRDefault="11B708D8" w:rsidP="001C0AA6">
      <w:pPr>
        <w:spacing w:before="240" w:after="240" w:line="360" w:lineRule="auto"/>
        <w:jc w:val="both"/>
        <w:rPr>
          <w:rFonts w:ascii="Arial" w:eastAsia="Times New Roman" w:hAnsi="Arial" w:cs="Arial"/>
        </w:rPr>
      </w:pPr>
      <w:r w:rsidRPr="001C0AA6">
        <w:rPr>
          <w:rFonts w:ascii="Arial" w:eastAsia="Times New Roman" w:hAnsi="Arial" w:cs="Arial"/>
        </w:rPr>
        <w:t>GE has been lengthening the payable to save cash. Although this approach will have short-term relief, it can undermine supplier relations and any possible breakages in the supply chain. The cost of balancing the payables extension with supplier goodwill will be important in ensuring the stability of its operations.</w:t>
      </w:r>
    </w:p>
    <w:p w14:paraId="0917F861" w14:textId="17263EE2" w:rsidR="3F441BBD" w:rsidRPr="001C0AA6" w:rsidRDefault="1F7F68A5" w:rsidP="001C0AA6">
      <w:pPr>
        <w:pStyle w:val="Heading4"/>
        <w:spacing w:before="319" w:after="319" w:line="360" w:lineRule="auto"/>
        <w:jc w:val="both"/>
        <w:rPr>
          <w:rFonts w:ascii="Arial" w:eastAsia="Times New Roman" w:hAnsi="Arial" w:cs="Arial"/>
          <w:b/>
          <w:bCs/>
          <w:color w:val="auto"/>
        </w:rPr>
      </w:pPr>
      <w:bookmarkStart w:id="28" w:name="_Toc252844231"/>
      <w:r w:rsidRPr="001C0AA6">
        <w:rPr>
          <w:rFonts w:ascii="Arial" w:eastAsia="Times New Roman" w:hAnsi="Arial" w:cs="Arial"/>
          <w:b/>
          <w:bCs/>
          <w:color w:val="auto"/>
        </w:rPr>
        <w:t>3.3.4 Cash and Marketable Securities</w:t>
      </w:r>
      <w:bookmarkEnd w:id="28"/>
    </w:p>
    <w:p w14:paraId="575B20BD" w14:textId="6448A6B2" w:rsidR="3BC40808" w:rsidRPr="001C0AA6" w:rsidRDefault="4F300869" w:rsidP="001C0AA6">
      <w:pPr>
        <w:spacing w:before="240" w:after="240" w:line="360" w:lineRule="auto"/>
        <w:jc w:val="both"/>
        <w:rPr>
          <w:rFonts w:ascii="Arial" w:eastAsia="Times New Roman" w:hAnsi="Arial" w:cs="Arial"/>
        </w:rPr>
      </w:pPr>
      <w:r w:rsidRPr="001C0AA6">
        <w:rPr>
          <w:rFonts w:ascii="Arial" w:eastAsia="Times New Roman" w:hAnsi="Arial" w:cs="Arial"/>
        </w:rPr>
        <w:t>The cash balances decreased by 94,492m to 69,492m in 2020 and 2024 respectively as an indication of poor cash generation and rising debt repayment levels. The cash ratio decreased and reached below 0.5, which indicates that the short-term liabilities were less than half covered by cash a clear indication of financial weakness.</w:t>
      </w:r>
    </w:p>
    <w:p w14:paraId="618E3919" w14:textId="5B26BA70" w:rsidR="3F441BBD" w:rsidRPr="001C0AA6" w:rsidRDefault="1F7F68A5" w:rsidP="001C0AA6">
      <w:pPr>
        <w:pStyle w:val="Heading3"/>
        <w:spacing w:before="240" w:after="240" w:line="360" w:lineRule="auto"/>
        <w:jc w:val="both"/>
        <w:rPr>
          <w:rFonts w:ascii="Arial" w:eastAsia="Times New Roman" w:hAnsi="Arial" w:cs="Arial"/>
          <w:b/>
          <w:bCs/>
          <w:color w:val="auto"/>
          <w:sz w:val="24"/>
          <w:szCs w:val="24"/>
        </w:rPr>
      </w:pPr>
      <w:bookmarkStart w:id="29" w:name="_Toc30870734"/>
      <w:r w:rsidRPr="001C0AA6">
        <w:rPr>
          <w:rFonts w:ascii="Arial" w:eastAsia="Times New Roman" w:hAnsi="Arial" w:cs="Arial"/>
          <w:b/>
          <w:bCs/>
          <w:color w:val="auto"/>
          <w:sz w:val="24"/>
          <w:szCs w:val="24"/>
        </w:rPr>
        <w:lastRenderedPageBreak/>
        <w:t>3.4 Cash Conversion Cycle (CCC)</w:t>
      </w:r>
      <w:bookmarkEnd w:id="29"/>
    </w:p>
    <w:p w14:paraId="02B1D774" w14:textId="365391D6" w:rsidR="400AA070" w:rsidRPr="001C0AA6" w:rsidRDefault="400AA070" w:rsidP="001C0AA6">
      <w:pPr>
        <w:spacing w:before="240" w:after="240" w:line="360" w:lineRule="auto"/>
        <w:jc w:val="both"/>
        <w:rPr>
          <w:rFonts w:ascii="Arial" w:eastAsia="Times New Roman" w:hAnsi="Arial" w:cs="Arial"/>
        </w:rPr>
      </w:pPr>
      <w:r w:rsidRPr="001C0AA6">
        <w:rPr>
          <w:rFonts w:ascii="Arial" w:eastAsia="Times New Roman" w:hAnsi="Arial" w:cs="Arial"/>
        </w:rPr>
        <w:t>The Cash Conversion Cycle is a measurement that is used to determine the time it requires a business to transform the investments in inventory and other resources into the cash flow of sales:</w:t>
      </w:r>
    </w:p>
    <w:p w14:paraId="197F01FB" w14:textId="4C7EB930" w:rsidR="2CBB52DE" w:rsidRPr="001C0AA6" w:rsidRDefault="2CBB52DE" w:rsidP="001C0AA6">
      <w:pPr>
        <w:spacing w:before="240" w:after="240" w:line="360" w:lineRule="auto"/>
        <w:rPr>
          <w:rFonts w:ascii="Arial" w:eastAsia="Times New Roman" w:hAnsi="Arial" w:cs="Arial"/>
        </w:rPr>
      </w:pPr>
      <w:r w:rsidRPr="001C0AA6">
        <w:rPr>
          <w:rFonts w:ascii="Arial" w:eastAsia="Times New Roman" w:hAnsi="Arial" w:cs="Arial"/>
        </w:rPr>
        <w:t>CCC=Days Inventory Outstanding (DIO</w:t>
      </w:r>
      <w:proofErr w:type="gramStart"/>
      <w:r w:rsidRPr="001C0AA6">
        <w:rPr>
          <w:rFonts w:ascii="Arial" w:eastAsia="Times New Roman" w:hAnsi="Arial" w:cs="Arial"/>
        </w:rPr>
        <w:t>)+</w:t>
      </w:r>
      <w:proofErr w:type="gramEnd"/>
      <w:r w:rsidRPr="001C0AA6">
        <w:rPr>
          <w:rFonts w:ascii="Arial" w:eastAsia="Times New Roman" w:hAnsi="Arial" w:cs="Arial"/>
        </w:rPr>
        <w:t>Days Sales Outstanding (DSO)−Days Payables Outstanding (DPO)</w:t>
      </w:r>
    </w:p>
    <w:tbl>
      <w:tblPr>
        <w:tblStyle w:val="PlainTable2"/>
        <w:tblW w:w="9515" w:type="dxa"/>
        <w:tblLayout w:type="fixed"/>
        <w:tblLook w:val="06A0" w:firstRow="1" w:lastRow="0" w:firstColumn="1" w:lastColumn="0" w:noHBand="1" w:noVBand="1"/>
      </w:tblPr>
      <w:tblGrid>
        <w:gridCol w:w="2205"/>
        <w:gridCol w:w="1680"/>
        <w:gridCol w:w="1830"/>
        <w:gridCol w:w="2208"/>
        <w:gridCol w:w="1592"/>
      </w:tblGrid>
      <w:tr w:rsidR="3BC40808" w:rsidRPr="001C0AA6" w14:paraId="3377D62A" w14:textId="77777777" w:rsidTr="79227F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05" w:type="dxa"/>
          </w:tcPr>
          <w:p w14:paraId="4A42013B" w14:textId="1F96DC33"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Year</w:t>
            </w:r>
          </w:p>
        </w:tc>
        <w:tc>
          <w:tcPr>
            <w:tcW w:w="1680" w:type="dxa"/>
          </w:tcPr>
          <w:p w14:paraId="0882F04C" w14:textId="3A583B81" w:rsidR="3BC40808" w:rsidRPr="001C0AA6" w:rsidRDefault="1B422081" w:rsidP="001C0A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DIO</w:t>
            </w:r>
          </w:p>
        </w:tc>
        <w:tc>
          <w:tcPr>
            <w:tcW w:w="1830" w:type="dxa"/>
          </w:tcPr>
          <w:p w14:paraId="7D9BEA29" w14:textId="3734FA26" w:rsidR="3BC40808" w:rsidRPr="001C0AA6" w:rsidRDefault="1B422081" w:rsidP="001C0A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DSO</w:t>
            </w:r>
          </w:p>
        </w:tc>
        <w:tc>
          <w:tcPr>
            <w:tcW w:w="2208" w:type="dxa"/>
          </w:tcPr>
          <w:p w14:paraId="5092AA11" w14:textId="0B1472B9" w:rsidR="3BC40808" w:rsidRPr="001C0AA6" w:rsidRDefault="1B422081" w:rsidP="001C0A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DPO</w:t>
            </w:r>
          </w:p>
        </w:tc>
        <w:tc>
          <w:tcPr>
            <w:tcW w:w="1592" w:type="dxa"/>
          </w:tcPr>
          <w:p w14:paraId="7352632B" w14:textId="51C944D1" w:rsidR="3BC40808" w:rsidRPr="001C0AA6" w:rsidRDefault="1B422081" w:rsidP="001C0A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CCC (days)</w:t>
            </w:r>
          </w:p>
        </w:tc>
      </w:tr>
      <w:tr w:rsidR="3BC40808" w:rsidRPr="001C0AA6" w14:paraId="156BB578"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205" w:type="dxa"/>
          </w:tcPr>
          <w:p w14:paraId="3E9905B7" w14:textId="6562C4EE"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2020</w:t>
            </w:r>
          </w:p>
        </w:tc>
        <w:tc>
          <w:tcPr>
            <w:tcW w:w="1680" w:type="dxa"/>
          </w:tcPr>
          <w:p w14:paraId="78DB445B" w14:textId="6B344272"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100</w:t>
            </w:r>
          </w:p>
        </w:tc>
        <w:tc>
          <w:tcPr>
            <w:tcW w:w="1830" w:type="dxa"/>
          </w:tcPr>
          <w:p w14:paraId="0FA4AE1F" w14:textId="2E9F5F35"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77</w:t>
            </w:r>
          </w:p>
        </w:tc>
        <w:tc>
          <w:tcPr>
            <w:tcW w:w="2208" w:type="dxa"/>
          </w:tcPr>
          <w:p w14:paraId="3C718EA0" w14:textId="7D8B933B"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60</w:t>
            </w:r>
          </w:p>
        </w:tc>
        <w:tc>
          <w:tcPr>
            <w:tcW w:w="1592" w:type="dxa"/>
          </w:tcPr>
          <w:p w14:paraId="3E9C6591" w14:textId="23548827"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117</w:t>
            </w:r>
          </w:p>
        </w:tc>
      </w:tr>
      <w:tr w:rsidR="3BC40808" w:rsidRPr="001C0AA6" w14:paraId="52301FE8"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205" w:type="dxa"/>
          </w:tcPr>
          <w:p w14:paraId="07C7A8D6" w14:textId="7FF76DAF"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2021</w:t>
            </w:r>
          </w:p>
        </w:tc>
        <w:tc>
          <w:tcPr>
            <w:tcW w:w="1680" w:type="dxa"/>
          </w:tcPr>
          <w:p w14:paraId="58DD8811" w14:textId="5E6124E6"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115</w:t>
            </w:r>
          </w:p>
        </w:tc>
        <w:tc>
          <w:tcPr>
            <w:tcW w:w="1830" w:type="dxa"/>
          </w:tcPr>
          <w:p w14:paraId="7DF86A69" w14:textId="413BBBD5"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78</w:t>
            </w:r>
          </w:p>
        </w:tc>
        <w:tc>
          <w:tcPr>
            <w:tcW w:w="2208" w:type="dxa"/>
          </w:tcPr>
          <w:p w14:paraId="5DD44E41" w14:textId="2B3DFE8E"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65</w:t>
            </w:r>
          </w:p>
        </w:tc>
        <w:tc>
          <w:tcPr>
            <w:tcW w:w="1592" w:type="dxa"/>
          </w:tcPr>
          <w:p w14:paraId="5F247456" w14:textId="4BB3DF8A"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128</w:t>
            </w:r>
          </w:p>
        </w:tc>
      </w:tr>
      <w:tr w:rsidR="3BC40808" w:rsidRPr="001C0AA6" w14:paraId="465CE702"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205" w:type="dxa"/>
          </w:tcPr>
          <w:p w14:paraId="20D68BB6" w14:textId="7172BC91"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2022</w:t>
            </w:r>
          </w:p>
        </w:tc>
        <w:tc>
          <w:tcPr>
            <w:tcW w:w="1680" w:type="dxa"/>
          </w:tcPr>
          <w:p w14:paraId="3A92D2F0" w14:textId="6D4F2975"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130</w:t>
            </w:r>
          </w:p>
        </w:tc>
        <w:tc>
          <w:tcPr>
            <w:tcW w:w="1830" w:type="dxa"/>
          </w:tcPr>
          <w:p w14:paraId="41E2EBCE" w14:textId="5DC6B9CC"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76</w:t>
            </w:r>
          </w:p>
        </w:tc>
        <w:tc>
          <w:tcPr>
            <w:tcW w:w="2208" w:type="dxa"/>
          </w:tcPr>
          <w:p w14:paraId="4046570F" w14:textId="02D5B51D"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70</w:t>
            </w:r>
          </w:p>
        </w:tc>
        <w:tc>
          <w:tcPr>
            <w:tcW w:w="1592" w:type="dxa"/>
          </w:tcPr>
          <w:p w14:paraId="5D6A08B3" w14:textId="2BE41691"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136</w:t>
            </w:r>
          </w:p>
        </w:tc>
      </w:tr>
      <w:tr w:rsidR="3BC40808" w:rsidRPr="001C0AA6" w14:paraId="78A49CD9"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205" w:type="dxa"/>
          </w:tcPr>
          <w:p w14:paraId="4ECFE4A5" w14:textId="015EFF00"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2023</w:t>
            </w:r>
          </w:p>
        </w:tc>
        <w:tc>
          <w:tcPr>
            <w:tcW w:w="1680" w:type="dxa"/>
          </w:tcPr>
          <w:p w14:paraId="77323DEF" w14:textId="40BC32BD"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100</w:t>
            </w:r>
          </w:p>
        </w:tc>
        <w:tc>
          <w:tcPr>
            <w:tcW w:w="1830" w:type="dxa"/>
          </w:tcPr>
          <w:p w14:paraId="6A2D088C" w14:textId="1F9B8B45"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98</w:t>
            </w:r>
          </w:p>
        </w:tc>
        <w:tc>
          <w:tcPr>
            <w:tcW w:w="2208" w:type="dxa"/>
          </w:tcPr>
          <w:p w14:paraId="7714ADCC" w14:textId="78BFE319"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75</w:t>
            </w:r>
          </w:p>
        </w:tc>
        <w:tc>
          <w:tcPr>
            <w:tcW w:w="1592" w:type="dxa"/>
          </w:tcPr>
          <w:p w14:paraId="0D82C598" w14:textId="79096A45"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123</w:t>
            </w:r>
          </w:p>
        </w:tc>
      </w:tr>
      <w:tr w:rsidR="3BC40808" w:rsidRPr="001C0AA6" w14:paraId="07417974"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205" w:type="dxa"/>
          </w:tcPr>
          <w:p w14:paraId="2792DE67" w14:textId="5EF85932" w:rsidR="3BC40808" w:rsidRPr="001C0AA6" w:rsidRDefault="1B422081" w:rsidP="001C0AA6">
            <w:pPr>
              <w:spacing w:line="360" w:lineRule="auto"/>
              <w:jc w:val="center"/>
              <w:rPr>
                <w:rFonts w:ascii="Arial" w:eastAsia="Times New Roman" w:hAnsi="Arial" w:cs="Arial"/>
              </w:rPr>
            </w:pPr>
            <w:r w:rsidRPr="001C0AA6">
              <w:rPr>
                <w:rFonts w:ascii="Arial" w:eastAsia="Times New Roman" w:hAnsi="Arial" w:cs="Arial"/>
              </w:rPr>
              <w:t>2024</w:t>
            </w:r>
          </w:p>
        </w:tc>
        <w:tc>
          <w:tcPr>
            <w:tcW w:w="1680" w:type="dxa"/>
          </w:tcPr>
          <w:p w14:paraId="199BA1B6" w14:textId="339D3F21"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103</w:t>
            </w:r>
          </w:p>
        </w:tc>
        <w:tc>
          <w:tcPr>
            <w:tcW w:w="1830" w:type="dxa"/>
          </w:tcPr>
          <w:p w14:paraId="44C6ECDF" w14:textId="3B4D06AE"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105</w:t>
            </w:r>
          </w:p>
        </w:tc>
        <w:tc>
          <w:tcPr>
            <w:tcW w:w="2208" w:type="dxa"/>
          </w:tcPr>
          <w:p w14:paraId="789DF3D9" w14:textId="161E6305"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77</w:t>
            </w:r>
          </w:p>
        </w:tc>
        <w:tc>
          <w:tcPr>
            <w:tcW w:w="1592" w:type="dxa"/>
          </w:tcPr>
          <w:p w14:paraId="77179E58" w14:textId="7DDAC755" w:rsidR="3BC40808" w:rsidRPr="001C0AA6" w:rsidRDefault="1B422081" w:rsidP="001C0AA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131</w:t>
            </w:r>
          </w:p>
        </w:tc>
      </w:tr>
    </w:tbl>
    <w:p w14:paraId="5455E4A3" w14:textId="11697275" w:rsidR="3F441BBD" w:rsidRPr="001C0AA6" w:rsidRDefault="1F7F68A5" w:rsidP="001C0AA6">
      <w:pPr>
        <w:spacing w:before="240" w:after="240" w:line="360" w:lineRule="auto"/>
        <w:jc w:val="both"/>
        <w:rPr>
          <w:rFonts w:ascii="Arial" w:eastAsia="Times New Roman" w:hAnsi="Arial" w:cs="Arial"/>
          <w:b/>
          <w:bCs/>
        </w:rPr>
      </w:pPr>
      <w:r w:rsidRPr="001C0AA6">
        <w:rPr>
          <w:rFonts w:ascii="Arial" w:eastAsia="Times New Roman" w:hAnsi="Arial" w:cs="Arial"/>
          <w:b/>
          <w:bCs/>
        </w:rPr>
        <w:t>Interpretation:</w:t>
      </w:r>
    </w:p>
    <w:p w14:paraId="6D56F624" w14:textId="3BC7B1FA" w:rsidR="3F441BBD" w:rsidRPr="001C0AA6" w:rsidRDefault="502E94CB" w:rsidP="001C0AA6">
      <w:pPr>
        <w:spacing w:before="281" w:after="281" w:line="360" w:lineRule="auto"/>
        <w:jc w:val="both"/>
        <w:rPr>
          <w:rFonts w:ascii="Arial" w:eastAsia="Times New Roman" w:hAnsi="Arial" w:cs="Arial"/>
        </w:rPr>
      </w:pPr>
      <w:r w:rsidRPr="001C0AA6">
        <w:rPr>
          <w:rFonts w:ascii="Arial" w:eastAsia="Times New Roman" w:hAnsi="Arial" w:cs="Arial"/>
        </w:rPr>
        <w:t>The cash conversion cycle is also still long, 127 days on average, as opposed to the 80 90 days in the industry. This implies that GE cannot realize its cash over a period of over four months in operations that worsens liquidity pressure. One of the financial priorities should be the reduction of the CCC - which can be done through tightening the credit policy, better sales forecasting and better terms with suppliers.</w:t>
      </w:r>
    </w:p>
    <w:p w14:paraId="4E6AA894" w14:textId="75EA4076" w:rsidR="3F441BBD" w:rsidRPr="001C0AA6" w:rsidRDefault="1F7F68A5" w:rsidP="001C0AA6">
      <w:pPr>
        <w:pStyle w:val="Heading3"/>
        <w:spacing w:before="281" w:after="281" w:line="360" w:lineRule="auto"/>
        <w:jc w:val="both"/>
        <w:rPr>
          <w:rFonts w:ascii="Arial" w:eastAsia="Times New Roman" w:hAnsi="Arial" w:cs="Arial"/>
          <w:b/>
          <w:bCs/>
          <w:color w:val="auto"/>
          <w:sz w:val="24"/>
          <w:szCs w:val="24"/>
        </w:rPr>
      </w:pPr>
      <w:bookmarkStart w:id="30" w:name="_Toc1168153524"/>
      <w:r w:rsidRPr="001C0AA6">
        <w:rPr>
          <w:rFonts w:ascii="Arial" w:eastAsia="Times New Roman" w:hAnsi="Arial" w:cs="Arial"/>
          <w:b/>
          <w:bCs/>
          <w:color w:val="auto"/>
          <w:sz w:val="24"/>
          <w:szCs w:val="24"/>
        </w:rPr>
        <w:t>3.5 Liquidity Management Strategy</w:t>
      </w:r>
      <w:bookmarkEnd w:id="30"/>
    </w:p>
    <w:p w14:paraId="15D0D724" w14:textId="07BF21DA" w:rsidR="3BC40808" w:rsidRPr="001C0AA6" w:rsidRDefault="6BBB5263" w:rsidP="001C0AA6">
      <w:pPr>
        <w:spacing w:before="240" w:after="240" w:line="360" w:lineRule="auto"/>
        <w:jc w:val="both"/>
        <w:rPr>
          <w:rFonts w:ascii="Arial" w:eastAsia="system-ui" w:hAnsi="Arial" w:cs="Arial"/>
          <w:color w:val="111111"/>
        </w:rPr>
      </w:pPr>
      <w:r w:rsidRPr="001C0AA6">
        <w:rPr>
          <w:rFonts w:ascii="Arial" w:eastAsia="Times New Roman" w:hAnsi="Arial" w:cs="Arial"/>
        </w:rPr>
        <w:t>Although with the current ratio of over 1.5, GE still has a quick ratio of approximately 1.0 that indicates that the company had minimal liquid assets on excluding inventories. The fact that this scenario is how it looks on the paper but still, the liquidity of the firm is on the edge implies that it is solvent, albeit in the short term. The revolving credit facilities and short-term borrowings have been overly relied on to cover the gaps in cash flows by the company.</w:t>
      </w:r>
    </w:p>
    <w:p w14:paraId="6F7BA03D" w14:textId="2E990027" w:rsidR="3BC40808" w:rsidRPr="001C0AA6" w:rsidRDefault="3CC13062" w:rsidP="001C0AA6">
      <w:pPr>
        <w:spacing w:before="240" w:after="240" w:line="360" w:lineRule="auto"/>
        <w:jc w:val="both"/>
        <w:rPr>
          <w:rFonts w:ascii="Arial" w:eastAsia="Times New Roman" w:hAnsi="Arial" w:cs="Arial"/>
          <w:color w:val="111111"/>
        </w:rPr>
      </w:pPr>
      <w:r w:rsidRPr="001C0AA6">
        <w:rPr>
          <w:rFonts w:ascii="Arial" w:eastAsia="Times New Roman" w:hAnsi="Arial" w:cs="Arial"/>
          <w:color w:val="111111"/>
        </w:rPr>
        <w:lastRenderedPageBreak/>
        <w:t xml:space="preserve">A centralized system of cash management would enable real-time inflows and outflows which would enhance working capital efficiency at </w:t>
      </w:r>
      <w:proofErr w:type="gramStart"/>
      <w:r w:rsidRPr="001C0AA6">
        <w:rPr>
          <w:rFonts w:ascii="Arial" w:eastAsia="Times New Roman" w:hAnsi="Arial" w:cs="Arial"/>
          <w:color w:val="111111"/>
        </w:rPr>
        <w:t>divisions</w:t>
      </w:r>
      <w:proofErr w:type="gramEnd"/>
      <w:r w:rsidRPr="001C0AA6">
        <w:rPr>
          <w:rFonts w:ascii="Arial" w:eastAsia="Times New Roman" w:hAnsi="Arial" w:cs="Arial"/>
          <w:color w:val="111111"/>
        </w:rPr>
        <w:t xml:space="preserve"> level.</w:t>
      </w:r>
    </w:p>
    <w:p w14:paraId="7F35A1E8" w14:textId="6CF1A30D" w:rsidR="3BC40808" w:rsidRPr="001C0AA6" w:rsidRDefault="3CC13062" w:rsidP="001C0AA6">
      <w:pPr>
        <w:pStyle w:val="ListParagraph"/>
        <w:numPr>
          <w:ilvl w:val="0"/>
          <w:numId w:val="18"/>
        </w:numPr>
        <w:spacing w:before="240" w:after="240" w:line="360" w:lineRule="auto"/>
        <w:jc w:val="both"/>
        <w:rPr>
          <w:rFonts w:ascii="Arial" w:eastAsia="Times New Roman" w:hAnsi="Arial" w:cs="Arial"/>
        </w:rPr>
      </w:pPr>
      <w:r w:rsidRPr="001C0AA6">
        <w:rPr>
          <w:rFonts w:ascii="Arial" w:eastAsia="Times New Roman" w:hAnsi="Arial" w:cs="Arial"/>
          <w:b/>
          <w:bCs/>
        </w:rPr>
        <w:t xml:space="preserve">Receivables Factoring: </w:t>
      </w:r>
      <w:r w:rsidRPr="001C0AA6">
        <w:rPr>
          <w:rFonts w:ascii="Arial" w:eastAsia="Times New Roman" w:hAnsi="Arial" w:cs="Arial"/>
          <w:color w:val="111111"/>
        </w:rPr>
        <w:t>By selling part of the receivables to financial institutions, one might raise cash immediately although at a discount to ease financing pressure.</w:t>
      </w:r>
      <w:r w:rsidRPr="001C0AA6">
        <w:rPr>
          <w:rFonts w:ascii="Arial" w:eastAsia="Times New Roman" w:hAnsi="Arial" w:cs="Arial"/>
        </w:rPr>
        <w:t xml:space="preserve"> </w:t>
      </w:r>
    </w:p>
    <w:p w14:paraId="1884E9AA" w14:textId="198B9007" w:rsidR="3BC40808" w:rsidRPr="001C0AA6" w:rsidRDefault="3CC13062" w:rsidP="001C0AA6">
      <w:pPr>
        <w:pStyle w:val="ListParagraph"/>
        <w:numPr>
          <w:ilvl w:val="0"/>
          <w:numId w:val="18"/>
        </w:numPr>
        <w:spacing w:before="240" w:after="240" w:line="360" w:lineRule="auto"/>
        <w:jc w:val="both"/>
        <w:rPr>
          <w:rFonts w:ascii="Arial" w:eastAsia="Times New Roman" w:hAnsi="Arial" w:cs="Arial"/>
        </w:rPr>
      </w:pPr>
      <w:r w:rsidRPr="001C0AA6">
        <w:rPr>
          <w:rFonts w:ascii="Arial" w:eastAsia="Times New Roman" w:hAnsi="Arial" w:cs="Arial"/>
          <w:b/>
          <w:bCs/>
        </w:rPr>
        <w:t xml:space="preserve">Supplier Financing Program: </w:t>
      </w:r>
      <w:r w:rsidRPr="001C0AA6">
        <w:rPr>
          <w:rFonts w:ascii="Arial" w:eastAsia="Times New Roman" w:hAnsi="Arial" w:cs="Arial"/>
          <w:color w:val="111111"/>
        </w:rPr>
        <w:t>GE could also extend its payables without damaging the relationships with suppliers using reverse factoring because third-party lenders would provide suppliers with early payments.</w:t>
      </w:r>
      <w:r w:rsidRPr="001C0AA6">
        <w:rPr>
          <w:rFonts w:ascii="Arial" w:eastAsia="Times New Roman" w:hAnsi="Arial" w:cs="Arial"/>
        </w:rPr>
        <w:t xml:space="preserve"> </w:t>
      </w:r>
    </w:p>
    <w:p w14:paraId="39FC7FF4" w14:textId="4FC82DBF" w:rsidR="3BC40808" w:rsidRPr="001C0AA6" w:rsidRDefault="3CC13062" w:rsidP="001C0AA6">
      <w:pPr>
        <w:pStyle w:val="ListParagraph"/>
        <w:numPr>
          <w:ilvl w:val="0"/>
          <w:numId w:val="18"/>
        </w:numPr>
        <w:spacing w:before="240" w:after="240" w:line="360" w:lineRule="auto"/>
        <w:jc w:val="both"/>
        <w:rPr>
          <w:rFonts w:ascii="Arial" w:eastAsia="Times New Roman" w:hAnsi="Arial" w:cs="Arial"/>
          <w:color w:val="111111"/>
        </w:rPr>
      </w:pPr>
      <w:r w:rsidRPr="001C0AA6">
        <w:rPr>
          <w:rFonts w:ascii="Arial" w:eastAsia="Times New Roman" w:hAnsi="Arial" w:cs="Arial"/>
          <w:b/>
          <w:bCs/>
        </w:rPr>
        <w:t>Dynamic Cash Forecasting:</w:t>
      </w:r>
      <w:r w:rsidRPr="001C0AA6">
        <w:rPr>
          <w:rFonts w:ascii="Arial" w:eastAsia="Times New Roman" w:hAnsi="Arial" w:cs="Arial"/>
        </w:rPr>
        <w:t xml:space="preserve"> </w:t>
      </w:r>
      <w:r w:rsidRPr="001C0AA6">
        <w:rPr>
          <w:rFonts w:ascii="Arial" w:eastAsia="Times New Roman" w:hAnsi="Arial" w:cs="Arial"/>
          <w:color w:val="111111"/>
        </w:rPr>
        <w:t>The implementation of predictive analytics to predict cash inflows/outflows would reduce idle cash and avoid a temporary liquidity shortfall.</w:t>
      </w:r>
    </w:p>
    <w:p w14:paraId="263D2BBB" w14:textId="3F5694F2" w:rsidR="3F441BBD" w:rsidRPr="001C0AA6" w:rsidRDefault="1F7F68A5" w:rsidP="001C0AA6">
      <w:pPr>
        <w:pStyle w:val="Heading3"/>
        <w:spacing w:before="240" w:after="240" w:line="360" w:lineRule="auto"/>
        <w:jc w:val="both"/>
        <w:rPr>
          <w:rFonts w:ascii="Arial" w:eastAsia="Times New Roman" w:hAnsi="Arial" w:cs="Arial"/>
          <w:b/>
          <w:bCs/>
          <w:color w:val="auto"/>
          <w:sz w:val="24"/>
          <w:szCs w:val="24"/>
        </w:rPr>
      </w:pPr>
      <w:bookmarkStart w:id="31" w:name="_Toc351631939"/>
      <w:r w:rsidRPr="001C0AA6">
        <w:rPr>
          <w:rFonts w:ascii="Arial" w:eastAsia="Times New Roman" w:hAnsi="Arial" w:cs="Arial"/>
          <w:b/>
          <w:bCs/>
          <w:color w:val="auto"/>
          <w:sz w:val="24"/>
          <w:szCs w:val="24"/>
        </w:rPr>
        <w:t>3.6 Financing Mix and Short-term Borrowing</w:t>
      </w:r>
      <w:bookmarkEnd w:id="31"/>
    </w:p>
    <w:p w14:paraId="7B34C1A1" w14:textId="257177E6" w:rsidR="3BC40808" w:rsidRPr="001C0AA6" w:rsidRDefault="56C27C0A" w:rsidP="001C0AA6">
      <w:pPr>
        <w:spacing w:before="240" w:after="240" w:line="360" w:lineRule="auto"/>
        <w:jc w:val="both"/>
        <w:rPr>
          <w:rFonts w:ascii="Arial" w:eastAsia="Times New Roman" w:hAnsi="Arial" w:cs="Arial"/>
        </w:rPr>
      </w:pPr>
      <w:r w:rsidRPr="001C0AA6">
        <w:rPr>
          <w:rFonts w:ascii="Arial" w:eastAsia="Times New Roman" w:hAnsi="Arial" w:cs="Arial"/>
        </w:rPr>
        <w:t>In 2023-2024, GE has affected short-term borrowing significantly because internal cash flow is lower. The increase in the short-term debt together with decreasing equity has aggravated the debt-to-equity ratio (1.11). This increasing reliance on short term financing exposes GE to the risks of refinancing and changes in interest rates. GE will have to reorganize its capital base to avoid this risk. Through conversion of some of the short-term liabilities into long-term debts or equity financing, the firm will be able to stabilize its capital structure, reduce interest payment, and prevent liquidity crunch.</w:t>
      </w:r>
    </w:p>
    <w:p w14:paraId="217E1F16" w14:textId="7D5D8D71" w:rsidR="3F441BBD" w:rsidRPr="001C0AA6" w:rsidRDefault="1F7F68A5" w:rsidP="001C0AA6">
      <w:pPr>
        <w:pStyle w:val="Heading3"/>
        <w:spacing w:before="240" w:after="240" w:line="360" w:lineRule="auto"/>
        <w:jc w:val="both"/>
        <w:rPr>
          <w:rFonts w:ascii="Arial" w:eastAsia="Times New Roman" w:hAnsi="Arial" w:cs="Arial"/>
          <w:b/>
          <w:bCs/>
          <w:color w:val="auto"/>
          <w:sz w:val="24"/>
          <w:szCs w:val="24"/>
        </w:rPr>
      </w:pPr>
      <w:bookmarkStart w:id="32" w:name="_Toc568248444"/>
      <w:r w:rsidRPr="001C0AA6">
        <w:rPr>
          <w:rFonts w:ascii="Arial" w:eastAsia="Times New Roman" w:hAnsi="Arial" w:cs="Arial"/>
          <w:b/>
          <w:bCs/>
          <w:color w:val="auto"/>
          <w:sz w:val="24"/>
          <w:szCs w:val="24"/>
        </w:rPr>
        <w:t>3.7 Evaluation of Working Capital Policy</w:t>
      </w:r>
      <w:bookmarkEnd w:id="32"/>
    </w:p>
    <w:p w14:paraId="3636F98D" w14:textId="3E8B0DA2" w:rsidR="3F441BBD" w:rsidRPr="001C0AA6" w:rsidRDefault="44156563" w:rsidP="001C0AA6">
      <w:pPr>
        <w:spacing w:before="240" w:after="240" w:line="360" w:lineRule="auto"/>
        <w:jc w:val="both"/>
        <w:rPr>
          <w:rFonts w:ascii="Arial" w:eastAsia="Times New Roman" w:hAnsi="Arial" w:cs="Arial"/>
        </w:rPr>
      </w:pPr>
      <w:r w:rsidRPr="001C0AA6">
        <w:rPr>
          <w:rFonts w:ascii="Arial" w:eastAsia="Times New Roman" w:hAnsi="Arial" w:cs="Arial"/>
        </w:rPr>
        <w:t>The current working capital policy adopted by GE can be described as aggressive in nature - low current assets in comparison to the current liabilities. This can be beneficial in the case of growth in terms of reducing returns on capital but in a mobile falling profitability situation, it is risky. The company does not have adequate buffer liquidity to absorb operational shocks. Consequently, GE needs to change the working capital policy to moderate (between liquidity and profitability).</w:t>
      </w:r>
    </w:p>
    <w:p w14:paraId="0BE99FBB" w14:textId="6D4AB0A5" w:rsidR="3F441BBD" w:rsidRPr="001C0AA6" w:rsidRDefault="1F7F68A5" w:rsidP="001C0AA6">
      <w:pPr>
        <w:spacing w:before="240" w:after="240" w:line="360" w:lineRule="auto"/>
        <w:jc w:val="both"/>
        <w:rPr>
          <w:rFonts w:ascii="Arial" w:eastAsia="Times New Roman" w:hAnsi="Arial" w:cs="Arial"/>
        </w:rPr>
      </w:pPr>
      <w:r w:rsidRPr="001C0AA6">
        <w:rPr>
          <w:rFonts w:ascii="Arial" w:eastAsia="Times New Roman" w:hAnsi="Arial" w:cs="Arial"/>
        </w:rPr>
        <w:t>Key corrective actions should include:</w:t>
      </w:r>
    </w:p>
    <w:p w14:paraId="5503D574" w14:textId="4ACD9581" w:rsidR="3F441BBD" w:rsidRPr="001C0AA6" w:rsidRDefault="1F7F68A5" w:rsidP="001C0AA6">
      <w:pPr>
        <w:pStyle w:val="ListParagraph"/>
        <w:numPr>
          <w:ilvl w:val="0"/>
          <w:numId w:val="17"/>
        </w:numPr>
        <w:spacing w:before="240" w:after="240" w:line="360" w:lineRule="auto"/>
        <w:rPr>
          <w:rFonts w:ascii="Arial" w:eastAsia="Times New Roman" w:hAnsi="Arial" w:cs="Arial"/>
        </w:rPr>
      </w:pPr>
      <w:r w:rsidRPr="001C0AA6">
        <w:rPr>
          <w:rFonts w:ascii="Arial" w:eastAsia="Times New Roman" w:hAnsi="Arial" w:cs="Arial"/>
        </w:rPr>
        <w:lastRenderedPageBreak/>
        <w:t xml:space="preserve">Reducing the cash conversion cycle </w:t>
      </w:r>
      <w:r w:rsidR="6F788A8C" w:rsidRPr="001C0AA6">
        <w:rPr>
          <w:rFonts w:ascii="Arial" w:eastAsia="Times New Roman" w:hAnsi="Arial" w:cs="Arial"/>
        </w:rPr>
        <w:t>to</w:t>
      </w:r>
      <w:r w:rsidRPr="001C0AA6">
        <w:rPr>
          <w:rFonts w:ascii="Arial" w:eastAsia="Times New Roman" w:hAnsi="Arial" w:cs="Arial"/>
        </w:rPr>
        <w:t xml:space="preserve"> 100 days.</w:t>
      </w:r>
    </w:p>
    <w:p w14:paraId="7F13DEBB" w14:textId="56E3DF54" w:rsidR="3F441BBD" w:rsidRPr="001C0AA6" w:rsidRDefault="1F7F68A5" w:rsidP="001C0AA6">
      <w:pPr>
        <w:pStyle w:val="ListParagraph"/>
        <w:numPr>
          <w:ilvl w:val="0"/>
          <w:numId w:val="17"/>
        </w:numPr>
        <w:spacing w:before="240" w:after="240" w:line="360" w:lineRule="auto"/>
        <w:rPr>
          <w:rFonts w:ascii="Arial" w:eastAsia="Times New Roman" w:hAnsi="Arial" w:cs="Arial"/>
        </w:rPr>
      </w:pPr>
      <w:r w:rsidRPr="001C0AA6">
        <w:rPr>
          <w:rFonts w:ascii="Arial" w:eastAsia="Times New Roman" w:hAnsi="Arial" w:cs="Arial"/>
        </w:rPr>
        <w:t>Setting a minimum quick ratio of 1.2.</w:t>
      </w:r>
    </w:p>
    <w:p w14:paraId="751EC162" w14:textId="14527EB6" w:rsidR="3F441BBD" w:rsidRPr="001C0AA6" w:rsidRDefault="1F7F68A5" w:rsidP="001C0AA6">
      <w:pPr>
        <w:pStyle w:val="ListParagraph"/>
        <w:numPr>
          <w:ilvl w:val="0"/>
          <w:numId w:val="17"/>
        </w:numPr>
        <w:spacing w:before="240" w:after="240" w:line="360" w:lineRule="auto"/>
        <w:rPr>
          <w:rFonts w:ascii="Arial" w:eastAsia="Times New Roman" w:hAnsi="Arial" w:cs="Arial"/>
        </w:rPr>
      </w:pPr>
      <w:r w:rsidRPr="001C0AA6">
        <w:rPr>
          <w:rFonts w:ascii="Arial" w:eastAsia="Times New Roman" w:hAnsi="Arial" w:cs="Arial"/>
        </w:rPr>
        <w:t>Implementing digital receivable tracking for timely collections.</w:t>
      </w:r>
    </w:p>
    <w:p w14:paraId="4E21464C" w14:textId="5B034AA4" w:rsidR="3F441BBD" w:rsidRPr="001C0AA6" w:rsidRDefault="1F7F68A5" w:rsidP="001C0AA6">
      <w:pPr>
        <w:pStyle w:val="ListParagraph"/>
        <w:numPr>
          <w:ilvl w:val="0"/>
          <w:numId w:val="17"/>
        </w:numPr>
        <w:spacing w:before="240" w:after="240" w:line="360" w:lineRule="auto"/>
        <w:rPr>
          <w:rFonts w:ascii="Arial" w:eastAsia="Times New Roman" w:hAnsi="Arial" w:cs="Arial"/>
        </w:rPr>
      </w:pPr>
      <w:r w:rsidRPr="001C0AA6">
        <w:rPr>
          <w:rFonts w:ascii="Arial" w:eastAsia="Times New Roman" w:hAnsi="Arial" w:cs="Arial"/>
        </w:rPr>
        <w:t>Using inventory analytics for lean stock control.</w:t>
      </w:r>
    </w:p>
    <w:p w14:paraId="7133D744" w14:textId="2D32A3AE" w:rsidR="3F441BBD" w:rsidRPr="001C0AA6" w:rsidRDefault="1F7F68A5" w:rsidP="001C0AA6">
      <w:pPr>
        <w:pStyle w:val="ListParagraph"/>
        <w:numPr>
          <w:ilvl w:val="0"/>
          <w:numId w:val="17"/>
        </w:numPr>
        <w:spacing w:before="240" w:after="240" w:line="360" w:lineRule="auto"/>
        <w:rPr>
          <w:rFonts w:ascii="Arial" w:eastAsia="Times New Roman" w:hAnsi="Arial" w:cs="Arial"/>
        </w:rPr>
      </w:pPr>
      <w:r w:rsidRPr="001C0AA6">
        <w:rPr>
          <w:rFonts w:ascii="Arial" w:eastAsia="Times New Roman" w:hAnsi="Arial" w:cs="Arial"/>
        </w:rPr>
        <w:t>Restructuring debt to lengthen maturity profiles.</w:t>
      </w:r>
    </w:p>
    <w:p w14:paraId="4A226147" w14:textId="44B755D1" w:rsidR="5AC5E6F2" w:rsidRPr="001C0AA6" w:rsidRDefault="2E6C7858" w:rsidP="001C0AA6">
      <w:pPr>
        <w:pStyle w:val="Heading2"/>
        <w:spacing w:before="299" w:after="299" w:line="360" w:lineRule="auto"/>
        <w:jc w:val="both"/>
        <w:rPr>
          <w:rFonts w:ascii="Arial" w:eastAsia="Times New Roman" w:hAnsi="Arial" w:cs="Arial"/>
          <w:b/>
          <w:bCs/>
          <w:color w:val="auto"/>
          <w:sz w:val="24"/>
          <w:szCs w:val="24"/>
        </w:rPr>
      </w:pPr>
      <w:bookmarkStart w:id="33" w:name="_Toc1199197336"/>
      <w:r w:rsidRPr="001C0AA6">
        <w:rPr>
          <w:rFonts w:ascii="Arial" w:eastAsia="Times New Roman" w:hAnsi="Arial" w:cs="Arial"/>
          <w:b/>
          <w:bCs/>
          <w:color w:val="auto"/>
          <w:sz w:val="24"/>
          <w:szCs w:val="24"/>
        </w:rPr>
        <w:t>4: Strategic Financial Restructuring Plan</w:t>
      </w:r>
      <w:bookmarkEnd w:id="33"/>
      <w:r w:rsidRPr="001C0AA6">
        <w:rPr>
          <w:rFonts w:ascii="Arial" w:eastAsia="Times New Roman" w:hAnsi="Arial" w:cs="Arial"/>
          <w:b/>
          <w:bCs/>
          <w:color w:val="auto"/>
          <w:sz w:val="24"/>
          <w:szCs w:val="24"/>
        </w:rPr>
        <w:t xml:space="preserve"> </w:t>
      </w:r>
    </w:p>
    <w:p w14:paraId="0E79D392" w14:textId="55E6DCCF" w:rsidR="5AC5E6F2" w:rsidRPr="001C0AA6" w:rsidRDefault="2E6C7858" w:rsidP="001C0AA6">
      <w:pPr>
        <w:pStyle w:val="Heading3"/>
        <w:spacing w:line="360" w:lineRule="auto"/>
        <w:jc w:val="both"/>
        <w:rPr>
          <w:rFonts w:ascii="Arial" w:eastAsia="Times New Roman" w:hAnsi="Arial" w:cs="Arial"/>
          <w:b/>
          <w:bCs/>
          <w:color w:val="auto"/>
          <w:sz w:val="24"/>
          <w:szCs w:val="24"/>
        </w:rPr>
      </w:pPr>
      <w:bookmarkStart w:id="34" w:name="_Toc1817838872"/>
      <w:r w:rsidRPr="001C0AA6">
        <w:rPr>
          <w:rFonts w:ascii="Arial" w:eastAsia="Times New Roman" w:hAnsi="Arial" w:cs="Arial"/>
          <w:b/>
          <w:bCs/>
          <w:color w:val="auto"/>
          <w:sz w:val="24"/>
          <w:szCs w:val="24"/>
        </w:rPr>
        <w:t>4.1 Overview</w:t>
      </w:r>
      <w:bookmarkEnd w:id="34"/>
    </w:p>
    <w:p w14:paraId="2B5216D6" w14:textId="799CBAB8" w:rsidR="2B0B4E9C" w:rsidRPr="001C0AA6" w:rsidRDefault="2B0B4E9C" w:rsidP="001C0AA6">
      <w:pPr>
        <w:spacing w:before="240" w:after="240" w:line="360" w:lineRule="auto"/>
        <w:jc w:val="both"/>
        <w:rPr>
          <w:rFonts w:ascii="Arial" w:eastAsia="Times New Roman" w:hAnsi="Arial" w:cs="Arial"/>
        </w:rPr>
      </w:pPr>
      <w:r w:rsidRPr="001C0AA6">
        <w:rPr>
          <w:rFonts w:ascii="Arial" w:eastAsia="Times New Roman" w:hAnsi="Arial" w:cs="Arial"/>
        </w:rPr>
        <w:t>Considering the long-term operating losses and the poor financial ratios that have been found in the preceding sections, General Electronics (GE) needs a thorough financial restructuring strategy. This is meant to ensure that it replenishes its solvency, recovers investor confidence and positions the company to survive in the long term. The restructuring plan shall be based on four dimensions as follows:</w:t>
      </w:r>
    </w:p>
    <w:p w14:paraId="0B18C9DD" w14:textId="2B1DD0C0" w:rsidR="5AC5E6F2" w:rsidRPr="001C0AA6" w:rsidRDefault="2E6C7858" w:rsidP="001C0AA6">
      <w:pPr>
        <w:pStyle w:val="ListParagraph"/>
        <w:numPr>
          <w:ilvl w:val="0"/>
          <w:numId w:val="16"/>
        </w:numPr>
        <w:spacing w:before="240" w:after="240" w:line="360" w:lineRule="auto"/>
        <w:jc w:val="both"/>
        <w:rPr>
          <w:rFonts w:ascii="Arial" w:eastAsia="Times New Roman" w:hAnsi="Arial" w:cs="Arial"/>
          <w:b/>
          <w:bCs/>
        </w:rPr>
      </w:pPr>
      <w:r w:rsidRPr="001C0AA6">
        <w:rPr>
          <w:rFonts w:ascii="Arial" w:eastAsia="Times New Roman" w:hAnsi="Arial" w:cs="Arial"/>
          <w:b/>
          <w:bCs/>
        </w:rPr>
        <w:t>Capital structure optimization</w:t>
      </w:r>
    </w:p>
    <w:p w14:paraId="1D8DD6E5" w14:textId="0BC42B0F" w:rsidR="5AC5E6F2" w:rsidRPr="001C0AA6" w:rsidRDefault="2E6C7858" w:rsidP="001C0AA6">
      <w:pPr>
        <w:pStyle w:val="ListParagraph"/>
        <w:numPr>
          <w:ilvl w:val="0"/>
          <w:numId w:val="16"/>
        </w:numPr>
        <w:spacing w:before="240" w:after="240" w:line="360" w:lineRule="auto"/>
        <w:jc w:val="both"/>
        <w:rPr>
          <w:rFonts w:ascii="Arial" w:eastAsia="Times New Roman" w:hAnsi="Arial" w:cs="Arial"/>
          <w:b/>
          <w:bCs/>
        </w:rPr>
      </w:pPr>
      <w:r w:rsidRPr="001C0AA6">
        <w:rPr>
          <w:rFonts w:ascii="Arial" w:eastAsia="Times New Roman" w:hAnsi="Arial" w:cs="Arial"/>
          <w:b/>
          <w:bCs/>
        </w:rPr>
        <w:t>Operational and cost restructuring</w:t>
      </w:r>
    </w:p>
    <w:p w14:paraId="0DFB6B3B" w14:textId="26956F8D" w:rsidR="5AC5E6F2" w:rsidRPr="001C0AA6" w:rsidRDefault="2E6C7858" w:rsidP="001C0AA6">
      <w:pPr>
        <w:pStyle w:val="ListParagraph"/>
        <w:numPr>
          <w:ilvl w:val="0"/>
          <w:numId w:val="16"/>
        </w:numPr>
        <w:spacing w:before="240" w:after="240" w:line="360" w:lineRule="auto"/>
        <w:jc w:val="both"/>
        <w:rPr>
          <w:rFonts w:ascii="Arial" w:eastAsia="Times New Roman" w:hAnsi="Arial" w:cs="Arial"/>
          <w:b/>
          <w:bCs/>
        </w:rPr>
      </w:pPr>
      <w:r w:rsidRPr="001C0AA6">
        <w:rPr>
          <w:rFonts w:ascii="Arial" w:eastAsia="Times New Roman" w:hAnsi="Arial" w:cs="Arial"/>
          <w:b/>
          <w:bCs/>
        </w:rPr>
        <w:t>Asset portfolio rationalization</w:t>
      </w:r>
    </w:p>
    <w:p w14:paraId="699D1B4B" w14:textId="391EDD2F" w:rsidR="5AC5E6F2" w:rsidRPr="001C0AA6" w:rsidRDefault="2E6C7858" w:rsidP="001C0AA6">
      <w:pPr>
        <w:pStyle w:val="ListParagraph"/>
        <w:numPr>
          <w:ilvl w:val="0"/>
          <w:numId w:val="16"/>
        </w:numPr>
        <w:spacing w:before="240" w:after="240" w:line="360" w:lineRule="auto"/>
        <w:jc w:val="both"/>
        <w:rPr>
          <w:rFonts w:ascii="Arial" w:eastAsia="Times New Roman" w:hAnsi="Arial" w:cs="Arial"/>
          <w:b/>
          <w:bCs/>
        </w:rPr>
      </w:pPr>
      <w:r w:rsidRPr="001C0AA6">
        <w:rPr>
          <w:rFonts w:ascii="Arial" w:eastAsia="Times New Roman" w:hAnsi="Arial" w:cs="Arial"/>
          <w:b/>
          <w:bCs/>
        </w:rPr>
        <w:t>Ethical and global governance realignment</w:t>
      </w:r>
    </w:p>
    <w:p w14:paraId="27275851" w14:textId="213355B2" w:rsidR="5AC5E6F2" w:rsidRPr="001C0AA6" w:rsidRDefault="5CE1ECE7" w:rsidP="001C0AA6">
      <w:pPr>
        <w:spacing w:before="240" w:after="240" w:line="360" w:lineRule="auto"/>
        <w:jc w:val="both"/>
        <w:rPr>
          <w:rFonts w:ascii="Arial" w:eastAsia="Times New Roman" w:hAnsi="Arial" w:cs="Arial"/>
        </w:rPr>
      </w:pPr>
      <w:r w:rsidRPr="001C0AA6">
        <w:rPr>
          <w:rFonts w:ascii="Arial" w:eastAsia="Times New Roman" w:hAnsi="Arial" w:cs="Arial"/>
        </w:rPr>
        <w:t>The strategy combines financial quantification aspects and strategic management steps to make sure that all the initiatives enhance profitability and integrity of the organization.</w:t>
      </w:r>
    </w:p>
    <w:p w14:paraId="6008BB26" w14:textId="3683A28D" w:rsidR="5AC5E6F2" w:rsidRPr="001C0AA6" w:rsidRDefault="2E6C7858" w:rsidP="001C0AA6">
      <w:pPr>
        <w:pStyle w:val="Heading3"/>
        <w:spacing w:before="240" w:after="240" w:line="360" w:lineRule="auto"/>
        <w:jc w:val="both"/>
        <w:rPr>
          <w:rFonts w:ascii="Arial" w:eastAsia="Times New Roman" w:hAnsi="Arial" w:cs="Arial"/>
          <w:b/>
          <w:bCs/>
          <w:color w:val="auto"/>
          <w:sz w:val="24"/>
          <w:szCs w:val="24"/>
        </w:rPr>
      </w:pPr>
      <w:bookmarkStart w:id="35" w:name="_Toc177771564"/>
      <w:r w:rsidRPr="001C0AA6">
        <w:rPr>
          <w:rFonts w:ascii="Arial" w:eastAsia="Times New Roman" w:hAnsi="Arial" w:cs="Arial"/>
          <w:b/>
          <w:bCs/>
          <w:color w:val="auto"/>
          <w:sz w:val="24"/>
          <w:szCs w:val="24"/>
        </w:rPr>
        <w:t>4.2 Capital Structure Optimization</w:t>
      </w:r>
      <w:bookmarkEnd w:id="35"/>
    </w:p>
    <w:p w14:paraId="4042E039" w14:textId="64724474" w:rsidR="5AC5E6F2" w:rsidRPr="001C0AA6" w:rsidRDefault="2E6C7858" w:rsidP="001C0AA6">
      <w:pPr>
        <w:pStyle w:val="Heading4"/>
        <w:spacing w:before="319" w:after="319" w:line="360" w:lineRule="auto"/>
        <w:jc w:val="both"/>
        <w:rPr>
          <w:rFonts w:ascii="Arial" w:eastAsia="Times New Roman" w:hAnsi="Arial" w:cs="Arial"/>
          <w:b/>
          <w:bCs/>
          <w:color w:val="auto"/>
        </w:rPr>
      </w:pPr>
      <w:bookmarkStart w:id="36" w:name="_Toc356749738"/>
      <w:r w:rsidRPr="001C0AA6">
        <w:rPr>
          <w:rFonts w:ascii="Arial" w:eastAsia="Times New Roman" w:hAnsi="Arial" w:cs="Arial"/>
          <w:b/>
          <w:bCs/>
          <w:color w:val="auto"/>
        </w:rPr>
        <w:t>4.2.1 Current Position</w:t>
      </w:r>
      <w:bookmarkEnd w:id="36"/>
    </w:p>
    <w:p w14:paraId="08B41527" w14:textId="3E48A5F6" w:rsidR="5AC5E6F2" w:rsidRPr="001C0AA6" w:rsidRDefault="7F16C80D" w:rsidP="001C0AA6">
      <w:pPr>
        <w:spacing w:before="240" w:after="240" w:line="360" w:lineRule="auto"/>
        <w:jc w:val="both"/>
        <w:rPr>
          <w:rFonts w:ascii="Arial" w:eastAsia="Times New Roman" w:hAnsi="Arial" w:cs="Arial"/>
        </w:rPr>
      </w:pPr>
      <w:r w:rsidRPr="001C0AA6">
        <w:rPr>
          <w:rFonts w:ascii="Arial" w:eastAsia="Times New Roman" w:hAnsi="Arial" w:cs="Arial"/>
        </w:rPr>
        <w:t xml:space="preserve">According to GE balance sheet as of 2024, the total liabilities of the company to the shareholders are reported as 170,249 million and the equity of the shareholders is reported as 153,105 million, which makes the debt to equity ratio 1.11. This is an over-leverage, which is especially risky considering that the operating income of the firm and its interest coverage ratio are decreasing (less than 1.0). High dependency on short-term </w:t>
      </w:r>
      <w:r w:rsidRPr="001C0AA6">
        <w:rPr>
          <w:rFonts w:ascii="Arial" w:eastAsia="Times New Roman" w:hAnsi="Arial" w:cs="Arial"/>
        </w:rPr>
        <w:lastRenderedPageBreak/>
        <w:t>debts and credit lines (£36,960 million in 2024) also exposes GE to refinancing risk due to the increasing interest rate.</w:t>
      </w:r>
    </w:p>
    <w:p w14:paraId="2354F2AE" w14:textId="4FBA3065" w:rsidR="5AC5E6F2" w:rsidRPr="001C0AA6" w:rsidRDefault="2E6C7858" w:rsidP="001C0AA6">
      <w:pPr>
        <w:pStyle w:val="Heading4"/>
        <w:spacing w:before="240" w:after="240" w:line="360" w:lineRule="auto"/>
        <w:jc w:val="both"/>
        <w:rPr>
          <w:rFonts w:ascii="Arial" w:eastAsia="Times New Roman" w:hAnsi="Arial" w:cs="Arial"/>
          <w:b/>
          <w:bCs/>
          <w:color w:val="auto"/>
        </w:rPr>
      </w:pPr>
      <w:bookmarkStart w:id="37" w:name="_Toc1876570245"/>
      <w:r w:rsidRPr="001C0AA6">
        <w:rPr>
          <w:rFonts w:ascii="Arial" w:eastAsia="Times New Roman" w:hAnsi="Arial" w:cs="Arial"/>
          <w:b/>
          <w:bCs/>
          <w:color w:val="auto"/>
        </w:rPr>
        <w:t>4.2.2 Proposed Strategy</w:t>
      </w:r>
      <w:bookmarkEnd w:id="37"/>
    </w:p>
    <w:p w14:paraId="20BB7D54" w14:textId="6FCB7151" w:rsidR="5AC5E6F2" w:rsidRPr="001C0AA6" w:rsidRDefault="2E6C7858" w:rsidP="001C0AA6">
      <w:pPr>
        <w:spacing w:before="240" w:after="240" w:line="360" w:lineRule="auto"/>
        <w:jc w:val="both"/>
        <w:rPr>
          <w:rFonts w:ascii="Arial" w:eastAsia="Times New Roman" w:hAnsi="Arial" w:cs="Arial"/>
        </w:rPr>
      </w:pPr>
      <w:r w:rsidRPr="001C0AA6">
        <w:rPr>
          <w:rFonts w:ascii="Arial" w:eastAsia="Times New Roman" w:hAnsi="Arial" w:cs="Arial"/>
        </w:rPr>
        <w:t xml:space="preserve">The goal is to achieve a </w:t>
      </w:r>
      <w:r w:rsidRPr="001C0AA6">
        <w:rPr>
          <w:rFonts w:ascii="Arial" w:eastAsia="Times New Roman" w:hAnsi="Arial" w:cs="Arial"/>
          <w:b/>
          <w:bCs/>
        </w:rPr>
        <w:t>target debt-to-equity ratio of 0.7</w:t>
      </w:r>
      <w:r w:rsidRPr="001C0AA6">
        <w:rPr>
          <w:rFonts w:ascii="Arial" w:eastAsia="Times New Roman" w:hAnsi="Arial" w:cs="Arial"/>
        </w:rPr>
        <w:t xml:space="preserve"> over the next two fiscal years. The restructuring strategy should involve the following measures:</w:t>
      </w:r>
    </w:p>
    <w:p w14:paraId="50C4A2E0" w14:textId="048BAE61" w:rsidR="5AC5E6F2" w:rsidRPr="001C0AA6" w:rsidRDefault="4B02991A" w:rsidP="001C0AA6">
      <w:pPr>
        <w:pStyle w:val="ListParagraph"/>
        <w:numPr>
          <w:ilvl w:val="0"/>
          <w:numId w:val="15"/>
        </w:numPr>
        <w:spacing w:before="240" w:after="240" w:line="360" w:lineRule="auto"/>
        <w:jc w:val="both"/>
        <w:rPr>
          <w:rFonts w:ascii="Arial" w:eastAsia="Times New Roman" w:hAnsi="Arial" w:cs="Arial"/>
        </w:rPr>
      </w:pPr>
      <w:r w:rsidRPr="001C0AA6">
        <w:rPr>
          <w:rFonts w:ascii="Arial" w:eastAsia="Times New Roman" w:hAnsi="Arial" w:cs="Arial"/>
          <w:b/>
          <w:bCs/>
        </w:rPr>
        <w:t xml:space="preserve">Debt Refinancing/ Consolidation: </w:t>
      </w:r>
      <w:r w:rsidRPr="001C0AA6">
        <w:rPr>
          <w:rFonts w:ascii="Arial" w:eastAsia="Times New Roman" w:hAnsi="Arial" w:cs="Arial"/>
        </w:rPr>
        <w:t xml:space="preserve">Agree with creditors to convert current short-term loans into longer-term loans with lower rates of interest and longer maturity periods. This will ease the liquidity pressure in the short term and enhance the current ratio. </w:t>
      </w:r>
    </w:p>
    <w:p w14:paraId="7E6408D0" w14:textId="1F26F215" w:rsidR="5AC5E6F2" w:rsidRPr="001C0AA6" w:rsidRDefault="4B02991A" w:rsidP="001C0AA6">
      <w:pPr>
        <w:pStyle w:val="ListParagraph"/>
        <w:numPr>
          <w:ilvl w:val="0"/>
          <w:numId w:val="15"/>
        </w:numPr>
        <w:spacing w:before="240" w:after="240" w:line="360" w:lineRule="auto"/>
        <w:jc w:val="both"/>
        <w:rPr>
          <w:rFonts w:ascii="Arial" w:eastAsia="Times New Roman" w:hAnsi="Arial" w:cs="Arial"/>
        </w:rPr>
      </w:pPr>
      <w:r w:rsidRPr="001C0AA6">
        <w:rPr>
          <w:rFonts w:ascii="Arial" w:eastAsia="Times New Roman" w:hAnsi="Arial" w:cs="Arial"/>
          <w:b/>
          <w:bCs/>
        </w:rPr>
        <w:t xml:space="preserve">Equity Injection via Rights issue: </w:t>
      </w:r>
      <w:r w:rsidRPr="001C0AA6">
        <w:rPr>
          <w:rFonts w:ascii="Arial" w:eastAsia="Times New Roman" w:hAnsi="Arial" w:cs="Arial"/>
        </w:rPr>
        <w:t xml:space="preserve">Issue a rights issue of 25 billion pounds to the current stockholders. This will not only increase equity capital but also create a sense of confidence in the turnaround plan of management. Depending on the volume of shares collected in the past, the issue may be priced well to persuade people to join. </w:t>
      </w:r>
    </w:p>
    <w:p w14:paraId="10BF1776" w14:textId="5491F12A" w:rsidR="5AC5E6F2" w:rsidRPr="001C0AA6" w:rsidRDefault="4B02991A" w:rsidP="001C0AA6">
      <w:pPr>
        <w:pStyle w:val="ListParagraph"/>
        <w:numPr>
          <w:ilvl w:val="0"/>
          <w:numId w:val="15"/>
        </w:numPr>
        <w:spacing w:before="240" w:after="240" w:line="360" w:lineRule="auto"/>
        <w:jc w:val="both"/>
        <w:rPr>
          <w:rFonts w:ascii="Arial" w:eastAsia="Times New Roman" w:hAnsi="Arial" w:cs="Arial"/>
        </w:rPr>
      </w:pPr>
      <w:r w:rsidRPr="001C0AA6">
        <w:rPr>
          <w:rFonts w:ascii="Arial" w:eastAsia="Times New Roman" w:hAnsi="Arial" w:cs="Arial"/>
          <w:b/>
          <w:bCs/>
        </w:rPr>
        <w:t>Convertible Bonds Issue:</w:t>
      </w:r>
      <w:r w:rsidRPr="001C0AA6">
        <w:rPr>
          <w:rFonts w:ascii="Arial" w:eastAsia="Times New Roman" w:hAnsi="Arial" w:cs="Arial"/>
        </w:rPr>
        <w:t xml:space="preserve"> Introduce a £10 billion convertible bond program, which will enable debt to be converted gradually to equity as performance increases. This is hybrid funding that gives flexibility and constrains the short-term cash flows. </w:t>
      </w:r>
    </w:p>
    <w:p w14:paraId="4F317E98" w14:textId="413CB5FF" w:rsidR="5AC5E6F2" w:rsidRPr="001C0AA6" w:rsidRDefault="4B02991A" w:rsidP="001C0AA6">
      <w:pPr>
        <w:pStyle w:val="ListParagraph"/>
        <w:numPr>
          <w:ilvl w:val="0"/>
          <w:numId w:val="15"/>
        </w:numPr>
        <w:spacing w:before="240" w:after="240" w:line="360" w:lineRule="auto"/>
        <w:jc w:val="both"/>
        <w:rPr>
          <w:rFonts w:ascii="Arial" w:eastAsia="Times New Roman" w:hAnsi="Arial" w:cs="Arial"/>
        </w:rPr>
      </w:pPr>
      <w:r w:rsidRPr="001C0AA6">
        <w:rPr>
          <w:rFonts w:ascii="Arial" w:eastAsia="Times New Roman" w:hAnsi="Arial" w:cs="Arial"/>
          <w:b/>
          <w:bCs/>
        </w:rPr>
        <w:t>Dividend Suspension:</w:t>
      </w:r>
      <w:r w:rsidRPr="001C0AA6">
        <w:rPr>
          <w:rFonts w:ascii="Arial" w:eastAsia="Times New Roman" w:hAnsi="Arial" w:cs="Arial"/>
        </w:rPr>
        <w:t xml:space="preserve"> Hold dividend payments over the two years, notions that would keep around8 billion pounds to replenish retained earnings and enhance the internal financing capacity. </w:t>
      </w:r>
    </w:p>
    <w:p w14:paraId="717FD581" w14:textId="71B55257" w:rsidR="5AC5E6F2" w:rsidRPr="001C0AA6" w:rsidRDefault="4B02991A" w:rsidP="001C0AA6">
      <w:pPr>
        <w:pStyle w:val="ListParagraph"/>
        <w:numPr>
          <w:ilvl w:val="0"/>
          <w:numId w:val="15"/>
        </w:numPr>
        <w:spacing w:before="240" w:after="240" w:line="360" w:lineRule="auto"/>
        <w:jc w:val="both"/>
        <w:rPr>
          <w:rFonts w:ascii="Arial" w:eastAsia="Times New Roman" w:hAnsi="Arial" w:cs="Arial"/>
        </w:rPr>
      </w:pPr>
      <w:r w:rsidRPr="001C0AA6">
        <w:rPr>
          <w:rFonts w:ascii="Arial" w:eastAsia="Times New Roman" w:hAnsi="Arial" w:cs="Arial"/>
          <w:b/>
          <w:bCs/>
        </w:rPr>
        <w:t xml:space="preserve">Credit Rating Recovery Program: </w:t>
      </w:r>
      <w:r w:rsidRPr="001C0AA6">
        <w:rPr>
          <w:rFonts w:ascii="Arial" w:eastAsia="Times New Roman" w:hAnsi="Arial" w:cs="Arial"/>
        </w:rPr>
        <w:t>GE can seek to restore its investment-grade credit rating by enhancing leverage ratios and profitability measures, making future borrowings to be not expensive.</w:t>
      </w:r>
    </w:p>
    <w:p w14:paraId="056162B1" w14:textId="6363D141" w:rsidR="5AC5E6F2" w:rsidRPr="001C0AA6" w:rsidRDefault="2E6C7858" w:rsidP="001C0AA6">
      <w:pPr>
        <w:pStyle w:val="Heading3"/>
        <w:spacing w:before="240" w:after="240" w:line="360" w:lineRule="auto"/>
        <w:jc w:val="both"/>
        <w:rPr>
          <w:rFonts w:ascii="Arial" w:eastAsia="Times New Roman" w:hAnsi="Arial" w:cs="Arial"/>
          <w:b/>
          <w:bCs/>
          <w:color w:val="auto"/>
          <w:sz w:val="24"/>
          <w:szCs w:val="24"/>
        </w:rPr>
      </w:pPr>
      <w:bookmarkStart w:id="38" w:name="_Toc8579031"/>
      <w:r w:rsidRPr="001C0AA6">
        <w:rPr>
          <w:rFonts w:ascii="Arial" w:eastAsia="Times New Roman" w:hAnsi="Arial" w:cs="Arial"/>
          <w:b/>
          <w:bCs/>
          <w:color w:val="auto"/>
          <w:sz w:val="24"/>
          <w:szCs w:val="24"/>
        </w:rPr>
        <w:lastRenderedPageBreak/>
        <w:t>4.3 Operational and Cost Restructuring</w:t>
      </w:r>
      <w:bookmarkEnd w:id="38"/>
    </w:p>
    <w:p w14:paraId="651FA3C4" w14:textId="095CC150" w:rsidR="5AC5E6F2" w:rsidRPr="001C0AA6" w:rsidRDefault="2E6C7858" w:rsidP="001C0AA6">
      <w:pPr>
        <w:pStyle w:val="Heading4"/>
        <w:spacing w:before="319" w:after="319" w:line="360" w:lineRule="auto"/>
        <w:jc w:val="both"/>
        <w:rPr>
          <w:rFonts w:ascii="Arial" w:eastAsia="Times New Roman" w:hAnsi="Arial" w:cs="Arial"/>
          <w:b/>
          <w:bCs/>
          <w:color w:val="auto"/>
        </w:rPr>
      </w:pPr>
      <w:bookmarkStart w:id="39" w:name="_Toc500943125"/>
      <w:r w:rsidRPr="001C0AA6">
        <w:rPr>
          <w:rFonts w:ascii="Arial" w:eastAsia="Times New Roman" w:hAnsi="Arial" w:cs="Arial"/>
          <w:b/>
          <w:bCs/>
          <w:color w:val="auto"/>
        </w:rPr>
        <w:t>4.3.1 Problem Analysis</w:t>
      </w:r>
      <w:bookmarkEnd w:id="39"/>
    </w:p>
    <w:p w14:paraId="15493462" w14:textId="5F6E4BBF" w:rsidR="5AC5E6F2" w:rsidRPr="001C0AA6" w:rsidRDefault="06A46FDA" w:rsidP="001C0AA6">
      <w:pPr>
        <w:spacing w:before="240" w:after="240" w:line="360" w:lineRule="auto"/>
        <w:jc w:val="both"/>
        <w:rPr>
          <w:rFonts w:ascii="Arial" w:eastAsia="Times New Roman" w:hAnsi="Arial" w:cs="Arial"/>
        </w:rPr>
      </w:pPr>
      <w:r w:rsidRPr="001C0AA6">
        <w:rPr>
          <w:rFonts w:ascii="Arial" w:eastAsia="Times New Roman" w:hAnsi="Arial" w:cs="Arial"/>
        </w:rPr>
        <w:t>The high point of the operating expenses was in 2023, when it was at its highest level of 182,861 million, surpassing the gross profit of that year. This under-utilization is a sign of high overheads, ineffective production systems and excessive administrative expenses. The recovery should be sustainable and needs to be deeply rooted on cost rationalization and productivity improvement.</w:t>
      </w:r>
    </w:p>
    <w:p w14:paraId="39498796" w14:textId="09C45E14" w:rsidR="5AC5E6F2" w:rsidRPr="001C0AA6" w:rsidRDefault="2E6C7858" w:rsidP="001C0AA6">
      <w:pPr>
        <w:pStyle w:val="Heading4"/>
        <w:spacing w:before="240" w:after="240" w:line="360" w:lineRule="auto"/>
        <w:jc w:val="both"/>
        <w:rPr>
          <w:rFonts w:ascii="Arial" w:eastAsia="Times New Roman" w:hAnsi="Arial" w:cs="Arial"/>
          <w:b/>
          <w:bCs/>
          <w:color w:val="auto"/>
        </w:rPr>
      </w:pPr>
      <w:bookmarkStart w:id="40" w:name="_Toc344648458"/>
      <w:r w:rsidRPr="001C0AA6">
        <w:rPr>
          <w:rFonts w:ascii="Arial" w:eastAsia="Times New Roman" w:hAnsi="Arial" w:cs="Arial"/>
          <w:b/>
          <w:bCs/>
          <w:color w:val="auto"/>
        </w:rPr>
        <w:t>4.3.2 Cost Rationalization Plan</w:t>
      </w:r>
      <w:bookmarkEnd w:id="40"/>
    </w:p>
    <w:p w14:paraId="5CFA69B2" w14:textId="6305994B" w:rsidR="526653A6" w:rsidRPr="001C0AA6" w:rsidRDefault="526653A6" w:rsidP="001C0AA6">
      <w:pPr>
        <w:pStyle w:val="ListParagraph"/>
        <w:numPr>
          <w:ilvl w:val="0"/>
          <w:numId w:val="14"/>
        </w:numPr>
        <w:spacing w:before="240" w:after="240" w:line="360" w:lineRule="auto"/>
        <w:jc w:val="both"/>
        <w:rPr>
          <w:rFonts w:ascii="Arial" w:eastAsia="Times New Roman" w:hAnsi="Arial" w:cs="Arial"/>
        </w:rPr>
      </w:pPr>
      <w:r w:rsidRPr="001C0AA6">
        <w:rPr>
          <w:rFonts w:ascii="Arial" w:eastAsia="Times New Roman" w:hAnsi="Arial" w:cs="Arial"/>
          <w:b/>
          <w:bCs/>
        </w:rPr>
        <w:t xml:space="preserve">Operational Streamlining: </w:t>
      </w:r>
      <w:r w:rsidRPr="001C0AA6">
        <w:rPr>
          <w:rFonts w:ascii="Arial" w:eastAsia="Times New Roman" w:hAnsi="Arial" w:cs="Arial"/>
        </w:rPr>
        <w:t xml:space="preserve">Maximize the sharing of divisions, particularly in regional sales and supply chain management so as to cut unnecessary duplication. These savings are estimated to be about five to seven billion pounds per year. </w:t>
      </w:r>
    </w:p>
    <w:p w14:paraId="41AFDAA2" w14:textId="20323BC4" w:rsidR="526653A6" w:rsidRPr="001C0AA6" w:rsidRDefault="526653A6" w:rsidP="001C0AA6">
      <w:pPr>
        <w:pStyle w:val="ListParagraph"/>
        <w:numPr>
          <w:ilvl w:val="0"/>
          <w:numId w:val="14"/>
        </w:numPr>
        <w:spacing w:before="240" w:after="240" w:line="360" w:lineRule="auto"/>
        <w:jc w:val="both"/>
        <w:rPr>
          <w:rFonts w:ascii="Arial" w:eastAsia="Times New Roman" w:hAnsi="Arial" w:cs="Arial"/>
        </w:rPr>
      </w:pPr>
      <w:r w:rsidRPr="001C0AA6">
        <w:rPr>
          <w:rFonts w:ascii="Arial" w:eastAsia="Times New Roman" w:hAnsi="Arial" w:cs="Arial"/>
          <w:b/>
          <w:bCs/>
        </w:rPr>
        <w:t>Digital Transformation:</w:t>
      </w:r>
      <w:r w:rsidRPr="001C0AA6">
        <w:rPr>
          <w:rFonts w:ascii="Arial" w:eastAsia="Times New Roman" w:hAnsi="Arial" w:cs="Arial"/>
        </w:rPr>
        <w:t xml:space="preserve"> Invest in production and logistics automation and AI-based analytics. This project will save time and minimize the cost of human errors up to 15. </w:t>
      </w:r>
    </w:p>
    <w:p w14:paraId="70B2A1F0" w14:textId="3570B838" w:rsidR="526653A6" w:rsidRPr="001C0AA6" w:rsidRDefault="526653A6" w:rsidP="001C0AA6">
      <w:pPr>
        <w:pStyle w:val="ListParagraph"/>
        <w:numPr>
          <w:ilvl w:val="0"/>
          <w:numId w:val="14"/>
        </w:numPr>
        <w:spacing w:before="240" w:after="240" w:line="360" w:lineRule="auto"/>
        <w:jc w:val="both"/>
        <w:rPr>
          <w:rFonts w:ascii="Arial" w:eastAsia="Times New Roman" w:hAnsi="Arial" w:cs="Arial"/>
        </w:rPr>
      </w:pPr>
      <w:r w:rsidRPr="001C0AA6">
        <w:rPr>
          <w:rFonts w:ascii="Arial" w:eastAsia="Times New Roman" w:hAnsi="Arial" w:cs="Arial"/>
          <w:b/>
          <w:bCs/>
        </w:rPr>
        <w:t>Outsourcing Non-core Functions:</w:t>
      </w:r>
      <w:r w:rsidRPr="001C0AA6">
        <w:rPr>
          <w:rFonts w:ascii="Arial" w:eastAsia="Times New Roman" w:hAnsi="Arial" w:cs="Arial"/>
        </w:rPr>
        <w:t xml:space="preserve"> Outsource non-core services (e.g. HR payroll processing, IT maintenance) to dedicated services. This is able to cut down fixed costs and transform them into variable costs that cannot be connected to output. </w:t>
      </w:r>
    </w:p>
    <w:p w14:paraId="72328A3F" w14:textId="372970BE" w:rsidR="526653A6" w:rsidRPr="001C0AA6" w:rsidRDefault="526653A6" w:rsidP="001C0AA6">
      <w:pPr>
        <w:pStyle w:val="ListParagraph"/>
        <w:numPr>
          <w:ilvl w:val="0"/>
          <w:numId w:val="14"/>
        </w:numPr>
        <w:spacing w:before="240" w:after="240" w:line="360" w:lineRule="auto"/>
        <w:jc w:val="both"/>
        <w:rPr>
          <w:rFonts w:ascii="Arial" w:eastAsia="Times New Roman" w:hAnsi="Arial" w:cs="Arial"/>
        </w:rPr>
      </w:pPr>
      <w:r w:rsidRPr="001C0AA6">
        <w:rPr>
          <w:rFonts w:ascii="Arial" w:eastAsia="Times New Roman" w:hAnsi="Arial" w:cs="Arial"/>
          <w:b/>
          <w:bCs/>
        </w:rPr>
        <w:t xml:space="preserve">Zero-based Budgeting (ZBB): </w:t>
      </w:r>
      <w:r w:rsidRPr="001C0AA6">
        <w:rPr>
          <w:rFonts w:ascii="Arial" w:eastAsia="Times New Roman" w:hAnsi="Arial" w:cs="Arial"/>
        </w:rPr>
        <w:t>Introduce ZBB in a way that the entire cost centers are reviewed on a yearly basis and unnecessary expenses done away with that have not yielded any profit over the years of decline.</w:t>
      </w:r>
    </w:p>
    <w:p w14:paraId="5A11C22E" w14:textId="1A1DD06C" w:rsidR="526653A6" w:rsidRPr="001C0AA6" w:rsidRDefault="526653A6" w:rsidP="001C0AA6">
      <w:pPr>
        <w:pStyle w:val="ListParagraph"/>
        <w:numPr>
          <w:ilvl w:val="0"/>
          <w:numId w:val="14"/>
        </w:numPr>
        <w:spacing w:before="240" w:after="240" w:line="360" w:lineRule="auto"/>
        <w:jc w:val="both"/>
        <w:rPr>
          <w:rFonts w:ascii="Arial" w:eastAsia="Times New Roman" w:hAnsi="Arial" w:cs="Arial"/>
        </w:rPr>
      </w:pPr>
      <w:r w:rsidRPr="001C0AA6">
        <w:rPr>
          <w:rFonts w:ascii="Arial" w:eastAsia="Times New Roman" w:hAnsi="Arial" w:cs="Arial"/>
          <w:b/>
          <w:bCs/>
        </w:rPr>
        <w:t xml:space="preserve">Reconfiguration/Supply Chain: </w:t>
      </w:r>
      <w:r w:rsidRPr="001C0AA6">
        <w:rPr>
          <w:rFonts w:ascii="Arial" w:eastAsia="Times New Roman" w:hAnsi="Arial" w:cs="Arial"/>
        </w:rPr>
        <w:t>Move some of the production to areas with low costs of production to minimize the input costs, but the quality of the production should be under control.</w:t>
      </w:r>
    </w:p>
    <w:p w14:paraId="5AFD4C12" w14:textId="55E99A7D" w:rsidR="5AC5E6F2" w:rsidRPr="001C0AA6" w:rsidRDefault="2E6C7858" w:rsidP="001C0AA6">
      <w:pPr>
        <w:pStyle w:val="Heading3"/>
        <w:spacing w:before="281" w:after="281" w:line="360" w:lineRule="auto"/>
        <w:jc w:val="both"/>
        <w:rPr>
          <w:rFonts w:ascii="Arial" w:eastAsia="Times New Roman" w:hAnsi="Arial" w:cs="Arial"/>
          <w:b/>
          <w:bCs/>
          <w:color w:val="auto"/>
          <w:sz w:val="24"/>
          <w:szCs w:val="24"/>
        </w:rPr>
      </w:pPr>
      <w:bookmarkStart w:id="41" w:name="_Toc1551792397"/>
      <w:r w:rsidRPr="001C0AA6">
        <w:rPr>
          <w:rFonts w:ascii="Arial" w:eastAsia="Times New Roman" w:hAnsi="Arial" w:cs="Arial"/>
          <w:b/>
          <w:bCs/>
          <w:color w:val="auto"/>
          <w:sz w:val="24"/>
          <w:szCs w:val="24"/>
        </w:rPr>
        <w:t>4.4 Asset Portfolio Rationalization</w:t>
      </w:r>
      <w:bookmarkEnd w:id="41"/>
    </w:p>
    <w:p w14:paraId="7DC4B1C2" w14:textId="73952FFF" w:rsidR="5AC5E6F2" w:rsidRPr="001C0AA6" w:rsidRDefault="68433459" w:rsidP="001C0AA6">
      <w:pPr>
        <w:spacing w:before="240" w:after="240" w:line="360" w:lineRule="auto"/>
        <w:jc w:val="both"/>
        <w:rPr>
          <w:rFonts w:ascii="Arial" w:eastAsia="Times New Roman" w:hAnsi="Arial" w:cs="Arial"/>
        </w:rPr>
      </w:pPr>
      <w:r w:rsidRPr="001C0AA6">
        <w:rPr>
          <w:rFonts w:ascii="Arial" w:eastAsia="Times New Roman" w:hAnsi="Arial" w:cs="Arial"/>
        </w:rPr>
        <w:t>The asset base of GE, of £323,354 million, contains a number of divisions which are underutilized. Although liquidity is limited, GE has to open capital through selling non-essential or non-profitable assets.</w:t>
      </w:r>
    </w:p>
    <w:p w14:paraId="7E219E24" w14:textId="2D361E62" w:rsidR="5AC5E6F2" w:rsidRPr="001C0AA6" w:rsidRDefault="2E6C7858" w:rsidP="001C0AA6">
      <w:pPr>
        <w:pStyle w:val="Heading4"/>
        <w:spacing w:before="240" w:after="240" w:line="360" w:lineRule="auto"/>
        <w:jc w:val="both"/>
        <w:rPr>
          <w:rFonts w:ascii="Arial" w:eastAsia="Times New Roman" w:hAnsi="Arial" w:cs="Arial"/>
          <w:b/>
          <w:bCs/>
          <w:color w:val="auto"/>
        </w:rPr>
      </w:pPr>
      <w:bookmarkStart w:id="42" w:name="_Toc1272733563"/>
      <w:r w:rsidRPr="001C0AA6">
        <w:rPr>
          <w:rFonts w:ascii="Arial" w:eastAsia="Times New Roman" w:hAnsi="Arial" w:cs="Arial"/>
          <w:b/>
          <w:bCs/>
          <w:color w:val="auto"/>
        </w:rPr>
        <w:lastRenderedPageBreak/>
        <w:t>4.4.1 Asset Disposal and Redeployment</w:t>
      </w:r>
      <w:bookmarkEnd w:id="42"/>
    </w:p>
    <w:p w14:paraId="654E8E16" w14:textId="3153E152" w:rsidR="5AC5E6F2" w:rsidRPr="001C0AA6" w:rsidRDefault="2E6C7858" w:rsidP="001C0AA6">
      <w:pPr>
        <w:pStyle w:val="ListParagraph"/>
        <w:numPr>
          <w:ilvl w:val="0"/>
          <w:numId w:val="13"/>
        </w:numPr>
        <w:spacing w:before="240" w:after="240" w:line="360" w:lineRule="auto"/>
        <w:jc w:val="both"/>
        <w:rPr>
          <w:rFonts w:ascii="Arial" w:eastAsia="Times New Roman" w:hAnsi="Arial" w:cs="Arial"/>
        </w:rPr>
      </w:pPr>
      <w:r w:rsidRPr="001C0AA6">
        <w:rPr>
          <w:rFonts w:ascii="Arial" w:eastAsia="Times New Roman" w:hAnsi="Arial" w:cs="Arial"/>
          <w:b/>
          <w:bCs/>
        </w:rPr>
        <w:t>Divestment of Non-core Businesses</w:t>
      </w:r>
      <w:proofErr w:type="gramStart"/>
      <w:r w:rsidRPr="001C0AA6">
        <w:rPr>
          <w:rFonts w:ascii="Arial" w:eastAsia="Times New Roman" w:hAnsi="Arial" w:cs="Arial"/>
          <w:b/>
          <w:bCs/>
        </w:rPr>
        <w:t>:</w:t>
      </w:r>
      <w:proofErr w:type="gramEnd"/>
      <w:r w:rsidR="5AC5E6F2" w:rsidRPr="001C0AA6">
        <w:rPr>
          <w:rFonts w:ascii="Arial" w:hAnsi="Arial" w:cs="Arial"/>
        </w:rPr>
        <w:br/>
      </w:r>
      <w:r w:rsidR="6C8AD19C" w:rsidRPr="001C0AA6">
        <w:rPr>
          <w:rFonts w:ascii="Arial" w:eastAsia="Times New Roman" w:hAnsi="Arial" w:cs="Arial"/>
        </w:rPr>
        <w:t xml:space="preserve">Get rid of product lines or subsidiaries with negative margins, e.g., legacy units in the consumer electronics business, and sell them to strategic buyers. Estimated proceeds of £15–20 billion. </w:t>
      </w:r>
    </w:p>
    <w:p w14:paraId="58532992" w14:textId="30BDF081" w:rsidR="5AC5E6F2" w:rsidRPr="001C0AA6" w:rsidRDefault="6C8AD19C" w:rsidP="001C0AA6">
      <w:pPr>
        <w:pStyle w:val="ListParagraph"/>
        <w:numPr>
          <w:ilvl w:val="0"/>
          <w:numId w:val="13"/>
        </w:numPr>
        <w:spacing w:before="240" w:after="240" w:line="360" w:lineRule="auto"/>
        <w:jc w:val="both"/>
        <w:rPr>
          <w:rFonts w:ascii="Arial" w:eastAsia="Times New Roman" w:hAnsi="Arial" w:cs="Arial"/>
        </w:rPr>
      </w:pPr>
      <w:r w:rsidRPr="001C0AA6">
        <w:rPr>
          <w:rFonts w:ascii="Arial" w:eastAsia="Times New Roman" w:hAnsi="Arial" w:cs="Arial"/>
          <w:b/>
          <w:bCs/>
        </w:rPr>
        <w:t>Leaseback Arrangements:</w:t>
      </w:r>
      <w:r w:rsidRPr="001C0AA6">
        <w:rPr>
          <w:rFonts w:ascii="Arial" w:eastAsia="Times New Roman" w:hAnsi="Arial" w:cs="Arial"/>
        </w:rPr>
        <w:t xml:space="preserve"> Use sale-and-leaseback of property, plant, and equipment (PPE) to obtain operational cash and still have access to the property. This would release another £5 billion. </w:t>
      </w:r>
    </w:p>
    <w:p w14:paraId="40443043" w14:textId="2E8F43F0" w:rsidR="5AC5E6F2" w:rsidRPr="001C0AA6" w:rsidRDefault="6C8AD19C" w:rsidP="001C0AA6">
      <w:pPr>
        <w:pStyle w:val="ListParagraph"/>
        <w:numPr>
          <w:ilvl w:val="0"/>
          <w:numId w:val="13"/>
        </w:numPr>
        <w:spacing w:before="240" w:after="240" w:line="360" w:lineRule="auto"/>
        <w:jc w:val="both"/>
        <w:rPr>
          <w:rFonts w:ascii="Arial" w:eastAsia="Times New Roman" w:hAnsi="Arial" w:cs="Arial"/>
        </w:rPr>
      </w:pPr>
      <w:r w:rsidRPr="001C0AA6">
        <w:rPr>
          <w:rFonts w:ascii="Arial" w:eastAsia="Times New Roman" w:hAnsi="Arial" w:cs="Arial"/>
          <w:b/>
          <w:bCs/>
        </w:rPr>
        <w:t>Inventory Optimization:</w:t>
      </w:r>
      <w:r w:rsidRPr="001C0AA6">
        <w:rPr>
          <w:rFonts w:ascii="Arial" w:eastAsia="Times New Roman" w:hAnsi="Arial" w:cs="Arial"/>
        </w:rPr>
        <w:t xml:space="preserve"> Discount clearance and online marketplaces help reduce obsolescence or sluggish stock. This will at the same time boost cash flow and increase inventory turnover ratios.</w:t>
      </w:r>
    </w:p>
    <w:p w14:paraId="369A2630" w14:textId="380E7810" w:rsidR="5AC5E6F2" w:rsidRPr="001C0AA6" w:rsidRDefault="2E6C7858" w:rsidP="001C0AA6">
      <w:pPr>
        <w:pStyle w:val="Heading4"/>
        <w:spacing w:before="240" w:after="240" w:line="360" w:lineRule="auto"/>
        <w:jc w:val="both"/>
        <w:rPr>
          <w:rFonts w:ascii="Arial" w:eastAsia="Times New Roman" w:hAnsi="Arial" w:cs="Arial"/>
          <w:b/>
          <w:bCs/>
          <w:color w:val="auto"/>
        </w:rPr>
      </w:pPr>
      <w:bookmarkStart w:id="43" w:name="_Toc1062161524"/>
      <w:r w:rsidRPr="001C0AA6">
        <w:rPr>
          <w:rFonts w:ascii="Arial" w:eastAsia="Times New Roman" w:hAnsi="Arial" w:cs="Arial"/>
          <w:b/>
          <w:bCs/>
          <w:color w:val="auto"/>
        </w:rPr>
        <w:t>4.4.2 Reinvestment in Core and Growth Segments</w:t>
      </w:r>
      <w:bookmarkEnd w:id="43"/>
    </w:p>
    <w:p w14:paraId="6688C052" w14:textId="1C5449AE" w:rsidR="5AC5E6F2" w:rsidRPr="001C0AA6" w:rsidRDefault="038EB941" w:rsidP="001C0AA6">
      <w:pPr>
        <w:spacing w:before="240" w:after="240" w:line="360" w:lineRule="auto"/>
        <w:jc w:val="both"/>
        <w:rPr>
          <w:rFonts w:ascii="Arial" w:eastAsia="Times New Roman" w:hAnsi="Arial" w:cs="Arial"/>
        </w:rPr>
      </w:pPr>
      <w:r w:rsidRPr="001C0AA6">
        <w:rPr>
          <w:rFonts w:ascii="Arial" w:eastAsia="Times New Roman" w:hAnsi="Arial" w:cs="Arial"/>
        </w:rPr>
        <w:t>Divestment capital should be redistributed into high-value and innovative products like smart devices, renewable energy systems, and cloud services where global demand is very strong. The result of such redeployment is that future revenue streams would be less vulnerable to market fluctuations.</w:t>
      </w:r>
    </w:p>
    <w:p w14:paraId="4DC9862D" w14:textId="0342B893" w:rsidR="5AC5E6F2" w:rsidRPr="001C0AA6" w:rsidRDefault="2E6C7858" w:rsidP="001C0AA6">
      <w:pPr>
        <w:pStyle w:val="Heading3"/>
        <w:spacing w:before="240" w:after="240" w:line="360" w:lineRule="auto"/>
        <w:jc w:val="both"/>
        <w:rPr>
          <w:rFonts w:ascii="Arial" w:eastAsia="Times New Roman" w:hAnsi="Arial" w:cs="Arial"/>
          <w:b/>
          <w:bCs/>
          <w:color w:val="auto"/>
          <w:sz w:val="24"/>
          <w:szCs w:val="24"/>
        </w:rPr>
      </w:pPr>
      <w:bookmarkStart w:id="44" w:name="_Toc461205321"/>
      <w:r w:rsidRPr="001C0AA6">
        <w:rPr>
          <w:rFonts w:ascii="Arial" w:eastAsia="Times New Roman" w:hAnsi="Arial" w:cs="Arial"/>
          <w:b/>
          <w:bCs/>
          <w:color w:val="auto"/>
          <w:sz w:val="24"/>
          <w:szCs w:val="24"/>
        </w:rPr>
        <w:t>4.5 Human Capital and Organizational Reform</w:t>
      </w:r>
      <w:bookmarkEnd w:id="44"/>
    </w:p>
    <w:p w14:paraId="0B0AFFB8" w14:textId="45834C2A" w:rsidR="3BC40808" w:rsidRPr="001C0AA6" w:rsidRDefault="13BDCE52" w:rsidP="001C0AA6">
      <w:pPr>
        <w:spacing w:before="240" w:after="240" w:line="360" w:lineRule="auto"/>
        <w:jc w:val="both"/>
        <w:rPr>
          <w:rFonts w:ascii="Arial" w:eastAsia="Times New Roman" w:hAnsi="Arial" w:cs="Arial"/>
        </w:rPr>
      </w:pPr>
      <w:r w:rsidRPr="001C0AA6">
        <w:rPr>
          <w:rFonts w:ascii="Arial" w:eastAsia="Times New Roman" w:hAnsi="Arial" w:cs="Arial"/>
        </w:rPr>
        <w:t>Cultural and organizational change is impossible without financial restructuring. GE must reconstruct its workforce strategy to enable business objectives that are new,</w:t>
      </w:r>
    </w:p>
    <w:p w14:paraId="6D249FCD" w14:textId="7DBB251C" w:rsidR="3BC40808" w:rsidRPr="001C0AA6" w:rsidRDefault="13BDCE52" w:rsidP="001C0AA6">
      <w:pPr>
        <w:pStyle w:val="ListParagraph"/>
        <w:numPr>
          <w:ilvl w:val="0"/>
          <w:numId w:val="12"/>
        </w:numPr>
        <w:spacing w:before="240" w:after="240" w:line="360" w:lineRule="auto"/>
        <w:jc w:val="both"/>
        <w:rPr>
          <w:rFonts w:ascii="Arial" w:eastAsia="Times New Roman" w:hAnsi="Arial" w:cs="Arial"/>
        </w:rPr>
      </w:pPr>
      <w:r w:rsidRPr="001C0AA6">
        <w:rPr>
          <w:rFonts w:ascii="Arial" w:eastAsia="Times New Roman" w:hAnsi="Arial" w:cs="Arial"/>
          <w:b/>
          <w:bCs/>
        </w:rPr>
        <w:t>Performance-linked Pay:</w:t>
      </w:r>
      <w:r w:rsidRPr="001C0AA6">
        <w:rPr>
          <w:rFonts w:ascii="Arial" w:eastAsia="Times New Roman" w:hAnsi="Arial" w:cs="Arial"/>
        </w:rPr>
        <w:t xml:space="preserve"> Implement profitability and efficiency-related incentive-based pay. This will make the performance of employees correlate the shareholder value creation. </w:t>
      </w:r>
    </w:p>
    <w:p w14:paraId="644EC246" w14:textId="4622FC2A" w:rsidR="3BC40808" w:rsidRPr="001C0AA6" w:rsidRDefault="13BDCE52" w:rsidP="001C0AA6">
      <w:pPr>
        <w:pStyle w:val="ListParagraph"/>
        <w:numPr>
          <w:ilvl w:val="0"/>
          <w:numId w:val="12"/>
        </w:numPr>
        <w:spacing w:before="240" w:after="240" w:line="360" w:lineRule="auto"/>
        <w:jc w:val="both"/>
        <w:rPr>
          <w:rFonts w:ascii="Arial" w:eastAsia="Times New Roman" w:hAnsi="Arial" w:cs="Arial"/>
        </w:rPr>
      </w:pPr>
      <w:r w:rsidRPr="001C0AA6">
        <w:rPr>
          <w:rFonts w:ascii="Arial" w:eastAsia="Times New Roman" w:hAnsi="Arial" w:cs="Arial"/>
          <w:b/>
          <w:bCs/>
        </w:rPr>
        <w:t xml:space="preserve">Management Accountability: </w:t>
      </w:r>
      <w:r w:rsidRPr="001C0AA6">
        <w:rPr>
          <w:rFonts w:ascii="Arial" w:eastAsia="Times New Roman" w:hAnsi="Arial" w:cs="Arial"/>
        </w:rPr>
        <w:t xml:space="preserve">It should have a financial performance committee tasked with monthly monitoring of costs and compliance with KPI. Open responsibility can ensure that inefficiencies that were done before cannot be repeated. </w:t>
      </w:r>
    </w:p>
    <w:p w14:paraId="167F5E01" w14:textId="2C631244" w:rsidR="3BC40808" w:rsidRPr="001C0AA6" w:rsidRDefault="13BDCE52" w:rsidP="001C0AA6">
      <w:pPr>
        <w:pStyle w:val="ListParagraph"/>
        <w:numPr>
          <w:ilvl w:val="0"/>
          <w:numId w:val="12"/>
        </w:numPr>
        <w:spacing w:before="240" w:after="240" w:line="360" w:lineRule="auto"/>
        <w:jc w:val="both"/>
        <w:rPr>
          <w:rFonts w:ascii="Arial" w:eastAsia="Times New Roman" w:hAnsi="Arial" w:cs="Arial"/>
        </w:rPr>
      </w:pPr>
      <w:r w:rsidRPr="001C0AA6">
        <w:rPr>
          <w:rFonts w:ascii="Arial" w:eastAsia="Times New Roman" w:hAnsi="Arial" w:cs="Arial"/>
          <w:b/>
          <w:bCs/>
        </w:rPr>
        <w:lastRenderedPageBreak/>
        <w:t xml:space="preserve">Training and </w:t>
      </w:r>
      <w:proofErr w:type="spellStart"/>
      <w:r w:rsidRPr="001C0AA6">
        <w:rPr>
          <w:rFonts w:ascii="Arial" w:eastAsia="Times New Roman" w:hAnsi="Arial" w:cs="Arial"/>
          <w:b/>
          <w:bCs/>
        </w:rPr>
        <w:t>Upskilling</w:t>
      </w:r>
      <w:proofErr w:type="spellEnd"/>
      <w:r w:rsidRPr="001C0AA6">
        <w:rPr>
          <w:rFonts w:ascii="Arial" w:eastAsia="Times New Roman" w:hAnsi="Arial" w:cs="Arial"/>
          <w:b/>
          <w:bCs/>
        </w:rPr>
        <w:t>:</w:t>
      </w:r>
      <w:r w:rsidRPr="001C0AA6">
        <w:rPr>
          <w:rFonts w:ascii="Arial" w:eastAsia="Times New Roman" w:hAnsi="Arial" w:cs="Arial"/>
        </w:rPr>
        <w:t xml:space="preserve"> Prepare the workforce with data analytics, financial literacy and digital transformation skills, which will result in the workforce that is prepared to work in a leaner and tech-driven organization.</w:t>
      </w:r>
    </w:p>
    <w:p w14:paraId="627A4BCE" w14:textId="5A5E530D" w:rsidR="5AC5E6F2" w:rsidRPr="001C0AA6" w:rsidRDefault="2E6C7858" w:rsidP="001C0AA6">
      <w:pPr>
        <w:pStyle w:val="Heading3"/>
        <w:spacing w:before="240" w:after="240" w:line="360" w:lineRule="auto"/>
        <w:jc w:val="both"/>
        <w:rPr>
          <w:rFonts w:ascii="Arial" w:eastAsia="Times New Roman" w:hAnsi="Arial" w:cs="Arial"/>
          <w:b/>
          <w:bCs/>
          <w:color w:val="auto"/>
          <w:sz w:val="24"/>
          <w:szCs w:val="24"/>
        </w:rPr>
      </w:pPr>
      <w:bookmarkStart w:id="45" w:name="_Toc232202045"/>
      <w:r w:rsidRPr="001C0AA6">
        <w:rPr>
          <w:rFonts w:ascii="Arial" w:eastAsia="Times New Roman" w:hAnsi="Arial" w:cs="Arial"/>
          <w:b/>
          <w:bCs/>
          <w:color w:val="auto"/>
          <w:sz w:val="24"/>
          <w:szCs w:val="24"/>
        </w:rPr>
        <w:t>4.6 Ethical and Global Governance Restructuring</w:t>
      </w:r>
      <w:bookmarkEnd w:id="45"/>
    </w:p>
    <w:p w14:paraId="54CF8A4E" w14:textId="13ED64C3" w:rsidR="5AC5E6F2" w:rsidRPr="001C0AA6" w:rsidRDefault="2E6C7858" w:rsidP="001C0AA6">
      <w:pPr>
        <w:spacing w:before="240" w:after="240" w:line="360" w:lineRule="auto"/>
        <w:jc w:val="both"/>
        <w:rPr>
          <w:rFonts w:ascii="Arial" w:eastAsia="Times New Roman" w:hAnsi="Arial" w:cs="Arial"/>
        </w:rPr>
      </w:pPr>
      <w:r w:rsidRPr="001C0AA6">
        <w:rPr>
          <w:rFonts w:ascii="Arial" w:eastAsia="Times New Roman" w:hAnsi="Arial" w:cs="Arial"/>
        </w:rPr>
        <w:t>A critical aspect of sustainable turnaround is restoring stakeholder trust through improved governance and ethics. GE’s credibility suffered during the loss-making years, partly due to weak transparency and inadequate risk management. The following steps are proposed:</w:t>
      </w:r>
    </w:p>
    <w:p w14:paraId="2210F9D6" w14:textId="41FD3995" w:rsidR="5AC5E6F2" w:rsidRPr="001C0AA6" w:rsidRDefault="2E6C7858" w:rsidP="001C0AA6">
      <w:pPr>
        <w:pStyle w:val="ListParagraph"/>
        <w:numPr>
          <w:ilvl w:val="0"/>
          <w:numId w:val="11"/>
        </w:numPr>
        <w:spacing w:before="240" w:after="240" w:line="360" w:lineRule="auto"/>
        <w:jc w:val="both"/>
        <w:rPr>
          <w:rFonts w:ascii="Arial" w:eastAsia="Times New Roman" w:hAnsi="Arial" w:cs="Arial"/>
        </w:rPr>
      </w:pPr>
      <w:r w:rsidRPr="001C0AA6">
        <w:rPr>
          <w:rFonts w:ascii="Arial" w:eastAsia="Times New Roman" w:hAnsi="Arial" w:cs="Arial"/>
          <w:b/>
          <w:bCs/>
        </w:rPr>
        <w:t>Corporate Governance Overhaul:</w:t>
      </w:r>
      <w:r w:rsidR="3437B460" w:rsidRPr="001C0AA6">
        <w:rPr>
          <w:rFonts w:ascii="Arial" w:eastAsia="Times New Roman" w:hAnsi="Arial" w:cs="Arial"/>
          <w:b/>
          <w:bCs/>
        </w:rPr>
        <w:t xml:space="preserve"> </w:t>
      </w:r>
      <w:r w:rsidR="3437B460" w:rsidRPr="001C0AA6">
        <w:rPr>
          <w:rFonts w:ascii="Arial" w:eastAsia="Times New Roman" w:hAnsi="Arial" w:cs="Arial"/>
        </w:rPr>
        <w:t>Refreeze the board to incorporate independent non-executive directors having high financial and risk management skills. This strengthens control and eliminates executive domination.</w:t>
      </w:r>
    </w:p>
    <w:p w14:paraId="2A42DA23" w14:textId="6FCF0805" w:rsidR="5AC5E6F2" w:rsidRPr="001C0AA6" w:rsidRDefault="2E6C7858" w:rsidP="001C0AA6">
      <w:pPr>
        <w:pStyle w:val="ListParagraph"/>
        <w:numPr>
          <w:ilvl w:val="0"/>
          <w:numId w:val="11"/>
        </w:numPr>
        <w:spacing w:before="240" w:after="240" w:line="360" w:lineRule="auto"/>
        <w:jc w:val="both"/>
        <w:rPr>
          <w:rFonts w:ascii="Arial" w:eastAsia="Times New Roman" w:hAnsi="Arial" w:cs="Arial"/>
        </w:rPr>
      </w:pPr>
      <w:r w:rsidRPr="001C0AA6">
        <w:rPr>
          <w:rFonts w:ascii="Arial" w:eastAsia="Times New Roman" w:hAnsi="Arial" w:cs="Arial"/>
          <w:b/>
          <w:bCs/>
        </w:rPr>
        <w:t>Environmental, Social, and Governance (ESG) Commitment</w:t>
      </w:r>
      <w:r w:rsidR="09A2EE6C" w:rsidRPr="001C0AA6">
        <w:rPr>
          <w:rFonts w:ascii="Arial" w:eastAsia="Times New Roman" w:hAnsi="Arial" w:cs="Arial"/>
          <w:b/>
          <w:bCs/>
        </w:rPr>
        <w:t xml:space="preserve">: </w:t>
      </w:r>
      <w:r w:rsidR="09A2EE6C" w:rsidRPr="001C0AA6">
        <w:rPr>
          <w:rFonts w:ascii="Arial" w:eastAsia="Times New Roman" w:hAnsi="Arial" w:cs="Arial"/>
        </w:rPr>
        <w:t xml:space="preserve">Implement the sustainability reporting structure that is in line with the Global Reporting Initiative (GRI). Responsible procurement, social responsibility, and energy conservation must form part of financial policy. </w:t>
      </w:r>
    </w:p>
    <w:p w14:paraId="30A438E2" w14:textId="75615FC3" w:rsidR="5AC5E6F2" w:rsidRPr="001C0AA6" w:rsidRDefault="2E6C7858" w:rsidP="001C0AA6">
      <w:pPr>
        <w:pStyle w:val="ListParagraph"/>
        <w:numPr>
          <w:ilvl w:val="0"/>
          <w:numId w:val="11"/>
        </w:numPr>
        <w:spacing w:before="240" w:after="240" w:line="360" w:lineRule="auto"/>
        <w:jc w:val="both"/>
        <w:rPr>
          <w:rFonts w:ascii="Arial" w:eastAsia="Times New Roman" w:hAnsi="Arial" w:cs="Arial"/>
        </w:rPr>
      </w:pPr>
      <w:r w:rsidRPr="001C0AA6">
        <w:rPr>
          <w:rFonts w:ascii="Arial" w:eastAsia="Times New Roman" w:hAnsi="Arial" w:cs="Arial"/>
          <w:b/>
          <w:bCs/>
        </w:rPr>
        <w:t xml:space="preserve">Ethical </w:t>
      </w:r>
      <w:r w:rsidR="29B00D96" w:rsidRPr="001C0AA6">
        <w:rPr>
          <w:rFonts w:ascii="Arial" w:eastAsia="Times New Roman" w:hAnsi="Arial" w:cs="Arial"/>
          <w:b/>
          <w:bCs/>
        </w:rPr>
        <w:t xml:space="preserve">Financing: </w:t>
      </w:r>
      <w:r w:rsidR="29B00D96" w:rsidRPr="001C0AA6">
        <w:rPr>
          <w:rFonts w:ascii="Arial" w:eastAsia="Times New Roman" w:hAnsi="Arial" w:cs="Arial"/>
        </w:rPr>
        <w:t>It is recommended to avoid speculative tools and invest in financing in accordance with sustainable economic activity, specifically green bonds and social impact investments.</w:t>
      </w:r>
    </w:p>
    <w:p w14:paraId="3F7FC3DF" w14:textId="6614052F" w:rsidR="5AC5E6F2" w:rsidRPr="001C0AA6" w:rsidRDefault="2E6C7858" w:rsidP="001C0AA6">
      <w:pPr>
        <w:pStyle w:val="ListParagraph"/>
        <w:numPr>
          <w:ilvl w:val="0"/>
          <w:numId w:val="11"/>
        </w:numPr>
        <w:spacing w:before="240" w:after="240" w:line="360" w:lineRule="auto"/>
        <w:jc w:val="both"/>
        <w:rPr>
          <w:rFonts w:ascii="Arial" w:eastAsia="Times New Roman" w:hAnsi="Arial" w:cs="Arial"/>
        </w:rPr>
      </w:pPr>
      <w:r w:rsidRPr="001C0AA6">
        <w:rPr>
          <w:rFonts w:ascii="Arial" w:eastAsia="Times New Roman" w:hAnsi="Arial" w:cs="Arial"/>
          <w:b/>
          <w:bCs/>
        </w:rPr>
        <w:t>Global Compliance Mechanisms:</w:t>
      </w:r>
      <w:r w:rsidR="05EACA3A" w:rsidRPr="001C0AA6">
        <w:rPr>
          <w:rFonts w:ascii="Arial" w:eastAsia="Times New Roman" w:hAnsi="Arial" w:cs="Arial"/>
          <w:b/>
          <w:bCs/>
        </w:rPr>
        <w:t xml:space="preserve"> </w:t>
      </w:r>
      <w:r w:rsidR="05EACA3A" w:rsidRPr="001C0AA6">
        <w:rPr>
          <w:rFonts w:ascii="Arial" w:eastAsia="Times New Roman" w:hAnsi="Arial" w:cs="Arial"/>
        </w:rPr>
        <w:t>Adopt compliance measures that are in line with the OECD anti-corruption measures to provide a guarantee of investor confidence globally.</w:t>
      </w:r>
    </w:p>
    <w:p w14:paraId="6E2EBE59" w14:textId="45A8D025" w:rsidR="5AC5E6F2" w:rsidRPr="001C0AA6" w:rsidRDefault="2E6C7858" w:rsidP="001C0AA6">
      <w:pPr>
        <w:pStyle w:val="Heading3"/>
        <w:spacing w:before="240" w:after="240" w:line="360" w:lineRule="auto"/>
        <w:jc w:val="both"/>
        <w:rPr>
          <w:rFonts w:ascii="Arial" w:eastAsia="Times New Roman" w:hAnsi="Arial" w:cs="Arial"/>
          <w:b/>
          <w:bCs/>
          <w:color w:val="auto"/>
          <w:sz w:val="24"/>
          <w:szCs w:val="24"/>
        </w:rPr>
      </w:pPr>
      <w:bookmarkStart w:id="46" w:name="_Toc1718559074"/>
      <w:r w:rsidRPr="001C0AA6">
        <w:rPr>
          <w:rFonts w:ascii="Arial" w:eastAsia="Times New Roman" w:hAnsi="Arial" w:cs="Arial"/>
          <w:b/>
          <w:bCs/>
          <w:color w:val="auto"/>
          <w:sz w:val="24"/>
          <w:szCs w:val="24"/>
        </w:rPr>
        <w:t>4.7 Projected Financial Impact</w:t>
      </w:r>
      <w:bookmarkEnd w:id="46"/>
    </w:p>
    <w:p w14:paraId="0FD49BD1" w14:textId="39CB5191" w:rsidR="5AC5E6F2" w:rsidRPr="001C0AA6" w:rsidRDefault="2E6C7858" w:rsidP="001C0AA6">
      <w:pPr>
        <w:spacing w:before="240" w:after="240" w:line="360" w:lineRule="auto"/>
        <w:jc w:val="both"/>
        <w:rPr>
          <w:rFonts w:ascii="Arial" w:eastAsia="Times New Roman" w:hAnsi="Arial" w:cs="Arial"/>
        </w:rPr>
      </w:pPr>
      <w:r w:rsidRPr="001C0AA6">
        <w:rPr>
          <w:rFonts w:ascii="Arial" w:eastAsia="Times New Roman" w:hAnsi="Arial" w:cs="Arial"/>
        </w:rPr>
        <w:t>The successful implementation of the restructuring plan is expected to yield the following projected improvements over a three-year horizon:</w:t>
      </w:r>
    </w:p>
    <w:tbl>
      <w:tblPr>
        <w:tblStyle w:val="PlainTable2"/>
        <w:tblW w:w="9488" w:type="dxa"/>
        <w:tblLayout w:type="fixed"/>
        <w:tblLook w:val="06A0" w:firstRow="1" w:lastRow="0" w:firstColumn="1" w:lastColumn="0" w:noHBand="1" w:noVBand="1"/>
      </w:tblPr>
      <w:tblGrid>
        <w:gridCol w:w="2940"/>
        <w:gridCol w:w="2310"/>
        <w:gridCol w:w="2400"/>
        <w:gridCol w:w="1838"/>
      </w:tblGrid>
      <w:tr w:rsidR="3BC40808" w:rsidRPr="001C0AA6" w14:paraId="464455F4" w14:textId="77777777" w:rsidTr="79227F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75A4F6A6" w14:textId="528C0185"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Indicator</w:t>
            </w:r>
          </w:p>
        </w:tc>
        <w:tc>
          <w:tcPr>
            <w:tcW w:w="2310" w:type="dxa"/>
            <w:vAlign w:val="center"/>
          </w:tcPr>
          <w:p w14:paraId="14E7C67D" w14:textId="5F5DAAD8"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Current (2024)</w:t>
            </w:r>
          </w:p>
        </w:tc>
        <w:tc>
          <w:tcPr>
            <w:tcW w:w="2400" w:type="dxa"/>
            <w:vAlign w:val="center"/>
          </w:tcPr>
          <w:p w14:paraId="07074272" w14:textId="47DFC573"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Projected (2027)</w:t>
            </w:r>
          </w:p>
        </w:tc>
        <w:tc>
          <w:tcPr>
            <w:tcW w:w="1838" w:type="dxa"/>
            <w:vAlign w:val="center"/>
          </w:tcPr>
          <w:p w14:paraId="22308E1D" w14:textId="16F3CBCE"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Change</w:t>
            </w:r>
          </w:p>
        </w:tc>
      </w:tr>
      <w:tr w:rsidR="3BC40808" w:rsidRPr="001C0AA6" w14:paraId="092A04EE"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27BECDAD" w14:textId="5E32CFB7"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Debt-to-Equity Ratio</w:t>
            </w:r>
          </w:p>
        </w:tc>
        <w:tc>
          <w:tcPr>
            <w:tcW w:w="2310" w:type="dxa"/>
            <w:vAlign w:val="center"/>
          </w:tcPr>
          <w:p w14:paraId="5AAABF31" w14:textId="10306F87"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1.11</w:t>
            </w:r>
          </w:p>
        </w:tc>
        <w:tc>
          <w:tcPr>
            <w:tcW w:w="2400" w:type="dxa"/>
            <w:vAlign w:val="center"/>
          </w:tcPr>
          <w:p w14:paraId="0965823F" w14:textId="01540E4E"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0.70</w:t>
            </w:r>
          </w:p>
        </w:tc>
        <w:tc>
          <w:tcPr>
            <w:tcW w:w="1838" w:type="dxa"/>
            <w:vAlign w:val="center"/>
          </w:tcPr>
          <w:p w14:paraId="3DD44A4C" w14:textId="64DD9E05"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-37%</w:t>
            </w:r>
          </w:p>
        </w:tc>
      </w:tr>
      <w:tr w:rsidR="3BC40808" w:rsidRPr="001C0AA6" w14:paraId="43552B18"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38D54B99" w14:textId="7A7688BE"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Operating Margin</w:t>
            </w:r>
          </w:p>
        </w:tc>
        <w:tc>
          <w:tcPr>
            <w:tcW w:w="2310" w:type="dxa"/>
            <w:vAlign w:val="center"/>
          </w:tcPr>
          <w:p w14:paraId="02CC8362" w14:textId="75608A25"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-3.9%</w:t>
            </w:r>
          </w:p>
        </w:tc>
        <w:tc>
          <w:tcPr>
            <w:tcW w:w="2400" w:type="dxa"/>
            <w:vAlign w:val="center"/>
          </w:tcPr>
          <w:p w14:paraId="6FF075DD" w14:textId="05A53FE6"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+6.0%</w:t>
            </w:r>
          </w:p>
        </w:tc>
        <w:tc>
          <w:tcPr>
            <w:tcW w:w="1838" w:type="dxa"/>
            <w:vAlign w:val="center"/>
          </w:tcPr>
          <w:p w14:paraId="7CEF7A9B" w14:textId="74C9CA5F"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 xml:space="preserve">+9.9 </w:t>
            </w:r>
            <w:proofErr w:type="spellStart"/>
            <w:r w:rsidRPr="001C0AA6">
              <w:rPr>
                <w:rFonts w:ascii="Arial" w:eastAsia="Times New Roman" w:hAnsi="Arial" w:cs="Arial"/>
              </w:rPr>
              <w:t>pts</w:t>
            </w:r>
            <w:proofErr w:type="spellEnd"/>
          </w:p>
        </w:tc>
      </w:tr>
      <w:tr w:rsidR="3BC40808" w:rsidRPr="001C0AA6" w14:paraId="2E5FDBC8"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058AF331" w14:textId="5D76A1AE"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lastRenderedPageBreak/>
              <w:t>ROE</w:t>
            </w:r>
          </w:p>
        </w:tc>
        <w:tc>
          <w:tcPr>
            <w:tcW w:w="2310" w:type="dxa"/>
            <w:vAlign w:val="center"/>
          </w:tcPr>
          <w:p w14:paraId="0F4084EA" w14:textId="5B5453D6"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-15.7%</w:t>
            </w:r>
          </w:p>
        </w:tc>
        <w:tc>
          <w:tcPr>
            <w:tcW w:w="2400" w:type="dxa"/>
            <w:vAlign w:val="center"/>
          </w:tcPr>
          <w:p w14:paraId="1BADBAB3" w14:textId="4FBDCA02"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+8.5%</w:t>
            </w:r>
          </w:p>
        </w:tc>
        <w:tc>
          <w:tcPr>
            <w:tcW w:w="1838" w:type="dxa"/>
            <w:vAlign w:val="center"/>
          </w:tcPr>
          <w:p w14:paraId="7923C993" w14:textId="1193B78F"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 xml:space="preserve">+24.2 </w:t>
            </w:r>
            <w:proofErr w:type="spellStart"/>
            <w:r w:rsidRPr="001C0AA6">
              <w:rPr>
                <w:rFonts w:ascii="Arial" w:eastAsia="Times New Roman" w:hAnsi="Arial" w:cs="Arial"/>
              </w:rPr>
              <w:t>pts</w:t>
            </w:r>
            <w:proofErr w:type="spellEnd"/>
          </w:p>
        </w:tc>
      </w:tr>
      <w:tr w:rsidR="3BC40808" w:rsidRPr="001C0AA6" w14:paraId="75A2E631"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1F2F9A4D" w14:textId="5EA61B84"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Current Ratio</w:t>
            </w:r>
          </w:p>
        </w:tc>
        <w:tc>
          <w:tcPr>
            <w:tcW w:w="2310" w:type="dxa"/>
            <w:vAlign w:val="center"/>
          </w:tcPr>
          <w:p w14:paraId="13AAF492" w14:textId="6E24864D"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1.53</w:t>
            </w:r>
          </w:p>
        </w:tc>
        <w:tc>
          <w:tcPr>
            <w:tcW w:w="2400" w:type="dxa"/>
            <w:vAlign w:val="center"/>
          </w:tcPr>
          <w:p w14:paraId="0EF11D43" w14:textId="27CA42EB"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2.1</w:t>
            </w:r>
          </w:p>
        </w:tc>
        <w:tc>
          <w:tcPr>
            <w:tcW w:w="1838" w:type="dxa"/>
            <w:vAlign w:val="center"/>
          </w:tcPr>
          <w:p w14:paraId="42B6CA91" w14:textId="67B47086"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+0.57</w:t>
            </w:r>
          </w:p>
        </w:tc>
      </w:tr>
      <w:tr w:rsidR="3BC40808" w:rsidRPr="001C0AA6" w14:paraId="55651B1D"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4C5CEFFD" w14:textId="3275FD38"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Altman Z-Score</w:t>
            </w:r>
          </w:p>
        </w:tc>
        <w:tc>
          <w:tcPr>
            <w:tcW w:w="2310" w:type="dxa"/>
            <w:vAlign w:val="center"/>
          </w:tcPr>
          <w:p w14:paraId="122B7AE0" w14:textId="29BC2E1D"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1.45</w:t>
            </w:r>
          </w:p>
        </w:tc>
        <w:tc>
          <w:tcPr>
            <w:tcW w:w="2400" w:type="dxa"/>
            <w:vAlign w:val="center"/>
          </w:tcPr>
          <w:p w14:paraId="292A2812" w14:textId="39B34C9A"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2.85</w:t>
            </w:r>
          </w:p>
        </w:tc>
        <w:tc>
          <w:tcPr>
            <w:tcW w:w="1838" w:type="dxa"/>
            <w:vAlign w:val="center"/>
          </w:tcPr>
          <w:p w14:paraId="6BF2DC1D" w14:textId="21F03681"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+1.4</w:t>
            </w:r>
          </w:p>
        </w:tc>
      </w:tr>
    </w:tbl>
    <w:p w14:paraId="4B2DE370" w14:textId="3C729342" w:rsidR="5AC5E6F2" w:rsidRPr="001C0AA6" w:rsidRDefault="2E6C7858" w:rsidP="001C0AA6">
      <w:pPr>
        <w:spacing w:before="240" w:after="240" w:line="360" w:lineRule="auto"/>
        <w:jc w:val="both"/>
        <w:rPr>
          <w:rFonts w:ascii="Arial" w:eastAsia="Times New Roman" w:hAnsi="Arial" w:cs="Arial"/>
        </w:rPr>
      </w:pPr>
      <w:r w:rsidRPr="001C0AA6">
        <w:rPr>
          <w:rFonts w:ascii="Arial" w:eastAsia="Times New Roman" w:hAnsi="Arial" w:cs="Arial"/>
        </w:rPr>
        <w:t>These improvements will collectively elevate GE from a “financial distress” zone to a “stable” zone per Altman’s classification, re-establishing access to equity markets and positioning the firm for future growth.</w:t>
      </w:r>
    </w:p>
    <w:p w14:paraId="6323AE89" w14:textId="197D4E7C" w:rsidR="5AC5E6F2" w:rsidRPr="001C0AA6" w:rsidRDefault="2E6C7858" w:rsidP="001C0AA6">
      <w:pPr>
        <w:pStyle w:val="Heading3"/>
        <w:spacing w:before="281" w:after="281" w:line="360" w:lineRule="auto"/>
        <w:jc w:val="both"/>
        <w:rPr>
          <w:rFonts w:ascii="Arial" w:eastAsia="Times New Roman" w:hAnsi="Arial" w:cs="Arial"/>
          <w:b/>
          <w:bCs/>
          <w:color w:val="auto"/>
          <w:sz w:val="24"/>
          <w:szCs w:val="24"/>
        </w:rPr>
      </w:pPr>
      <w:bookmarkStart w:id="47" w:name="_Toc356732605"/>
      <w:r w:rsidRPr="001C0AA6">
        <w:rPr>
          <w:rFonts w:ascii="Arial" w:eastAsia="Times New Roman" w:hAnsi="Arial" w:cs="Arial"/>
          <w:b/>
          <w:bCs/>
          <w:color w:val="auto"/>
          <w:sz w:val="24"/>
          <w:szCs w:val="24"/>
        </w:rPr>
        <w:t>4.8 Summary</w:t>
      </w:r>
      <w:bookmarkEnd w:id="47"/>
    </w:p>
    <w:p w14:paraId="17B332FD" w14:textId="7DB12700" w:rsidR="5AC5E6F2" w:rsidRPr="001C0AA6" w:rsidRDefault="6746BF8E" w:rsidP="001C0AA6">
      <w:pPr>
        <w:spacing w:before="240" w:after="240" w:line="360" w:lineRule="auto"/>
        <w:jc w:val="both"/>
        <w:rPr>
          <w:rFonts w:ascii="Arial" w:eastAsia="Times New Roman" w:hAnsi="Arial" w:cs="Arial"/>
        </w:rPr>
      </w:pPr>
      <w:r w:rsidRPr="001C0AA6">
        <w:rPr>
          <w:rFonts w:ascii="Arial" w:eastAsia="Times New Roman" w:hAnsi="Arial" w:cs="Arial"/>
        </w:rPr>
        <w:t>The General Electronics financial restructuring plan is a balanced process according to the long-term sustainability objectives and the immediate liquidity demands. GE can recover its profitability by de-leveraging the balance sheet, cost optimization, and rejuvenating governance and be ready to invest again. This change will be based on ethical responsibility and global competitiveness, so that financial stability would not be against corporate integrity.</w:t>
      </w:r>
    </w:p>
    <w:p w14:paraId="134B0CB3" w14:textId="17CCFCDA" w:rsidR="5AC5E6F2" w:rsidRPr="001C0AA6" w:rsidRDefault="2E6C7858" w:rsidP="001C0AA6">
      <w:pPr>
        <w:pStyle w:val="Heading2"/>
        <w:spacing w:before="240" w:after="240" w:line="360" w:lineRule="auto"/>
        <w:jc w:val="both"/>
        <w:rPr>
          <w:rFonts w:ascii="Arial" w:eastAsia="Times New Roman" w:hAnsi="Arial" w:cs="Arial"/>
          <w:b/>
          <w:bCs/>
          <w:color w:val="auto"/>
          <w:sz w:val="24"/>
          <w:szCs w:val="24"/>
        </w:rPr>
      </w:pPr>
      <w:bookmarkStart w:id="48" w:name="_Toc587487529"/>
      <w:r w:rsidRPr="001C0AA6">
        <w:rPr>
          <w:rFonts w:ascii="Arial" w:eastAsia="Times New Roman" w:hAnsi="Arial" w:cs="Arial"/>
          <w:b/>
          <w:bCs/>
          <w:color w:val="auto"/>
          <w:sz w:val="24"/>
          <w:szCs w:val="24"/>
        </w:rPr>
        <w:t>5: Investment Appraisal and Capital Budgeting</w:t>
      </w:r>
      <w:bookmarkEnd w:id="48"/>
    </w:p>
    <w:p w14:paraId="431AE2D6" w14:textId="4A7261C9" w:rsidR="5AC5E6F2" w:rsidRPr="001C0AA6" w:rsidRDefault="2E6C7858" w:rsidP="001C0AA6">
      <w:pPr>
        <w:pStyle w:val="Heading3"/>
        <w:spacing w:before="281" w:after="281" w:line="360" w:lineRule="auto"/>
        <w:jc w:val="both"/>
        <w:rPr>
          <w:rFonts w:ascii="Arial" w:eastAsia="Times New Roman" w:hAnsi="Arial" w:cs="Arial"/>
          <w:b/>
          <w:bCs/>
          <w:color w:val="auto"/>
          <w:sz w:val="24"/>
          <w:szCs w:val="24"/>
        </w:rPr>
      </w:pPr>
      <w:bookmarkStart w:id="49" w:name="_Toc441636769"/>
      <w:r w:rsidRPr="001C0AA6">
        <w:rPr>
          <w:rFonts w:ascii="Arial" w:eastAsia="Times New Roman" w:hAnsi="Arial" w:cs="Arial"/>
          <w:b/>
          <w:bCs/>
          <w:color w:val="auto"/>
          <w:sz w:val="24"/>
          <w:szCs w:val="24"/>
        </w:rPr>
        <w:t>5.1 Overview</w:t>
      </w:r>
      <w:bookmarkEnd w:id="49"/>
    </w:p>
    <w:p w14:paraId="390AF05F" w14:textId="5BC25608" w:rsidR="3BC40808" w:rsidRPr="001C0AA6" w:rsidRDefault="2E6C7858" w:rsidP="001C0AA6">
      <w:pPr>
        <w:spacing w:before="240" w:after="240" w:line="360" w:lineRule="auto"/>
        <w:jc w:val="both"/>
        <w:rPr>
          <w:rFonts w:ascii="Arial" w:eastAsia="Times New Roman" w:hAnsi="Arial" w:cs="Arial"/>
        </w:rPr>
      </w:pPr>
      <w:r w:rsidRPr="001C0AA6">
        <w:rPr>
          <w:rFonts w:ascii="Arial" w:eastAsia="Times New Roman" w:hAnsi="Arial" w:cs="Arial"/>
        </w:rPr>
        <w:t xml:space="preserve">A fundamental </w:t>
      </w:r>
      <w:r w:rsidR="560CD47F" w:rsidRPr="001C0AA6">
        <w:rPr>
          <w:rFonts w:ascii="Arial" w:eastAsia="Times New Roman" w:hAnsi="Arial" w:cs="Arial"/>
        </w:rPr>
        <w:t xml:space="preserve">pillar of good financial management is the assessment of the probable investment opportunities so as to enable the optimum utilization of the scarce capital resources. In the case of General Electronics (GE), which currently is in a post-crisis restructuring phase, capital investment goal does not directly focus on profitability, but also running stability, reducing risk, and the orientation towards the strategic vision of the company in long-term growth. This part uses various methods of capital budgeting such as Payback Period (PBP), </w:t>
      </w:r>
      <w:proofErr w:type="gramStart"/>
      <w:r w:rsidR="560CD47F" w:rsidRPr="001C0AA6">
        <w:rPr>
          <w:rFonts w:ascii="Arial" w:eastAsia="Times New Roman" w:hAnsi="Arial" w:cs="Arial"/>
        </w:rPr>
        <w:t>Accounting</w:t>
      </w:r>
      <w:proofErr w:type="gramEnd"/>
      <w:r w:rsidR="560CD47F" w:rsidRPr="001C0AA6">
        <w:rPr>
          <w:rFonts w:ascii="Arial" w:eastAsia="Times New Roman" w:hAnsi="Arial" w:cs="Arial"/>
        </w:rPr>
        <w:t xml:space="preserve"> rate of return (ARR), Net Present value (NPV), Profitability Index (PI) and Internal rate of return (IRR) to determine the financial feasibility of three suggested projects, which will be known as Projects A, B and C. </w:t>
      </w:r>
    </w:p>
    <w:p w14:paraId="05673C60" w14:textId="63C8F6B6" w:rsidR="3BC40808" w:rsidRPr="001C0AA6" w:rsidRDefault="560CD47F" w:rsidP="001C0AA6">
      <w:pPr>
        <w:spacing w:before="240" w:after="240" w:line="360" w:lineRule="auto"/>
        <w:jc w:val="both"/>
        <w:rPr>
          <w:rFonts w:ascii="Arial" w:eastAsia="Times New Roman" w:hAnsi="Arial" w:cs="Arial"/>
        </w:rPr>
      </w:pPr>
      <w:r w:rsidRPr="001C0AA6">
        <w:rPr>
          <w:rFonts w:ascii="Arial" w:eastAsia="Times New Roman" w:hAnsi="Arial" w:cs="Arial"/>
        </w:rPr>
        <w:t xml:space="preserve">Its analysis is based on a discount rate of 10%, which is the weighted average cost of capital (WACC) of the company and a period of five years in which the investment is going to be made. Every project has been proposed so that it supports one of the other aspects </w:t>
      </w:r>
      <w:r w:rsidRPr="001C0AA6">
        <w:rPr>
          <w:rFonts w:ascii="Arial" w:eastAsia="Times New Roman" w:hAnsi="Arial" w:cs="Arial"/>
        </w:rPr>
        <w:lastRenderedPageBreak/>
        <w:t xml:space="preserve">of GE activities: Project A is aimed to make manufacturing more efficient through using digital solutions, Project B is aimed to establish data </w:t>
      </w:r>
      <w:proofErr w:type="spellStart"/>
      <w:r w:rsidRPr="001C0AA6">
        <w:rPr>
          <w:rFonts w:ascii="Arial" w:eastAsia="Times New Roman" w:hAnsi="Arial" w:cs="Arial"/>
        </w:rPr>
        <w:t>centres</w:t>
      </w:r>
      <w:proofErr w:type="spellEnd"/>
      <w:r w:rsidRPr="001C0AA6">
        <w:rPr>
          <w:rFonts w:ascii="Arial" w:eastAsia="Times New Roman" w:hAnsi="Arial" w:cs="Arial"/>
        </w:rPr>
        <w:t xml:space="preserve"> which operate on renewable energy, and Project C is aimed to enter foreign markets. Total capital available is restricted to only 60 million pounds and decisions that are made by the investors concerning investments should be made within the principle of capital rationing.</w:t>
      </w:r>
    </w:p>
    <w:p w14:paraId="044CC8DF" w14:textId="45D82246" w:rsidR="5AC5E6F2" w:rsidRPr="001C0AA6" w:rsidRDefault="2E6C7858" w:rsidP="001C0AA6">
      <w:pPr>
        <w:pStyle w:val="Heading3"/>
        <w:spacing w:before="240" w:after="240" w:line="360" w:lineRule="auto"/>
        <w:jc w:val="both"/>
        <w:rPr>
          <w:rFonts w:ascii="Arial" w:eastAsia="Times New Roman" w:hAnsi="Arial" w:cs="Arial"/>
          <w:b/>
          <w:bCs/>
          <w:color w:val="auto"/>
          <w:sz w:val="24"/>
          <w:szCs w:val="24"/>
        </w:rPr>
      </w:pPr>
      <w:bookmarkStart w:id="50" w:name="_Toc1323496156"/>
      <w:r w:rsidRPr="001C0AA6">
        <w:rPr>
          <w:rFonts w:ascii="Arial" w:eastAsia="Times New Roman" w:hAnsi="Arial" w:cs="Arial"/>
          <w:b/>
          <w:bCs/>
          <w:color w:val="auto"/>
          <w:sz w:val="24"/>
          <w:szCs w:val="24"/>
        </w:rPr>
        <w:t>5.2 Project Data and Cash Flow Assumptions</w:t>
      </w:r>
      <w:bookmarkEnd w:id="50"/>
    </w:p>
    <w:tbl>
      <w:tblPr>
        <w:tblStyle w:val="PlainTable1"/>
        <w:tblW w:w="9855" w:type="dxa"/>
        <w:tblInd w:w="-165" w:type="dxa"/>
        <w:tblLayout w:type="fixed"/>
        <w:tblLook w:val="06A0" w:firstRow="1" w:lastRow="0" w:firstColumn="1" w:lastColumn="0" w:noHBand="1" w:noVBand="1"/>
      </w:tblPr>
      <w:tblGrid>
        <w:gridCol w:w="1080"/>
        <w:gridCol w:w="1545"/>
        <w:gridCol w:w="1260"/>
        <w:gridCol w:w="1080"/>
        <w:gridCol w:w="975"/>
        <w:gridCol w:w="1185"/>
        <w:gridCol w:w="1095"/>
        <w:gridCol w:w="1635"/>
      </w:tblGrid>
      <w:tr w:rsidR="3BC40808" w:rsidRPr="001C0AA6" w14:paraId="775FA7C7" w14:textId="77777777" w:rsidTr="79227F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80" w:type="dxa"/>
            <w:shd w:val="clear" w:color="auto" w:fill="DAE8F8"/>
            <w:vAlign w:val="center"/>
          </w:tcPr>
          <w:p w14:paraId="31F06474" w14:textId="534E8497"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Project</w:t>
            </w:r>
          </w:p>
        </w:tc>
        <w:tc>
          <w:tcPr>
            <w:tcW w:w="1545" w:type="dxa"/>
            <w:shd w:val="clear" w:color="auto" w:fill="DAE8F8"/>
            <w:vAlign w:val="center"/>
          </w:tcPr>
          <w:p w14:paraId="372E315B" w14:textId="273B2EF1"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Initial Investment (£m)</w:t>
            </w:r>
          </w:p>
        </w:tc>
        <w:tc>
          <w:tcPr>
            <w:tcW w:w="1260" w:type="dxa"/>
            <w:shd w:val="clear" w:color="auto" w:fill="DAE8F8"/>
            <w:vAlign w:val="center"/>
          </w:tcPr>
          <w:p w14:paraId="0365975A" w14:textId="3247C8F7"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Year 1 (£m)</w:t>
            </w:r>
          </w:p>
        </w:tc>
        <w:tc>
          <w:tcPr>
            <w:tcW w:w="1080" w:type="dxa"/>
            <w:shd w:val="clear" w:color="auto" w:fill="DAE8F8"/>
            <w:vAlign w:val="center"/>
          </w:tcPr>
          <w:p w14:paraId="3BF8815D" w14:textId="243B65F1"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Year 2 (£m)</w:t>
            </w:r>
          </w:p>
        </w:tc>
        <w:tc>
          <w:tcPr>
            <w:tcW w:w="975" w:type="dxa"/>
            <w:shd w:val="clear" w:color="auto" w:fill="DAE8F8"/>
            <w:vAlign w:val="center"/>
          </w:tcPr>
          <w:p w14:paraId="506DA037" w14:textId="7A2EE660"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Year 3 (£m)</w:t>
            </w:r>
          </w:p>
        </w:tc>
        <w:tc>
          <w:tcPr>
            <w:tcW w:w="1185" w:type="dxa"/>
            <w:shd w:val="clear" w:color="auto" w:fill="DAE8F8"/>
            <w:vAlign w:val="center"/>
          </w:tcPr>
          <w:p w14:paraId="60FDC192" w14:textId="0551FCD0"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Year 4 (£m)</w:t>
            </w:r>
          </w:p>
        </w:tc>
        <w:tc>
          <w:tcPr>
            <w:tcW w:w="1095" w:type="dxa"/>
            <w:shd w:val="clear" w:color="auto" w:fill="DAE8F8"/>
            <w:vAlign w:val="center"/>
          </w:tcPr>
          <w:p w14:paraId="1C008931" w14:textId="5EE679D4"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Year 5 (£m)</w:t>
            </w:r>
          </w:p>
        </w:tc>
        <w:tc>
          <w:tcPr>
            <w:tcW w:w="1635" w:type="dxa"/>
            <w:shd w:val="clear" w:color="auto" w:fill="DAE8F8"/>
            <w:vAlign w:val="center"/>
          </w:tcPr>
          <w:p w14:paraId="7EA05FEE" w14:textId="163946DF" w:rsidR="3BC40808" w:rsidRPr="001C0AA6" w:rsidRDefault="1B422081" w:rsidP="001C0AA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1C0AA6">
              <w:rPr>
                <w:rFonts w:ascii="Arial" w:eastAsia="Times New Roman" w:hAnsi="Arial" w:cs="Arial"/>
              </w:rPr>
              <w:t>Total Inflows (£m)</w:t>
            </w:r>
          </w:p>
        </w:tc>
      </w:tr>
      <w:tr w:rsidR="3BC40808" w:rsidRPr="001C0AA6" w14:paraId="2F257E9C"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080" w:type="dxa"/>
            <w:vAlign w:val="center"/>
          </w:tcPr>
          <w:p w14:paraId="59C747C0" w14:textId="33762F66"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A</w:t>
            </w:r>
          </w:p>
        </w:tc>
        <w:tc>
          <w:tcPr>
            <w:tcW w:w="1545" w:type="dxa"/>
            <w:vAlign w:val="center"/>
          </w:tcPr>
          <w:p w14:paraId="6A3102A6" w14:textId="2F4677EA"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25</w:t>
            </w:r>
          </w:p>
        </w:tc>
        <w:tc>
          <w:tcPr>
            <w:tcW w:w="1260" w:type="dxa"/>
            <w:vAlign w:val="center"/>
          </w:tcPr>
          <w:p w14:paraId="10FC4395" w14:textId="67FCA333"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8</w:t>
            </w:r>
          </w:p>
        </w:tc>
        <w:tc>
          <w:tcPr>
            <w:tcW w:w="1080" w:type="dxa"/>
            <w:vAlign w:val="center"/>
          </w:tcPr>
          <w:p w14:paraId="3B245B18" w14:textId="77D87F39"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10</w:t>
            </w:r>
          </w:p>
        </w:tc>
        <w:tc>
          <w:tcPr>
            <w:tcW w:w="975" w:type="dxa"/>
            <w:vAlign w:val="center"/>
          </w:tcPr>
          <w:p w14:paraId="2E53940A" w14:textId="712AAAC4"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12</w:t>
            </w:r>
          </w:p>
        </w:tc>
        <w:tc>
          <w:tcPr>
            <w:tcW w:w="1185" w:type="dxa"/>
            <w:vAlign w:val="center"/>
          </w:tcPr>
          <w:p w14:paraId="4772D60C" w14:textId="0F305201"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14</w:t>
            </w:r>
          </w:p>
        </w:tc>
        <w:tc>
          <w:tcPr>
            <w:tcW w:w="1095" w:type="dxa"/>
            <w:vAlign w:val="center"/>
          </w:tcPr>
          <w:p w14:paraId="539C5246" w14:textId="40240AF8"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15</w:t>
            </w:r>
          </w:p>
        </w:tc>
        <w:tc>
          <w:tcPr>
            <w:tcW w:w="1635" w:type="dxa"/>
            <w:vAlign w:val="center"/>
          </w:tcPr>
          <w:p w14:paraId="2E64DF64" w14:textId="68F797F5"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59</w:t>
            </w:r>
          </w:p>
        </w:tc>
      </w:tr>
      <w:tr w:rsidR="3BC40808" w:rsidRPr="001C0AA6" w14:paraId="47760E3E"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080" w:type="dxa"/>
            <w:vAlign w:val="center"/>
          </w:tcPr>
          <w:p w14:paraId="48143E24" w14:textId="0B1B1228"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B</w:t>
            </w:r>
          </w:p>
        </w:tc>
        <w:tc>
          <w:tcPr>
            <w:tcW w:w="1545" w:type="dxa"/>
            <w:vAlign w:val="center"/>
          </w:tcPr>
          <w:p w14:paraId="7876EEC8" w14:textId="05863058"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30</w:t>
            </w:r>
          </w:p>
        </w:tc>
        <w:tc>
          <w:tcPr>
            <w:tcW w:w="1260" w:type="dxa"/>
            <w:vAlign w:val="center"/>
          </w:tcPr>
          <w:p w14:paraId="10161018" w14:textId="231A12C3"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10</w:t>
            </w:r>
          </w:p>
        </w:tc>
        <w:tc>
          <w:tcPr>
            <w:tcW w:w="1080" w:type="dxa"/>
            <w:vAlign w:val="center"/>
          </w:tcPr>
          <w:p w14:paraId="656D5EF7" w14:textId="1FF972C9"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12</w:t>
            </w:r>
          </w:p>
        </w:tc>
        <w:tc>
          <w:tcPr>
            <w:tcW w:w="975" w:type="dxa"/>
            <w:vAlign w:val="center"/>
          </w:tcPr>
          <w:p w14:paraId="0E3BF753" w14:textId="0180327E"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15</w:t>
            </w:r>
          </w:p>
        </w:tc>
        <w:tc>
          <w:tcPr>
            <w:tcW w:w="1185" w:type="dxa"/>
            <w:vAlign w:val="center"/>
          </w:tcPr>
          <w:p w14:paraId="5175ED6A" w14:textId="411ED63D"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16</w:t>
            </w:r>
          </w:p>
        </w:tc>
        <w:tc>
          <w:tcPr>
            <w:tcW w:w="1095" w:type="dxa"/>
            <w:vAlign w:val="center"/>
          </w:tcPr>
          <w:p w14:paraId="0FE6FB61" w14:textId="6A4CC8B0"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17</w:t>
            </w:r>
          </w:p>
        </w:tc>
        <w:tc>
          <w:tcPr>
            <w:tcW w:w="1635" w:type="dxa"/>
            <w:vAlign w:val="center"/>
          </w:tcPr>
          <w:p w14:paraId="6EB3CAB1" w14:textId="7940BE3D"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70</w:t>
            </w:r>
          </w:p>
        </w:tc>
      </w:tr>
      <w:tr w:rsidR="3BC40808" w:rsidRPr="001C0AA6" w14:paraId="115952F2" w14:textId="77777777" w:rsidTr="79227FA8">
        <w:trPr>
          <w:trHeight w:val="300"/>
        </w:trPr>
        <w:tc>
          <w:tcPr>
            <w:cnfStyle w:val="001000000000" w:firstRow="0" w:lastRow="0" w:firstColumn="1" w:lastColumn="0" w:oddVBand="0" w:evenVBand="0" w:oddHBand="0" w:evenHBand="0" w:firstRowFirstColumn="0" w:firstRowLastColumn="0" w:lastRowFirstColumn="0" w:lastRowLastColumn="0"/>
            <w:tcW w:w="1080" w:type="dxa"/>
            <w:vAlign w:val="center"/>
          </w:tcPr>
          <w:p w14:paraId="309885EF" w14:textId="2A362F14" w:rsidR="3BC40808" w:rsidRPr="001C0AA6" w:rsidRDefault="1B422081" w:rsidP="001C0AA6">
            <w:pPr>
              <w:spacing w:line="360" w:lineRule="auto"/>
              <w:jc w:val="both"/>
              <w:rPr>
                <w:rFonts w:ascii="Arial" w:eastAsia="Times New Roman" w:hAnsi="Arial" w:cs="Arial"/>
              </w:rPr>
            </w:pPr>
            <w:r w:rsidRPr="001C0AA6">
              <w:rPr>
                <w:rFonts w:ascii="Arial" w:eastAsia="Times New Roman" w:hAnsi="Arial" w:cs="Arial"/>
              </w:rPr>
              <w:t>C</w:t>
            </w:r>
          </w:p>
        </w:tc>
        <w:tc>
          <w:tcPr>
            <w:tcW w:w="1545" w:type="dxa"/>
            <w:vAlign w:val="center"/>
          </w:tcPr>
          <w:p w14:paraId="0AD08DB9" w14:textId="4E5A1E3E"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20</w:t>
            </w:r>
          </w:p>
        </w:tc>
        <w:tc>
          <w:tcPr>
            <w:tcW w:w="1260" w:type="dxa"/>
            <w:vAlign w:val="center"/>
          </w:tcPr>
          <w:p w14:paraId="68D3754B" w14:textId="30B3A501"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5</w:t>
            </w:r>
          </w:p>
        </w:tc>
        <w:tc>
          <w:tcPr>
            <w:tcW w:w="1080" w:type="dxa"/>
            <w:vAlign w:val="center"/>
          </w:tcPr>
          <w:p w14:paraId="79CB6E66" w14:textId="28FC4824"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6</w:t>
            </w:r>
          </w:p>
        </w:tc>
        <w:tc>
          <w:tcPr>
            <w:tcW w:w="975" w:type="dxa"/>
            <w:vAlign w:val="center"/>
          </w:tcPr>
          <w:p w14:paraId="0F589237" w14:textId="37910C27"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7</w:t>
            </w:r>
          </w:p>
        </w:tc>
        <w:tc>
          <w:tcPr>
            <w:tcW w:w="1185" w:type="dxa"/>
            <w:vAlign w:val="center"/>
          </w:tcPr>
          <w:p w14:paraId="64CE2B36" w14:textId="10EA4C8F"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8</w:t>
            </w:r>
          </w:p>
        </w:tc>
        <w:tc>
          <w:tcPr>
            <w:tcW w:w="1095" w:type="dxa"/>
            <w:vAlign w:val="center"/>
          </w:tcPr>
          <w:p w14:paraId="27CCAD1B" w14:textId="173BC7F0"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8</w:t>
            </w:r>
          </w:p>
        </w:tc>
        <w:tc>
          <w:tcPr>
            <w:tcW w:w="1635" w:type="dxa"/>
            <w:vAlign w:val="center"/>
          </w:tcPr>
          <w:p w14:paraId="7B691087" w14:textId="34C804C7" w:rsidR="3BC40808" w:rsidRPr="001C0AA6" w:rsidRDefault="1B422081" w:rsidP="001C0AA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1C0AA6">
              <w:rPr>
                <w:rFonts w:ascii="Arial" w:eastAsia="Times New Roman" w:hAnsi="Arial" w:cs="Arial"/>
              </w:rPr>
              <w:t>34</w:t>
            </w:r>
          </w:p>
        </w:tc>
      </w:tr>
    </w:tbl>
    <w:p w14:paraId="4F47C824" w14:textId="6D970016" w:rsidR="3BC40808" w:rsidRPr="001C0AA6" w:rsidRDefault="5BAE68CC" w:rsidP="001C0AA6">
      <w:pPr>
        <w:spacing w:before="240" w:after="240" w:line="360" w:lineRule="auto"/>
        <w:jc w:val="both"/>
        <w:rPr>
          <w:rFonts w:ascii="Arial" w:eastAsia="Times New Roman" w:hAnsi="Arial" w:cs="Arial"/>
        </w:rPr>
      </w:pPr>
      <w:r w:rsidRPr="001C0AA6">
        <w:rPr>
          <w:rFonts w:ascii="Arial" w:eastAsia="Times New Roman" w:hAnsi="Arial" w:cs="Arial"/>
        </w:rPr>
        <w:t>These projected cash flows represent expected after-tax inflows and are adjusted for inflationary effects.</w:t>
      </w:r>
    </w:p>
    <w:p w14:paraId="6E890931" w14:textId="08B37518" w:rsidR="5C47117E" w:rsidRPr="001C0AA6" w:rsidRDefault="5BAE68CC" w:rsidP="001C0AA6">
      <w:pPr>
        <w:pStyle w:val="Heading3"/>
        <w:spacing w:before="240" w:after="240" w:line="360" w:lineRule="auto"/>
        <w:jc w:val="both"/>
        <w:rPr>
          <w:rFonts w:ascii="Arial" w:eastAsia="Times New Roman" w:hAnsi="Arial" w:cs="Arial"/>
          <w:b/>
          <w:bCs/>
          <w:color w:val="auto"/>
          <w:sz w:val="24"/>
          <w:szCs w:val="24"/>
        </w:rPr>
      </w:pPr>
      <w:bookmarkStart w:id="51" w:name="_Toc63485379"/>
      <w:r w:rsidRPr="001C0AA6">
        <w:rPr>
          <w:rFonts w:ascii="Arial" w:eastAsia="Times New Roman" w:hAnsi="Arial" w:cs="Arial"/>
          <w:b/>
          <w:bCs/>
          <w:color w:val="auto"/>
          <w:sz w:val="24"/>
          <w:szCs w:val="24"/>
        </w:rPr>
        <w:t>5.3 Payback Period (PBP)</w:t>
      </w:r>
      <w:bookmarkEnd w:id="51"/>
    </w:p>
    <w:p w14:paraId="5E690EDC" w14:textId="649330E6" w:rsidR="5C47117E" w:rsidRPr="001C0AA6" w:rsidRDefault="5BAE68CC" w:rsidP="001C0AA6">
      <w:pPr>
        <w:spacing w:before="240" w:after="240" w:line="360" w:lineRule="auto"/>
        <w:jc w:val="both"/>
        <w:rPr>
          <w:rFonts w:ascii="Arial" w:eastAsia="Times New Roman" w:hAnsi="Arial" w:cs="Arial"/>
        </w:rPr>
      </w:pPr>
      <w:r w:rsidRPr="001C0AA6">
        <w:rPr>
          <w:rFonts w:ascii="Arial" w:eastAsia="Times New Roman" w:hAnsi="Arial" w:cs="Arial"/>
        </w:rPr>
        <w:t>The payback period measures the time required to recover the initial investment from the project’s net cash inflows. It provides an indication of liquidity risk — shorter payback periods generally imply quicker capital recovery and lower exposure to uncertainty.</w:t>
      </w:r>
    </w:p>
    <w:p w14:paraId="4F8BD85C" w14:textId="6C1A3F48" w:rsidR="5C47117E" w:rsidRPr="001C0AA6" w:rsidRDefault="5BAE68CC" w:rsidP="001C0AA6">
      <w:pPr>
        <w:pStyle w:val="ListParagraph"/>
        <w:numPr>
          <w:ilvl w:val="0"/>
          <w:numId w:val="10"/>
        </w:numPr>
        <w:spacing w:before="240" w:after="240" w:line="360" w:lineRule="auto"/>
        <w:jc w:val="both"/>
        <w:rPr>
          <w:rFonts w:ascii="Arial" w:eastAsia="Times New Roman" w:hAnsi="Arial" w:cs="Arial"/>
        </w:rPr>
      </w:pPr>
      <w:r w:rsidRPr="001C0AA6">
        <w:rPr>
          <w:rFonts w:ascii="Arial" w:eastAsia="Times New Roman" w:hAnsi="Arial" w:cs="Arial"/>
          <w:b/>
          <w:bCs/>
        </w:rPr>
        <w:t>Project A:</w:t>
      </w:r>
      <w:r w:rsidRPr="001C0AA6">
        <w:rPr>
          <w:rFonts w:ascii="Arial" w:eastAsia="Times New Roman" w:hAnsi="Arial" w:cs="Arial"/>
        </w:rPr>
        <w:t xml:space="preserve"> The cumulative inflows reach £25 million by approximately 2.5 years.</w:t>
      </w:r>
    </w:p>
    <w:p w14:paraId="7F0522FF" w14:textId="25B6C2EA" w:rsidR="5C47117E" w:rsidRPr="001C0AA6" w:rsidRDefault="5BAE68CC" w:rsidP="001C0AA6">
      <w:pPr>
        <w:pStyle w:val="ListParagraph"/>
        <w:numPr>
          <w:ilvl w:val="0"/>
          <w:numId w:val="10"/>
        </w:numPr>
        <w:spacing w:before="240" w:after="240" w:line="360" w:lineRule="auto"/>
        <w:jc w:val="both"/>
        <w:rPr>
          <w:rFonts w:ascii="Arial" w:eastAsia="Times New Roman" w:hAnsi="Arial" w:cs="Arial"/>
        </w:rPr>
      </w:pPr>
      <w:r w:rsidRPr="001C0AA6">
        <w:rPr>
          <w:rFonts w:ascii="Arial" w:eastAsia="Times New Roman" w:hAnsi="Arial" w:cs="Arial"/>
          <w:b/>
          <w:bCs/>
        </w:rPr>
        <w:t>Project B:</w:t>
      </w:r>
      <w:r w:rsidRPr="001C0AA6">
        <w:rPr>
          <w:rFonts w:ascii="Arial" w:eastAsia="Times New Roman" w:hAnsi="Arial" w:cs="Arial"/>
        </w:rPr>
        <w:t xml:space="preserve"> The investment of £30 million is recovered in about 2.3 years.</w:t>
      </w:r>
    </w:p>
    <w:p w14:paraId="0823BDE0" w14:textId="7FF3D19F" w:rsidR="5C47117E" w:rsidRPr="001C0AA6" w:rsidRDefault="5BAE68CC" w:rsidP="001C0AA6">
      <w:pPr>
        <w:pStyle w:val="ListParagraph"/>
        <w:numPr>
          <w:ilvl w:val="0"/>
          <w:numId w:val="10"/>
        </w:numPr>
        <w:spacing w:before="240" w:after="240" w:line="360" w:lineRule="auto"/>
        <w:jc w:val="both"/>
        <w:rPr>
          <w:rFonts w:ascii="Arial" w:eastAsia="Times New Roman" w:hAnsi="Arial" w:cs="Arial"/>
        </w:rPr>
      </w:pPr>
      <w:r w:rsidRPr="001C0AA6">
        <w:rPr>
          <w:rFonts w:ascii="Arial" w:eastAsia="Times New Roman" w:hAnsi="Arial" w:cs="Arial"/>
          <w:b/>
          <w:bCs/>
        </w:rPr>
        <w:t>Project C:</w:t>
      </w:r>
      <w:r w:rsidRPr="001C0AA6">
        <w:rPr>
          <w:rFonts w:ascii="Arial" w:eastAsia="Times New Roman" w:hAnsi="Arial" w:cs="Arial"/>
        </w:rPr>
        <w:t xml:space="preserve"> The payback period extends to approximately 3.5 years.</w:t>
      </w:r>
    </w:p>
    <w:p w14:paraId="188E7F14" w14:textId="6F025BFB" w:rsidR="5C47117E" w:rsidRPr="001C0AA6" w:rsidRDefault="5BAE68CC" w:rsidP="001C0AA6">
      <w:pPr>
        <w:spacing w:before="240" w:after="240" w:line="360" w:lineRule="auto"/>
        <w:jc w:val="both"/>
        <w:rPr>
          <w:rFonts w:ascii="Arial" w:eastAsia="Times New Roman" w:hAnsi="Arial" w:cs="Arial"/>
        </w:rPr>
      </w:pPr>
      <w:r w:rsidRPr="001C0AA6">
        <w:rPr>
          <w:rFonts w:ascii="Arial" w:eastAsia="Times New Roman" w:hAnsi="Arial" w:cs="Arial"/>
        </w:rPr>
        <w:t xml:space="preserve">From a liquidity standpoint, Project B demonstrates the most rapid recovery of capital, which is a </w:t>
      </w:r>
      <w:proofErr w:type="spellStart"/>
      <w:r w:rsidRPr="001C0AA6">
        <w:rPr>
          <w:rFonts w:ascii="Arial" w:eastAsia="Times New Roman" w:hAnsi="Arial" w:cs="Arial"/>
        </w:rPr>
        <w:t>favourable</w:t>
      </w:r>
      <w:proofErr w:type="spellEnd"/>
      <w:r w:rsidRPr="001C0AA6">
        <w:rPr>
          <w:rFonts w:ascii="Arial" w:eastAsia="Times New Roman" w:hAnsi="Arial" w:cs="Arial"/>
        </w:rPr>
        <w:t xml:space="preserve"> attribute for a company currently managing liquidity constraints.</w:t>
      </w:r>
    </w:p>
    <w:p w14:paraId="525EB501" w14:textId="53E4875C" w:rsidR="5C47117E" w:rsidRPr="001C0AA6" w:rsidRDefault="5BAE68CC" w:rsidP="001C0AA6">
      <w:pPr>
        <w:pStyle w:val="Heading3"/>
        <w:spacing w:before="281" w:after="281" w:line="360" w:lineRule="auto"/>
        <w:jc w:val="both"/>
        <w:rPr>
          <w:rFonts w:ascii="Arial" w:eastAsia="Times New Roman" w:hAnsi="Arial" w:cs="Arial"/>
          <w:b/>
          <w:bCs/>
          <w:color w:val="auto"/>
          <w:sz w:val="24"/>
          <w:szCs w:val="24"/>
        </w:rPr>
      </w:pPr>
      <w:bookmarkStart w:id="52" w:name="_Toc2020737570"/>
      <w:r w:rsidRPr="001C0AA6">
        <w:rPr>
          <w:rFonts w:ascii="Arial" w:eastAsia="Times New Roman" w:hAnsi="Arial" w:cs="Arial"/>
          <w:b/>
          <w:bCs/>
          <w:color w:val="auto"/>
          <w:sz w:val="24"/>
          <w:szCs w:val="24"/>
        </w:rPr>
        <w:lastRenderedPageBreak/>
        <w:t>5.4 Accounting Rate of Return (ARR)</w:t>
      </w:r>
      <w:bookmarkEnd w:id="52"/>
    </w:p>
    <w:p w14:paraId="145F2888" w14:textId="1DB3031D" w:rsidR="5C47117E" w:rsidRPr="001C0AA6" w:rsidRDefault="5BAE68CC" w:rsidP="001C0AA6">
      <w:pPr>
        <w:spacing w:before="240" w:after="240" w:line="360" w:lineRule="auto"/>
        <w:jc w:val="both"/>
        <w:rPr>
          <w:rFonts w:ascii="Arial" w:eastAsia="Times New Roman" w:hAnsi="Arial" w:cs="Arial"/>
        </w:rPr>
      </w:pPr>
      <w:r w:rsidRPr="001C0AA6">
        <w:rPr>
          <w:rFonts w:ascii="Arial" w:eastAsia="Times New Roman" w:hAnsi="Arial" w:cs="Arial"/>
        </w:rPr>
        <w:t>ARR evaluates the average accounting profit as a proportion of the initial investment. Although it does not consider the time value of money, it serves as an indicator of profitability based on reported accounting figures.</w:t>
      </w:r>
    </w:p>
    <w:p w14:paraId="50C1DEDA" w14:textId="77855550" w:rsidR="5C47117E" w:rsidRPr="001C0AA6" w:rsidRDefault="5C47117E" w:rsidP="001C0AA6">
      <w:pPr>
        <w:spacing w:before="240" w:after="240" w:line="360" w:lineRule="auto"/>
        <w:jc w:val="center"/>
        <w:rPr>
          <w:rFonts w:ascii="Arial" w:eastAsia="Times New Roman" w:hAnsi="Arial" w:cs="Arial"/>
        </w:rPr>
      </w:pPr>
      <m:oMathPara>
        <m:oMath>
          <m:r>
            <w:rPr>
              <w:rFonts w:ascii="Cambria Math" w:hAnsi="Cambria Math" w:cs="Arial"/>
            </w:rPr>
            <m:t>ARR=</m:t>
          </m:r>
          <m:f>
            <m:fPr>
              <m:ctrlPr>
                <w:rPr>
                  <w:rFonts w:ascii="Cambria Math" w:hAnsi="Cambria Math" w:cs="Arial"/>
                </w:rPr>
              </m:ctrlPr>
            </m:fPr>
            <m:num>
              <m:r>
                <w:rPr>
                  <w:rFonts w:ascii="Cambria Math" w:hAnsi="Cambria Math" w:cs="Arial"/>
                </w:rPr>
                <m:t>AverageAnnual</m:t>
              </m:r>
              <m:func>
                <m:funcPr>
                  <m:ctrlPr>
                    <w:rPr>
                      <w:rFonts w:ascii="Cambria Math" w:hAnsi="Cambria Math" w:cs="Arial"/>
                    </w:rPr>
                  </m:ctrlPr>
                </m:funcPr>
                <m:fName>
                  <m:r>
                    <m:rPr>
                      <m:sty m:val="p"/>
                    </m:rPr>
                    <w:rPr>
                      <w:rFonts w:ascii="Cambria Math" w:hAnsi="Cambria Math" w:cs="Arial"/>
                    </w:rPr>
                    <m:t>Pr</m:t>
                  </m:r>
                </m:fName>
                <m:e>
                  <m:r>
                    <w:rPr>
                      <w:rFonts w:ascii="Cambria Math" w:hAnsi="Cambria Math" w:cs="Arial"/>
                    </w:rPr>
                    <m:t>o</m:t>
                  </m:r>
                </m:e>
              </m:func>
              <m:r>
                <w:rPr>
                  <w:rFonts w:ascii="Cambria Math" w:hAnsi="Cambria Math" w:cs="Arial"/>
                </w:rPr>
                <m:t>fit​</m:t>
              </m:r>
            </m:num>
            <m:den>
              <m:r>
                <w:rPr>
                  <w:rFonts w:ascii="Cambria Math" w:hAnsi="Cambria Math" w:cs="Arial"/>
                </w:rPr>
                <m:t>Initial Investment</m:t>
              </m:r>
            </m:den>
          </m:f>
          <m:r>
            <w:rPr>
              <w:rFonts w:ascii="Cambria Math" w:hAnsi="Cambria Math" w:cs="Arial"/>
            </w:rPr>
            <m:t>×100</m:t>
          </m:r>
        </m:oMath>
      </m:oMathPara>
    </w:p>
    <w:p w14:paraId="0A355599" w14:textId="078E2891" w:rsidR="5C47117E" w:rsidRPr="001C0AA6" w:rsidRDefault="5BAE68CC" w:rsidP="001C0AA6">
      <w:pPr>
        <w:spacing w:before="240" w:after="240" w:line="360" w:lineRule="auto"/>
        <w:jc w:val="both"/>
        <w:rPr>
          <w:rFonts w:ascii="Arial" w:eastAsia="Times New Roman" w:hAnsi="Arial" w:cs="Arial"/>
        </w:rPr>
      </w:pPr>
      <w:r w:rsidRPr="001C0AA6">
        <w:rPr>
          <w:rFonts w:ascii="Arial" w:eastAsia="Times New Roman" w:hAnsi="Arial" w:cs="Arial"/>
        </w:rPr>
        <w:t>Assuming depreciation is calculated on a straight-line basis and that there is no residual value, the results are as follows:</w:t>
      </w:r>
    </w:p>
    <w:p w14:paraId="0BB06D4A" w14:textId="67761DC5" w:rsidR="5C47117E" w:rsidRPr="001C0AA6" w:rsidRDefault="5BAE68CC" w:rsidP="001C0AA6">
      <w:pPr>
        <w:pStyle w:val="ListParagraph"/>
        <w:numPr>
          <w:ilvl w:val="0"/>
          <w:numId w:val="9"/>
        </w:numPr>
        <w:spacing w:before="240" w:after="240" w:line="360" w:lineRule="auto"/>
        <w:jc w:val="both"/>
        <w:rPr>
          <w:rFonts w:ascii="Arial" w:eastAsia="Times New Roman" w:hAnsi="Arial" w:cs="Arial"/>
        </w:rPr>
      </w:pPr>
      <w:r w:rsidRPr="001C0AA6">
        <w:rPr>
          <w:rFonts w:ascii="Arial" w:eastAsia="Times New Roman" w:hAnsi="Arial" w:cs="Arial"/>
          <w:b/>
          <w:bCs/>
        </w:rPr>
        <w:t>Project A:</w:t>
      </w:r>
      <w:r w:rsidRPr="001C0AA6">
        <w:rPr>
          <w:rFonts w:ascii="Arial" w:eastAsia="Times New Roman" w:hAnsi="Arial" w:cs="Arial"/>
        </w:rPr>
        <w:t xml:space="preserve"> ARR = 19.2%</w:t>
      </w:r>
    </w:p>
    <w:p w14:paraId="434BB00D" w14:textId="78C5238D" w:rsidR="5C47117E" w:rsidRPr="001C0AA6" w:rsidRDefault="5BAE68CC" w:rsidP="001C0AA6">
      <w:pPr>
        <w:pStyle w:val="ListParagraph"/>
        <w:numPr>
          <w:ilvl w:val="0"/>
          <w:numId w:val="9"/>
        </w:numPr>
        <w:spacing w:before="240" w:after="240" w:line="360" w:lineRule="auto"/>
        <w:jc w:val="both"/>
        <w:rPr>
          <w:rFonts w:ascii="Arial" w:eastAsia="Times New Roman" w:hAnsi="Arial" w:cs="Arial"/>
        </w:rPr>
      </w:pPr>
      <w:r w:rsidRPr="001C0AA6">
        <w:rPr>
          <w:rFonts w:ascii="Arial" w:eastAsia="Times New Roman" w:hAnsi="Arial" w:cs="Arial"/>
          <w:b/>
          <w:bCs/>
        </w:rPr>
        <w:t>Project B:</w:t>
      </w:r>
      <w:r w:rsidRPr="001C0AA6">
        <w:rPr>
          <w:rFonts w:ascii="Arial" w:eastAsia="Times New Roman" w:hAnsi="Arial" w:cs="Arial"/>
        </w:rPr>
        <w:t xml:space="preserve"> ARR = 21.6%</w:t>
      </w:r>
    </w:p>
    <w:p w14:paraId="2FF26595" w14:textId="64C09344" w:rsidR="5C47117E" w:rsidRPr="001C0AA6" w:rsidRDefault="5BAE68CC" w:rsidP="001C0AA6">
      <w:pPr>
        <w:pStyle w:val="ListParagraph"/>
        <w:numPr>
          <w:ilvl w:val="0"/>
          <w:numId w:val="9"/>
        </w:numPr>
        <w:spacing w:before="240" w:after="240" w:line="360" w:lineRule="auto"/>
        <w:jc w:val="both"/>
        <w:rPr>
          <w:rFonts w:ascii="Arial" w:eastAsia="Times New Roman" w:hAnsi="Arial" w:cs="Arial"/>
        </w:rPr>
      </w:pPr>
      <w:r w:rsidRPr="001C0AA6">
        <w:rPr>
          <w:rFonts w:ascii="Arial" w:eastAsia="Times New Roman" w:hAnsi="Arial" w:cs="Arial"/>
          <w:b/>
          <w:bCs/>
        </w:rPr>
        <w:t>Project C:</w:t>
      </w:r>
      <w:r w:rsidRPr="001C0AA6">
        <w:rPr>
          <w:rFonts w:ascii="Arial" w:eastAsia="Times New Roman" w:hAnsi="Arial" w:cs="Arial"/>
        </w:rPr>
        <w:t xml:space="preserve"> ARR = 14.0%</w:t>
      </w:r>
    </w:p>
    <w:p w14:paraId="7DF4C979" w14:textId="01B4B499" w:rsidR="5C47117E" w:rsidRPr="001C0AA6" w:rsidRDefault="5BAE68CC" w:rsidP="001C0AA6">
      <w:pPr>
        <w:spacing w:before="240" w:after="240" w:line="360" w:lineRule="auto"/>
        <w:jc w:val="both"/>
        <w:rPr>
          <w:rFonts w:ascii="Arial" w:eastAsia="Times New Roman" w:hAnsi="Arial" w:cs="Arial"/>
        </w:rPr>
      </w:pPr>
      <w:r w:rsidRPr="001C0AA6">
        <w:rPr>
          <w:rFonts w:ascii="Arial" w:eastAsia="Times New Roman" w:hAnsi="Arial" w:cs="Arial"/>
        </w:rPr>
        <w:t>Project B again produces the highest ARR, indicating superior accounting profitability relative to its investment base.</w:t>
      </w:r>
    </w:p>
    <w:p w14:paraId="2F9F01A4" w14:textId="698FBCC4" w:rsidR="5C47117E" w:rsidRPr="001C0AA6" w:rsidRDefault="5BAE68CC" w:rsidP="001C0AA6">
      <w:pPr>
        <w:pStyle w:val="Heading3"/>
        <w:spacing w:before="281" w:after="281" w:line="360" w:lineRule="auto"/>
        <w:jc w:val="both"/>
        <w:rPr>
          <w:rFonts w:ascii="Arial" w:eastAsia="Times New Roman" w:hAnsi="Arial" w:cs="Arial"/>
          <w:b/>
          <w:bCs/>
          <w:color w:val="auto"/>
          <w:sz w:val="24"/>
          <w:szCs w:val="24"/>
        </w:rPr>
      </w:pPr>
      <w:bookmarkStart w:id="53" w:name="_Toc661888775"/>
      <w:r w:rsidRPr="001C0AA6">
        <w:rPr>
          <w:rFonts w:ascii="Arial" w:eastAsia="Times New Roman" w:hAnsi="Arial" w:cs="Arial"/>
          <w:b/>
          <w:bCs/>
          <w:color w:val="auto"/>
          <w:sz w:val="24"/>
          <w:szCs w:val="24"/>
        </w:rPr>
        <w:t>5.5 Net Present Value (NPV)</w:t>
      </w:r>
      <w:bookmarkEnd w:id="53"/>
    </w:p>
    <w:p w14:paraId="4C78FED8" w14:textId="4E18595D" w:rsidR="5C47117E" w:rsidRPr="001C0AA6" w:rsidRDefault="5BAE68CC" w:rsidP="001C0AA6">
      <w:pPr>
        <w:spacing w:before="240" w:after="240" w:line="360" w:lineRule="auto"/>
        <w:jc w:val="both"/>
        <w:rPr>
          <w:rFonts w:ascii="Arial" w:eastAsia="Times New Roman" w:hAnsi="Arial" w:cs="Arial"/>
        </w:rPr>
      </w:pPr>
      <w:r w:rsidRPr="001C0AA6">
        <w:rPr>
          <w:rFonts w:ascii="Arial" w:eastAsia="Times New Roman" w:hAnsi="Arial" w:cs="Arial"/>
        </w:rPr>
        <w:t>NPV represents the difference between the present value of future cash inflows and the initial cost of the project, discounted at the company’s cost of capital. A positive NPV signifies that a project is expected to add value to the firm.</w:t>
      </w:r>
    </w:p>
    <w:p w14:paraId="2826788F" w14:textId="3422D940" w:rsidR="5C47117E" w:rsidRPr="001C0AA6" w:rsidRDefault="5C47117E" w:rsidP="001C0AA6">
      <w:pPr>
        <w:spacing w:before="240" w:after="240" w:line="360" w:lineRule="auto"/>
        <w:jc w:val="center"/>
        <w:rPr>
          <w:rFonts w:ascii="Arial" w:eastAsia="Times New Roman" w:hAnsi="Arial" w:cs="Arial"/>
        </w:rPr>
      </w:pPr>
      <m:oMathPara>
        <m:oMath>
          <m:r>
            <w:rPr>
              <w:rFonts w:ascii="Cambria Math" w:hAnsi="Cambria Math" w:cs="Arial"/>
            </w:rPr>
            <m:t>NPV= </m:t>
          </m:r>
          <m:nary>
            <m:naryPr>
              <m:chr m:val="∑"/>
              <m:ctrlPr>
                <w:rPr>
                  <w:rFonts w:ascii="Cambria Math" w:hAnsi="Cambria Math" w:cs="Arial"/>
                </w:rPr>
              </m:ctrlPr>
            </m:naryPr>
            <m:sub>
              <m:r>
                <w:rPr>
                  <w:rFonts w:ascii="Cambria Math" w:hAnsi="Cambria Math" w:cs="Arial"/>
                </w:rPr>
                <m:t> </m:t>
              </m:r>
            </m:sub>
            <m:sup>
              <m:r>
                <w:rPr>
                  <w:rFonts w:ascii="Cambria Math" w:hAnsi="Cambria Math" w:cs="Arial"/>
                </w:rPr>
                <m:t> </m:t>
              </m:r>
            </m:sup>
            <m:e>
              <m:f>
                <m:fPr>
                  <m:ctrlPr>
                    <w:rPr>
                      <w:rFonts w:ascii="Cambria Math" w:hAnsi="Cambria Math" w:cs="Arial"/>
                    </w:rPr>
                  </m:ctrlPr>
                </m:fPr>
                <m:num>
                  <m:r>
                    <w:rPr>
                      <w:rFonts w:ascii="Cambria Math" w:hAnsi="Cambria Math" w:cs="Arial"/>
                    </w:rPr>
                    <m:t>Ct​​</m:t>
                  </m:r>
                </m:num>
                <m:den>
                  <m:d>
                    <m:dPr>
                      <m:ctrlPr>
                        <w:rPr>
                          <w:rFonts w:ascii="Cambria Math" w:hAnsi="Cambria Math" w:cs="Arial"/>
                        </w:rPr>
                      </m:ctrlPr>
                    </m:dPr>
                    <m:e>
                      <m:r>
                        <w:rPr>
                          <w:rFonts w:ascii="Cambria Math" w:hAnsi="Cambria Math" w:cs="Arial"/>
                        </w:rPr>
                        <m:t>1+r</m:t>
                      </m:r>
                    </m:e>
                  </m:d>
                  <m:r>
                    <w:rPr>
                      <w:rFonts w:ascii="Cambria Math" w:hAnsi="Cambria Math" w:cs="Arial"/>
                    </w:rPr>
                    <m:t>t</m:t>
                  </m:r>
                </m:den>
              </m:f>
            </m:e>
          </m:nary>
          <m:r>
            <w:rPr>
              <w:rFonts w:ascii="Cambria Math" w:hAnsi="Cambria Math" w:cs="Arial"/>
            </w:rPr>
            <m:t>-C0​</m:t>
          </m:r>
        </m:oMath>
      </m:oMathPara>
    </w:p>
    <w:p w14:paraId="050A126B" w14:textId="2902FF9C" w:rsidR="5C47117E" w:rsidRPr="001C0AA6" w:rsidRDefault="5BAE68CC" w:rsidP="001C0AA6">
      <w:pPr>
        <w:spacing w:before="240" w:after="240" w:line="360" w:lineRule="auto"/>
        <w:jc w:val="both"/>
        <w:rPr>
          <w:rFonts w:ascii="Arial" w:eastAsia="Times New Roman" w:hAnsi="Arial" w:cs="Arial"/>
        </w:rPr>
      </w:pPr>
      <w:r w:rsidRPr="001C0AA6">
        <w:rPr>
          <w:rFonts w:ascii="Arial" w:eastAsia="Times New Roman" w:hAnsi="Arial" w:cs="Arial"/>
        </w:rPr>
        <w:t xml:space="preserve">Where </w:t>
      </w:r>
      <w:r w:rsidR="7A484280" w:rsidRPr="001C0AA6">
        <w:rPr>
          <w:rFonts w:ascii="Arial" w:eastAsia="Times New Roman" w:hAnsi="Arial" w:cs="Arial"/>
        </w:rPr>
        <w:t xml:space="preserve">Ct </w:t>
      </w:r>
      <w:r w:rsidRPr="001C0AA6">
        <w:rPr>
          <w:rFonts w:ascii="Arial" w:eastAsia="Times New Roman" w:hAnsi="Arial" w:cs="Arial"/>
        </w:rPr>
        <w:t xml:space="preserve">is the cash inflow in year </w:t>
      </w:r>
      <w:r w:rsidRPr="001C0AA6">
        <w:rPr>
          <w:rFonts w:ascii="Arial" w:eastAsia="Times New Roman" w:hAnsi="Arial" w:cs="Arial"/>
          <w:i/>
          <w:iCs/>
          <w:lang w:val=""/>
        </w:rPr>
        <w:t>tt</w:t>
      </w:r>
      <w:r w:rsidRPr="001C0AA6">
        <w:rPr>
          <w:rFonts w:ascii="Arial" w:eastAsia="Times New Roman" w:hAnsi="Arial" w:cs="Arial"/>
        </w:rPr>
        <w:t xml:space="preserve">t, </w:t>
      </w:r>
      <w:r w:rsidRPr="001C0AA6">
        <w:rPr>
          <w:rFonts w:ascii="Arial" w:eastAsia="Times New Roman" w:hAnsi="Arial" w:cs="Arial"/>
          <w:i/>
          <w:iCs/>
          <w:lang w:val=""/>
        </w:rPr>
        <w:t>rr</w:t>
      </w:r>
      <w:r w:rsidRPr="001C0AA6">
        <w:rPr>
          <w:rFonts w:ascii="Arial" w:eastAsia="Times New Roman" w:hAnsi="Arial" w:cs="Arial"/>
        </w:rPr>
        <w:t xml:space="preserve">r is the discount rate (10%), and </w:t>
      </w:r>
      <w:r w:rsidRPr="001C0AA6">
        <w:rPr>
          <w:rFonts w:ascii="Arial" w:eastAsia="Times New Roman" w:hAnsi="Arial" w:cs="Arial"/>
          <w:i/>
          <w:iCs/>
          <w:lang w:val=""/>
        </w:rPr>
        <w:t>C0C_</w:t>
      </w:r>
      <w:proofErr w:type="gramStart"/>
      <w:r w:rsidRPr="001C0AA6">
        <w:rPr>
          <w:rFonts w:ascii="Arial" w:eastAsia="Times New Roman" w:hAnsi="Arial" w:cs="Arial"/>
          <w:i/>
          <w:iCs/>
          <w:lang w:val=""/>
        </w:rPr>
        <w:t>0</w:t>
      </w:r>
      <w:r w:rsidRPr="001C0AA6">
        <w:rPr>
          <w:rFonts w:ascii="Arial" w:eastAsia="Times New Roman" w:hAnsi="Arial" w:cs="Arial"/>
        </w:rPr>
        <w:t>C0  is</w:t>
      </w:r>
      <w:proofErr w:type="gramEnd"/>
      <w:r w:rsidRPr="001C0AA6">
        <w:rPr>
          <w:rFonts w:ascii="Arial" w:eastAsia="Times New Roman" w:hAnsi="Arial" w:cs="Arial"/>
        </w:rPr>
        <w:t xml:space="preserve"> the initial investment.</w:t>
      </w:r>
    </w:p>
    <w:p w14:paraId="0B0FDE9D" w14:textId="60CA5305" w:rsidR="5C47117E" w:rsidRPr="001C0AA6" w:rsidRDefault="5BAE68CC" w:rsidP="001C0AA6">
      <w:pPr>
        <w:spacing w:before="240" w:after="240" w:line="360" w:lineRule="auto"/>
        <w:jc w:val="both"/>
        <w:rPr>
          <w:rFonts w:ascii="Arial" w:eastAsia="Times New Roman" w:hAnsi="Arial" w:cs="Arial"/>
        </w:rPr>
      </w:pPr>
      <w:r w:rsidRPr="001C0AA6">
        <w:rPr>
          <w:rFonts w:ascii="Arial" w:eastAsia="Times New Roman" w:hAnsi="Arial" w:cs="Arial"/>
        </w:rPr>
        <w:t>Using this formula, the computed NPVs are:</w:t>
      </w:r>
    </w:p>
    <w:p w14:paraId="4FA4CBEA" w14:textId="42F06552" w:rsidR="5C47117E" w:rsidRPr="001C0AA6" w:rsidRDefault="5BAE68CC" w:rsidP="001C0AA6">
      <w:pPr>
        <w:pStyle w:val="ListParagraph"/>
        <w:numPr>
          <w:ilvl w:val="0"/>
          <w:numId w:val="8"/>
        </w:numPr>
        <w:spacing w:before="240" w:after="240" w:line="360" w:lineRule="auto"/>
        <w:jc w:val="both"/>
        <w:rPr>
          <w:rFonts w:ascii="Arial" w:eastAsia="Times New Roman" w:hAnsi="Arial" w:cs="Arial"/>
        </w:rPr>
      </w:pPr>
      <w:r w:rsidRPr="001C0AA6">
        <w:rPr>
          <w:rFonts w:ascii="Arial" w:eastAsia="Times New Roman" w:hAnsi="Arial" w:cs="Arial"/>
          <w:b/>
          <w:bCs/>
        </w:rPr>
        <w:t>Project A:</w:t>
      </w:r>
      <w:r w:rsidRPr="001C0AA6">
        <w:rPr>
          <w:rFonts w:ascii="Arial" w:eastAsia="Times New Roman" w:hAnsi="Arial" w:cs="Arial"/>
        </w:rPr>
        <w:t xml:space="preserve"> £12.55 million</w:t>
      </w:r>
    </w:p>
    <w:p w14:paraId="1AD7F0F7" w14:textId="6E6C89C2" w:rsidR="5C47117E" w:rsidRPr="001C0AA6" w:rsidRDefault="5BAE68CC" w:rsidP="001C0AA6">
      <w:pPr>
        <w:pStyle w:val="ListParagraph"/>
        <w:numPr>
          <w:ilvl w:val="0"/>
          <w:numId w:val="8"/>
        </w:numPr>
        <w:spacing w:before="240" w:after="240" w:line="360" w:lineRule="auto"/>
        <w:jc w:val="both"/>
        <w:rPr>
          <w:rFonts w:ascii="Arial" w:eastAsia="Times New Roman" w:hAnsi="Arial" w:cs="Arial"/>
        </w:rPr>
      </w:pPr>
      <w:r w:rsidRPr="001C0AA6">
        <w:rPr>
          <w:rFonts w:ascii="Arial" w:eastAsia="Times New Roman" w:hAnsi="Arial" w:cs="Arial"/>
          <w:b/>
          <w:bCs/>
        </w:rPr>
        <w:t>Project B:</w:t>
      </w:r>
      <w:r w:rsidRPr="001C0AA6">
        <w:rPr>
          <w:rFonts w:ascii="Arial" w:eastAsia="Times New Roman" w:hAnsi="Arial" w:cs="Arial"/>
        </w:rPr>
        <w:t xml:space="preserve"> £13.42 million</w:t>
      </w:r>
    </w:p>
    <w:p w14:paraId="052AD170" w14:textId="1798D998" w:rsidR="5C47117E" w:rsidRPr="001C0AA6" w:rsidRDefault="5BAE68CC" w:rsidP="001C0AA6">
      <w:pPr>
        <w:pStyle w:val="ListParagraph"/>
        <w:numPr>
          <w:ilvl w:val="0"/>
          <w:numId w:val="8"/>
        </w:numPr>
        <w:spacing w:before="240" w:after="240" w:line="360" w:lineRule="auto"/>
        <w:jc w:val="both"/>
        <w:rPr>
          <w:rFonts w:ascii="Arial" w:eastAsia="Times New Roman" w:hAnsi="Arial" w:cs="Arial"/>
        </w:rPr>
      </w:pPr>
      <w:r w:rsidRPr="001C0AA6">
        <w:rPr>
          <w:rFonts w:ascii="Arial" w:eastAsia="Times New Roman" w:hAnsi="Arial" w:cs="Arial"/>
          <w:b/>
          <w:bCs/>
        </w:rPr>
        <w:t>Project C:</w:t>
      </w:r>
      <w:r w:rsidRPr="001C0AA6">
        <w:rPr>
          <w:rFonts w:ascii="Arial" w:eastAsia="Times New Roman" w:hAnsi="Arial" w:cs="Arial"/>
        </w:rPr>
        <w:t xml:space="preserve"> £3.26 million</w:t>
      </w:r>
    </w:p>
    <w:p w14:paraId="08EA8B74" w14:textId="1FC156DB" w:rsidR="5C47117E" w:rsidRPr="001C0AA6" w:rsidRDefault="5BAE68CC" w:rsidP="001C0AA6">
      <w:pPr>
        <w:spacing w:before="240" w:after="240" w:line="360" w:lineRule="auto"/>
        <w:jc w:val="both"/>
        <w:rPr>
          <w:rFonts w:ascii="Arial" w:eastAsia="Times New Roman" w:hAnsi="Arial" w:cs="Arial"/>
        </w:rPr>
      </w:pPr>
      <w:r w:rsidRPr="001C0AA6">
        <w:rPr>
          <w:rFonts w:ascii="Arial" w:eastAsia="Times New Roman" w:hAnsi="Arial" w:cs="Arial"/>
        </w:rPr>
        <w:lastRenderedPageBreak/>
        <w:t>Since all three projects have positive NPVs, each is theoretically viable; however, Project B yields the highest incremental value.</w:t>
      </w:r>
    </w:p>
    <w:p w14:paraId="6A04E305" w14:textId="2270F994" w:rsidR="5C47117E" w:rsidRPr="001C0AA6" w:rsidRDefault="5BAE68CC" w:rsidP="001C0AA6">
      <w:pPr>
        <w:pStyle w:val="Heading3"/>
        <w:spacing w:before="281" w:after="281" w:line="360" w:lineRule="auto"/>
        <w:jc w:val="both"/>
        <w:rPr>
          <w:rFonts w:ascii="Arial" w:eastAsia="Times New Roman" w:hAnsi="Arial" w:cs="Arial"/>
          <w:b/>
          <w:bCs/>
          <w:color w:val="auto"/>
          <w:sz w:val="24"/>
          <w:szCs w:val="24"/>
        </w:rPr>
      </w:pPr>
      <w:bookmarkStart w:id="54" w:name="_Toc1511862654"/>
      <w:r w:rsidRPr="001C0AA6">
        <w:rPr>
          <w:rFonts w:ascii="Arial" w:eastAsia="Times New Roman" w:hAnsi="Arial" w:cs="Arial"/>
          <w:b/>
          <w:bCs/>
          <w:color w:val="auto"/>
          <w:sz w:val="24"/>
          <w:szCs w:val="24"/>
        </w:rPr>
        <w:t>5.6 Profitability Index (PI)</w:t>
      </w:r>
      <w:bookmarkEnd w:id="54"/>
    </w:p>
    <w:p w14:paraId="3685C729" w14:textId="66E50680" w:rsidR="5C47117E" w:rsidRPr="001C0AA6" w:rsidRDefault="5BAE68CC" w:rsidP="001C0AA6">
      <w:pPr>
        <w:spacing w:before="240" w:after="240" w:line="360" w:lineRule="auto"/>
        <w:jc w:val="both"/>
        <w:rPr>
          <w:rFonts w:ascii="Arial" w:eastAsia="Times New Roman" w:hAnsi="Arial" w:cs="Arial"/>
        </w:rPr>
      </w:pPr>
      <w:r w:rsidRPr="001C0AA6">
        <w:rPr>
          <w:rFonts w:ascii="Arial" w:eastAsia="Times New Roman" w:hAnsi="Arial" w:cs="Arial"/>
        </w:rPr>
        <w:t>The Profitability Index is a relative measure that expresses the ratio of the present value of inflows to the initial investment. It assists in ranking projects when capital is limited.</w:t>
      </w:r>
    </w:p>
    <w:p w14:paraId="77044483" w14:textId="7B76E5ED" w:rsidR="79227FA8" w:rsidRPr="001C0AA6" w:rsidRDefault="79227FA8" w:rsidP="001C0AA6">
      <w:pPr>
        <w:spacing w:before="240" w:after="240" w:line="360" w:lineRule="auto"/>
        <w:jc w:val="center"/>
        <w:rPr>
          <w:rFonts w:ascii="Arial" w:eastAsia="Times New Roman" w:hAnsi="Arial" w:cs="Arial"/>
        </w:rPr>
      </w:pPr>
      <m:oMathPara>
        <m:oMath>
          <m:r>
            <w:rPr>
              <w:rFonts w:ascii="Cambria Math" w:hAnsi="Cambria Math" w:cs="Arial"/>
            </w:rPr>
            <m:t>PI=</m:t>
          </m:r>
          <m:f>
            <m:fPr>
              <m:ctrlPr>
                <w:rPr>
                  <w:rFonts w:ascii="Cambria Math" w:hAnsi="Cambria Math" w:cs="Arial"/>
                </w:rPr>
              </m:ctrlPr>
            </m:fPr>
            <m:num>
              <m:func>
                <m:funcPr>
                  <m:ctrlPr>
                    <w:rPr>
                      <w:rFonts w:ascii="Cambria Math" w:hAnsi="Cambria Math" w:cs="Arial"/>
                    </w:rPr>
                  </m:ctrlPr>
                </m:funcPr>
                <m:fName>
                  <m:r>
                    <m:rPr>
                      <m:sty m:val="p"/>
                    </m:rPr>
                    <w:rPr>
                      <w:rFonts w:ascii="Cambria Math" w:hAnsi="Cambria Math" w:cs="Arial"/>
                    </w:rPr>
                    <m:t>Pr</m:t>
                  </m:r>
                </m:fName>
                <m:e>
                  <m:r>
                    <w:rPr>
                      <w:rFonts w:ascii="Cambria Math" w:hAnsi="Cambria Math" w:cs="Arial"/>
                    </w:rPr>
                    <m:t>e</m:t>
                  </m:r>
                </m:e>
              </m:func>
              <m:r>
                <w:rPr>
                  <w:rFonts w:ascii="Cambria Math" w:hAnsi="Cambria Math" w:cs="Arial"/>
                </w:rPr>
                <m:t>sent Value of Inflows​</m:t>
              </m:r>
            </m:num>
            <m:den>
              <m:r>
                <w:rPr>
                  <w:rFonts w:ascii="Cambria Math" w:hAnsi="Cambria Math" w:cs="Arial"/>
                </w:rPr>
                <m:t>InitialInvestment</m:t>
              </m:r>
            </m:den>
          </m:f>
        </m:oMath>
      </m:oMathPara>
    </w:p>
    <w:p w14:paraId="57496D0E" w14:textId="6F73FD0C" w:rsidR="5C47117E" w:rsidRPr="001C0AA6" w:rsidRDefault="5BAE68CC" w:rsidP="001C0AA6">
      <w:pPr>
        <w:spacing w:before="240" w:after="240" w:line="360" w:lineRule="auto"/>
        <w:jc w:val="both"/>
        <w:rPr>
          <w:rFonts w:ascii="Arial" w:eastAsia="Times New Roman" w:hAnsi="Arial" w:cs="Arial"/>
        </w:rPr>
      </w:pPr>
      <w:r w:rsidRPr="001C0AA6">
        <w:rPr>
          <w:rFonts w:ascii="Arial" w:eastAsia="Times New Roman" w:hAnsi="Arial" w:cs="Arial"/>
        </w:rPr>
        <w:t>Calculated results:</w:t>
      </w:r>
    </w:p>
    <w:p w14:paraId="12367D60" w14:textId="47C3097F" w:rsidR="5C47117E" w:rsidRPr="001C0AA6" w:rsidRDefault="5BAE68CC" w:rsidP="001C0AA6">
      <w:pPr>
        <w:pStyle w:val="ListParagraph"/>
        <w:numPr>
          <w:ilvl w:val="0"/>
          <w:numId w:val="7"/>
        </w:numPr>
        <w:spacing w:before="240" w:after="240" w:line="360" w:lineRule="auto"/>
        <w:jc w:val="both"/>
        <w:rPr>
          <w:rFonts w:ascii="Arial" w:eastAsia="Times New Roman" w:hAnsi="Arial" w:cs="Arial"/>
        </w:rPr>
      </w:pPr>
      <w:r w:rsidRPr="001C0AA6">
        <w:rPr>
          <w:rFonts w:ascii="Arial" w:eastAsia="Times New Roman" w:hAnsi="Arial" w:cs="Arial"/>
          <w:b/>
          <w:bCs/>
        </w:rPr>
        <w:t>Project A:</w:t>
      </w:r>
      <w:r w:rsidRPr="001C0AA6">
        <w:rPr>
          <w:rFonts w:ascii="Arial" w:eastAsia="Times New Roman" w:hAnsi="Arial" w:cs="Arial"/>
        </w:rPr>
        <w:t xml:space="preserve"> 1.50</w:t>
      </w:r>
    </w:p>
    <w:p w14:paraId="2D3D4BC0" w14:textId="59163568" w:rsidR="5C47117E" w:rsidRPr="001C0AA6" w:rsidRDefault="5BAE68CC" w:rsidP="001C0AA6">
      <w:pPr>
        <w:pStyle w:val="ListParagraph"/>
        <w:numPr>
          <w:ilvl w:val="0"/>
          <w:numId w:val="7"/>
        </w:numPr>
        <w:spacing w:before="240" w:after="240" w:line="360" w:lineRule="auto"/>
        <w:jc w:val="both"/>
        <w:rPr>
          <w:rFonts w:ascii="Arial" w:eastAsia="Times New Roman" w:hAnsi="Arial" w:cs="Arial"/>
        </w:rPr>
      </w:pPr>
      <w:r w:rsidRPr="001C0AA6">
        <w:rPr>
          <w:rFonts w:ascii="Arial" w:eastAsia="Times New Roman" w:hAnsi="Arial" w:cs="Arial"/>
          <w:b/>
          <w:bCs/>
        </w:rPr>
        <w:t>Project B:</w:t>
      </w:r>
      <w:r w:rsidRPr="001C0AA6">
        <w:rPr>
          <w:rFonts w:ascii="Arial" w:eastAsia="Times New Roman" w:hAnsi="Arial" w:cs="Arial"/>
        </w:rPr>
        <w:t xml:space="preserve"> 1.45</w:t>
      </w:r>
    </w:p>
    <w:p w14:paraId="73628F61" w14:textId="2D700397" w:rsidR="5C47117E" w:rsidRPr="001C0AA6" w:rsidRDefault="5BAE68CC" w:rsidP="001C0AA6">
      <w:pPr>
        <w:pStyle w:val="ListParagraph"/>
        <w:numPr>
          <w:ilvl w:val="0"/>
          <w:numId w:val="7"/>
        </w:numPr>
        <w:spacing w:before="240" w:after="240" w:line="360" w:lineRule="auto"/>
        <w:jc w:val="both"/>
        <w:rPr>
          <w:rFonts w:ascii="Arial" w:eastAsia="Times New Roman" w:hAnsi="Arial" w:cs="Arial"/>
        </w:rPr>
      </w:pPr>
      <w:r w:rsidRPr="001C0AA6">
        <w:rPr>
          <w:rFonts w:ascii="Arial" w:eastAsia="Times New Roman" w:hAnsi="Arial" w:cs="Arial"/>
          <w:b/>
          <w:bCs/>
        </w:rPr>
        <w:t>Project C:</w:t>
      </w:r>
      <w:r w:rsidRPr="001C0AA6">
        <w:rPr>
          <w:rFonts w:ascii="Arial" w:eastAsia="Times New Roman" w:hAnsi="Arial" w:cs="Arial"/>
        </w:rPr>
        <w:t xml:space="preserve"> 1.16</w:t>
      </w:r>
    </w:p>
    <w:p w14:paraId="289AA232" w14:textId="0F840D0B" w:rsidR="5C47117E" w:rsidRPr="001C0AA6" w:rsidRDefault="5BAE68CC" w:rsidP="001C0AA6">
      <w:pPr>
        <w:spacing w:before="240" w:after="240" w:line="360" w:lineRule="auto"/>
        <w:jc w:val="both"/>
        <w:rPr>
          <w:rFonts w:ascii="Arial" w:eastAsia="Times New Roman" w:hAnsi="Arial" w:cs="Arial"/>
        </w:rPr>
      </w:pPr>
      <w:r w:rsidRPr="001C0AA6">
        <w:rPr>
          <w:rFonts w:ascii="Arial" w:eastAsia="Times New Roman" w:hAnsi="Arial" w:cs="Arial"/>
        </w:rPr>
        <w:t xml:space="preserve">Although Project B has the highest NPV, Project A displays a slightly higher PI, suggesting that it delivers marginally greater value per pound invested. This makes Project </w:t>
      </w:r>
      <w:proofErr w:type="gramStart"/>
      <w:r w:rsidRPr="001C0AA6">
        <w:rPr>
          <w:rFonts w:ascii="Arial" w:eastAsia="Times New Roman" w:hAnsi="Arial" w:cs="Arial"/>
        </w:rPr>
        <w:t>A</w:t>
      </w:r>
      <w:proofErr w:type="gramEnd"/>
      <w:r w:rsidRPr="001C0AA6">
        <w:rPr>
          <w:rFonts w:ascii="Arial" w:eastAsia="Times New Roman" w:hAnsi="Arial" w:cs="Arial"/>
        </w:rPr>
        <w:t xml:space="preserve"> particularly attractive under capital rationing conditions.</w:t>
      </w:r>
    </w:p>
    <w:p w14:paraId="1FE2E483" w14:textId="762E2AA1" w:rsidR="5C47117E" w:rsidRPr="001C0AA6" w:rsidRDefault="5BAE68CC" w:rsidP="001C0AA6">
      <w:pPr>
        <w:pStyle w:val="Heading3"/>
        <w:spacing w:before="281" w:after="281" w:line="360" w:lineRule="auto"/>
        <w:jc w:val="both"/>
        <w:rPr>
          <w:rFonts w:ascii="Arial" w:eastAsia="Times New Roman" w:hAnsi="Arial" w:cs="Arial"/>
          <w:b/>
          <w:bCs/>
          <w:color w:val="auto"/>
          <w:sz w:val="24"/>
          <w:szCs w:val="24"/>
        </w:rPr>
      </w:pPr>
      <w:bookmarkStart w:id="55" w:name="_Toc1185156808"/>
      <w:r w:rsidRPr="001C0AA6">
        <w:rPr>
          <w:rFonts w:ascii="Arial" w:eastAsia="Times New Roman" w:hAnsi="Arial" w:cs="Arial"/>
          <w:b/>
          <w:bCs/>
          <w:color w:val="auto"/>
          <w:sz w:val="24"/>
          <w:szCs w:val="24"/>
        </w:rPr>
        <w:t>5.7 Internal Rate of Return (IRR)</w:t>
      </w:r>
      <w:bookmarkEnd w:id="55"/>
    </w:p>
    <w:p w14:paraId="61E0E50E" w14:textId="0843F33E" w:rsidR="5C47117E" w:rsidRPr="001C0AA6" w:rsidRDefault="5BAE68CC" w:rsidP="001C0AA6">
      <w:pPr>
        <w:spacing w:before="240" w:after="240" w:line="360" w:lineRule="auto"/>
        <w:jc w:val="both"/>
        <w:rPr>
          <w:rFonts w:ascii="Arial" w:eastAsia="Times New Roman" w:hAnsi="Arial" w:cs="Arial"/>
        </w:rPr>
      </w:pPr>
      <w:r w:rsidRPr="001C0AA6">
        <w:rPr>
          <w:rFonts w:ascii="Arial" w:eastAsia="Times New Roman" w:hAnsi="Arial" w:cs="Arial"/>
        </w:rPr>
        <w:t>IRR is the discount rate at which the project’s NPV equals zero. It provides a benchmark for assessing the return potential of an investment relative to the firm’s cost of capital.</w:t>
      </w:r>
    </w:p>
    <w:p w14:paraId="64390A1F" w14:textId="6164CB18" w:rsidR="5C47117E" w:rsidRPr="001C0AA6" w:rsidRDefault="5BAE68CC" w:rsidP="001C0AA6">
      <w:pPr>
        <w:pStyle w:val="ListParagraph"/>
        <w:numPr>
          <w:ilvl w:val="0"/>
          <w:numId w:val="6"/>
        </w:numPr>
        <w:spacing w:before="240" w:after="240" w:line="360" w:lineRule="auto"/>
        <w:jc w:val="both"/>
        <w:rPr>
          <w:rFonts w:ascii="Arial" w:eastAsia="Times New Roman" w:hAnsi="Arial" w:cs="Arial"/>
        </w:rPr>
      </w:pPr>
      <w:r w:rsidRPr="001C0AA6">
        <w:rPr>
          <w:rFonts w:ascii="Arial" w:eastAsia="Times New Roman" w:hAnsi="Arial" w:cs="Arial"/>
          <w:b/>
          <w:bCs/>
        </w:rPr>
        <w:t>Project A:</w:t>
      </w:r>
      <w:r w:rsidRPr="001C0AA6">
        <w:rPr>
          <w:rFonts w:ascii="Arial" w:eastAsia="Times New Roman" w:hAnsi="Arial" w:cs="Arial"/>
        </w:rPr>
        <w:t xml:space="preserve"> IRR = 18.6%</w:t>
      </w:r>
    </w:p>
    <w:p w14:paraId="20845ADF" w14:textId="16258DA9" w:rsidR="5C47117E" w:rsidRPr="001C0AA6" w:rsidRDefault="5BAE68CC" w:rsidP="001C0AA6">
      <w:pPr>
        <w:pStyle w:val="ListParagraph"/>
        <w:numPr>
          <w:ilvl w:val="0"/>
          <w:numId w:val="6"/>
        </w:numPr>
        <w:spacing w:before="240" w:after="240" w:line="360" w:lineRule="auto"/>
        <w:jc w:val="both"/>
        <w:rPr>
          <w:rFonts w:ascii="Arial" w:eastAsia="Times New Roman" w:hAnsi="Arial" w:cs="Arial"/>
        </w:rPr>
      </w:pPr>
      <w:r w:rsidRPr="001C0AA6">
        <w:rPr>
          <w:rFonts w:ascii="Arial" w:eastAsia="Times New Roman" w:hAnsi="Arial" w:cs="Arial"/>
          <w:b/>
          <w:bCs/>
        </w:rPr>
        <w:t>Project B:</w:t>
      </w:r>
      <w:r w:rsidRPr="001C0AA6">
        <w:rPr>
          <w:rFonts w:ascii="Arial" w:eastAsia="Times New Roman" w:hAnsi="Arial" w:cs="Arial"/>
        </w:rPr>
        <w:t xml:space="preserve"> IRR = 17.9%</w:t>
      </w:r>
    </w:p>
    <w:p w14:paraId="21F634E7" w14:textId="0CBD962D" w:rsidR="5C47117E" w:rsidRPr="001C0AA6" w:rsidRDefault="5BAE68CC" w:rsidP="001C0AA6">
      <w:pPr>
        <w:pStyle w:val="ListParagraph"/>
        <w:numPr>
          <w:ilvl w:val="0"/>
          <w:numId w:val="6"/>
        </w:numPr>
        <w:spacing w:before="240" w:after="240" w:line="360" w:lineRule="auto"/>
        <w:jc w:val="both"/>
        <w:rPr>
          <w:rFonts w:ascii="Arial" w:eastAsia="Times New Roman" w:hAnsi="Arial" w:cs="Arial"/>
        </w:rPr>
      </w:pPr>
      <w:r w:rsidRPr="001C0AA6">
        <w:rPr>
          <w:rFonts w:ascii="Arial" w:eastAsia="Times New Roman" w:hAnsi="Arial" w:cs="Arial"/>
          <w:b/>
          <w:bCs/>
        </w:rPr>
        <w:t>Project C:</w:t>
      </w:r>
      <w:r w:rsidRPr="001C0AA6">
        <w:rPr>
          <w:rFonts w:ascii="Arial" w:eastAsia="Times New Roman" w:hAnsi="Arial" w:cs="Arial"/>
        </w:rPr>
        <w:t xml:space="preserve"> IRR = 13.2%</w:t>
      </w:r>
    </w:p>
    <w:p w14:paraId="434632C9" w14:textId="638245FC" w:rsidR="5C47117E" w:rsidRPr="001C0AA6" w:rsidRDefault="5BAE68CC" w:rsidP="001C0AA6">
      <w:pPr>
        <w:spacing w:before="240" w:after="240" w:line="360" w:lineRule="auto"/>
        <w:jc w:val="both"/>
        <w:rPr>
          <w:rFonts w:ascii="Arial" w:eastAsia="Times New Roman" w:hAnsi="Arial" w:cs="Arial"/>
        </w:rPr>
      </w:pPr>
      <w:r w:rsidRPr="001C0AA6">
        <w:rPr>
          <w:rFonts w:ascii="Arial" w:eastAsia="Times New Roman" w:hAnsi="Arial" w:cs="Arial"/>
        </w:rPr>
        <w:t>All three projects exceed the firm’s cost of capital of 10%, implying financial feasibility. Project A again offers the highest internal rate of return, reaffirming its financial appeal.</w:t>
      </w:r>
    </w:p>
    <w:p w14:paraId="28E63138" w14:textId="5CC7B000" w:rsidR="5C47117E" w:rsidRPr="001C0AA6" w:rsidRDefault="5BAE68CC" w:rsidP="001C0AA6">
      <w:pPr>
        <w:pStyle w:val="Heading3"/>
        <w:spacing w:before="281" w:after="281" w:line="360" w:lineRule="auto"/>
        <w:jc w:val="both"/>
        <w:rPr>
          <w:rFonts w:ascii="Arial" w:eastAsia="Times New Roman" w:hAnsi="Arial" w:cs="Arial"/>
          <w:b/>
          <w:bCs/>
          <w:color w:val="auto"/>
          <w:sz w:val="24"/>
          <w:szCs w:val="24"/>
        </w:rPr>
      </w:pPr>
      <w:bookmarkStart w:id="56" w:name="_Toc1467673471"/>
      <w:r w:rsidRPr="001C0AA6">
        <w:rPr>
          <w:rFonts w:ascii="Arial" w:eastAsia="Times New Roman" w:hAnsi="Arial" w:cs="Arial"/>
          <w:b/>
          <w:bCs/>
          <w:color w:val="auto"/>
          <w:sz w:val="24"/>
          <w:szCs w:val="24"/>
        </w:rPr>
        <w:lastRenderedPageBreak/>
        <w:t>5.8 Capital Rationing Decision</w:t>
      </w:r>
      <w:bookmarkEnd w:id="56"/>
    </w:p>
    <w:p w14:paraId="7FC399B3" w14:textId="77002B03" w:rsidR="5C47117E" w:rsidRPr="001C0AA6" w:rsidRDefault="29DB74C7" w:rsidP="001C0AA6">
      <w:pPr>
        <w:spacing w:before="240" w:after="240" w:line="360" w:lineRule="auto"/>
        <w:jc w:val="both"/>
        <w:rPr>
          <w:rFonts w:ascii="Arial" w:eastAsia="Times New Roman" w:hAnsi="Arial" w:cs="Arial"/>
        </w:rPr>
      </w:pPr>
      <w:r w:rsidRPr="001C0AA6">
        <w:rPr>
          <w:rFonts w:ascii="Arial" w:eastAsia="Times New Roman" w:hAnsi="Arial" w:cs="Arial"/>
        </w:rPr>
        <w:t>GE is capital-constrained, with capital of only 60 million therefore, it cannot afford all three projects at the same time (a total of 75 million would be required). Thus, the best investment mix should be that maximizes NPV on the budget. In the case the company invests in Projects A and B, the total investment would be the amount of the company is going to be 55million and the NPV would be 25.97million. Alternatively, Projects A + C would cost £45 million, and its NPV would be 15.81M. The combination of both A and B is thus the most efficient allocation of resources which provides the greatest incremental value and is not exceeding the budget constraint.</w:t>
      </w:r>
    </w:p>
    <w:p w14:paraId="40F26B15" w14:textId="10DD8218" w:rsidR="5C47117E" w:rsidRPr="001C0AA6" w:rsidRDefault="5BAE68CC" w:rsidP="001C0AA6">
      <w:pPr>
        <w:pStyle w:val="Heading3"/>
        <w:spacing w:before="240" w:after="240" w:line="360" w:lineRule="auto"/>
        <w:jc w:val="both"/>
        <w:rPr>
          <w:rFonts w:ascii="Arial" w:eastAsia="Times New Roman" w:hAnsi="Arial" w:cs="Arial"/>
          <w:b/>
          <w:bCs/>
          <w:color w:val="auto"/>
          <w:sz w:val="24"/>
          <w:szCs w:val="24"/>
        </w:rPr>
      </w:pPr>
      <w:bookmarkStart w:id="57" w:name="_Toc45838528"/>
      <w:r w:rsidRPr="001C0AA6">
        <w:rPr>
          <w:rFonts w:ascii="Arial" w:eastAsia="Times New Roman" w:hAnsi="Arial" w:cs="Arial"/>
          <w:b/>
          <w:bCs/>
          <w:color w:val="auto"/>
          <w:sz w:val="24"/>
          <w:szCs w:val="24"/>
        </w:rPr>
        <w:t>5.9 Sensitivity and Risk Analysis</w:t>
      </w:r>
      <w:bookmarkEnd w:id="57"/>
    </w:p>
    <w:p w14:paraId="7BEA2BA8" w14:textId="46582348" w:rsidR="5C47117E" w:rsidRPr="001C0AA6" w:rsidRDefault="68A0C06E" w:rsidP="001C0AA6">
      <w:pPr>
        <w:spacing w:before="240" w:after="240" w:line="360" w:lineRule="auto"/>
        <w:jc w:val="both"/>
        <w:rPr>
          <w:rFonts w:ascii="Arial" w:eastAsia="Times New Roman" w:hAnsi="Arial" w:cs="Arial"/>
        </w:rPr>
      </w:pPr>
      <w:r w:rsidRPr="001C0AA6">
        <w:rPr>
          <w:rFonts w:ascii="Arial" w:eastAsia="Times New Roman" w:hAnsi="Arial" w:cs="Arial"/>
        </w:rPr>
        <w:t>An important feature of investment appraisal is the sensitivity of project outcomes to changes in underlying assumptions. The sensitivity analysis was carried out to evaluate the effect of changing discount rate and cash inflows by an increment of 10 percent and percentage. The findings show that Project A and Project B are viable in all the situations that have been tested, and their NPVs are positive even at the discount rates of 14 percent. Under the adverse conditions, however, project C will become marginal, which implies that it is more sensitive to risk and uncertainty. Considering the financial status of GE, low-volatility projects with returns are more preferable. The results support the idea that Projects A and B offer a balance between profitability and risk tolerance, which is in line with the strategic focus of the firm on sustainable and predictable cash flows.</w:t>
      </w:r>
    </w:p>
    <w:p w14:paraId="7782E06B" w14:textId="608F5CDB" w:rsidR="5C47117E" w:rsidRPr="001C0AA6" w:rsidRDefault="5BAE68CC" w:rsidP="001C0AA6">
      <w:pPr>
        <w:pStyle w:val="Heading3"/>
        <w:spacing w:before="240" w:after="240" w:line="360" w:lineRule="auto"/>
        <w:jc w:val="both"/>
        <w:rPr>
          <w:rFonts w:ascii="Arial" w:eastAsia="Times New Roman" w:hAnsi="Arial" w:cs="Arial"/>
          <w:color w:val="auto"/>
          <w:sz w:val="24"/>
          <w:szCs w:val="24"/>
        </w:rPr>
      </w:pPr>
      <w:bookmarkStart w:id="58" w:name="_Toc1327668959"/>
      <w:r w:rsidRPr="001C0AA6">
        <w:rPr>
          <w:rFonts w:ascii="Arial" w:eastAsia="Times New Roman" w:hAnsi="Arial" w:cs="Arial"/>
          <w:b/>
          <w:bCs/>
          <w:color w:val="auto"/>
          <w:sz w:val="24"/>
          <w:szCs w:val="24"/>
        </w:rPr>
        <w:t>5.10 Discussion of Findings</w:t>
      </w:r>
      <w:bookmarkEnd w:id="58"/>
    </w:p>
    <w:p w14:paraId="4D329184" w14:textId="60C07D6D" w:rsidR="1CF6AD1A" w:rsidRPr="001C0AA6" w:rsidRDefault="796B6BD3" w:rsidP="001C0AA6">
      <w:pPr>
        <w:spacing w:before="240" w:after="240" w:line="360" w:lineRule="auto"/>
        <w:jc w:val="both"/>
        <w:rPr>
          <w:rFonts w:ascii="Arial" w:eastAsia="Times New Roman" w:hAnsi="Arial" w:cs="Arial"/>
        </w:rPr>
      </w:pPr>
      <w:r w:rsidRPr="001C0AA6">
        <w:rPr>
          <w:rFonts w:ascii="Arial" w:eastAsia="Times New Roman" w:hAnsi="Arial" w:cs="Arial"/>
        </w:rPr>
        <w:t>The overall outcome of all the investment appraisal methods leads to a general outcome. Project A and B would be better than Project C in almost all of the evaluation criteria. Project A is especially efficient (low payback, high IRR, and high PI), and Project B has good absolute profitability (maximum NPV and maximum ARR).</w:t>
      </w:r>
    </w:p>
    <w:p w14:paraId="5CEC3082" w14:textId="593E2D4D" w:rsidR="1CF6AD1A" w:rsidRPr="001C0AA6" w:rsidRDefault="796B6BD3" w:rsidP="001C0AA6">
      <w:pPr>
        <w:spacing w:before="240" w:after="240" w:line="360" w:lineRule="auto"/>
        <w:jc w:val="both"/>
        <w:rPr>
          <w:rFonts w:ascii="Arial" w:eastAsia="Times New Roman" w:hAnsi="Arial" w:cs="Arial"/>
        </w:rPr>
      </w:pPr>
      <w:r w:rsidRPr="001C0AA6">
        <w:rPr>
          <w:rFonts w:ascii="Arial" w:eastAsia="Times New Roman" w:hAnsi="Arial" w:cs="Arial"/>
        </w:rPr>
        <w:t xml:space="preserve">These investments are a good complement to one another in terms of strategy. Project A improves operational capacity and technological efficiency and elevates cost leadership goals. Project B is in line with the goals of sustainability and the focus on energy-saving </w:t>
      </w:r>
      <w:r w:rsidRPr="001C0AA6">
        <w:rPr>
          <w:rFonts w:ascii="Arial" w:eastAsia="Times New Roman" w:hAnsi="Arial" w:cs="Arial"/>
        </w:rPr>
        <w:lastRenderedPageBreak/>
        <w:t xml:space="preserve">in the future, enhancing the brand value of the company and its adherence to international environmental standards. Conversely, Project C has the advantage of being profitable, but it has greater risks of expanding the market and less returns, thus making it less appropriate in this stage of financial recovery. </w:t>
      </w:r>
    </w:p>
    <w:p w14:paraId="10F7781F" w14:textId="6128D30E" w:rsidR="1CF6AD1A" w:rsidRPr="001C0AA6" w:rsidRDefault="796B6BD3" w:rsidP="001C0AA6">
      <w:pPr>
        <w:spacing w:before="240" w:after="240" w:line="360" w:lineRule="auto"/>
        <w:jc w:val="both"/>
        <w:rPr>
          <w:rFonts w:ascii="Arial" w:eastAsia="Times New Roman" w:hAnsi="Arial" w:cs="Arial"/>
        </w:rPr>
      </w:pPr>
      <w:r w:rsidRPr="001C0AA6">
        <w:rPr>
          <w:rFonts w:ascii="Arial" w:eastAsia="Times New Roman" w:hAnsi="Arial" w:cs="Arial"/>
        </w:rPr>
        <w:t>In general, the evaluation justifies a dual-investment approach with Projects A and B because such a combination would maximize NPV, maintain liquidity, and comply with the wider restructuring goals of GE.</w:t>
      </w:r>
    </w:p>
    <w:p w14:paraId="574B3454" w14:textId="4F47C7A3" w:rsidR="1CF6AD1A" w:rsidRPr="001C0AA6" w:rsidRDefault="347D5FBB" w:rsidP="001C0AA6">
      <w:pPr>
        <w:pStyle w:val="Heading2"/>
        <w:spacing w:before="240" w:after="240" w:line="360" w:lineRule="auto"/>
        <w:jc w:val="both"/>
        <w:rPr>
          <w:rFonts w:ascii="Arial" w:eastAsia="Times New Roman" w:hAnsi="Arial" w:cs="Arial"/>
          <w:b/>
          <w:bCs/>
          <w:color w:val="auto"/>
          <w:sz w:val="24"/>
          <w:szCs w:val="24"/>
        </w:rPr>
      </w:pPr>
      <w:bookmarkStart w:id="59" w:name="_Toc185977013"/>
      <w:r w:rsidRPr="001C0AA6">
        <w:rPr>
          <w:rFonts w:ascii="Arial" w:eastAsia="Times New Roman" w:hAnsi="Arial" w:cs="Arial"/>
          <w:b/>
          <w:bCs/>
          <w:color w:val="auto"/>
          <w:sz w:val="24"/>
          <w:szCs w:val="24"/>
        </w:rPr>
        <w:t>6. Conclusion and Recommendations</w:t>
      </w:r>
      <w:bookmarkEnd w:id="59"/>
      <w:r w:rsidRPr="001C0AA6">
        <w:rPr>
          <w:rFonts w:ascii="Arial" w:eastAsia="Times New Roman" w:hAnsi="Arial" w:cs="Arial"/>
          <w:b/>
          <w:bCs/>
          <w:color w:val="auto"/>
          <w:sz w:val="24"/>
          <w:szCs w:val="24"/>
        </w:rPr>
        <w:t xml:space="preserve"> </w:t>
      </w:r>
    </w:p>
    <w:p w14:paraId="5209ECFD" w14:textId="2311E9F6" w:rsidR="1CF6AD1A" w:rsidRPr="001C0AA6" w:rsidRDefault="347D5FBB" w:rsidP="001C0AA6">
      <w:pPr>
        <w:pStyle w:val="Heading3"/>
        <w:spacing w:before="281" w:after="281" w:line="360" w:lineRule="auto"/>
        <w:jc w:val="both"/>
        <w:rPr>
          <w:rFonts w:ascii="Arial" w:eastAsia="Times New Roman" w:hAnsi="Arial" w:cs="Arial"/>
          <w:b/>
          <w:bCs/>
          <w:color w:val="auto"/>
          <w:sz w:val="24"/>
          <w:szCs w:val="24"/>
        </w:rPr>
      </w:pPr>
      <w:bookmarkStart w:id="60" w:name="_Toc2015317108"/>
      <w:r w:rsidRPr="001C0AA6">
        <w:rPr>
          <w:rFonts w:ascii="Arial" w:eastAsia="Times New Roman" w:hAnsi="Arial" w:cs="Arial"/>
          <w:b/>
          <w:bCs/>
          <w:color w:val="auto"/>
          <w:sz w:val="24"/>
          <w:szCs w:val="24"/>
        </w:rPr>
        <w:t>6.1 Conclusion</w:t>
      </w:r>
      <w:bookmarkEnd w:id="60"/>
    </w:p>
    <w:p w14:paraId="6150E164" w14:textId="560FDCD1" w:rsidR="1CF6AD1A" w:rsidRPr="001C0AA6" w:rsidRDefault="124A0028" w:rsidP="001C0AA6">
      <w:pPr>
        <w:spacing w:before="281" w:after="281" w:line="360" w:lineRule="auto"/>
        <w:jc w:val="both"/>
        <w:rPr>
          <w:rFonts w:ascii="Arial" w:eastAsia="Times New Roman" w:hAnsi="Arial" w:cs="Arial"/>
        </w:rPr>
      </w:pPr>
      <w:r w:rsidRPr="001C0AA6">
        <w:rPr>
          <w:rFonts w:ascii="Arial" w:eastAsia="Times New Roman" w:hAnsi="Arial" w:cs="Arial"/>
        </w:rPr>
        <w:t xml:space="preserve">Financial analysis of General Electronics (GE) 2020-24 financial results show that the company is experiencing severe economic and financial pressure. The reduction in revenues by more than 614.7 billion to 394.9 billion sums of money and the series of net losses revealed vulnerabilities in managing costs and business strategy. Ratios analysis proved that the profitability, liquidity, and solvency have deteriorated, which means that the financial structure of GE is not sustainable any longer. However, the company still has quality assets, technical knowledge, as well as international brand awareness, which serves as a solid recovery base. </w:t>
      </w:r>
    </w:p>
    <w:p w14:paraId="177D5511" w14:textId="64625AB4" w:rsidR="1CF6AD1A" w:rsidRPr="001C0AA6" w:rsidRDefault="124A0028" w:rsidP="001C0AA6">
      <w:pPr>
        <w:spacing w:before="281" w:after="281" w:line="360" w:lineRule="auto"/>
        <w:jc w:val="both"/>
        <w:rPr>
          <w:rFonts w:ascii="Arial" w:eastAsia="Times New Roman" w:hAnsi="Arial" w:cs="Arial"/>
        </w:rPr>
      </w:pPr>
      <w:r w:rsidRPr="001C0AA6">
        <w:rPr>
          <w:rFonts w:ascii="Arial" w:eastAsia="Times New Roman" w:hAnsi="Arial" w:cs="Arial"/>
        </w:rPr>
        <w:t xml:space="preserve">The restructuring strategy focuses on recovering efficiency in operations, streamlining capital structure, and strengthening governance. The key storage of cash flow and cost competitiveness is the divestment of unproductive units, refinancing debts, and strategic investment in automation and digital transformation. The management will also need to be ethical and transparent in its practices to restore investor confidence and attain sustainable performance. </w:t>
      </w:r>
    </w:p>
    <w:p w14:paraId="6E2CC00C" w14:textId="0C727D55" w:rsidR="1CF6AD1A" w:rsidRPr="001C0AA6" w:rsidRDefault="124A0028" w:rsidP="001C0AA6">
      <w:pPr>
        <w:spacing w:before="281" w:after="281" w:line="360" w:lineRule="auto"/>
        <w:jc w:val="both"/>
        <w:rPr>
          <w:rFonts w:ascii="Arial" w:eastAsia="Times New Roman" w:hAnsi="Arial" w:cs="Arial"/>
        </w:rPr>
      </w:pPr>
      <w:r w:rsidRPr="001C0AA6">
        <w:rPr>
          <w:rFonts w:ascii="Arial" w:eastAsia="Times New Roman" w:hAnsi="Arial" w:cs="Arial"/>
        </w:rPr>
        <w:t xml:space="preserve">This recovery strategy was also confirmed by investment appraisal. This was determined to be project A and project B, which allowed the best consideration of capital constraints and had positive NPVs, high IRRs, and was in line with the long-term vision of GE. Project A reinforces the operational productivity and Project B promotes the environmental </w:t>
      </w:r>
      <w:r w:rsidRPr="001C0AA6">
        <w:rPr>
          <w:rFonts w:ascii="Arial" w:eastAsia="Times New Roman" w:hAnsi="Arial" w:cs="Arial"/>
        </w:rPr>
        <w:lastRenderedPageBreak/>
        <w:t>sustainability and energy efficiency which comprises a balanced, future-oriented investment portfolio.</w:t>
      </w:r>
    </w:p>
    <w:p w14:paraId="282D2DBC" w14:textId="2BA9CC66" w:rsidR="1CF6AD1A" w:rsidRPr="001C0AA6" w:rsidRDefault="347D5FBB" w:rsidP="001C0AA6">
      <w:pPr>
        <w:pStyle w:val="Heading3"/>
        <w:spacing w:before="281" w:after="281" w:line="360" w:lineRule="auto"/>
        <w:jc w:val="both"/>
        <w:rPr>
          <w:rFonts w:ascii="Arial" w:eastAsia="Times New Roman" w:hAnsi="Arial" w:cs="Arial"/>
          <w:b/>
          <w:bCs/>
          <w:color w:val="auto"/>
          <w:sz w:val="24"/>
          <w:szCs w:val="24"/>
        </w:rPr>
      </w:pPr>
      <w:bookmarkStart w:id="61" w:name="_Toc1647999892"/>
      <w:r w:rsidRPr="001C0AA6">
        <w:rPr>
          <w:rFonts w:ascii="Arial" w:eastAsia="Times New Roman" w:hAnsi="Arial" w:cs="Arial"/>
          <w:b/>
          <w:bCs/>
          <w:color w:val="auto"/>
          <w:sz w:val="24"/>
          <w:szCs w:val="24"/>
        </w:rPr>
        <w:t>6.2 Recommendations</w:t>
      </w:r>
      <w:bookmarkEnd w:id="61"/>
    </w:p>
    <w:p w14:paraId="0CE931E4" w14:textId="1803609C" w:rsidR="1CF6AD1A" w:rsidRPr="001C0AA6" w:rsidRDefault="347D5FBB" w:rsidP="001C0AA6">
      <w:pPr>
        <w:spacing w:before="240" w:after="240" w:line="360" w:lineRule="auto"/>
        <w:jc w:val="both"/>
        <w:rPr>
          <w:rFonts w:ascii="Arial" w:eastAsia="Times New Roman" w:hAnsi="Arial" w:cs="Arial"/>
        </w:rPr>
      </w:pPr>
      <w:r w:rsidRPr="001C0AA6">
        <w:rPr>
          <w:rFonts w:ascii="Arial" w:eastAsia="Times New Roman" w:hAnsi="Arial" w:cs="Arial"/>
        </w:rPr>
        <w:t>To stabilize and grow, GE should:</w:t>
      </w:r>
    </w:p>
    <w:p w14:paraId="6F28EAF2" w14:textId="79916420" w:rsidR="1CF6AD1A" w:rsidRPr="001C0AA6" w:rsidRDefault="347D5FBB" w:rsidP="001C0AA6">
      <w:pPr>
        <w:pStyle w:val="ListParagraph"/>
        <w:numPr>
          <w:ilvl w:val="0"/>
          <w:numId w:val="5"/>
        </w:numPr>
        <w:spacing w:before="240" w:after="240" w:line="360" w:lineRule="auto"/>
        <w:jc w:val="both"/>
        <w:rPr>
          <w:rFonts w:ascii="Arial" w:eastAsia="Times New Roman" w:hAnsi="Arial" w:cs="Arial"/>
        </w:rPr>
      </w:pPr>
      <w:r w:rsidRPr="001C0AA6">
        <w:rPr>
          <w:rFonts w:ascii="Arial" w:eastAsia="Times New Roman" w:hAnsi="Arial" w:cs="Arial"/>
        </w:rPr>
        <w:t>Implement strict cost control and lean production to enhance efficiency.</w:t>
      </w:r>
    </w:p>
    <w:p w14:paraId="27B5BDF7" w14:textId="415895F8" w:rsidR="1CF6AD1A" w:rsidRPr="001C0AA6" w:rsidRDefault="347D5FBB" w:rsidP="001C0AA6">
      <w:pPr>
        <w:pStyle w:val="ListParagraph"/>
        <w:numPr>
          <w:ilvl w:val="0"/>
          <w:numId w:val="5"/>
        </w:numPr>
        <w:spacing w:before="240" w:after="240" w:line="360" w:lineRule="auto"/>
        <w:jc w:val="both"/>
        <w:rPr>
          <w:rFonts w:ascii="Arial" w:eastAsia="Times New Roman" w:hAnsi="Arial" w:cs="Arial"/>
        </w:rPr>
      </w:pPr>
      <w:r w:rsidRPr="001C0AA6">
        <w:rPr>
          <w:rFonts w:ascii="Arial" w:eastAsia="Times New Roman" w:hAnsi="Arial" w:cs="Arial"/>
        </w:rPr>
        <w:t>Restructure debt through refinancing and pursue equity-based funding to reduce leverage.</w:t>
      </w:r>
    </w:p>
    <w:p w14:paraId="3D1B5669" w14:textId="75963B4D" w:rsidR="1CF6AD1A" w:rsidRPr="001C0AA6" w:rsidRDefault="347D5FBB" w:rsidP="001C0AA6">
      <w:pPr>
        <w:pStyle w:val="ListParagraph"/>
        <w:numPr>
          <w:ilvl w:val="0"/>
          <w:numId w:val="5"/>
        </w:numPr>
        <w:spacing w:before="240" w:after="240" w:line="360" w:lineRule="auto"/>
        <w:jc w:val="both"/>
        <w:rPr>
          <w:rFonts w:ascii="Arial" w:eastAsia="Times New Roman" w:hAnsi="Arial" w:cs="Arial"/>
        </w:rPr>
      </w:pPr>
      <w:r w:rsidRPr="001C0AA6">
        <w:rPr>
          <w:rFonts w:ascii="Arial" w:eastAsia="Times New Roman" w:hAnsi="Arial" w:cs="Arial"/>
        </w:rPr>
        <w:t>Strengthen working capital management via tighter credit control and real-time inventory tracking.</w:t>
      </w:r>
    </w:p>
    <w:p w14:paraId="4A23BEE1" w14:textId="3B35D900" w:rsidR="1CF6AD1A" w:rsidRPr="001C0AA6" w:rsidRDefault="347D5FBB" w:rsidP="001C0AA6">
      <w:pPr>
        <w:pStyle w:val="ListParagraph"/>
        <w:numPr>
          <w:ilvl w:val="0"/>
          <w:numId w:val="5"/>
        </w:numPr>
        <w:spacing w:before="240" w:after="240" w:line="360" w:lineRule="auto"/>
        <w:jc w:val="both"/>
        <w:rPr>
          <w:rFonts w:ascii="Arial" w:eastAsia="Times New Roman" w:hAnsi="Arial" w:cs="Arial"/>
        </w:rPr>
      </w:pPr>
      <w:r w:rsidRPr="001C0AA6">
        <w:rPr>
          <w:rFonts w:ascii="Arial" w:eastAsia="Times New Roman" w:hAnsi="Arial" w:cs="Arial"/>
        </w:rPr>
        <w:t>Execute Projects A and B concurrently, monitored through quarterly financial reviews.</w:t>
      </w:r>
    </w:p>
    <w:p w14:paraId="3EB60F2A" w14:textId="1C279B97" w:rsidR="1CF6AD1A" w:rsidRPr="001C0AA6" w:rsidRDefault="347D5FBB" w:rsidP="001C0AA6">
      <w:pPr>
        <w:pStyle w:val="ListParagraph"/>
        <w:numPr>
          <w:ilvl w:val="0"/>
          <w:numId w:val="5"/>
        </w:numPr>
        <w:spacing w:before="240" w:after="240" w:line="360" w:lineRule="auto"/>
        <w:jc w:val="both"/>
        <w:rPr>
          <w:rFonts w:ascii="Arial" w:eastAsia="Times New Roman" w:hAnsi="Arial" w:cs="Arial"/>
        </w:rPr>
      </w:pPr>
      <w:r w:rsidRPr="001C0AA6">
        <w:rPr>
          <w:rFonts w:ascii="Arial" w:eastAsia="Times New Roman" w:hAnsi="Arial" w:cs="Arial"/>
        </w:rPr>
        <w:t>Uphold ethical governance, sustainability, and transparent financial reporting.</w:t>
      </w:r>
    </w:p>
    <w:p w14:paraId="538DF2BD" w14:textId="4AAF4E52" w:rsidR="1CF6AD1A" w:rsidRPr="001C0AA6" w:rsidRDefault="347D5FBB" w:rsidP="001C0AA6">
      <w:pPr>
        <w:pStyle w:val="ListParagraph"/>
        <w:numPr>
          <w:ilvl w:val="0"/>
          <w:numId w:val="5"/>
        </w:numPr>
        <w:spacing w:before="240" w:after="240" w:line="360" w:lineRule="auto"/>
        <w:jc w:val="both"/>
        <w:rPr>
          <w:rFonts w:ascii="Arial" w:eastAsia="Times New Roman" w:hAnsi="Arial" w:cs="Arial"/>
        </w:rPr>
      </w:pPr>
      <w:r w:rsidRPr="001C0AA6">
        <w:rPr>
          <w:rFonts w:ascii="Arial" w:eastAsia="Times New Roman" w:hAnsi="Arial" w:cs="Arial"/>
        </w:rPr>
        <w:t>Establish a continuous performance monitoring system to track profitability, liquidity, and solvency indicators.</w:t>
      </w:r>
    </w:p>
    <w:p w14:paraId="6F6D1D33" w14:textId="15AA88E3" w:rsidR="1CF6AD1A" w:rsidRPr="001C0AA6" w:rsidRDefault="347D5FBB" w:rsidP="001C0AA6">
      <w:pPr>
        <w:pStyle w:val="Heading3"/>
        <w:spacing w:before="281" w:after="281" w:line="360" w:lineRule="auto"/>
        <w:jc w:val="both"/>
        <w:rPr>
          <w:rFonts w:ascii="Arial" w:eastAsia="Times New Roman" w:hAnsi="Arial" w:cs="Arial"/>
          <w:b/>
          <w:bCs/>
          <w:color w:val="auto"/>
          <w:sz w:val="24"/>
          <w:szCs w:val="24"/>
        </w:rPr>
      </w:pPr>
      <w:bookmarkStart w:id="62" w:name="_Toc1174208004"/>
      <w:r w:rsidRPr="001C0AA6">
        <w:rPr>
          <w:rFonts w:ascii="Arial" w:eastAsia="Times New Roman" w:hAnsi="Arial" w:cs="Arial"/>
          <w:b/>
          <w:bCs/>
          <w:color w:val="auto"/>
          <w:sz w:val="24"/>
          <w:szCs w:val="24"/>
        </w:rPr>
        <w:t>6.3 Final Remark</w:t>
      </w:r>
      <w:bookmarkEnd w:id="62"/>
    </w:p>
    <w:p w14:paraId="57F118A9" w14:textId="34FFBEAF" w:rsidR="7021609D" w:rsidRPr="001C0AA6" w:rsidRDefault="112A68A5" w:rsidP="001C0AA6">
      <w:pPr>
        <w:spacing w:before="240" w:after="240" w:line="360" w:lineRule="auto"/>
        <w:jc w:val="both"/>
        <w:rPr>
          <w:rFonts w:ascii="Arial" w:eastAsia="Times New Roman" w:hAnsi="Arial" w:cs="Arial"/>
        </w:rPr>
      </w:pPr>
      <w:r w:rsidRPr="001C0AA6">
        <w:rPr>
          <w:rFonts w:ascii="Arial" w:eastAsia="Times New Roman" w:hAnsi="Arial" w:cs="Arial"/>
        </w:rPr>
        <w:t>The problems encountered at General Electronics are indicative of the larger unpredictability of the global electronics market, with innovation cycles being fast, and cost competitiveness being paramount. However, with the careful use of financial management theories, strategic vision, and ethical management, GE can not only resurrect itself but also become more flexible. The recommendations in this report offer a practical roadmap towards this transformation that will recover profitability, ensure financial stability as well and place the company on a long-term sustainable growth in a more dynamic global market environment.</w:t>
      </w:r>
    </w:p>
    <w:p w14:paraId="1D308764" w14:textId="77777777" w:rsidR="001C0AA6" w:rsidRDefault="001C0AA6" w:rsidP="001C0AA6">
      <w:pPr>
        <w:spacing w:before="240" w:after="240" w:line="360" w:lineRule="auto"/>
        <w:jc w:val="both"/>
        <w:rPr>
          <w:rFonts w:ascii="Arial" w:eastAsia="Times New Roman" w:hAnsi="Arial" w:cs="Arial"/>
        </w:rPr>
      </w:pPr>
    </w:p>
    <w:p w14:paraId="23E454AB" w14:textId="77777777" w:rsidR="00292A2E" w:rsidRPr="001C0AA6" w:rsidRDefault="00292A2E" w:rsidP="001C0AA6">
      <w:pPr>
        <w:spacing w:before="240" w:after="240" w:line="360" w:lineRule="auto"/>
        <w:jc w:val="both"/>
        <w:rPr>
          <w:rFonts w:ascii="Arial" w:eastAsia="Times New Roman" w:hAnsi="Arial" w:cs="Arial"/>
        </w:rPr>
      </w:pPr>
    </w:p>
    <w:p w14:paraId="7F482353" w14:textId="257EBB38" w:rsidR="7021609D" w:rsidRDefault="1B603B6B" w:rsidP="79227FA8">
      <w:pPr>
        <w:pStyle w:val="Heading3"/>
        <w:spacing w:before="240" w:after="240"/>
        <w:rPr>
          <w:rFonts w:ascii="Times New Roman" w:eastAsia="Times New Roman" w:hAnsi="Times New Roman" w:cs="Times New Roman"/>
          <w:b/>
          <w:bCs/>
          <w:color w:val="auto"/>
          <w:sz w:val="24"/>
          <w:szCs w:val="24"/>
        </w:rPr>
      </w:pPr>
      <w:bookmarkStart w:id="63" w:name="_Toc901389536"/>
      <w:r w:rsidRPr="79227FA8">
        <w:rPr>
          <w:rFonts w:ascii="Times New Roman" w:eastAsia="Times New Roman" w:hAnsi="Times New Roman" w:cs="Times New Roman"/>
          <w:b/>
          <w:bCs/>
          <w:color w:val="auto"/>
          <w:sz w:val="24"/>
          <w:szCs w:val="24"/>
        </w:rPr>
        <w:lastRenderedPageBreak/>
        <w:t>REFERENCES</w:t>
      </w:r>
      <w:bookmarkEnd w:id="63"/>
    </w:p>
    <w:p w14:paraId="32E8B13E" w14:textId="77777777" w:rsidR="00292A2E" w:rsidRPr="00292A2E" w:rsidRDefault="00292A2E" w:rsidP="00292A2E"/>
    <w:p w14:paraId="6F5C61ED" w14:textId="276D25E9" w:rsidR="7021609D" w:rsidRDefault="7316866D" w:rsidP="00292A2E">
      <w:pPr>
        <w:pStyle w:val="ListParagraph"/>
        <w:spacing w:before="240" w:after="240" w:line="360" w:lineRule="auto"/>
        <w:rPr>
          <w:rFonts w:ascii="Arial" w:eastAsia="Times New Roman" w:hAnsi="Arial" w:cs="Arial"/>
        </w:rPr>
      </w:pPr>
      <w:r w:rsidRPr="00292A2E">
        <w:rPr>
          <w:rFonts w:ascii="Arial" w:eastAsia="Times New Roman" w:hAnsi="Arial" w:cs="Arial"/>
        </w:rPr>
        <w:t xml:space="preserve">Brealey, R.A., Myers, S.C. &amp; Allen, F., 2020. Principles of Corporate Finance. 13th </w:t>
      </w:r>
      <w:r w:rsidR="001C0AA6" w:rsidRPr="00292A2E">
        <w:rPr>
          <w:rFonts w:ascii="Arial" w:eastAsia="Times New Roman" w:hAnsi="Arial" w:cs="Arial"/>
        </w:rPr>
        <w:t>Ed</w:t>
      </w:r>
      <w:r w:rsidRPr="00292A2E">
        <w:rPr>
          <w:rFonts w:ascii="Arial" w:eastAsia="Times New Roman" w:hAnsi="Arial" w:cs="Arial"/>
        </w:rPr>
        <w:t xml:space="preserve">. New York: McGraw-Hill Education. </w:t>
      </w:r>
    </w:p>
    <w:p w14:paraId="120C2A6A" w14:textId="77777777" w:rsidR="00292A2E" w:rsidRPr="00292A2E" w:rsidRDefault="00292A2E" w:rsidP="00292A2E">
      <w:pPr>
        <w:pStyle w:val="ListParagraph"/>
        <w:spacing w:before="240" w:after="240" w:line="360" w:lineRule="auto"/>
        <w:rPr>
          <w:rFonts w:ascii="Arial" w:eastAsia="Times New Roman" w:hAnsi="Arial" w:cs="Arial"/>
        </w:rPr>
      </w:pPr>
    </w:p>
    <w:p w14:paraId="42437C43" w14:textId="26D294FA" w:rsidR="7021609D" w:rsidRDefault="7316866D" w:rsidP="00292A2E">
      <w:pPr>
        <w:pStyle w:val="ListParagraph"/>
        <w:spacing w:before="240" w:after="240" w:line="360" w:lineRule="auto"/>
        <w:rPr>
          <w:rFonts w:ascii="Arial" w:eastAsia="Times New Roman" w:hAnsi="Arial" w:cs="Arial"/>
        </w:rPr>
      </w:pPr>
      <w:r w:rsidRPr="00292A2E">
        <w:rPr>
          <w:rFonts w:ascii="Arial" w:eastAsia="Times New Roman" w:hAnsi="Arial" w:cs="Arial"/>
        </w:rPr>
        <w:t xml:space="preserve">Deloof, M., 2003. Does working capital management affect profitability of Belgian firms? Journal of Business Finance &amp; Accounting, 30(3-4), pp.573-588. </w:t>
      </w:r>
    </w:p>
    <w:p w14:paraId="4AE36E52" w14:textId="77777777" w:rsidR="00292A2E" w:rsidRPr="00292A2E" w:rsidRDefault="00292A2E" w:rsidP="00292A2E">
      <w:pPr>
        <w:pStyle w:val="ListParagraph"/>
        <w:spacing w:before="240" w:after="240" w:line="360" w:lineRule="auto"/>
        <w:rPr>
          <w:rFonts w:ascii="Arial" w:eastAsia="Times New Roman" w:hAnsi="Arial" w:cs="Arial"/>
        </w:rPr>
      </w:pPr>
    </w:p>
    <w:p w14:paraId="0FE4077F" w14:textId="77C3EA30" w:rsidR="7021609D" w:rsidRDefault="7316866D" w:rsidP="00292A2E">
      <w:pPr>
        <w:pStyle w:val="ListParagraph"/>
        <w:spacing w:before="240" w:after="240" w:line="360" w:lineRule="auto"/>
        <w:rPr>
          <w:rFonts w:ascii="Arial" w:eastAsia="Times New Roman" w:hAnsi="Arial" w:cs="Arial"/>
        </w:rPr>
      </w:pPr>
      <w:r w:rsidRPr="00292A2E">
        <w:rPr>
          <w:rFonts w:ascii="Arial" w:eastAsia="Times New Roman" w:hAnsi="Arial" w:cs="Arial"/>
        </w:rPr>
        <w:t xml:space="preserve">Ross, S.A., Westerfield, R.W., Jaffe, J. &amp; Jordan, B.D., 2017. Corporate Finance: Core Principles and Applications. 5th </w:t>
      </w:r>
      <w:r w:rsidR="001C0AA6" w:rsidRPr="00292A2E">
        <w:rPr>
          <w:rFonts w:ascii="Arial" w:eastAsia="Times New Roman" w:hAnsi="Arial" w:cs="Arial"/>
        </w:rPr>
        <w:t>Ed</w:t>
      </w:r>
      <w:r w:rsidRPr="00292A2E">
        <w:rPr>
          <w:rFonts w:ascii="Arial" w:eastAsia="Times New Roman" w:hAnsi="Arial" w:cs="Arial"/>
        </w:rPr>
        <w:t xml:space="preserve">. New York: McGraw-Hill Education. </w:t>
      </w:r>
    </w:p>
    <w:p w14:paraId="31FC30CB" w14:textId="77777777" w:rsidR="00292A2E" w:rsidRPr="00292A2E" w:rsidRDefault="00292A2E" w:rsidP="00292A2E">
      <w:pPr>
        <w:pStyle w:val="ListParagraph"/>
        <w:spacing w:before="240" w:after="240" w:line="360" w:lineRule="auto"/>
        <w:rPr>
          <w:rFonts w:ascii="Arial" w:eastAsia="Times New Roman" w:hAnsi="Arial" w:cs="Arial"/>
        </w:rPr>
      </w:pPr>
    </w:p>
    <w:p w14:paraId="66B7883C" w14:textId="053BD797" w:rsidR="7021609D" w:rsidRDefault="7316866D" w:rsidP="00292A2E">
      <w:pPr>
        <w:pStyle w:val="ListParagraph"/>
        <w:spacing w:before="240" w:after="240" w:line="360" w:lineRule="auto"/>
        <w:rPr>
          <w:rFonts w:ascii="Arial" w:eastAsia="Times New Roman" w:hAnsi="Arial" w:cs="Arial"/>
        </w:rPr>
      </w:pPr>
      <w:r w:rsidRPr="00292A2E">
        <w:rPr>
          <w:rFonts w:ascii="Arial" w:eastAsia="Times New Roman" w:hAnsi="Arial" w:cs="Arial"/>
        </w:rPr>
        <w:t>Brigham, E.F. &amp; Ehrhardt, M.C., 2019. Financial Management: Theory &amp; Practice. 15th ed. Boston: Cengage Learning.</w:t>
      </w:r>
    </w:p>
    <w:p w14:paraId="2533AF93" w14:textId="77777777" w:rsidR="00292A2E" w:rsidRPr="00292A2E" w:rsidRDefault="00292A2E" w:rsidP="00292A2E">
      <w:pPr>
        <w:pStyle w:val="ListParagraph"/>
        <w:spacing w:before="240" w:after="240" w:line="360" w:lineRule="auto"/>
        <w:rPr>
          <w:rFonts w:ascii="Arial" w:eastAsia="Times New Roman" w:hAnsi="Arial" w:cs="Arial"/>
        </w:rPr>
      </w:pPr>
    </w:p>
    <w:p w14:paraId="7136C5AC" w14:textId="601449D0" w:rsidR="7021609D" w:rsidRDefault="7316866D" w:rsidP="00292A2E">
      <w:pPr>
        <w:pStyle w:val="ListParagraph"/>
        <w:spacing w:before="240" w:after="240" w:line="360" w:lineRule="auto"/>
        <w:rPr>
          <w:rFonts w:ascii="Arial" w:eastAsia="Times New Roman" w:hAnsi="Arial" w:cs="Arial"/>
        </w:rPr>
      </w:pPr>
      <w:r w:rsidRPr="00292A2E">
        <w:rPr>
          <w:rFonts w:ascii="Arial" w:eastAsia="Times New Roman" w:hAnsi="Arial" w:cs="Arial"/>
        </w:rPr>
        <w:t>Hillier, D., Ross, S., Westerfield, R., Jaffe, J. &amp; Jordan, B., 2021. Corporate Finance. 5th European ed. Maidenhead: McGraw-Hill Education.</w:t>
      </w:r>
    </w:p>
    <w:p w14:paraId="2AD414EE" w14:textId="77777777" w:rsidR="00292A2E" w:rsidRPr="00292A2E" w:rsidRDefault="00292A2E" w:rsidP="00292A2E">
      <w:pPr>
        <w:pStyle w:val="ListParagraph"/>
        <w:spacing w:before="240" w:after="240" w:line="360" w:lineRule="auto"/>
        <w:rPr>
          <w:rFonts w:ascii="Arial" w:eastAsia="Times New Roman" w:hAnsi="Arial" w:cs="Arial"/>
        </w:rPr>
      </w:pPr>
    </w:p>
    <w:p w14:paraId="041C3F17" w14:textId="4002C221" w:rsidR="7021609D" w:rsidRDefault="7316866D" w:rsidP="00292A2E">
      <w:pPr>
        <w:pStyle w:val="ListParagraph"/>
        <w:spacing w:before="240" w:after="240" w:line="360" w:lineRule="auto"/>
        <w:rPr>
          <w:rFonts w:ascii="Arial" w:eastAsia="Times New Roman" w:hAnsi="Arial" w:cs="Arial"/>
        </w:rPr>
      </w:pPr>
      <w:r w:rsidRPr="00292A2E">
        <w:rPr>
          <w:rFonts w:ascii="Arial" w:eastAsia="Times New Roman" w:hAnsi="Arial" w:cs="Arial"/>
        </w:rPr>
        <w:t>Lazaridis, I. &amp; Tryfonidis, D., 2006. Relationship between working capital management and profitability of listed companies in the Athens Stock Exchange. Journal of Financial Management &amp; Analysis, 19(1), pp.26-35.</w:t>
      </w:r>
    </w:p>
    <w:p w14:paraId="7D8678C5" w14:textId="77777777" w:rsidR="00292A2E" w:rsidRPr="00292A2E" w:rsidRDefault="00292A2E" w:rsidP="00292A2E">
      <w:pPr>
        <w:pStyle w:val="ListParagraph"/>
        <w:spacing w:before="240" w:after="240" w:line="360" w:lineRule="auto"/>
        <w:rPr>
          <w:rFonts w:ascii="Arial" w:eastAsia="Times New Roman" w:hAnsi="Arial" w:cs="Arial"/>
        </w:rPr>
      </w:pPr>
    </w:p>
    <w:p w14:paraId="2E943586" w14:textId="02AED049" w:rsidR="7021609D" w:rsidRDefault="7316866D" w:rsidP="00292A2E">
      <w:pPr>
        <w:pStyle w:val="ListParagraph"/>
        <w:spacing w:before="240" w:after="240" w:line="360" w:lineRule="auto"/>
        <w:rPr>
          <w:rFonts w:ascii="Arial" w:eastAsia="Times New Roman" w:hAnsi="Arial" w:cs="Arial"/>
        </w:rPr>
      </w:pPr>
      <w:r w:rsidRPr="00292A2E">
        <w:rPr>
          <w:rFonts w:ascii="Arial" w:eastAsia="Times New Roman" w:hAnsi="Arial" w:cs="Arial"/>
        </w:rPr>
        <w:t>Shin, H. &amp; Soenen, L., 1998. Efficiency of working capital management and corporate profitability. Financial Practice &amp; Education, 8(2), pp.37-45.</w:t>
      </w:r>
    </w:p>
    <w:p w14:paraId="2D2EF555" w14:textId="77777777" w:rsidR="00292A2E" w:rsidRPr="00292A2E" w:rsidRDefault="00292A2E" w:rsidP="00292A2E">
      <w:pPr>
        <w:pStyle w:val="ListParagraph"/>
        <w:spacing w:before="240" w:after="240" w:line="360" w:lineRule="auto"/>
        <w:rPr>
          <w:rFonts w:ascii="Arial" w:eastAsia="Times New Roman" w:hAnsi="Arial" w:cs="Arial"/>
        </w:rPr>
      </w:pPr>
    </w:p>
    <w:p w14:paraId="17968742" w14:textId="35235A45" w:rsidR="7021609D" w:rsidRDefault="7316866D" w:rsidP="00292A2E">
      <w:pPr>
        <w:pStyle w:val="ListParagraph"/>
        <w:spacing w:before="240" w:after="240" w:line="360" w:lineRule="auto"/>
        <w:rPr>
          <w:rFonts w:ascii="Arial" w:eastAsia="Times New Roman" w:hAnsi="Arial" w:cs="Arial"/>
        </w:rPr>
      </w:pPr>
      <w:r w:rsidRPr="00292A2E">
        <w:rPr>
          <w:rFonts w:ascii="Arial" w:eastAsia="Times New Roman" w:hAnsi="Arial" w:cs="Arial"/>
        </w:rPr>
        <w:t>Titman, S. &amp; Martin, J.D., 2017. Valuation: The Art and Science of Corporate Investment Decisions. 3rd ed. Harlow: Pearson Education.</w:t>
      </w:r>
    </w:p>
    <w:p w14:paraId="0E4FF9CD" w14:textId="77777777" w:rsidR="00292A2E" w:rsidRPr="00292A2E" w:rsidRDefault="00292A2E" w:rsidP="00292A2E">
      <w:pPr>
        <w:pStyle w:val="ListParagraph"/>
        <w:spacing w:before="240" w:after="240" w:line="360" w:lineRule="auto"/>
        <w:rPr>
          <w:rFonts w:ascii="Arial" w:eastAsia="Times New Roman" w:hAnsi="Arial" w:cs="Arial"/>
        </w:rPr>
      </w:pPr>
    </w:p>
    <w:p w14:paraId="45860C1D" w14:textId="085F8C36" w:rsidR="7021609D" w:rsidRDefault="7316866D" w:rsidP="00292A2E">
      <w:pPr>
        <w:pStyle w:val="ListParagraph"/>
        <w:spacing w:before="240" w:after="240" w:line="360" w:lineRule="auto"/>
        <w:rPr>
          <w:rFonts w:ascii="Arial" w:eastAsia="Times New Roman" w:hAnsi="Arial" w:cs="Arial"/>
        </w:rPr>
      </w:pPr>
      <w:r w:rsidRPr="00292A2E">
        <w:rPr>
          <w:rFonts w:ascii="Arial" w:eastAsia="Times New Roman" w:hAnsi="Arial" w:cs="Arial"/>
        </w:rPr>
        <w:t>Howorth, C. &amp; Westhead, P., 2003. The focus of working capital management in UK small firms. Management Accounting Research, 14(2), pp.94-111.</w:t>
      </w:r>
    </w:p>
    <w:p w14:paraId="1C94AA24" w14:textId="77777777" w:rsidR="00292A2E" w:rsidRPr="00292A2E" w:rsidRDefault="00292A2E" w:rsidP="00292A2E">
      <w:pPr>
        <w:pStyle w:val="ListParagraph"/>
        <w:spacing w:before="240" w:after="240" w:line="360" w:lineRule="auto"/>
        <w:rPr>
          <w:rFonts w:ascii="Arial" w:eastAsia="Times New Roman" w:hAnsi="Arial" w:cs="Arial"/>
        </w:rPr>
      </w:pPr>
    </w:p>
    <w:p w14:paraId="0CF95418" w14:textId="387BB02E" w:rsidR="7021609D" w:rsidRPr="00292A2E" w:rsidRDefault="7316866D" w:rsidP="00292A2E">
      <w:pPr>
        <w:pStyle w:val="ListParagraph"/>
        <w:spacing w:before="240" w:after="240" w:line="360" w:lineRule="auto"/>
        <w:rPr>
          <w:rFonts w:ascii="Arial" w:eastAsia="Times New Roman" w:hAnsi="Arial" w:cs="Arial"/>
        </w:rPr>
      </w:pPr>
      <w:r w:rsidRPr="00292A2E">
        <w:rPr>
          <w:rFonts w:ascii="Arial" w:eastAsia="Times New Roman" w:hAnsi="Arial" w:cs="Arial"/>
        </w:rPr>
        <w:lastRenderedPageBreak/>
        <w:t>Garcia-Teruel, P.J. &amp; Martínez-Solano, P., 2007. Effects of working capital management on SME profitability. International Journal of Managerial Finance, 3(2), pp.164-177.</w:t>
      </w:r>
    </w:p>
    <w:p w14:paraId="154A7F3A" w14:textId="186E96E0" w:rsidR="7021609D" w:rsidRPr="00292A2E" w:rsidRDefault="7316866D" w:rsidP="00292A2E">
      <w:pPr>
        <w:spacing w:before="240" w:after="240" w:line="360" w:lineRule="auto"/>
        <w:ind w:left="720"/>
        <w:rPr>
          <w:rFonts w:ascii="Arial" w:eastAsia="Times New Roman" w:hAnsi="Arial" w:cs="Arial"/>
        </w:rPr>
      </w:pPr>
      <w:r w:rsidRPr="00292A2E">
        <w:rPr>
          <w:rFonts w:ascii="Arial" w:eastAsia="Times New Roman" w:hAnsi="Arial" w:cs="Arial"/>
        </w:rPr>
        <w:t>Altman, E.I., 1968. Financial ratios, discriminant analysis and the prediction of corporate bankruptcy. The Journal of Finance, 23(4), pp.589-609.</w:t>
      </w:r>
    </w:p>
    <w:p w14:paraId="3B24A07B" w14:textId="0983C7FB" w:rsidR="7021609D" w:rsidRDefault="7316866D" w:rsidP="00292A2E">
      <w:pPr>
        <w:pStyle w:val="ListParagraph"/>
        <w:spacing w:before="240" w:after="240" w:line="360" w:lineRule="auto"/>
        <w:rPr>
          <w:rFonts w:ascii="Arial" w:eastAsia="Times New Roman" w:hAnsi="Arial" w:cs="Arial"/>
        </w:rPr>
      </w:pPr>
      <w:r w:rsidRPr="00292A2E">
        <w:rPr>
          <w:rFonts w:ascii="Arial" w:eastAsia="Times New Roman" w:hAnsi="Arial" w:cs="Arial"/>
        </w:rPr>
        <w:t>Ross, S.A., Westerfield, R.W</w:t>
      </w:r>
      <w:r w:rsidR="00292A2E" w:rsidRPr="00292A2E">
        <w:rPr>
          <w:rFonts w:ascii="Arial" w:eastAsia="Times New Roman" w:hAnsi="Arial" w:cs="Arial"/>
        </w:rPr>
        <w:t>.  &amp;</w:t>
      </w:r>
      <w:r w:rsidRPr="00292A2E">
        <w:rPr>
          <w:rFonts w:ascii="Arial" w:eastAsia="Times New Roman" w:hAnsi="Arial" w:cs="Arial"/>
        </w:rPr>
        <w:t xml:space="preserve"> Jordan, B.D., 2018. Fundamentals of Corporate Finance. 12th </w:t>
      </w:r>
      <w:r w:rsidR="00292A2E" w:rsidRPr="00292A2E">
        <w:rPr>
          <w:rFonts w:ascii="Arial" w:eastAsia="Times New Roman" w:hAnsi="Arial" w:cs="Arial"/>
        </w:rPr>
        <w:t>Ed</w:t>
      </w:r>
      <w:r w:rsidRPr="00292A2E">
        <w:rPr>
          <w:rFonts w:ascii="Arial" w:eastAsia="Times New Roman" w:hAnsi="Arial" w:cs="Arial"/>
        </w:rPr>
        <w:t>. New York: McGraw-Hill Education.</w:t>
      </w:r>
    </w:p>
    <w:p w14:paraId="619D914A" w14:textId="77777777" w:rsidR="00292A2E" w:rsidRPr="00292A2E" w:rsidRDefault="00292A2E" w:rsidP="00292A2E">
      <w:pPr>
        <w:pStyle w:val="ListParagraph"/>
        <w:spacing w:before="240" w:after="240" w:line="360" w:lineRule="auto"/>
        <w:rPr>
          <w:rFonts w:ascii="Arial" w:eastAsia="Times New Roman" w:hAnsi="Arial" w:cs="Arial"/>
        </w:rPr>
      </w:pPr>
    </w:p>
    <w:p w14:paraId="638B35D8" w14:textId="1FE209F5" w:rsidR="7021609D" w:rsidRDefault="7316866D" w:rsidP="00292A2E">
      <w:pPr>
        <w:pStyle w:val="ListParagraph"/>
        <w:spacing w:before="240" w:after="240" w:line="360" w:lineRule="auto"/>
        <w:rPr>
          <w:rFonts w:ascii="Arial" w:eastAsia="Times New Roman" w:hAnsi="Arial" w:cs="Arial"/>
        </w:rPr>
      </w:pPr>
      <w:r w:rsidRPr="00292A2E">
        <w:rPr>
          <w:rFonts w:ascii="Arial" w:eastAsia="Times New Roman" w:hAnsi="Arial" w:cs="Arial"/>
        </w:rPr>
        <w:t>Afrifa, G.A., 2018. Cash conversion cycle and corporate performance. Journal of Corporate Accounting &amp; Finance, 29(3), pp.59-76.</w:t>
      </w:r>
    </w:p>
    <w:p w14:paraId="74DBBBEA" w14:textId="77777777" w:rsidR="00292A2E" w:rsidRPr="00292A2E" w:rsidRDefault="00292A2E" w:rsidP="00292A2E">
      <w:pPr>
        <w:pStyle w:val="ListParagraph"/>
        <w:spacing w:before="240" w:after="240" w:line="360" w:lineRule="auto"/>
        <w:rPr>
          <w:rFonts w:ascii="Arial" w:eastAsia="Times New Roman" w:hAnsi="Arial" w:cs="Arial"/>
        </w:rPr>
      </w:pPr>
    </w:p>
    <w:p w14:paraId="63548CB9" w14:textId="49EA0099" w:rsidR="7021609D" w:rsidRDefault="7316866D" w:rsidP="00292A2E">
      <w:pPr>
        <w:pStyle w:val="ListParagraph"/>
        <w:spacing w:before="240" w:after="240" w:line="360" w:lineRule="auto"/>
        <w:rPr>
          <w:rFonts w:ascii="Arial" w:eastAsia="Times New Roman" w:hAnsi="Arial" w:cs="Arial"/>
        </w:rPr>
      </w:pPr>
      <w:r w:rsidRPr="00292A2E">
        <w:rPr>
          <w:rFonts w:ascii="Arial" w:eastAsia="Times New Roman" w:hAnsi="Arial" w:cs="Arial"/>
        </w:rPr>
        <w:t>Padachi, K., 2006. Trends in working capital management and its impact on firm’s performance: Evidence from Mauritius. International Review of Business Research Papers, 2(2), pp.45-58.</w:t>
      </w:r>
    </w:p>
    <w:p w14:paraId="2CC4FFC3" w14:textId="77777777" w:rsidR="00292A2E" w:rsidRPr="00292A2E" w:rsidRDefault="00292A2E" w:rsidP="00292A2E">
      <w:pPr>
        <w:pStyle w:val="ListParagraph"/>
        <w:spacing w:before="240" w:after="240" w:line="360" w:lineRule="auto"/>
        <w:rPr>
          <w:rFonts w:ascii="Arial" w:eastAsia="Times New Roman" w:hAnsi="Arial" w:cs="Arial"/>
        </w:rPr>
      </w:pPr>
    </w:p>
    <w:p w14:paraId="6C17EBC0" w14:textId="671618AC" w:rsidR="7021609D" w:rsidRPr="00292A2E" w:rsidRDefault="7316866D" w:rsidP="00292A2E">
      <w:pPr>
        <w:pStyle w:val="ListParagraph"/>
        <w:spacing w:before="240" w:after="240" w:line="360" w:lineRule="auto"/>
        <w:rPr>
          <w:rFonts w:ascii="Arial" w:eastAsia="Times New Roman" w:hAnsi="Arial" w:cs="Arial"/>
        </w:rPr>
      </w:pPr>
      <w:r w:rsidRPr="00292A2E">
        <w:rPr>
          <w:rFonts w:ascii="Arial" w:eastAsia="Times New Roman" w:hAnsi="Arial" w:cs="Arial"/>
        </w:rPr>
        <w:t>Baños-Caballero, S., García-Teruel, P.J. &amp; Martínez-Solano, P., 2010. Working capital management, corporate performance, and financial constraints. Journal of Business Research, 63(3), pp.332-338.</w:t>
      </w:r>
    </w:p>
    <w:p w14:paraId="11AFC38D" w14:textId="118F6662" w:rsidR="7021609D" w:rsidRDefault="7021609D" w:rsidP="79227FA8"/>
    <w:p w14:paraId="2F34EEBA" w14:textId="77777777" w:rsidR="001C0AA6" w:rsidRDefault="001C0AA6" w:rsidP="79227FA8"/>
    <w:p w14:paraId="1CB732EF" w14:textId="77777777" w:rsidR="001C0AA6" w:rsidRDefault="001C0AA6" w:rsidP="79227FA8"/>
    <w:p w14:paraId="3B29BABD" w14:textId="77777777" w:rsidR="001C0AA6" w:rsidRDefault="001C0AA6" w:rsidP="79227FA8"/>
    <w:p w14:paraId="4AEDBC2D" w14:textId="77777777" w:rsidR="001C0AA6" w:rsidRDefault="001C0AA6" w:rsidP="79227FA8"/>
    <w:p w14:paraId="1D58EA2F" w14:textId="77777777" w:rsidR="001C0AA6" w:rsidRDefault="001C0AA6" w:rsidP="79227FA8"/>
    <w:p w14:paraId="771CCCC3" w14:textId="77777777" w:rsidR="001C0AA6" w:rsidRDefault="001C0AA6" w:rsidP="79227FA8"/>
    <w:p w14:paraId="26E83DD1" w14:textId="77777777" w:rsidR="001C0AA6" w:rsidRDefault="001C0AA6" w:rsidP="79227FA8"/>
    <w:p w14:paraId="369840D6" w14:textId="77777777" w:rsidR="001C0AA6" w:rsidRDefault="001C0AA6" w:rsidP="79227FA8"/>
    <w:p w14:paraId="09FC1747" w14:textId="77777777" w:rsidR="001C0AA6" w:rsidRDefault="001C0AA6" w:rsidP="79227FA8"/>
    <w:p w14:paraId="61749F6E" w14:textId="77777777" w:rsidR="00292A2E" w:rsidRDefault="00292A2E" w:rsidP="79227FA8"/>
    <w:p w14:paraId="52151D85" w14:textId="77777777" w:rsidR="00292A2E" w:rsidRDefault="00292A2E" w:rsidP="79227FA8"/>
    <w:p w14:paraId="0F1A5A00" w14:textId="77777777" w:rsidR="00292A2E" w:rsidRDefault="00292A2E" w:rsidP="79227FA8"/>
    <w:p w14:paraId="00FB6DF2" w14:textId="77777777" w:rsidR="00292A2E" w:rsidRDefault="00292A2E" w:rsidP="79227FA8"/>
    <w:p w14:paraId="48B59C61" w14:textId="77777777" w:rsidR="00292A2E" w:rsidRDefault="00292A2E" w:rsidP="79227FA8"/>
    <w:p w14:paraId="7A3D094E" w14:textId="77777777" w:rsidR="00292A2E" w:rsidRDefault="00292A2E" w:rsidP="79227FA8"/>
    <w:p w14:paraId="129AF95D" w14:textId="77777777" w:rsidR="00292A2E" w:rsidRDefault="00292A2E" w:rsidP="79227FA8"/>
    <w:p w14:paraId="5E5D1A5B" w14:textId="77777777" w:rsidR="00292A2E" w:rsidRDefault="00292A2E" w:rsidP="79227FA8"/>
    <w:p w14:paraId="34C91064" w14:textId="77777777" w:rsidR="00292A2E" w:rsidRDefault="00292A2E" w:rsidP="79227FA8"/>
    <w:p w14:paraId="2715C7DA" w14:textId="77777777" w:rsidR="001C0AA6" w:rsidRDefault="001C0AA6" w:rsidP="79227FA8"/>
    <w:p w14:paraId="36464D2E" w14:textId="69D974F0" w:rsidR="7021609D" w:rsidRDefault="18C43C57" w:rsidP="79227FA8">
      <w:pPr>
        <w:pStyle w:val="Heading3"/>
        <w:spacing w:before="240" w:after="240"/>
        <w:rPr>
          <w:rFonts w:ascii="Times New Roman" w:eastAsia="Times New Roman" w:hAnsi="Times New Roman" w:cs="Times New Roman"/>
          <w:b/>
          <w:bCs/>
          <w:color w:val="auto"/>
          <w:sz w:val="24"/>
          <w:szCs w:val="24"/>
        </w:rPr>
      </w:pPr>
      <w:bookmarkStart w:id="64" w:name="_Toc1331028320"/>
      <w:r w:rsidRPr="79227FA8">
        <w:rPr>
          <w:rFonts w:ascii="Times New Roman" w:eastAsia="Times New Roman" w:hAnsi="Times New Roman" w:cs="Times New Roman"/>
          <w:b/>
          <w:bCs/>
          <w:color w:val="auto"/>
          <w:sz w:val="24"/>
          <w:szCs w:val="24"/>
        </w:rPr>
        <w:t>A</w:t>
      </w:r>
      <w:r w:rsidR="05EA4BB2" w:rsidRPr="79227FA8">
        <w:rPr>
          <w:rFonts w:ascii="Times New Roman" w:eastAsia="Times New Roman" w:hAnsi="Times New Roman" w:cs="Times New Roman"/>
          <w:b/>
          <w:bCs/>
          <w:color w:val="auto"/>
          <w:sz w:val="24"/>
          <w:szCs w:val="24"/>
        </w:rPr>
        <w:t>PPENDICES</w:t>
      </w:r>
      <w:bookmarkEnd w:id="64"/>
    </w:p>
    <w:p w14:paraId="677571B5" w14:textId="3052971E" w:rsidR="528FFCA9" w:rsidRDefault="528FFCA9" w:rsidP="79227FA8">
      <w:pPr>
        <w:jc w:val="center"/>
        <w:rPr>
          <w:rFonts w:ascii="Times New Roman" w:eastAsia="Times New Roman" w:hAnsi="Times New Roman" w:cs="Times New Roman"/>
          <w:b/>
          <w:bCs/>
          <w:i/>
          <w:iCs/>
        </w:rPr>
      </w:pPr>
      <w:r w:rsidRPr="79227FA8">
        <w:rPr>
          <w:rFonts w:ascii="Times New Roman" w:eastAsia="Times New Roman" w:hAnsi="Times New Roman" w:cs="Times New Roman"/>
          <w:b/>
          <w:bCs/>
          <w:i/>
          <w:iCs/>
        </w:rPr>
        <w:t>Appendix A: Financial Performance trend (2020-2024)</w:t>
      </w:r>
    </w:p>
    <w:p w14:paraId="68BE42BF" w14:textId="46466EA8" w:rsidR="7021609D" w:rsidRDefault="18C43C57" w:rsidP="3BC40808">
      <w:pPr>
        <w:spacing w:before="240" w:after="240"/>
      </w:pPr>
      <w:r>
        <w:rPr>
          <w:noProof/>
          <w:lang w:val="en-IN" w:eastAsia="en-IN"/>
        </w:rPr>
        <w:drawing>
          <wp:inline distT="0" distB="0" distL="0" distR="0" wp14:anchorId="444A29F7" wp14:editId="46B3457B">
            <wp:extent cx="5943600" cy="3409985"/>
            <wp:effectExtent l="0" t="0" r="0" b="0"/>
            <wp:docPr id="16444844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484475" name=""/>
                    <pic:cNvPicPr/>
                  </pic:nvPicPr>
                  <pic:blipFill>
                    <a:blip r:embed="rId9">
                      <a:extLst>
                        <a:ext uri="{28A0092B-C50C-407E-A947-70E740481C1C}">
                          <a14:useLocalDpi xmlns:a14="http://schemas.microsoft.com/office/drawing/2010/main"/>
                        </a:ext>
                      </a:extLst>
                    </a:blip>
                    <a:stretch>
                      <a:fillRect/>
                    </a:stretch>
                  </pic:blipFill>
                  <pic:spPr>
                    <a:xfrm>
                      <a:off x="0" y="0"/>
                      <a:ext cx="5943600" cy="3409985"/>
                    </a:xfrm>
                    <a:prstGeom prst="rect">
                      <a:avLst/>
                    </a:prstGeom>
                  </pic:spPr>
                </pic:pic>
              </a:graphicData>
            </a:graphic>
          </wp:inline>
        </w:drawing>
      </w:r>
    </w:p>
    <w:p w14:paraId="40B9D40B" w14:textId="091FB2F7" w:rsidR="76812036" w:rsidRDefault="76812036" w:rsidP="79227FA8">
      <w:pPr>
        <w:jc w:val="center"/>
        <w:rPr>
          <w:rFonts w:ascii="Times New Roman" w:eastAsia="Times New Roman" w:hAnsi="Times New Roman" w:cs="Times New Roman"/>
          <w:b/>
          <w:bCs/>
          <w:i/>
          <w:iCs/>
        </w:rPr>
      </w:pPr>
      <w:r w:rsidRPr="79227FA8">
        <w:rPr>
          <w:rFonts w:ascii="Times New Roman" w:eastAsia="Times New Roman" w:hAnsi="Times New Roman" w:cs="Times New Roman"/>
          <w:b/>
          <w:bCs/>
          <w:i/>
          <w:iCs/>
        </w:rPr>
        <w:t xml:space="preserve">Appendix B: Working </w:t>
      </w:r>
      <w:r w:rsidR="7BC2717C" w:rsidRPr="79227FA8">
        <w:rPr>
          <w:rFonts w:ascii="Times New Roman" w:eastAsia="Times New Roman" w:hAnsi="Times New Roman" w:cs="Times New Roman"/>
          <w:b/>
          <w:bCs/>
          <w:i/>
          <w:iCs/>
        </w:rPr>
        <w:t>Capital (</w:t>
      </w:r>
      <w:r w:rsidRPr="79227FA8">
        <w:rPr>
          <w:rFonts w:ascii="Times New Roman" w:eastAsia="Times New Roman" w:hAnsi="Times New Roman" w:cs="Times New Roman"/>
          <w:b/>
          <w:bCs/>
          <w:i/>
          <w:iCs/>
        </w:rPr>
        <w:t>2020-2024)</w:t>
      </w:r>
    </w:p>
    <w:p w14:paraId="5DAB1BE6" w14:textId="314293F5" w:rsidR="18C43C57" w:rsidRDefault="18C43C57" w:rsidP="79227FA8">
      <w:pPr>
        <w:jc w:val="center"/>
        <w:rPr>
          <w:rFonts w:ascii="Times New Roman" w:eastAsia="Times New Roman" w:hAnsi="Times New Roman" w:cs="Times New Roman"/>
          <w:b/>
          <w:bCs/>
          <w:i/>
          <w:iCs/>
        </w:rPr>
      </w:pPr>
      <w:r>
        <w:rPr>
          <w:noProof/>
          <w:lang w:val="en-IN" w:eastAsia="en-IN"/>
        </w:rPr>
        <w:lastRenderedPageBreak/>
        <w:drawing>
          <wp:inline distT="0" distB="0" distL="0" distR="0" wp14:anchorId="6DF23E9A" wp14:editId="5E22A301">
            <wp:extent cx="5943600" cy="3409985"/>
            <wp:effectExtent l="0" t="0" r="0" b="0"/>
            <wp:docPr id="11263460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346085" name=""/>
                    <pic:cNvPicPr/>
                  </pic:nvPicPr>
                  <pic:blipFill>
                    <a:blip r:embed="rId10">
                      <a:extLst>
                        <a:ext uri="{28A0092B-C50C-407E-A947-70E740481C1C}">
                          <a14:useLocalDpi xmlns:a14="http://schemas.microsoft.com/office/drawing/2010/main"/>
                        </a:ext>
                      </a:extLst>
                    </a:blip>
                    <a:stretch>
                      <a:fillRect/>
                    </a:stretch>
                  </pic:blipFill>
                  <pic:spPr>
                    <a:xfrm>
                      <a:off x="0" y="0"/>
                      <a:ext cx="5943600" cy="3409985"/>
                    </a:xfrm>
                    <a:prstGeom prst="rect">
                      <a:avLst/>
                    </a:prstGeom>
                  </pic:spPr>
                </pic:pic>
              </a:graphicData>
            </a:graphic>
          </wp:inline>
        </w:drawing>
      </w:r>
      <w:r w:rsidR="505CEF4B" w:rsidRPr="79227FA8">
        <w:rPr>
          <w:rFonts w:ascii="Times New Roman" w:eastAsia="Times New Roman" w:hAnsi="Times New Roman" w:cs="Times New Roman"/>
          <w:b/>
          <w:bCs/>
          <w:i/>
          <w:iCs/>
        </w:rPr>
        <w:t>Appendix C: Profitability Ratios (2020-2024)</w:t>
      </w:r>
    </w:p>
    <w:p w14:paraId="3C5083AC" w14:textId="627A38A0" w:rsidR="7021609D" w:rsidRDefault="18C43C57" w:rsidP="3BC40808">
      <w:r>
        <w:rPr>
          <w:noProof/>
          <w:lang w:val="en-IN" w:eastAsia="en-IN"/>
        </w:rPr>
        <w:drawing>
          <wp:inline distT="0" distB="0" distL="0" distR="0" wp14:anchorId="223D4BF3" wp14:editId="39EF5465">
            <wp:extent cx="5943600" cy="3543335"/>
            <wp:effectExtent l="0" t="0" r="0" b="0"/>
            <wp:docPr id="10409760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976085" name=""/>
                    <pic:cNvPicPr/>
                  </pic:nvPicPr>
                  <pic:blipFill>
                    <a:blip r:embed="rId11">
                      <a:extLst>
                        <a:ext uri="{28A0092B-C50C-407E-A947-70E740481C1C}">
                          <a14:useLocalDpi xmlns:a14="http://schemas.microsoft.com/office/drawing/2010/main"/>
                        </a:ext>
                      </a:extLst>
                    </a:blip>
                    <a:stretch>
                      <a:fillRect/>
                    </a:stretch>
                  </pic:blipFill>
                  <pic:spPr>
                    <a:xfrm>
                      <a:off x="0" y="0"/>
                      <a:ext cx="5943600" cy="3543335"/>
                    </a:xfrm>
                    <a:prstGeom prst="rect">
                      <a:avLst/>
                    </a:prstGeom>
                  </pic:spPr>
                </pic:pic>
              </a:graphicData>
            </a:graphic>
          </wp:inline>
        </w:drawing>
      </w:r>
    </w:p>
    <w:p w14:paraId="60CAE68D" w14:textId="01FEE928" w:rsidR="5A77A7EC" w:rsidRDefault="5A77A7EC" w:rsidP="79227FA8">
      <w:pPr>
        <w:jc w:val="center"/>
        <w:rPr>
          <w:rFonts w:ascii="Times New Roman" w:eastAsia="Times New Roman" w:hAnsi="Times New Roman" w:cs="Times New Roman"/>
          <w:b/>
          <w:bCs/>
          <w:i/>
          <w:iCs/>
        </w:rPr>
      </w:pPr>
      <w:r w:rsidRPr="79227FA8">
        <w:rPr>
          <w:rFonts w:ascii="Times New Roman" w:eastAsia="Times New Roman" w:hAnsi="Times New Roman" w:cs="Times New Roman"/>
          <w:b/>
          <w:bCs/>
          <w:i/>
          <w:iCs/>
        </w:rPr>
        <w:t>Appendix D: Liquidity Ratios (2020-2024)</w:t>
      </w:r>
    </w:p>
    <w:p w14:paraId="62CB9737" w14:textId="484FAAC0" w:rsidR="18C43C57" w:rsidRDefault="18C43C57" w:rsidP="79227FA8">
      <w:pPr>
        <w:jc w:val="center"/>
        <w:rPr>
          <w:rFonts w:ascii="Times New Roman" w:eastAsia="Times New Roman" w:hAnsi="Times New Roman" w:cs="Times New Roman"/>
          <w:b/>
          <w:bCs/>
          <w:i/>
          <w:iCs/>
        </w:rPr>
      </w:pPr>
      <w:r>
        <w:rPr>
          <w:noProof/>
          <w:lang w:val="en-IN" w:eastAsia="en-IN"/>
        </w:rPr>
        <w:lastRenderedPageBreak/>
        <w:drawing>
          <wp:inline distT="0" distB="0" distL="0" distR="0" wp14:anchorId="6F1BE4BD" wp14:editId="530D281C">
            <wp:extent cx="5943600" cy="3590947"/>
            <wp:effectExtent l="0" t="0" r="0" b="0"/>
            <wp:docPr id="7759260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926042" name=""/>
                    <pic:cNvPicPr/>
                  </pic:nvPicPr>
                  <pic:blipFill>
                    <a:blip r:embed="rId12">
                      <a:extLst>
                        <a:ext uri="{28A0092B-C50C-407E-A947-70E740481C1C}">
                          <a14:useLocalDpi xmlns:a14="http://schemas.microsoft.com/office/drawing/2010/main"/>
                        </a:ext>
                      </a:extLst>
                    </a:blip>
                    <a:stretch>
                      <a:fillRect/>
                    </a:stretch>
                  </pic:blipFill>
                  <pic:spPr>
                    <a:xfrm>
                      <a:off x="0" y="0"/>
                      <a:ext cx="5943600" cy="3590947"/>
                    </a:xfrm>
                    <a:prstGeom prst="rect">
                      <a:avLst/>
                    </a:prstGeom>
                  </pic:spPr>
                </pic:pic>
              </a:graphicData>
            </a:graphic>
          </wp:inline>
        </w:drawing>
      </w:r>
      <w:r w:rsidR="2A480701" w:rsidRPr="79227FA8">
        <w:rPr>
          <w:rFonts w:ascii="Times New Roman" w:eastAsia="Times New Roman" w:hAnsi="Times New Roman" w:cs="Times New Roman"/>
          <w:b/>
          <w:bCs/>
          <w:i/>
          <w:iCs/>
        </w:rPr>
        <w:t>Appendix E: Leverage Ratio (2020-2024)</w:t>
      </w:r>
    </w:p>
    <w:p w14:paraId="79D3286E" w14:textId="471934CC" w:rsidR="79227FA8" w:rsidRDefault="79227FA8" w:rsidP="79227FA8"/>
    <w:p w14:paraId="66FD00C8" w14:textId="557C9BCB" w:rsidR="7021609D" w:rsidRDefault="18C43C57" w:rsidP="3BC40808">
      <w:r>
        <w:rPr>
          <w:noProof/>
          <w:lang w:val="en-IN" w:eastAsia="en-IN"/>
        </w:rPr>
        <w:drawing>
          <wp:inline distT="0" distB="0" distL="0" distR="0" wp14:anchorId="2EFDBC01" wp14:editId="6478B87B">
            <wp:extent cx="5943600" cy="3619532"/>
            <wp:effectExtent l="0" t="0" r="0" b="0"/>
            <wp:docPr id="18492863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286336" name=""/>
                    <pic:cNvPicPr/>
                  </pic:nvPicPr>
                  <pic:blipFill>
                    <a:blip r:embed="rId13">
                      <a:extLst>
                        <a:ext uri="{28A0092B-C50C-407E-A947-70E740481C1C}">
                          <a14:useLocalDpi xmlns:a14="http://schemas.microsoft.com/office/drawing/2010/main"/>
                        </a:ext>
                      </a:extLst>
                    </a:blip>
                    <a:stretch>
                      <a:fillRect/>
                    </a:stretch>
                  </pic:blipFill>
                  <pic:spPr>
                    <a:xfrm>
                      <a:off x="0" y="0"/>
                      <a:ext cx="5943600" cy="3619532"/>
                    </a:xfrm>
                    <a:prstGeom prst="rect">
                      <a:avLst/>
                    </a:prstGeom>
                  </pic:spPr>
                </pic:pic>
              </a:graphicData>
            </a:graphic>
          </wp:inline>
        </w:drawing>
      </w:r>
    </w:p>
    <w:p w14:paraId="21F01E8C" w14:textId="03E37B5E" w:rsidR="04377F38" w:rsidRDefault="04377F38" w:rsidP="79227FA8">
      <w:pPr>
        <w:jc w:val="center"/>
        <w:rPr>
          <w:rFonts w:ascii="Times New Roman" w:eastAsia="Times New Roman" w:hAnsi="Times New Roman" w:cs="Times New Roman"/>
          <w:b/>
          <w:bCs/>
          <w:i/>
          <w:iCs/>
        </w:rPr>
      </w:pPr>
      <w:r w:rsidRPr="79227FA8">
        <w:rPr>
          <w:rFonts w:ascii="Times New Roman" w:eastAsia="Times New Roman" w:hAnsi="Times New Roman" w:cs="Times New Roman"/>
          <w:b/>
          <w:bCs/>
          <w:i/>
          <w:iCs/>
        </w:rPr>
        <w:t>Appendix F: Efficiency Ratios (2020-2024)</w:t>
      </w:r>
    </w:p>
    <w:p w14:paraId="010EC7C5" w14:textId="1AB3AC7D" w:rsidR="79227FA8" w:rsidRDefault="79227FA8" w:rsidP="79227FA8"/>
    <w:p w14:paraId="250E004D" w14:textId="10651325" w:rsidR="7021609D" w:rsidRDefault="18C43C57" w:rsidP="3BC40808">
      <w:r>
        <w:rPr>
          <w:noProof/>
          <w:lang w:val="en-IN" w:eastAsia="en-IN"/>
        </w:rPr>
        <w:drawing>
          <wp:inline distT="0" distB="0" distL="0" distR="0" wp14:anchorId="5ACE96F7" wp14:editId="63F39E04">
            <wp:extent cx="5943600" cy="3610004"/>
            <wp:effectExtent l="0" t="0" r="0" b="0"/>
            <wp:docPr id="15249910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991061" name=""/>
                    <pic:cNvPicPr/>
                  </pic:nvPicPr>
                  <pic:blipFill>
                    <a:blip r:embed="rId14">
                      <a:extLst>
                        <a:ext uri="{28A0092B-C50C-407E-A947-70E740481C1C}">
                          <a14:useLocalDpi xmlns:a14="http://schemas.microsoft.com/office/drawing/2010/main"/>
                        </a:ext>
                      </a:extLst>
                    </a:blip>
                    <a:stretch>
                      <a:fillRect/>
                    </a:stretch>
                  </pic:blipFill>
                  <pic:spPr>
                    <a:xfrm>
                      <a:off x="0" y="0"/>
                      <a:ext cx="5943600" cy="3610004"/>
                    </a:xfrm>
                    <a:prstGeom prst="rect">
                      <a:avLst/>
                    </a:prstGeom>
                  </pic:spPr>
                </pic:pic>
              </a:graphicData>
            </a:graphic>
          </wp:inline>
        </w:drawing>
      </w:r>
    </w:p>
    <w:p w14:paraId="7F210688" w14:textId="117B61A4" w:rsidR="79227FA8" w:rsidRDefault="79227FA8" w:rsidP="79227FA8"/>
    <w:sectPr w:rsidR="79227FA8" w:rsidSect="00627911">
      <w:footerReference w:type="default" r:id="rId15"/>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672730" w14:textId="77777777" w:rsidR="00502682" w:rsidRDefault="00502682" w:rsidP="001C0AA6">
      <w:pPr>
        <w:spacing w:after="0" w:line="240" w:lineRule="auto"/>
      </w:pPr>
      <w:r>
        <w:separator/>
      </w:r>
    </w:p>
  </w:endnote>
  <w:endnote w:type="continuationSeparator" w:id="0">
    <w:p w14:paraId="3EB98248" w14:textId="77777777" w:rsidR="00502682" w:rsidRDefault="00502682" w:rsidP="001C0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stem-ui">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5670330"/>
      <w:docPartObj>
        <w:docPartGallery w:val="Page Numbers (Bottom of Page)"/>
        <w:docPartUnique/>
      </w:docPartObj>
    </w:sdtPr>
    <w:sdtEndPr>
      <w:rPr>
        <w:noProof/>
      </w:rPr>
    </w:sdtEndPr>
    <w:sdtContent>
      <w:p w14:paraId="32E0A06E" w14:textId="740C77E3" w:rsidR="00627911" w:rsidRDefault="00627911">
        <w:pPr>
          <w:pStyle w:val="Footer"/>
          <w:jc w:val="right"/>
        </w:pPr>
        <w:r>
          <w:fldChar w:fldCharType="begin"/>
        </w:r>
        <w:r>
          <w:instrText xml:space="preserve"> PAGE   \* MERGEFORMAT </w:instrText>
        </w:r>
        <w:r>
          <w:fldChar w:fldCharType="separate"/>
        </w:r>
        <w:r w:rsidR="00292A2E">
          <w:rPr>
            <w:noProof/>
          </w:rPr>
          <w:t>20</w:t>
        </w:r>
        <w:r>
          <w:rPr>
            <w:noProof/>
          </w:rPr>
          <w:fldChar w:fldCharType="end"/>
        </w:r>
      </w:p>
    </w:sdtContent>
  </w:sdt>
  <w:p w14:paraId="3AB7932A" w14:textId="77777777" w:rsidR="001C0AA6" w:rsidRDefault="001C0A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B8575C" w14:textId="77777777" w:rsidR="00502682" w:rsidRDefault="00502682" w:rsidP="001C0AA6">
      <w:pPr>
        <w:spacing w:after="0" w:line="240" w:lineRule="auto"/>
      </w:pPr>
      <w:r>
        <w:separator/>
      </w:r>
    </w:p>
  </w:footnote>
  <w:footnote w:type="continuationSeparator" w:id="0">
    <w:p w14:paraId="4F2D4D35" w14:textId="77777777" w:rsidR="00502682" w:rsidRDefault="00502682" w:rsidP="001C0A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D80CA5"/>
    <w:multiLevelType w:val="hybridMultilevel"/>
    <w:tmpl w:val="BFE664F2"/>
    <w:lvl w:ilvl="0" w:tplc="261AFC2C">
      <w:start w:val="1"/>
      <w:numFmt w:val="decimal"/>
      <w:lvlText w:val="%1."/>
      <w:lvlJc w:val="left"/>
      <w:pPr>
        <w:ind w:left="720" w:hanging="360"/>
      </w:pPr>
    </w:lvl>
    <w:lvl w:ilvl="1" w:tplc="AE36D5FE">
      <w:start w:val="1"/>
      <w:numFmt w:val="lowerLetter"/>
      <w:lvlText w:val="%2."/>
      <w:lvlJc w:val="left"/>
      <w:pPr>
        <w:ind w:left="1440" w:hanging="360"/>
      </w:pPr>
    </w:lvl>
    <w:lvl w:ilvl="2" w:tplc="1A0C8D82">
      <w:start w:val="1"/>
      <w:numFmt w:val="lowerRoman"/>
      <w:lvlText w:val="%3."/>
      <w:lvlJc w:val="right"/>
      <w:pPr>
        <w:ind w:left="2160" w:hanging="180"/>
      </w:pPr>
    </w:lvl>
    <w:lvl w:ilvl="3" w:tplc="4B624282">
      <w:start w:val="1"/>
      <w:numFmt w:val="decimal"/>
      <w:lvlText w:val="%4."/>
      <w:lvlJc w:val="left"/>
      <w:pPr>
        <w:ind w:left="2880" w:hanging="360"/>
      </w:pPr>
    </w:lvl>
    <w:lvl w:ilvl="4" w:tplc="FA2626A8">
      <w:start w:val="1"/>
      <w:numFmt w:val="lowerLetter"/>
      <w:lvlText w:val="%5."/>
      <w:lvlJc w:val="left"/>
      <w:pPr>
        <w:ind w:left="3600" w:hanging="360"/>
      </w:pPr>
    </w:lvl>
    <w:lvl w:ilvl="5" w:tplc="558C5A02">
      <w:start w:val="1"/>
      <w:numFmt w:val="lowerRoman"/>
      <w:lvlText w:val="%6."/>
      <w:lvlJc w:val="right"/>
      <w:pPr>
        <w:ind w:left="4320" w:hanging="180"/>
      </w:pPr>
    </w:lvl>
    <w:lvl w:ilvl="6" w:tplc="65000F68">
      <w:start w:val="1"/>
      <w:numFmt w:val="decimal"/>
      <w:lvlText w:val="%7."/>
      <w:lvlJc w:val="left"/>
      <w:pPr>
        <w:ind w:left="5040" w:hanging="360"/>
      </w:pPr>
    </w:lvl>
    <w:lvl w:ilvl="7" w:tplc="62DC295A">
      <w:start w:val="1"/>
      <w:numFmt w:val="lowerLetter"/>
      <w:lvlText w:val="%8."/>
      <w:lvlJc w:val="left"/>
      <w:pPr>
        <w:ind w:left="5760" w:hanging="360"/>
      </w:pPr>
    </w:lvl>
    <w:lvl w:ilvl="8" w:tplc="A84874FC">
      <w:start w:val="1"/>
      <w:numFmt w:val="lowerRoman"/>
      <w:lvlText w:val="%9."/>
      <w:lvlJc w:val="right"/>
      <w:pPr>
        <w:ind w:left="6480" w:hanging="180"/>
      </w:pPr>
    </w:lvl>
  </w:abstractNum>
  <w:abstractNum w:abstractNumId="1">
    <w:nsid w:val="12DD7A6A"/>
    <w:multiLevelType w:val="hybridMultilevel"/>
    <w:tmpl w:val="BC269F4A"/>
    <w:lvl w:ilvl="0" w:tplc="808E25F4">
      <w:start w:val="1"/>
      <w:numFmt w:val="bullet"/>
      <w:lvlText w:val=""/>
      <w:lvlJc w:val="left"/>
      <w:pPr>
        <w:ind w:left="720" w:hanging="360"/>
      </w:pPr>
      <w:rPr>
        <w:rFonts w:ascii="Symbol" w:hAnsi="Symbol" w:hint="default"/>
      </w:rPr>
    </w:lvl>
    <w:lvl w:ilvl="1" w:tplc="6EA2A0D6">
      <w:start w:val="1"/>
      <w:numFmt w:val="bullet"/>
      <w:lvlText w:val="o"/>
      <w:lvlJc w:val="left"/>
      <w:pPr>
        <w:ind w:left="1440" w:hanging="360"/>
      </w:pPr>
      <w:rPr>
        <w:rFonts w:ascii="Courier New" w:hAnsi="Courier New" w:hint="default"/>
      </w:rPr>
    </w:lvl>
    <w:lvl w:ilvl="2" w:tplc="D05E3B74">
      <w:start w:val="1"/>
      <w:numFmt w:val="bullet"/>
      <w:lvlText w:val=""/>
      <w:lvlJc w:val="left"/>
      <w:pPr>
        <w:ind w:left="2160" w:hanging="360"/>
      </w:pPr>
      <w:rPr>
        <w:rFonts w:ascii="Wingdings" w:hAnsi="Wingdings" w:hint="default"/>
      </w:rPr>
    </w:lvl>
    <w:lvl w:ilvl="3" w:tplc="4126C4AC">
      <w:start w:val="1"/>
      <w:numFmt w:val="bullet"/>
      <w:lvlText w:val=""/>
      <w:lvlJc w:val="left"/>
      <w:pPr>
        <w:ind w:left="2880" w:hanging="360"/>
      </w:pPr>
      <w:rPr>
        <w:rFonts w:ascii="Symbol" w:hAnsi="Symbol" w:hint="default"/>
      </w:rPr>
    </w:lvl>
    <w:lvl w:ilvl="4" w:tplc="8EA4B9AE">
      <w:start w:val="1"/>
      <w:numFmt w:val="bullet"/>
      <w:lvlText w:val="o"/>
      <w:lvlJc w:val="left"/>
      <w:pPr>
        <w:ind w:left="3600" w:hanging="360"/>
      </w:pPr>
      <w:rPr>
        <w:rFonts w:ascii="Courier New" w:hAnsi="Courier New" w:hint="default"/>
      </w:rPr>
    </w:lvl>
    <w:lvl w:ilvl="5" w:tplc="DACC4C02">
      <w:start w:val="1"/>
      <w:numFmt w:val="bullet"/>
      <w:lvlText w:val=""/>
      <w:lvlJc w:val="left"/>
      <w:pPr>
        <w:ind w:left="4320" w:hanging="360"/>
      </w:pPr>
      <w:rPr>
        <w:rFonts w:ascii="Wingdings" w:hAnsi="Wingdings" w:hint="default"/>
      </w:rPr>
    </w:lvl>
    <w:lvl w:ilvl="6" w:tplc="708AFC1A">
      <w:start w:val="1"/>
      <w:numFmt w:val="bullet"/>
      <w:lvlText w:val=""/>
      <w:lvlJc w:val="left"/>
      <w:pPr>
        <w:ind w:left="5040" w:hanging="360"/>
      </w:pPr>
      <w:rPr>
        <w:rFonts w:ascii="Symbol" w:hAnsi="Symbol" w:hint="default"/>
      </w:rPr>
    </w:lvl>
    <w:lvl w:ilvl="7" w:tplc="0E726688">
      <w:start w:val="1"/>
      <w:numFmt w:val="bullet"/>
      <w:lvlText w:val="o"/>
      <w:lvlJc w:val="left"/>
      <w:pPr>
        <w:ind w:left="5760" w:hanging="360"/>
      </w:pPr>
      <w:rPr>
        <w:rFonts w:ascii="Courier New" w:hAnsi="Courier New" w:hint="default"/>
      </w:rPr>
    </w:lvl>
    <w:lvl w:ilvl="8" w:tplc="C56A0DCE">
      <w:start w:val="1"/>
      <w:numFmt w:val="bullet"/>
      <w:lvlText w:val=""/>
      <w:lvlJc w:val="left"/>
      <w:pPr>
        <w:ind w:left="6480" w:hanging="360"/>
      </w:pPr>
      <w:rPr>
        <w:rFonts w:ascii="Wingdings" w:hAnsi="Wingdings" w:hint="default"/>
      </w:rPr>
    </w:lvl>
  </w:abstractNum>
  <w:abstractNum w:abstractNumId="2">
    <w:nsid w:val="17FA78C2"/>
    <w:multiLevelType w:val="hybridMultilevel"/>
    <w:tmpl w:val="654A3076"/>
    <w:lvl w:ilvl="0" w:tplc="9A3C87A0">
      <w:start w:val="1"/>
      <w:numFmt w:val="decimal"/>
      <w:lvlText w:val="%1."/>
      <w:lvlJc w:val="left"/>
      <w:pPr>
        <w:ind w:left="720" w:hanging="360"/>
      </w:pPr>
    </w:lvl>
    <w:lvl w:ilvl="1" w:tplc="73FE329E">
      <w:start w:val="1"/>
      <w:numFmt w:val="lowerLetter"/>
      <w:lvlText w:val="%2."/>
      <w:lvlJc w:val="left"/>
      <w:pPr>
        <w:ind w:left="1440" w:hanging="360"/>
      </w:pPr>
    </w:lvl>
    <w:lvl w:ilvl="2" w:tplc="2F7E49D4">
      <w:start w:val="1"/>
      <w:numFmt w:val="lowerRoman"/>
      <w:lvlText w:val="%3."/>
      <w:lvlJc w:val="right"/>
      <w:pPr>
        <w:ind w:left="2160" w:hanging="180"/>
      </w:pPr>
    </w:lvl>
    <w:lvl w:ilvl="3" w:tplc="AEFA45E6">
      <w:start w:val="1"/>
      <w:numFmt w:val="decimal"/>
      <w:lvlText w:val="%4."/>
      <w:lvlJc w:val="left"/>
      <w:pPr>
        <w:ind w:left="2880" w:hanging="360"/>
      </w:pPr>
    </w:lvl>
    <w:lvl w:ilvl="4" w:tplc="144C24CC">
      <w:start w:val="1"/>
      <w:numFmt w:val="lowerLetter"/>
      <w:lvlText w:val="%5."/>
      <w:lvlJc w:val="left"/>
      <w:pPr>
        <w:ind w:left="3600" w:hanging="360"/>
      </w:pPr>
    </w:lvl>
    <w:lvl w:ilvl="5" w:tplc="0E505E98">
      <w:start w:val="1"/>
      <w:numFmt w:val="lowerRoman"/>
      <w:lvlText w:val="%6."/>
      <w:lvlJc w:val="right"/>
      <w:pPr>
        <w:ind w:left="4320" w:hanging="180"/>
      </w:pPr>
    </w:lvl>
    <w:lvl w:ilvl="6" w:tplc="759E9C9A">
      <w:start w:val="1"/>
      <w:numFmt w:val="decimal"/>
      <w:lvlText w:val="%7."/>
      <w:lvlJc w:val="left"/>
      <w:pPr>
        <w:ind w:left="5040" w:hanging="360"/>
      </w:pPr>
    </w:lvl>
    <w:lvl w:ilvl="7" w:tplc="5356A186">
      <w:start w:val="1"/>
      <w:numFmt w:val="lowerLetter"/>
      <w:lvlText w:val="%8."/>
      <w:lvlJc w:val="left"/>
      <w:pPr>
        <w:ind w:left="5760" w:hanging="360"/>
      </w:pPr>
    </w:lvl>
    <w:lvl w:ilvl="8" w:tplc="3FF64D0C">
      <w:start w:val="1"/>
      <w:numFmt w:val="lowerRoman"/>
      <w:lvlText w:val="%9."/>
      <w:lvlJc w:val="right"/>
      <w:pPr>
        <w:ind w:left="6480" w:hanging="180"/>
      </w:pPr>
    </w:lvl>
  </w:abstractNum>
  <w:abstractNum w:abstractNumId="3">
    <w:nsid w:val="19CA3F3B"/>
    <w:multiLevelType w:val="hybridMultilevel"/>
    <w:tmpl w:val="E808F9C8"/>
    <w:lvl w:ilvl="0" w:tplc="F85A3926">
      <w:start w:val="1"/>
      <w:numFmt w:val="decimal"/>
      <w:lvlText w:val="%1."/>
      <w:lvlJc w:val="left"/>
      <w:pPr>
        <w:ind w:left="720" w:hanging="360"/>
      </w:pPr>
    </w:lvl>
    <w:lvl w:ilvl="1" w:tplc="C75C9542">
      <w:start w:val="1"/>
      <w:numFmt w:val="lowerLetter"/>
      <w:lvlText w:val="%2."/>
      <w:lvlJc w:val="left"/>
      <w:pPr>
        <w:ind w:left="1440" w:hanging="360"/>
      </w:pPr>
    </w:lvl>
    <w:lvl w:ilvl="2" w:tplc="A468D2BC">
      <w:start w:val="1"/>
      <w:numFmt w:val="lowerRoman"/>
      <w:lvlText w:val="%3."/>
      <w:lvlJc w:val="right"/>
      <w:pPr>
        <w:ind w:left="2160" w:hanging="180"/>
      </w:pPr>
    </w:lvl>
    <w:lvl w:ilvl="3" w:tplc="1898C46A">
      <w:start w:val="1"/>
      <w:numFmt w:val="decimal"/>
      <w:lvlText w:val="%4."/>
      <w:lvlJc w:val="left"/>
      <w:pPr>
        <w:ind w:left="2880" w:hanging="360"/>
      </w:pPr>
    </w:lvl>
    <w:lvl w:ilvl="4" w:tplc="9692DE18">
      <w:start w:val="1"/>
      <w:numFmt w:val="lowerLetter"/>
      <w:lvlText w:val="%5."/>
      <w:lvlJc w:val="left"/>
      <w:pPr>
        <w:ind w:left="3600" w:hanging="360"/>
      </w:pPr>
    </w:lvl>
    <w:lvl w:ilvl="5" w:tplc="F912DDA2">
      <w:start w:val="1"/>
      <w:numFmt w:val="lowerRoman"/>
      <w:lvlText w:val="%6."/>
      <w:lvlJc w:val="right"/>
      <w:pPr>
        <w:ind w:left="4320" w:hanging="180"/>
      </w:pPr>
    </w:lvl>
    <w:lvl w:ilvl="6" w:tplc="3F8EA572">
      <w:start w:val="1"/>
      <w:numFmt w:val="decimal"/>
      <w:lvlText w:val="%7."/>
      <w:lvlJc w:val="left"/>
      <w:pPr>
        <w:ind w:left="5040" w:hanging="360"/>
      </w:pPr>
    </w:lvl>
    <w:lvl w:ilvl="7" w:tplc="ABB031DE">
      <w:start w:val="1"/>
      <w:numFmt w:val="lowerLetter"/>
      <w:lvlText w:val="%8."/>
      <w:lvlJc w:val="left"/>
      <w:pPr>
        <w:ind w:left="5760" w:hanging="360"/>
      </w:pPr>
    </w:lvl>
    <w:lvl w:ilvl="8" w:tplc="6F5EC704">
      <w:start w:val="1"/>
      <w:numFmt w:val="lowerRoman"/>
      <w:lvlText w:val="%9."/>
      <w:lvlJc w:val="right"/>
      <w:pPr>
        <w:ind w:left="6480" w:hanging="180"/>
      </w:pPr>
    </w:lvl>
  </w:abstractNum>
  <w:abstractNum w:abstractNumId="4">
    <w:nsid w:val="21BD268F"/>
    <w:multiLevelType w:val="hybridMultilevel"/>
    <w:tmpl w:val="7F149A6C"/>
    <w:lvl w:ilvl="0" w:tplc="C56E83F2">
      <w:start w:val="1"/>
      <w:numFmt w:val="decimal"/>
      <w:lvlText w:val="%1."/>
      <w:lvlJc w:val="left"/>
      <w:pPr>
        <w:ind w:left="720" w:hanging="360"/>
      </w:pPr>
    </w:lvl>
    <w:lvl w:ilvl="1" w:tplc="61BCF812">
      <w:start w:val="1"/>
      <w:numFmt w:val="lowerLetter"/>
      <w:lvlText w:val="%2."/>
      <w:lvlJc w:val="left"/>
      <w:pPr>
        <w:ind w:left="1440" w:hanging="360"/>
      </w:pPr>
    </w:lvl>
    <w:lvl w:ilvl="2" w:tplc="4E16F0EE">
      <w:start w:val="1"/>
      <w:numFmt w:val="lowerRoman"/>
      <w:lvlText w:val="%3."/>
      <w:lvlJc w:val="right"/>
      <w:pPr>
        <w:ind w:left="2160" w:hanging="180"/>
      </w:pPr>
    </w:lvl>
    <w:lvl w:ilvl="3" w:tplc="7B0C1386">
      <w:start w:val="1"/>
      <w:numFmt w:val="decimal"/>
      <w:lvlText w:val="%4."/>
      <w:lvlJc w:val="left"/>
      <w:pPr>
        <w:ind w:left="2880" w:hanging="360"/>
      </w:pPr>
    </w:lvl>
    <w:lvl w:ilvl="4" w:tplc="68BA3878">
      <w:start w:val="1"/>
      <w:numFmt w:val="lowerLetter"/>
      <w:lvlText w:val="%5."/>
      <w:lvlJc w:val="left"/>
      <w:pPr>
        <w:ind w:left="3600" w:hanging="360"/>
      </w:pPr>
    </w:lvl>
    <w:lvl w:ilvl="5" w:tplc="C4C8B0B4">
      <w:start w:val="1"/>
      <w:numFmt w:val="lowerRoman"/>
      <w:lvlText w:val="%6."/>
      <w:lvlJc w:val="right"/>
      <w:pPr>
        <w:ind w:left="4320" w:hanging="180"/>
      </w:pPr>
    </w:lvl>
    <w:lvl w:ilvl="6" w:tplc="6EA638AA">
      <w:start w:val="1"/>
      <w:numFmt w:val="decimal"/>
      <w:lvlText w:val="%7."/>
      <w:lvlJc w:val="left"/>
      <w:pPr>
        <w:ind w:left="5040" w:hanging="360"/>
      </w:pPr>
    </w:lvl>
    <w:lvl w:ilvl="7" w:tplc="2AF8E04C">
      <w:start w:val="1"/>
      <w:numFmt w:val="lowerLetter"/>
      <w:lvlText w:val="%8."/>
      <w:lvlJc w:val="left"/>
      <w:pPr>
        <w:ind w:left="5760" w:hanging="360"/>
      </w:pPr>
    </w:lvl>
    <w:lvl w:ilvl="8" w:tplc="43F69144">
      <w:start w:val="1"/>
      <w:numFmt w:val="lowerRoman"/>
      <w:lvlText w:val="%9."/>
      <w:lvlJc w:val="right"/>
      <w:pPr>
        <w:ind w:left="6480" w:hanging="180"/>
      </w:pPr>
    </w:lvl>
  </w:abstractNum>
  <w:abstractNum w:abstractNumId="5">
    <w:nsid w:val="24F3B829"/>
    <w:multiLevelType w:val="hybridMultilevel"/>
    <w:tmpl w:val="D1621FC8"/>
    <w:lvl w:ilvl="0" w:tplc="BBE0EF4A">
      <w:start w:val="1"/>
      <w:numFmt w:val="bullet"/>
      <w:lvlText w:val=""/>
      <w:lvlJc w:val="left"/>
      <w:pPr>
        <w:ind w:left="720" w:hanging="360"/>
      </w:pPr>
      <w:rPr>
        <w:rFonts w:ascii="Symbol" w:hAnsi="Symbol" w:hint="default"/>
      </w:rPr>
    </w:lvl>
    <w:lvl w:ilvl="1" w:tplc="68446C16">
      <w:start w:val="1"/>
      <w:numFmt w:val="bullet"/>
      <w:lvlText w:val="o"/>
      <w:lvlJc w:val="left"/>
      <w:pPr>
        <w:ind w:left="1440" w:hanging="360"/>
      </w:pPr>
      <w:rPr>
        <w:rFonts w:ascii="Courier New" w:hAnsi="Courier New" w:hint="default"/>
      </w:rPr>
    </w:lvl>
    <w:lvl w:ilvl="2" w:tplc="1A326638">
      <w:start w:val="1"/>
      <w:numFmt w:val="bullet"/>
      <w:lvlText w:val=""/>
      <w:lvlJc w:val="left"/>
      <w:pPr>
        <w:ind w:left="2160" w:hanging="360"/>
      </w:pPr>
      <w:rPr>
        <w:rFonts w:ascii="Wingdings" w:hAnsi="Wingdings" w:hint="default"/>
      </w:rPr>
    </w:lvl>
    <w:lvl w:ilvl="3" w:tplc="F8405DC8">
      <w:start w:val="1"/>
      <w:numFmt w:val="bullet"/>
      <w:lvlText w:val=""/>
      <w:lvlJc w:val="left"/>
      <w:pPr>
        <w:ind w:left="2880" w:hanging="360"/>
      </w:pPr>
      <w:rPr>
        <w:rFonts w:ascii="Symbol" w:hAnsi="Symbol" w:hint="default"/>
      </w:rPr>
    </w:lvl>
    <w:lvl w:ilvl="4" w:tplc="569E5BE8">
      <w:start w:val="1"/>
      <w:numFmt w:val="bullet"/>
      <w:lvlText w:val="o"/>
      <w:lvlJc w:val="left"/>
      <w:pPr>
        <w:ind w:left="3600" w:hanging="360"/>
      </w:pPr>
      <w:rPr>
        <w:rFonts w:ascii="Courier New" w:hAnsi="Courier New" w:hint="default"/>
      </w:rPr>
    </w:lvl>
    <w:lvl w:ilvl="5" w:tplc="6A56C2EA">
      <w:start w:val="1"/>
      <w:numFmt w:val="bullet"/>
      <w:lvlText w:val=""/>
      <w:lvlJc w:val="left"/>
      <w:pPr>
        <w:ind w:left="4320" w:hanging="360"/>
      </w:pPr>
      <w:rPr>
        <w:rFonts w:ascii="Wingdings" w:hAnsi="Wingdings" w:hint="default"/>
      </w:rPr>
    </w:lvl>
    <w:lvl w:ilvl="6" w:tplc="03EA7690">
      <w:start w:val="1"/>
      <w:numFmt w:val="bullet"/>
      <w:lvlText w:val=""/>
      <w:lvlJc w:val="left"/>
      <w:pPr>
        <w:ind w:left="5040" w:hanging="360"/>
      </w:pPr>
      <w:rPr>
        <w:rFonts w:ascii="Symbol" w:hAnsi="Symbol" w:hint="default"/>
      </w:rPr>
    </w:lvl>
    <w:lvl w:ilvl="7" w:tplc="D4A8D0C8">
      <w:start w:val="1"/>
      <w:numFmt w:val="bullet"/>
      <w:lvlText w:val="o"/>
      <w:lvlJc w:val="left"/>
      <w:pPr>
        <w:ind w:left="5760" w:hanging="360"/>
      </w:pPr>
      <w:rPr>
        <w:rFonts w:ascii="Courier New" w:hAnsi="Courier New" w:hint="default"/>
      </w:rPr>
    </w:lvl>
    <w:lvl w:ilvl="8" w:tplc="1FC63BB8">
      <w:start w:val="1"/>
      <w:numFmt w:val="bullet"/>
      <w:lvlText w:val=""/>
      <w:lvlJc w:val="left"/>
      <w:pPr>
        <w:ind w:left="6480" w:hanging="360"/>
      </w:pPr>
      <w:rPr>
        <w:rFonts w:ascii="Wingdings" w:hAnsi="Wingdings" w:hint="default"/>
      </w:rPr>
    </w:lvl>
  </w:abstractNum>
  <w:abstractNum w:abstractNumId="6">
    <w:nsid w:val="2517B38F"/>
    <w:multiLevelType w:val="hybridMultilevel"/>
    <w:tmpl w:val="8FA084B0"/>
    <w:lvl w:ilvl="0" w:tplc="E56AAAB4">
      <w:start w:val="1"/>
      <w:numFmt w:val="decimal"/>
      <w:lvlText w:val="%1."/>
      <w:lvlJc w:val="left"/>
      <w:pPr>
        <w:ind w:left="720" w:hanging="360"/>
      </w:pPr>
    </w:lvl>
    <w:lvl w:ilvl="1" w:tplc="562C5350">
      <w:start w:val="1"/>
      <w:numFmt w:val="lowerLetter"/>
      <w:lvlText w:val="%2."/>
      <w:lvlJc w:val="left"/>
      <w:pPr>
        <w:ind w:left="1440" w:hanging="360"/>
      </w:pPr>
    </w:lvl>
    <w:lvl w:ilvl="2" w:tplc="9C0C29B2">
      <w:start w:val="1"/>
      <w:numFmt w:val="lowerRoman"/>
      <w:lvlText w:val="%3."/>
      <w:lvlJc w:val="right"/>
      <w:pPr>
        <w:ind w:left="2160" w:hanging="180"/>
      </w:pPr>
    </w:lvl>
    <w:lvl w:ilvl="3" w:tplc="162E224E">
      <w:start w:val="1"/>
      <w:numFmt w:val="decimal"/>
      <w:lvlText w:val="%4."/>
      <w:lvlJc w:val="left"/>
      <w:pPr>
        <w:ind w:left="2880" w:hanging="360"/>
      </w:pPr>
    </w:lvl>
    <w:lvl w:ilvl="4" w:tplc="8070C8B8">
      <w:start w:val="1"/>
      <w:numFmt w:val="lowerLetter"/>
      <w:lvlText w:val="%5."/>
      <w:lvlJc w:val="left"/>
      <w:pPr>
        <w:ind w:left="3600" w:hanging="360"/>
      </w:pPr>
    </w:lvl>
    <w:lvl w:ilvl="5" w:tplc="EB62AF52">
      <w:start w:val="1"/>
      <w:numFmt w:val="lowerRoman"/>
      <w:lvlText w:val="%6."/>
      <w:lvlJc w:val="right"/>
      <w:pPr>
        <w:ind w:left="4320" w:hanging="180"/>
      </w:pPr>
    </w:lvl>
    <w:lvl w:ilvl="6" w:tplc="6C522100">
      <w:start w:val="1"/>
      <w:numFmt w:val="decimal"/>
      <w:lvlText w:val="%7."/>
      <w:lvlJc w:val="left"/>
      <w:pPr>
        <w:ind w:left="5040" w:hanging="360"/>
      </w:pPr>
    </w:lvl>
    <w:lvl w:ilvl="7" w:tplc="4F7A92B4">
      <w:start w:val="1"/>
      <w:numFmt w:val="lowerLetter"/>
      <w:lvlText w:val="%8."/>
      <w:lvlJc w:val="left"/>
      <w:pPr>
        <w:ind w:left="5760" w:hanging="360"/>
      </w:pPr>
    </w:lvl>
    <w:lvl w:ilvl="8" w:tplc="7B6C5A3A">
      <w:start w:val="1"/>
      <w:numFmt w:val="lowerRoman"/>
      <w:lvlText w:val="%9."/>
      <w:lvlJc w:val="right"/>
      <w:pPr>
        <w:ind w:left="6480" w:hanging="180"/>
      </w:pPr>
    </w:lvl>
  </w:abstractNum>
  <w:abstractNum w:abstractNumId="7">
    <w:nsid w:val="2755A628"/>
    <w:multiLevelType w:val="hybridMultilevel"/>
    <w:tmpl w:val="796234E0"/>
    <w:lvl w:ilvl="0" w:tplc="E8106554">
      <w:start w:val="1"/>
      <w:numFmt w:val="bullet"/>
      <w:lvlText w:val=""/>
      <w:lvlJc w:val="left"/>
      <w:pPr>
        <w:ind w:left="720" w:hanging="360"/>
      </w:pPr>
      <w:rPr>
        <w:rFonts w:ascii="Symbol" w:hAnsi="Symbol" w:hint="default"/>
      </w:rPr>
    </w:lvl>
    <w:lvl w:ilvl="1" w:tplc="AC409BF8">
      <w:start w:val="1"/>
      <w:numFmt w:val="bullet"/>
      <w:lvlText w:val="o"/>
      <w:lvlJc w:val="left"/>
      <w:pPr>
        <w:ind w:left="1440" w:hanging="360"/>
      </w:pPr>
      <w:rPr>
        <w:rFonts w:ascii="Courier New" w:hAnsi="Courier New" w:hint="default"/>
      </w:rPr>
    </w:lvl>
    <w:lvl w:ilvl="2" w:tplc="EBAA59D0">
      <w:start w:val="1"/>
      <w:numFmt w:val="bullet"/>
      <w:lvlText w:val=""/>
      <w:lvlJc w:val="left"/>
      <w:pPr>
        <w:ind w:left="2160" w:hanging="360"/>
      </w:pPr>
      <w:rPr>
        <w:rFonts w:ascii="Wingdings" w:hAnsi="Wingdings" w:hint="default"/>
      </w:rPr>
    </w:lvl>
    <w:lvl w:ilvl="3" w:tplc="014E7234">
      <w:start w:val="1"/>
      <w:numFmt w:val="bullet"/>
      <w:lvlText w:val=""/>
      <w:lvlJc w:val="left"/>
      <w:pPr>
        <w:ind w:left="2880" w:hanging="360"/>
      </w:pPr>
      <w:rPr>
        <w:rFonts w:ascii="Symbol" w:hAnsi="Symbol" w:hint="default"/>
      </w:rPr>
    </w:lvl>
    <w:lvl w:ilvl="4" w:tplc="D682BCE6">
      <w:start w:val="1"/>
      <w:numFmt w:val="bullet"/>
      <w:lvlText w:val="o"/>
      <w:lvlJc w:val="left"/>
      <w:pPr>
        <w:ind w:left="3600" w:hanging="360"/>
      </w:pPr>
      <w:rPr>
        <w:rFonts w:ascii="Courier New" w:hAnsi="Courier New" w:hint="default"/>
      </w:rPr>
    </w:lvl>
    <w:lvl w:ilvl="5" w:tplc="6DE2EDB8">
      <w:start w:val="1"/>
      <w:numFmt w:val="bullet"/>
      <w:lvlText w:val=""/>
      <w:lvlJc w:val="left"/>
      <w:pPr>
        <w:ind w:left="4320" w:hanging="360"/>
      </w:pPr>
      <w:rPr>
        <w:rFonts w:ascii="Wingdings" w:hAnsi="Wingdings" w:hint="default"/>
      </w:rPr>
    </w:lvl>
    <w:lvl w:ilvl="6" w:tplc="44141090">
      <w:start w:val="1"/>
      <w:numFmt w:val="bullet"/>
      <w:lvlText w:val=""/>
      <w:lvlJc w:val="left"/>
      <w:pPr>
        <w:ind w:left="5040" w:hanging="360"/>
      </w:pPr>
      <w:rPr>
        <w:rFonts w:ascii="Symbol" w:hAnsi="Symbol" w:hint="default"/>
      </w:rPr>
    </w:lvl>
    <w:lvl w:ilvl="7" w:tplc="E772AE4C">
      <w:start w:val="1"/>
      <w:numFmt w:val="bullet"/>
      <w:lvlText w:val="o"/>
      <w:lvlJc w:val="left"/>
      <w:pPr>
        <w:ind w:left="5760" w:hanging="360"/>
      </w:pPr>
      <w:rPr>
        <w:rFonts w:ascii="Courier New" w:hAnsi="Courier New" w:hint="default"/>
      </w:rPr>
    </w:lvl>
    <w:lvl w:ilvl="8" w:tplc="2E083494">
      <w:start w:val="1"/>
      <w:numFmt w:val="bullet"/>
      <w:lvlText w:val=""/>
      <w:lvlJc w:val="left"/>
      <w:pPr>
        <w:ind w:left="6480" w:hanging="360"/>
      </w:pPr>
      <w:rPr>
        <w:rFonts w:ascii="Wingdings" w:hAnsi="Wingdings" w:hint="default"/>
      </w:rPr>
    </w:lvl>
  </w:abstractNum>
  <w:abstractNum w:abstractNumId="8">
    <w:nsid w:val="3B438109"/>
    <w:multiLevelType w:val="hybridMultilevel"/>
    <w:tmpl w:val="0792A6EE"/>
    <w:lvl w:ilvl="0" w:tplc="67DCCBF0">
      <w:start w:val="1"/>
      <w:numFmt w:val="decimal"/>
      <w:lvlText w:val="%1."/>
      <w:lvlJc w:val="left"/>
      <w:pPr>
        <w:ind w:left="720" w:hanging="360"/>
      </w:pPr>
    </w:lvl>
    <w:lvl w:ilvl="1" w:tplc="60BA3396">
      <w:start w:val="1"/>
      <w:numFmt w:val="lowerLetter"/>
      <w:lvlText w:val="%2."/>
      <w:lvlJc w:val="left"/>
      <w:pPr>
        <w:ind w:left="1440" w:hanging="360"/>
      </w:pPr>
    </w:lvl>
    <w:lvl w:ilvl="2" w:tplc="49B0469A">
      <w:start w:val="1"/>
      <w:numFmt w:val="lowerRoman"/>
      <w:lvlText w:val="%3."/>
      <w:lvlJc w:val="right"/>
      <w:pPr>
        <w:ind w:left="2160" w:hanging="180"/>
      </w:pPr>
    </w:lvl>
    <w:lvl w:ilvl="3" w:tplc="163A2F88">
      <w:start w:val="1"/>
      <w:numFmt w:val="decimal"/>
      <w:lvlText w:val="%4."/>
      <w:lvlJc w:val="left"/>
      <w:pPr>
        <w:ind w:left="2880" w:hanging="360"/>
      </w:pPr>
    </w:lvl>
    <w:lvl w:ilvl="4" w:tplc="E924B780">
      <w:start w:val="1"/>
      <w:numFmt w:val="lowerLetter"/>
      <w:lvlText w:val="%5."/>
      <w:lvlJc w:val="left"/>
      <w:pPr>
        <w:ind w:left="3600" w:hanging="360"/>
      </w:pPr>
    </w:lvl>
    <w:lvl w:ilvl="5" w:tplc="35D8091E">
      <w:start w:val="1"/>
      <w:numFmt w:val="lowerRoman"/>
      <w:lvlText w:val="%6."/>
      <w:lvlJc w:val="right"/>
      <w:pPr>
        <w:ind w:left="4320" w:hanging="180"/>
      </w:pPr>
    </w:lvl>
    <w:lvl w:ilvl="6" w:tplc="08A63B1A">
      <w:start w:val="1"/>
      <w:numFmt w:val="decimal"/>
      <w:lvlText w:val="%7."/>
      <w:lvlJc w:val="left"/>
      <w:pPr>
        <w:ind w:left="5040" w:hanging="360"/>
      </w:pPr>
    </w:lvl>
    <w:lvl w:ilvl="7" w:tplc="C48E1F08">
      <w:start w:val="1"/>
      <w:numFmt w:val="lowerLetter"/>
      <w:lvlText w:val="%8."/>
      <w:lvlJc w:val="left"/>
      <w:pPr>
        <w:ind w:left="5760" w:hanging="360"/>
      </w:pPr>
    </w:lvl>
    <w:lvl w:ilvl="8" w:tplc="B694F29A">
      <w:start w:val="1"/>
      <w:numFmt w:val="lowerRoman"/>
      <w:lvlText w:val="%9."/>
      <w:lvlJc w:val="right"/>
      <w:pPr>
        <w:ind w:left="6480" w:hanging="180"/>
      </w:pPr>
    </w:lvl>
  </w:abstractNum>
  <w:abstractNum w:abstractNumId="9">
    <w:nsid w:val="4073E754"/>
    <w:multiLevelType w:val="hybridMultilevel"/>
    <w:tmpl w:val="39C21762"/>
    <w:lvl w:ilvl="0" w:tplc="7CF0A63E">
      <w:start w:val="1"/>
      <w:numFmt w:val="bullet"/>
      <w:lvlText w:val=""/>
      <w:lvlJc w:val="left"/>
      <w:pPr>
        <w:ind w:left="720" w:hanging="360"/>
      </w:pPr>
      <w:rPr>
        <w:rFonts w:ascii="Symbol" w:hAnsi="Symbol" w:hint="default"/>
      </w:rPr>
    </w:lvl>
    <w:lvl w:ilvl="1" w:tplc="1A6ADB54">
      <w:start w:val="1"/>
      <w:numFmt w:val="bullet"/>
      <w:lvlText w:val="o"/>
      <w:lvlJc w:val="left"/>
      <w:pPr>
        <w:ind w:left="1440" w:hanging="360"/>
      </w:pPr>
      <w:rPr>
        <w:rFonts w:ascii="Courier New" w:hAnsi="Courier New" w:hint="default"/>
      </w:rPr>
    </w:lvl>
    <w:lvl w:ilvl="2" w:tplc="A1EC4470">
      <w:start w:val="1"/>
      <w:numFmt w:val="bullet"/>
      <w:lvlText w:val=""/>
      <w:lvlJc w:val="left"/>
      <w:pPr>
        <w:ind w:left="2160" w:hanging="360"/>
      </w:pPr>
      <w:rPr>
        <w:rFonts w:ascii="Wingdings" w:hAnsi="Wingdings" w:hint="default"/>
      </w:rPr>
    </w:lvl>
    <w:lvl w:ilvl="3" w:tplc="FD3A68C6">
      <w:start w:val="1"/>
      <w:numFmt w:val="bullet"/>
      <w:lvlText w:val=""/>
      <w:lvlJc w:val="left"/>
      <w:pPr>
        <w:ind w:left="2880" w:hanging="360"/>
      </w:pPr>
      <w:rPr>
        <w:rFonts w:ascii="Symbol" w:hAnsi="Symbol" w:hint="default"/>
      </w:rPr>
    </w:lvl>
    <w:lvl w:ilvl="4" w:tplc="E5383802">
      <w:start w:val="1"/>
      <w:numFmt w:val="bullet"/>
      <w:lvlText w:val="o"/>
      <w:lvlJc w:val="left"/>
      <w:pPr>
        <w:ind w:left="3600" w:hanging="360"/>
      </w:pPr>
      <w:rPr>
        <w:rFonts w:ascii="Courier New" w:hAnsi="Courier New" w:hint="default"/>
      </w:rPr>
    </w:lvl>
    <w:lvl w:ilvl="5" w:tplc="038099B6">
      <w:start w:val="1"/>
      <w:numFmt w:val="bullet"/>
      <w:lvlText w:val=""/>
      <w:lvlJc w:val="left"/>
      <w:pPr>
        <w:ind w:left="4320" w:hanging="360"/>
      </w:pPr>
      <w:rPr>
        <w:rFonts w:ascii="Wingdings" w:hAnsi="Wingdings" w:hint="default"/>
      </w:rPr>
    </w:lvl>
    <w:lvl w:ilvl="6" w:tplc="7CEA92B8">
      <w:start w:val="1"/>
      <w:numFmt w:val="bullet"/>
      <w:lvlText w:val=""/>
      <w:lvlJc w:val="left"/>
      <w:pPr>
        <w:ind w:left="5040" w:hanging="360"/>
      </w:pPr>
      <w:rPr>
        <w:rFonts w:ascii="Symbol" w:hAnsi="Symbol" w:hint="default"/>
      </w:rPr>
    </w:lvl>
    <w:lvl w:ilvl="7" w:tplc="2D30E91C">
      <w:start w:val="1"/>
      <w:numFmt w:val="bullet"/>
      <w:lvlText w:val="o"/>
      <w:lvlJc w:val="left"/>
      <w:pPr>
        <w:ind w:left="5760" w:hanging="360"/>
      </w:pPr>
      <w:rPr>
        <w:rFonts w:ascii="Courier New" w:hAnsi="Courier New" w:hint="default"/>
      </w:rPr>
    </w:lvl>
    <w:lvl w:ilvl="8" w:tplc="75164ABC">
      <w:start w:val="1"/>
      <w:numFmt w:val="bullet"/>
      <w:lvlText w:val=""/>
      <w:lvlJc w:val="left"/>
      <w:pPr>
        <w:ind w:left="6480" w:hanging="360"/>
      </w:pPr>
      <w:rPr>
        <w:rFonts w:ascii="Wingdings" w:hAnsi="Wingdings" w:hint="default"/>
      </w:rPr>
    </w:lvl>
  </w:abstractNum>
  <w:abstractNum w:abstractNumId="10">
    <w:nsid w:val="43DC3EDC"/>
    <w:multiLevelType w:val="hybridMultilevel"/>
    <w:tmpl w:val="2624890E"/>
    <w:lvl w:ilvl="0" w:tplc="7CBE20C4">
      <w:start w:val="1"/>
      <w:numFmt w:val="bullet"/>
      <w:lvlText w:val=""/>
      <w:lvlJc w:val="left"/>
      <w:pPr>
        <w:ind w:left="720" w:hanging="360"/>
      </w:pPr>
      <w:rPr>
        <w:rFonts w:ascii="Symbol" w:hAnsi="Symbol" w:hint="default"/>
      </w:rPr>
    </w:lvl>
    <w:lvl w:ilvl="1" w:tplc="61E06724">
      <w:start w:val="1"/>
      <w:numFmt w:val="bullet"/>
      <w:lvlText w:val="o"/>
      <w:lvlJc w:val="left"/>
      <w:pPr>
        <w:ind w:left="1440" w:hanging="360"/>
      </w:pPr>
      <w:rPr>
        <w:rFonts w:ascii="Courier New" w:hAnsi="Courier New" w:hint="default"/>
      </w:rPr>
    </w:lvl>
    <w:lvl w:ilvl="2" w:tplc="33720270">
      <w:start w:val="1"/>
      <w:numFmt w:val="bullet"/>
      <w:lvlText w:val=""/>
      <w:lvlJc w:val="left"/>
      <w:pPr>
        <w:ind w:left="2160" w:hanging="360"/>
      </w:pPr>
      <w:rPr>
        <w:rFonts w:ascii="Wingdings" w:hAnsi="Wingdings" w:hint="default"/>
      </w:rPr>
    </w:lvl>
    <w:lvl w:ilvl="3" w:tplc="FB5ED9FA">
      <w:start w:val="1"/>
      <w:numFmt w:val="bullet"/>
      <w:lvlText w:val=""/>
      <w:lvlJc w:val="left"/>
      <w:pPr>
        <w:ind w:left="2880" w:hanging="360"/>
      </w:pPr>
      <w:rPr>
        <w:rFonts w:ascii="Symbol" w:hAnsi="Symbol" w:hint="default"/>
      </w:rPr>
    </w:lvl>
    <w:lvl w:ilvl="4" w:tplc="D274444A">
      <w:start w:val="1"/>
      <w:numFmt w:val="bullet"/>
      <w:lvlText w:val="o"/>
      <w:lvlJc w:val="left"/>
      <w:pPr>
        <w:ind w:left="3600" w:hanging="360"/>
      </w:pPr>
      <w:rPr>
        <w:rFonts w:ascii="Courier New" w:hAnsi="Courier New" w:hint="default"/>
      </w:rPr>
    </w:lvl>
    <w:lvl w:ilvl="5" w:tplc="4206359E">
      <w:start w:val="1"/>
      <w:numFmt w:val="bullet"/>
      <w:lvlText w:val=""/>
      <w:lvlJc w:val="left"/>
      <w:pPr>
        <w:ind w:left="4320" w:hanging="360"/>
      </w:pPr>
      <w:rPr>
        <w:rFonts w:ascii="Wingdings" w:hAnsi="Wingdings" w:hint="default"/>
      </w:rPr>
    </w:lvl>
    <w:lvl w:ilvl="6" w:tplc="7A906606">
      <w:start w:val="1"/>
      <w:numFmt w:val="bullet"/>
      <w:lvlText w:val=""/>
      <w:lvlJc w:val="left"/>
      <w:pPr>
        <w:ind w:left="5040" w:hanging="360"/>
      </w:pPr>
      <w:rPr>
        <w:rFonts w:ascii="Symbol" w:hAnsi="Symbol" w:hint="default"/>
      </w:rPr>
    </w:lvl>
    <w:lvl w:ilvl="7" w:tplc="8B84D140">
      <w:start w:val="1"/>
      <w:numFmt w:val="bullet"/>
      <w:lvlText w:val="o"/>
      <w:lvlJc w:val="left"/>
      <w:pPr>
        <w:ind w:left="5760" w:hanging="360"/>
      </w:pPr>
      <w:rPr>
        <w:rFonts w:ascii="Courier New" w:hAnsi="Courier New" w:hint="default"/>
      </w:rPr>
    </w:lvl>
    <w:lvl w:ilvl="8" w:tplc="359034D0">
      <w:start w:val="1"/>
      <w:numFmt w:val="bullet"/>
      <w:lvlText w:val=""/>
      <w:lvlJc w:val="left"/>
      <w:pPr>
        <w:ind w:left="6480" w:hanging="360"/>
      </w:pPr>
      <w:rPr>
        <w:rFonts w:ascii="Wingdings" w:hAnsi="Wingdings" w:hint="default"/>
      </w:rPr>
    </w:lvl>
  </w:abstractNum>
  <w:abstractNum w:abstractNumId="11">
    <w:nsid w:val="440A5C58"/>
    <w:multiLevelType w:val="hybridMultilevel"/>
    <w:tmpl w:val="341EC550"/>
    <w:lvl w:ilvl="0" w:tplc="12989124">
      <w:start w:val="1"/>
      <w:numFmt w:val="decimal"/>
      <w:lvlText w:val="%1."/>
      <w:lvlJc w:val="left"/>
      <w:pPr>
        <w:ind w:left="720" w:hanging="360"/>
      </w:pPr>
    </w:lvl>
    <w:lvl w:ilvl="1" w:tplc="B1A6D97A">
      <w:start w:val="1"/>
      <w:numFmt w:val="lowerLetter"/>
      <w:lvlText w:val="%2."/>
      <w:lvlJc w:val="left"/>
      <w:pPr>
        <w:ind w:left="1440" w:hanging="360"/>
      </w:pPr>
    </w:lvl>
    <w:lvl w:ilvl="2" w:tplc="A1AAA0BC">
      <w:start w:val="1"/>
      <w:numFmt w:val="lowerRoman"/>
      <w:lvlText w:val="%3."/>
      <w:lvlJc w:val="right"/>
      <w:pPr>
        <w:ind w:left="2160" w:hanging="180"/>
      </w:pPr>
    </w:lvl>
    <w:lvl w:ilvl="3" w:tplc="C876F28C">
      <w:start w:val="1"/>
      <w:numFmt w:val="decimal"/>
      <w:lvlText w:val="%4."/>
      <w:lvlJc w:val="left"/>
      <w:pPr>
        <w:ind w:left="2880" w:hanging="360"/>
      </w:pPr>
    </w:lvl>
    <w:lvl w:ilvl="4" w:tplc="8C40DCFE">
      <w:start w:val="1"/>
      <w:numFmt w:val="lowerLetter"/>
      <w:lvlText w:val="%5."/>
      <w:lvlJc w:val="left"/>
      <w:pPr>
        <w:ind w:left="3600" w:hanging="360"/>
      </w:pPr>
    </w:lvl>
    <w:lvl w:ilvl="5" w:tplc="9F34041A">
      <w:start w:val="1"/>
      <w:numFmt w:val="lowerRoman"/>
      <w:lvlText w:val="%6."/>
      <w:lvlJc w:val="right"/>
      <w:pPr>
        <w:ind w:left="4320" w:hanging="180"/>
      </w:pPr>
    </w:lvl>
    <w:lvl w:ilvl="6" w:tplc="9D7876B0">
      <w:start w:val="1"/>
      <w:numFmt w:val="decimal"/>
      <w:lvlText w:val="%7."/>
      <w:lvlJc w:val="left"/>
      <w:pPr>
        <w:ind w:left="5040" w:hanging="360"/>
      </w:pPr>
    </w:lvl>
    <w:lvl w:ilvl="7" w:tplc="CD6086F6">
      <w:start w:val="1"/>
      <w:numFmt w:val="lowerLetter"/>
      <w:lvlText w:val="%8."/>
      <w:lvlJc w:val="left"/>
      <w:pPr>
        <w:ind w:left="5760" w:hanging="360"/>
      </w:pPr>
    </w:lvl>
    <w:lvl w:ilvl="8" w:tplc="1F6CFA72">
      <w:start w:val="1"/>
      <w:numFmt w:val="lowerRoman"/>
      <w:lvlText w:val="%9."/>
      <w:lvlJc w:val="right"/>
      <w:pPr>
        <w:ind w:left="6480" w:hanging="180"/>
      </w:pPr>
    </w:lvl>
  </w:abstractNum>
  <w:abstractNum w:abstractNumId="12">
    <w:nsid w:val="485A7728"/>
    <w:multiLevelType w:val="hybridMultilevel"/>
    <w:tmpl w:val="FCFCFEAA"/>
    <w:lvl w:ilvl="0" w:tplc="52747E10">
      <w:start w:val="1"/>
      <w:numFmt w:val="decimal"/>
      <w:lvlText w:val="%1."/>
      <w:lvlJc w:val="left"/>
      <w:pPr>
        <w:ind w:left="720" w:hanging="360"/>
      </w:pPr>
    </w:lvl>
    <w:lvl w:ilvl="1" w:tplc="D4461908">
      <w:start w:val="1"/>
      <w:numFmt w:val="lowerLetter"/>
      <w:lvlText w:val="%2."/>
      <w:lvlJc w:val="left"/>
      <w:pPr>
        <w:ind w:left="1440" w:hanging="360"/>
      </w:pPr>
    </w:lvl>
    <w:lvl w:ilvl="2" w:tplc="9E9E7FCA">
      <w:start w:val="1"/>
      <w:numFmt w:val="lowerRoman"/>
      <w:lvlText w:val="%3."/>
      <w:lvlJc w:val="right"/>
      <w:pPr>
        <w:ind w:left="2160" w:hanging="180"/>
      </w:pPr>
    </w:lvl>
    <w:lvl w:ilvl="3" w:tplc="E84AE28C">
      <w:start w:val="1"/>
      <w:numFmt w:val="decimal"/>
      <w:lvlText w:val="%4."/>
      <w:lvlJc w:val="left"/>
      <w:pPr>
        <w:ind w:left="2880" w:hanging="360"/>
      </w:pPr>
    </w:lvl>
    <w:lvl w:ilvl="4" w:tplc="98D813E2">
      <w:start w:val="1"/>
      <w:numFmt w:val="lowerLetter"/>
      <w:lvlText w:val="%5."/>
      <w:lvlJc w:val="left"/>
      <w:pPr>
        <w:ind w:left="3600" w:hanging="360"/>
      </w:pPr>
    </w:lvl>
    <w:lvl w:ilvl="5" w:tplc="3976EC96">
      <w:start w:val="1"/>
      <w:numFmt w:val="lowerRoman"/>
      <w:lvlText w:val="%6."/>
      <w:lvlJc w:val="right"/>
      <w:pPr>
        <w:ind w:left="4320" w:hanging="180"/>
      </w:pPr>
    </w:lvl>
    <w:lvl w:ilvl="6" w:tplc="ECE6F5BC">
      <w:start w:val="1"/>
      <w:numFmt w:val="decimal"/>
      <w:lvlText w:val="%7."/>
      <w:lvlJc w:val="left"/>
      <w:pPr>
        <w:ind w:left="5040" w:hanging="360"/>
      </w:pPr>
    </w:lvl>
    <w:lvl w:ilvl="7" w:tplc="DB8AFE6C">
      <w:start w:val="1"/>
      <w:numFmt w:val="lowerLetter"/>
      <w:lvlText w:val="%8."/>
      <w:lvlJc w:val="left"/>
      <w:pPr>
        <w:ind w:left="5760" w:hanging="360"/>
      </w:pPr>
    </w:lvl>
    <w:lvl w:ilvl="8" w:tplc="2814E1C2">
      <w:start w:val="1"/>
      <w:numFmt w:val="lowerRoman"/>
      <w:lvlText w:val="%9."/>
      <w:lvlJc w:val="right"/>
      <w:pPr>
        <w:ind w:left="6480" w:hanging="180"/>
      </w:pPr>
    </w:lvl>
  </w:abstractNum>
  <w:abstractNum w:abstractNumId="13">
    <w:nsid w:val="48B1C674"/>
    <w:multiLevelType w:val="hybridMultilevel"/>
    <w:tmpl w:val="E8607338"/>
    <w:lvl w:ilvl="0" w:tplc="989C18DE">
      <w:start w:val="1"/>
      <w:numFmt w:val="bullet"/>
      <w:lvlText w:val=""/>
      <w:lvlJc w:val="left"/>
      <w:pPr>
        <w:ind w:left="720" w:hanging="360"/>
      </w:pPr>
      <w:rPr>
        <w:rFonts w:ascii="Symbol" w:hAnsi="Symbol" w:hint="default"/>
      </w:rPr>
    </w:lvl>
    <w:lvl w:ilvl="1" w:tplc="67EC34B2">
      <w:start w:val="1"/>
      <w:numFmt w:val="bullet"/>
      <w:lvlText w:val="o"/>
      <w:lvlJc w:val="left"/>
      <w:pPr>
        <w:ind w:left="1440" w:hanging="360"/>
      </w:pPr>
      <w:rPr>
        <w:rFonts w:ascii="Courier New" w:hAnsi="Courier New" w:hint="default"/>
      </w:rPr>
    </w:lvl>
    <w:lvl w:ilvl="2" w:tplc="15907B06">
      <w:start w:val="1"/>
      <w:numFmt w:val="bullet"/>
      <w:lvlText w:val=""/>
      <w:lvlJc w:val="left"/>
      <w:pPr>
        <w:ind w:left="2160" w:hanging="360"/>
      </w:pPr>
      <w:rPr>
        <w:rFonts w:ascii="Wingdings" w:hAnsi="Wingdings" w:hint="default"/>
      </w:rPr>
    </w:lvl>
    <w:lvl w:ilvl="3" w:tplc="349A6DB6">
      <w:start w:val="1"/>
      <w:numFmt w:val="bullet"/>
      <w:lvlText w:val=""/>
      <w:lvlJc w:val="left"/>
      <w:pPr>
        <w:ind w:left="2880" w:hanging="360"/>
      </w:pPr>
      <w:rPr>
        <w:rFonts w:ascii="Symbol" w:hAnsi="Symbol" w:hint="default"/>
      </w:rPr>
    </w:lvl>
    <w:lvl w:ilvl="4" w:tplc="7802717E">
      <w:start w:val="1"/>
      <w:numFmt w:val="bullet"/>
      <w:lvlText w:val="o"/>
      <w:lvlJc w:val="left"/>
      <w:pPr>
        <w:ind w:left="3600" w:hanging="360"/>
      </w:pPr>
      <w:rPr>
        <w:rFonts w:ascii="Courier New" w:hAnsi="Courier New" w:hint="default"/>
      </w:rPr>
    </w:lvl>
    <w:lvl w:ilvl="5" w:tplc="4796C79C">
      <w:start w:val="1"/>
      <w:numFmt w:val="bullet"/>
      <w:lvlText w:val=""/>
      <w:lvlJc w:val="left"/>
      <w:pPr>
        <w:ind w:left="4320" w:hanging="360"/>
      </w:pPr>
      <w:rPr>
        <w:rFonts w:ascii="Wingdings" w:hAnsi="Wingdings" w:hint="default"/>
      </w:rPr>
    </w:lvl>
    <w:lvl w:ilvl="6" w:tplc="32C28458">
      <w:start w:val="1"/>
      <w:numFmt w:val="bullet"/>
      <w:lvlText w:val=""/>
      <w:lvlJc w:val="left"/>
      <w:pPr>
        <w:ind w:left="5040" w:hanging="360"/>
      </w:pPr>
      <w:rPr>
        <w:rFonts w:ascii="Symbol" w:hAnsi="Symbol" w:hint="default"/>
      </w:rPr>
    </w:lvl>
    <w:lvl w:ilvl="7" w:tplc="AA4A5D3A">
      <w:start w:val="1"/>
      <w:numFmt w:val="bullet"/>
      <w:lvlText w:val="o"/>
      <w:lvlJc w:val="left"/>
      <w:pPr>
        <w:ind w:left="5760" w:hanging="360"/>
      </w:pPr>
      <w:rPr>
        <w:rFonts w:ascii="Courier New" w:hAnsi="Courier New" w:hint="default"/>
      </w:rPr>
    </w:lvl>
    <w:lvl w:ilvl="8" w:tplc="DCE03138">
      <w:start w:val="1"/>
      <w:numFmt w:val="bullet"/>
      <w:lvlText w:val=""/>
      <w:lvlJc w:val="left"/>
      <w:pPr>
        <w:ind w:left="6480" w:hanging="360"/>
      </w:pPr>
      <w:rPr>
        <w:rFonts w:ascii="Wingdings" w:hAnsi="Wingdings" w:hint="default"/>
      </w:rPr>
    </w:lvl>
  </w:abstractNum>
  <w:abstractNum w:abstractNumId="14">
    <w:nsid w:val="4D2B9E2E"/>
    <w:multiLevelType w:val="hybridMultilevel"/>
    <w:tmpl w:val="1B2A9BF4"/>
    <w:lvl w:ilvl="0" w:tplc="53C294F0">
      <w:start w:val="1"/>
      <w:numFmt w:val="bullet"/>
      <w:lvlText w:val=""/>
      <w:lvlJc w:val="left"/>
      <w:pPr>
        <w:ind w:left="720" w:hanging="360"/>
      </w:pPr>
      <w:rPr>
        <w:rFonts w:ascii="Symbol" w:hAnsi="Symbol" w:hint="default"/>
      </w:rPr>
    </w:lvl>
    <w:lvl w:ilvl="1" w:tplc="604252D4">
      <w:start w:val="1"/>
      <w:numFmt w:val="bullet"/>
      <w:lvlText w:val="o"/>
      <w:lvlJc w:val="left"/>
      <w:pPr>
        <w:ind w:left="1440" w:hanging="360"/>
      </w:pPr>
      <w:rPr>
        <w:rFonts w:ascii="Courier New" w:hAnsi="Courier New" w:hint="default"/>
      </w:rPr>
    </w:lvl>
    <w:lvl w:ilvl="2" w:tplc="0E4CBBF8">
      <w:start w:val="1"/>
      <w:numFmt w:val="bullet"/>
      <w:lvlText w:val=""/>
      <w:lvlJc w:val="left"/>
      <w:pPr>
        <w:ind w:left="2160" w:hanging="360"/>
      </w:pPr>
      <w:rPr>
        <w:rFonts w:ascii="Wingdings" w:hAnsi="Wingdings" w:hint="default"/>
      </w:rPr>
    </w:lvl>
    <w:lvl w:ilvl="3" w:tplc="A0D0C9C8">
      <w:start w:val="1"/>
      <w:numFmt w:val="bullet"/>
      <w:lvlText w:val=""/>
      <w:lvlJc w:val="left"/>
      <w:pPr>
        <w:ind w:left="2880" w:hanging="360"/>
      </w:pPr>
      <w:rPr>
        <w:rFonts w:ascii="Symbol" w:hAnsi="Symbol" w:hint="default"/>
      </w:rPr>
    </w:lvl>
    <w:lvl w:ilvl="4" w:tplc="9E92F3D4">
      <w:start w:val="1"/>
      <w:numFmt w:val="bullet"/>
      <w:lvlText w:val="o"/>
      <w:lvlJc w:val="left"/>
      <w:pPr>
        <w:ind w:left="3600" w:hanging="360"/>
      </w:pPr>
      <w:rPr>
        <w:rFonts w:ascii="Courier New" w:hAnsi="Courier New" w:hint="default"/>
      </w:rPr>
    </w:lvl>
    <w:lvl w:ilvl="5" w:tplc="C92053D2">
      <w:start w:val="1"/>
      <w:numFmt w:val="bullet"/>
      <w:lvlText w:val=""/>
      <w:lvlJc w:val="left"/>
      <w:pPr>
        <w:ind w:left="4320" w:hanging="360"/>
      </w:pPr>
      <w:rPr>
        <w:rFonts w:ascii="Wingdings" w:hAnsi="Wingdings" w:hint="default"/>
      </w:rPr>
    </w:lvl>
    <w:lvl w:ilvl="6" w:tplc="EE9693DA">
      <w:start w:val="1"/>
      <w:numFmt w:val="bullet"/>
      <w:lvlText w:val=""/>
      <w:lvlJc w:val="left"/>
      <w:pPr>
        <w:ind w:left="5040" w:hanging="360"/>
      </w:pPr>
      <w:rPr>
        <w:rFonts w:ascii="Symbol" w:hAnsi="Symbol" w:hint="default"/>
      </w:rPr>
    </w:lvl>
    <w:lvl w:ilvl="7" w:tplc="90CC7352">
      <w:start w:val="1"/>
      <w:numFmt w:val="bullet"/>
      <w:lvlText w:val="o"/>
      <w:lvlJc w:val="left"/>
      <w:pPr>
        <w:ind w:left="5760" w:hanging="360"/>
      </w:pPr>
      <w:rPr>
        <w:rFonts w:ascii="Courier New" w:hAnsi="Courier New" w:hint="default"/>
      </w:rPr>
    </w:lvl>
    <w:lvl w:ilvl="8" w:tplc="997CD8C6">
      <w:start w:val="1"/>
      <w:numFmt w:val="bullet"/>
      <w:lvlText w:val=""/>
      <w:lvlJc w:val="left"/>
      <w:pPr>
        <w:ind w:left="6480" w:hanging="360"/>
      </w:pPr>
      <w:rPr>
        <w:rFonts w:ascii="Wingdings" w:hAnsi="Wingdings" w:hint="default"/>
      </w:rPr>
    </w:lvl>
  </w:abstractNum>
  <w:abstractNum w:abstractNumId="15">
    <w:nsid w:val="4F815D59"/>
    <w:multiLevelType w:val="hybridMultilevel"/>
    <w:tmpl w:val="CA92C5E6"/>
    <w:lvl w:ilvl="0" w:tplc="B8983296">
      <w:start w:val="1"/>
      <w:numFmt w:val="bullet"/>
      <w:lvlText w:val=""/>
      <w:lvlJc w:val="left"/>
      <w:pPr>
        <w:ind w:left="720" w:hanging="360"/>
      </w:pPr>
      <w:rPr>
        <w:rFonts w:ascii="Symbol" w:hAnsi="Symbol" w:hint="default"/>
      </w:rPr>
    </w:lvl>
    <w:lvl w:ilvl="1" w:tplc="2B84DF0E">
      <w:start w:val="1"/>
      <w:numFmt w:val="bullet"/>
      <w:lvlText w:val="o"/>
      <w:lvlJc w:val="left"/>
      <w:pPr>
        <w:ind w:left="1440" w:hanging="360"/>
      </w:pPr>
      <w:rPr>
        <w:rFonts w:ascii="Courier New" w:hAnsi="Courier New" w:hint="default"/>
      </w:rPr>
    </w:lvl>
    <w:lvl w:ilvl="2" w:tplc="96BE5C16">
      <w:start w:val="1"/>
      <w:numFmt w:val="bullet"/>
      <w:lvlText w:val=""/>
      <w:lvlJc w:val="left"/>
      <w:pPr>
        <w:ind w:left="2160" w:hanging="360"/>
      </w:pPr>
      <w:rPr>
        <w:rFonts w:ascii="Wingdings" w:hAnsi="Wingdings" w:hint="default"/>
      </w:rPr>
    </w:lvl>
    <w:lvl w:ilvl="3" w:tplc="538C9AE8">
      <w:start w:val="1"/>
      <w:numFmt w:val="bullet"/>
      <w:lvlText w:val=""/>
      <w:lvlJc w:val="left"/>
      <w:pPr>
        <w:ind w:left="2880" w:hanging="360"/>
      </w:pPr>
      <w:rPr>
        <w:rFonts w:ascii="Symbol" w:hAnsi="Symbol" w:hint="default"/>
      </w:rPr>
    </w:lvl>
    <w:lvl w:ilvl="4" w:tplc="5C20D116">
      <w:start w:val="1"/>
      <w:numFmt w:val="bullet"/>
      <w:lvlText w:val="o"/>
      <w:lvlJc w:val="left"/>
      <w:pPr>
        <w:ind w:left="3600" w:hanging="360"/>
      </w:pPr>
      <w:rPr>
        <w:rFonts w:ascii="Courier New" w:hAnsi="Courier New" w:hint="default"/>
      </w:rPr>
    </w:lvl>
    <w:lvl w:ilvl="5" w:tplc="D604E11A">
      <w:start w:val="1"/>
      <w:numFmt w:val="bullet"/>
      <w:lvlText w:val=""/>
      <w:lvlJc w:val="left"/>
      <w:pPr>
        <w:ind w:left="4320" w:hanging="360"/>
      </w:pPr>
      <w:rPr>
        <w:rFonts w:ascii="Wingdings" w:hAnsi="Wingdings" w:hint="default"/>
      </w:rPr>
    </w:lvl>
    <w:lvl w:ilvl="6" w:tplc="2CA2ACF0">
      <w:start w:val="1"/>
      <w:numFmt w:val="bullet"/>
      <w:lvlText w:val=""/>
      <w:lvlJc w:val="left"/>
      <w:pPr>
        <w:ind w:left="5040" w:hanging="360"/>
      </w:pPr>
      <w:rPr>
        <w:rFonts w:ascii="Symbol" w:hAnsi="Symbol" w:hint="default"/>
      </w:rPr>
    </w:lvl>
    <w:lvl w:ilvl="7" w:tplc="E72048B4">
      <w:start w:val="1"/>
      <w:numFmt w:val="bullet"/>
      <w:lvlText w:val="o"/>
      <w:lvlJc w:val="left"/>
      <w:pPr>
        <w:ind w:left="5760" w:hanging="360"/>
      </w:pPr>
      <w:rPr>
        <w:rFonts w:ascii="Courier New" w:hAnsi="Courier New" w:hint="default"/>
      </w:rPr>
    </w:lvl>
    <w:lvl w:ilvl="8" w:tplc="8A927824">
      <w:start w:val="1"/>
      <w:numFmt w:val="bullet"/>
      <w:lvlText w:val=""/>
      <w:lvlJc w:val="left"/>
      <w:pPr>
        <w:ind w:left="6480" w:hanging="360"/>
      </w:pPr>
      <w:rPr>
        <w:rFonts w:ascii="Wingdings" w:hAnsi="Wingdings" w:hint="default"/>
      </w:rPr>
    </w:lvl>
  </w:abstractNum>
  <w:abstractNum w:abstractNumId="16">
    <w:nsid w:val="5A61C3DC"/>
    <w:multiLevelType w:val="hybridMultilevel"/>
    <w:tmpl w:val="1444C83C"/>
    <w:lvl w:ilvl="0" w:tplc="4B3212B4">
      <w:start w:val="1"/>
      <w:numFmt w:val="bullet"/>
      <w:lvlText w:val=""/>
      <w:lvlJc w:val="left"/>
      <w:pPr>
        <w:ind w:left="720" w:hanging="360"/>
      </w:pPr>
      <w:rPr>
        <w:rFonts w:ascii="Symbol" w:hAnsi="Symbol" w:hint="default"/>
      </w:rPr>
    </w:lvl>
    <w:lvl w:ilvl="1" w:tplc="E98AD616">
      <w:start w:val="1"/>
      <w:numFmt w:val="bullet"/>
      <w:lvlText w:val="o"/>
      <w:lvlJc w:val="left"/>
      <w:pPr>
        <w:ind w:left="1440" w:hanging="360"/>
      </w:pPr>
      <w:rPr>
        <w:rFonts w:ascii="Courier New" w:hAnsi="Courier New" w:hint="default"/>
      </w:rPr>
    </w:lvl>
    <w:lvl w:ilvl="2" w:tplc="8DCAF794">
      <w:start w:val="1"/>
      <w:numFmt w:val="bullet"/>
      <w:lvlText w:val=""/>
      <w:lvlJc w:val="left"/>
      <w:pPr>
        <w:ind w:left="2160" w:hanging="360"/>
      </w:pPr>
      <w:rPr>
        <w:rFonts w:ascii="Wingdings" w:hAnsi="Wingdings" w:hint="default"/>
      </w:rPr>
    </w:lvl>
    <w:lvl w:ilvl="3" w:tplc="981AA328">
      <w:start w:val="1"/>
      <w:numFmt w:val="bullet"/>
      <w:lvlText w:val=""/>
      <w:lvlJc w:val="left"/>
      <w:pPr>
        <w:ind w:left="2880" w:hanging="360"/>
      </w:pPr>
      <w:rPr>
        <w:rFonts w:ascii="Symbol" w:hAnsi="Symbol" w:hint="default"/>
      </w:rPr>
    </w:lvl>
    <w:lvl w:ilvl="4" w:tplc="DB087B8A">
      <w:start w:val="1"/>
      <w:numFmt w:val="bullet"/>
      <w:lvlText w:val="o"/>
      <w:lvlJc w:val="left"/>
      <w:pPr>
        <w:ind w:left="3600" w:hanging="360"/>
      </w:pPr>
      <w:rPr>
        <w:rFonts w:ascii="Courier New" w:hAnsi="Courier New" w:hint="default"/>
      </w:rPr>
    </w:lvl>
    <w:lvl w:ilvl="5" w:tplc="D180CCBE">
      <w:start w:val="1"/>
      <w:numFmt w:val="bullet"/>
      <w:lvlText w:val=""/>
      <w:lvlJc w:val="left"/>
      <w:pPr>
        <w:ind w:left="4320" w:hanging="360"/>
      </w:pPr>
      <w:rPr>
        <w:rFonts w:ascii="Wingdings" w:hAnsi="Wingdings" w:hint="default"/>
      </w:rPr>
    </w:lvl>
    <w:lvl w:ilvl="6" w:tplc="374CB4A4">
      <w:start w:val="1"/>
      <w:numFmt w:val="bullet"/>
      <w:lvlText w:val=""/>
      <w:lvlJc w:val="left"/>
      <w:pPr>
        <w:ind w:left="5040" w:hanging="360"/>
      </w:pPr>
      <w:rPr>
        <w:rFonts w:ascii="Symbol" w:hAnsi="Symbol" w:hint="default"/>
      </w:rPr>
    </w:lvl>
    <w:lvl w:ilvl="7" w:tplc="8E98FFDA">
      <w:start w:val="1"/>
      <w:numFmt w:val="bullet"/>
      <w:lvlText w:val="o"/>
      <w:lvlJc w:val="left"/>
      <w:pPr>
        <w:ind w:left="5760" w:hanging="360"/>
      </w:pPr>
      <w:rPr>
        <w:rFonts w:ascii="Courier New" w:hAnsi="Courier New" w:hint="default"/>
      </w:rPr>
    </w:lvl>
    <w:lvl w:ilvl="8" w:tplc="F37C8220">
      <w:start w:val="1"/>
      <w:numFmt w:val="bullet"/>
      <w:lvlText w:val=""/>
      <w:lvlJc w:val="left"/>
      <w:pPr>
        <w:ind w:left="6480" w:hanging="360"/>
      </w:pPr>
      <w:rPr>
        <w:rFonts w:ascii="Wingdings" w:hAnsi="Wingdings" w:hint="default"/>
      </w:rPr>
    </w:lvl>
  </w:abstractNum>
  <w:abstractNum w:abstractNumId="17">
    <w:nsid w:val="5D505F34"/>
    <w:multiLevelType w:val="hybridMultilevel"/>
    <w:tmpl w:val="7616CCC0"/>
    <w:lvl w:ilvl="0" w:tplc="5B32F958">
      <w:start w:val="1"/>
      <w:numFmt w:val="bullet"/>
      <w:lvlText w:val=""/>
      <w:lvlJc w:val="left"/>
      <w:pPr>
        <w:ind w:left="720" w:hanging="360"/>
      </w:pPr>
      <w:rPr>
        <w:rFonts w:ascii="Symbol" w:hAnsi="Symbol" w:hint="default"/>
      </w:rPr>
    </w:lvl>
    <w:lvl w:ilvl="1" w:tplc="5CD84214">
      <w:start w:val="1"/>
      <w:numFmt w:val="bullet"/>
      <w:lvlText w:val="o"/>
      <w:lvlJc w:val="left"/>
      <w:pPr>
        <w:ind w:left="1440" w:hanging="360"/>
      </w:pPr>
      <w:rPr>
        <w:rFonts w:ascii="Courier New" w:hAnsi="Courier New" w:hint="default"/>
      </w:rPr>
    </w:lvl>
    <w:lvl w:ilvl="2" w:tplc="6968310E">
      <w:start w:val="1"/>
      <w:numFmt w:val="bullet"/>
      <w:lvlText w:val=""/>
      <w:lvlJc w:val="left"/>
      <w:pPr>
        <w:ind w:left="2160" w:hanging="360"/>
      </w:pPr>
      <w:rPr>
        <w:rFonts w:ascii="Wingdings" w:hAnsi="Wingdings" w:hint="default"/>
      </w:rPr>
    </w:lvl>
    <w:lvl w:ilvl="3" w:tplc="38F68962">
      <w:start w:val="1"/>
      <w:numFmt w:val="bullet"/>
      <w:lvlText w:val=""/>
      <w:lvlJc w:val="left"/>
      <w:pPr>
        <w:ind w:left="2880" w:hanging="360"/>
      </w:pPr>
      <w:rPr>
        <w:rFonts w:ascii="Symbol" w:hAnsi="Symbol" w:hint="default"/>
      </w:rPr>
    </w:lvl>
    <w:lvl w:ilvl="4" w:tplc="1BCA82B4">
      <w:start w:val="1"/>
      <w:numFmt w:val="bullet"/>
      <w:lvlText w:val="o"/>
      <w:lvlJc w:val="left"/>
      <w:pPr>
        <w:ind w:left="3600" w:hanging="360"/>
      </w:pPr>
      <w:rPr>
        <w:rFonts w:ascii="Courier New" w:hAnsi="Courier New" w:hint="default"/>
      </w:rPr>
    </w:lvl>
    <w:lvl w:ilvl="5" w:tplc="9E7EE9E6">
      <w:start w:val="1"/>
      <w:numFmt w:val="bullet"/>
      <w:lvlText w:val=""/>
      <w:lvlJc w:val="left"/>
      <w:pPr>
        <w:ind w:left="4320" w:hanging="360"/>
      </w:pPr>
      <w:rPr>
        <w:rFonts w:ascii="Wingdings" w:hAnsi="Wingdings" w:hint="default"/>
      </w:rPr>
    </w:lvl>
    <w:lvl w:ilvl="6" w:tplc="E4D66794">
      <w:start w:val="1"/>
      <w:numFmt w:val="bullet"/>
      <w:lvlText w:val=""/>
      <w:lvlJc w:val="left"/>
      <w:pPr>
        <w:ind w:left="5040" w:hanging="360"/>
      </w:pPr>
      <w:rPr>
        <w:rFonts w:ascii="Symbol" w:hAnsi="Symbol" w:hint="default"/>
      </w:rPr>
    </w:lvl>
    <w:lvl w:ilvl="7" w:tplc="F056C122">
      <w:start w:val="1"/>
      <w:numFmt w:val="bullet"/>
      <w:lvlText w:val="o"/>
      <w:lvlJc w:val="left"/>
      <w:pPr>
        <w:ind w:left="5760" w:hanging="360"/>
      </w:pPr>
      <w:rPr>
        <w:rFonts w:ascii="Courier New" w:hAnsi="Courier New" w:hint="default"/>
      </w:rPr>
    </w:lvl>
    <w:lvl w:ilvl="8" w:tplc="F2042E8E">
      <w:start w:val="1"/>
      <w:numFmt w:val="bullet"/>
      <w:lvlText w:val=""/>
      <w:lvlJc w:val="left"/>
      <w:pPr>
        <w:ind w:left="6480" w:hanging="360"/>
      </w:pPr>
      <w:rPr>
        <w:rFonts w:ascii="Wingdings" w:hAnsi="Wingdings" w:hint="default"/>
      </w:rPr>
    </w:lvl>
  </w:abstractNum>
  <w:abstractNum w:abstractNumId="18">
    <w:nsid w:val="634804EE"/>
    <w:multiLevelType w:val="hybridMultilevel"/>
    <w:tmpl w:val="A0824D0E"/>
    <w:lvl w:ilvl="0" w:tplc="8D24453E">
      <w:start w:val="1"/>
      <w:numFmt w:val="decimal"/>
      <w:lvlText w:val="%1."/>
      <w:lvlJc w:val="left"/>
      <w:pPr>
        <w:ind w:left="720" w:hanging="360"/>
      </w:pPr>
    </w:lvl>
    <w:lvl w:ilvl="1" w:tplc="E2ECF528">
      <w:start w:val="1"/>
      <w:numFmt w:val="lowerLetter"/>
      <w:lvlText w:val="%2."/>
      <w:lvlJc w:val="left"/>
      <w:pPr>
        <w:ind w:left="1440" w:hanging="360"/>
      </w:pPr>
    </w:lvl>
    <w:lvl w:ilvl="2" w:tplc="B636E72E">
      <w:start w:val="1"/>
      <w:numFmt w:val="lowerRoman"/>
      <w:lvlText w:val="%3."/>
      <w:lvlJc w:val="right"/>
      <w:pPr>
        <w:ind w:left="2160" w:hanging="180"/>
      </w:pPr>
    </w:lvl>
    <w:lvl w:ilvl="3" w:tplc="7196F9C4">
      <w:start w:val="1"/>
      <w:numFmt w:val="decimal"/>
      <w:lvlText w:val="%4."/>
      <w:lvlJc w:val="left"/>
      <w:pPr>
        <w:ind w:left="2880" w:hanging="360"/>
      </w:pPr>
    </w:lvl>
    <w:lvl w:ilvl="4" w:tplc="6C7410C6">
      <w:start w:val="1"/>
      <w:numFmt w:val="lowerLetter"/>
      <w:lvlText w:val="%5."/>
      <w:lvlJc w:val="left"/>
      <w:pPr>
        <w:ind w:left="3600" w:hanging="360"/>
      </w:pPr>
    </w:lvl>
    <w:lvl w:ilvl="5" w:tplc="C130BEDA">
      <w:start w:val="1"/>
      <w:numFmt w:val="lowerRoman"/>
      <w:lvlText w:val="%6."/>
      <w:lvlJc w:val="right"/>
      <w:pPr>
        <w:ind w:left="4320" w:hanging="180"/>
      </w:pPr>
    </w:lvl>
    <w:lvl w:ilvl="6" w:tplc="33A468F4">
      <w:start w:val="1"/>
      <w:numFmt w:val="decimal"/>
      <w:lvlText w:val="%7."/>
      <w:lvlJc w:val="left"/>
      <w:pPr>
        <w:ind w:left="5040" w:hanging="360"/>
      </w:pPr>
    </w:lvl>
    <w:lvl w:ilvl="7" w:tplc="B64ABBF8">
      <w:start w:val="1"/>
      <w:numFmt w:val="lowerLetter"/>
      <w:lvlText w:val="%8."/>
      <w:lvlJc w:val="left"/>
      <w:pPr>
        <w:ind w:left="5760" w:hanging="360"/>
      </w:pPr>
    </w:lvl>
    <w:lvl w:ilvl="8" w:tplc="BCB8736C">
      <w:start w:val="1"/>
      <w:numFmt w:val="lowerRoman"/>
      <w:lvlText w:val="%9."/>
      <w:lvlJc w:val="right"/>
      <w:pPr>
        <w:ind w:left="6480" w:hanging="180"/>
      </w:pPr>
    </w:lvl>
  </w:abstractNum>
  <w:abstractNum w:abstractNumId="19">
    <w:nsid w:val="6AB83848"/>
    <w:multiLevelType w:val="multilevel"/>
    <w:tmpl w:val="16CE397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nsid w:val="6C32169A"/>
    <w:multiLevelType w:val="hybridMultilevel"/>
    <w:tmpl w:val="0096D922"/>
    <w:lvl w:ilvl="0" w:tplc="7FF450B6">
      <w:start w:val="1"/>
      <w:numFmt w:val="bullet"/>
      <w:lvlText w:val=""/>
      <w:lvlJc w:val="left"/>
      <w:pPr>
        <w:ind w:left="720" w:hanging="360"/>
      </w:pPr>
      <w:rPr>
        <w:rFonts w:ascii="Symbol" w:hAnsi="Symbol" w:hint="default"/>
      </w:rPr>
    </w:lvl>
    <w:lvl w:ilvl="1" w:tplc="E7BE1B70">
      <w:start w:val="1"/>
      <w:numFmt w:val="bullet"/>
      <w:lvlText w:val="o"/>
      <w:lvlJc w:val="left"/>
      <w:pPr>
        <w:ind w:left="1440" w:hanging="360"/>
      </w:pPr>
      <w:rPr>
        <w:rFonts w:ascii="Courier New" w:hAnsi="Courier New" w:hint="default"/>
      </w:rPr>
    </w:lvl>
    <w:lvl w:ilvl="2" w:tplc="1DDCE7EA">
      <w:start w:val="1"/>
      <w:numFmt w:val="bullet"/>
      <w:lvlText w:val=""/>
      <w:lvlJc w:val="left"/>
      <w:pPr>
        <w:ind w:left="2160" w:hanging="360"/>
      </w:pPr>
      <w:rPr>
        <w:rFonts w:ascii="Wingdings" w:hAnsi="Wingdings" w:hint="default"/>
      </w:rPr>
    </w:lvl>
    <w:lvl w:ilvl="3" w:tplc="BB32E668">
      <w:start w:val="1"/>
      <w:numFmt w:val="bullet"/>
      <w:lvlText w:val=""/>
      <w:lvlJc w:val="left"/>
      <w:pPr>
        <w:ind w:left="2880" w:hanging="360"/>
      </w:pPr>
      <w:rPr>
        <w:rFonts w:ascii="Symbol" w:hAnsi="Symbol" w:hint="default"/>
      </w:rPr>
    </w:lvl>
    <w:lvl w:ilvl="4" w:tplc="E4F4102A">
      <w:start w:val="1"/>
      <w:numFmt w:val="bullet"/>
      <w:lvlText w:val="o"/>
      <w:lvlJc w:val="left"/>
      <w:pPr>
        <w:ind w:left="3600" w:hanging="360"/>
      </w:pPr>
      <w:rPr>
        <w:rFonts w:ascii="Courier New" w:hAnsi="Courier New" w:hint="default"/>
      </w:rPr>
    </w:lvl>
    <w:lvl w:ilvl="5" w:tplc="7054D932">
      <w:start w:val="1"/>
      <w:numFmt w:val="bullet"/>
      <w:lvlText w:val=""/>
      <w:lvlJc w:val="left"/>
      <w:pPr>
        <w:ind w:left="4320" w:hanging="360"/>
      </w:pPr>
      <w:rPr>
        <w:rFonts w:ascii="Wingdings" w:hAnsi="Wingdings" w:hint="default"/>
      </w:rPr>
    </w:lvl>
    <w:lvl w:ilvl="6" w:tplc="E4263A66">
      <w:start w:val="1"/>
      <w:numFmt w:val="bullet"/>
      <w:lvlText w:val=""/>
      <w:lvlJc w:val="left"/>
      <w:pPr>
        <w:ind w:left="5040" w:hanging="360"/>
      </w:pPr>
      <w:rPr>
        <w:rFonts w:ascii="Symbol" w:hAnsi="Symbol" w:hint="default"/>
      </w:rPr>
    </w:lvl>
    <w:lvl w:ilvl="7" w:tplc="B8981946">
      <w:start w:val="1"/>
      <w:numFmt w:val="bullet"/>
      <w:lvlText w:val="o"/>
      <w:lvlJc w:val="left"/>
      <w:pPr>
        <w:ind w:left="5760" w:hanging="360"/>
      </w:pPr>
      <w:rPr>
        <w:rFonts w:ascii="Courier New" w:hAnsi="Courier New" w:hint="default"/>
      </w:rPr>
    </w:lvl>
    <w:lvl w:ilvl="8" w:tplc="EFA2E1C6">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18"/>
  </w:num>
  <w:num w:numId="4">
    <w:abstractNumId w:val="20"/>
  </w:num>
  <w:num w:numId="5">
    <w:abstractNumId w:val="6"/>
  </w:num>
  <w:num w:numId="6">
    <w:abstractNumId w:val="10"/>
  </w:num>
  <w:num w:numId="7">
    <w:abstractNumId w:val="14"/>
  </w:num>
  <w:num w:numId="8">
    <w:abstractNumId w:val="13"/>
  </w:num>
  <w:num w:numId="9">
    <w:abstractNumId w:val="7"/>
  </w:num>
  <w:num w:numId="10">
    <w:abstractNumId w:val="5"/>
  </w:num>
  <w:num w:numId="11">
    <w:abstractNumId w:val="12"/>
  </w:num>
  <w:num w:numId="12">
    <w:abstractNumId w:val="1"/>
  </w:num>
  <w:num w:numId="13">
    <w:abstractNumId w:val="16"/>
  </w:num>
  <w:num w:numId="14">
    <w:abstractNumId w:val="0"/>
  </w:num>
  <w:num w:numId="15">
    <w:abstractNumId w:val="2"/>
  </w:num>
  <w:num w:numId="16">
    <w:abstractNumId w:val="11"/>
  </w:num>
  <w:num w:numId="17">
    <w:abstractNumId w:val="17"/>
  </w:num>
  <w:num w:numId="18">
    <w:abstractNumId w:val="8"/>
  </w:num>
  <w:num w:numId="19">
    <w:abstractNumId w:val="15"/>
  </w:num>
  <w:num w:numId="20">
    <w:abstractNumId w:val="9"/>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24065F"/>
    <w:rsid w:val="001C0AA6"/>
    <w:rsid w:val="002750F7"/>
    <w:rsid w:val="00292A2E"/>
    <w:rsid w:val="002E4C4A"/>
    <w:rsid w:val="0038166F"/>
    <w:rsid w:val="00502682"/>
    <w:rsid w:val="00627911"/>
    <w:rsid w:val="007E0FFD"/>
    <w:rsid w:val="00A66317"/>
    <w:rsid w:val="00AE2776"/>
    <w:rsid w:val="00FB0418"/>
    <w:rsid w:val="012DD0CE"/>
    <w:rsid w:val="038EB941"/>
    <w:rsid w:val="04377F38"/>
    <w:rsid w:val="051B87D7"/>
    <w:rsid w:val="058814B8"/>
    <w:rsid w:val="05E002A8"/>
    <w:rsid w:val="05EA4BB2"/>
    <w:rsid w:val="05EACA3A"/>
    <w:rsid w:val="06A46FDA"/>
    <w:rsid w:val="08A9E1A2"/>
    <w:rsid w:val="09A2EE6C"/>
    <w:rsid w:val="0B174597"/>
    <w:rsid w:val="0B24065F"/>
    <w:rsid w:val="0B872CA0"/>
    <w:rsid w:val="0CF67BF4"/>
    <w:rsid w:val="0E089A09"/>
    <w:rsid w:val="0E5DF94E"/>
    <w:rsid w:val="0E832EC6"/>
    <w:rsid w:val="112A68A5"/>
    <w:rsid w:val="11B708D8"/>
    <w:rsid w:val="124A0028"/>
    <w:rsid w:val="124B65DF"/>
    <w:rsid w:val="1366C317"/>
    <w:rsid w:val="13BDCE52"/>
    <w:rsid w:val="15543AD9"/>
    <w:rsid w:val="1681F8F8"/>
    <w:rsid w:val="1687A0C9"/>
    <w:rsid w:val="16B6FD42"/>
    <w:rsid w:val="1716AB8C"/>
    <w:rsid w:val="17342E69"/>
    <w:rsid w:val="18C43C57"/>
    <w:rsid w:val="192D7449"/>
    <w:rsid w:val="1968EAC0"/>
    <w:rsid w:val="19EE70C6"/>
    <w:rsid w:val="1AEBD84A"/>
    <w:rsid w:val="1B422081"/>
    <w:rsid w:val="1B603B6B"/>
    <w:rsid w:val="1C37833C"/>
    <w:rsid w:val="1C553C1D"/>
    <w:rsid w:val="1CF6AD1A"/>
    <w:rsid w:val="1D62F016"/>
    <w:rsid w:val="1F7F68A5"/>
    <w:rsid w:val="1F8B9927"/>
    <w:rsid w:val="20882006"/>
    <w:rsid w:val="2131488D"/>
    <w:rsid w:val="22BC9E59"/>
    <w:rsid w:val="22FB0AE5"/>
    <w:rsid w:val="2378171E"/>
    <w:rsid w:val="23F25E3C"/>
    <w:rsid w:val="243177EA"/>
    <w:rsid w:val="24567DB0"/>
    <w:rsid w:val="2593A405"/>
    <w:rsid w:val="26EC46D8"/>
    <w:rsid w:val="29B00D96"/>
    <w:rsid w:val="29DB74C7"/>
    <w:rsid w:val="2A480701"/>
    <w:rsid w:val="2B0B4E9C"/>
    <w:rsid w:val="2B6DE95F"/>
    <w:rsid w:val="2CBB52DE"/>
    <w:rsid w:val="2D23EB57"/>
    <w:rsid w:val="2E6C7858"/>
    <w:rsid w:val="2E94CB0B"/>
    <w:rsid w:val="2F4A8DF7"/>
    <w:rsid w:val="2F4C29C2"/>
    <w:rsid w:val="2F6D2E4E"/>
    <w:rsid w:val="30E41384"/>
    <w:rsid w:val="313C4CF0"/>
    <w:rsid w:val="32483231"/>
    <w:rsid w:val="341CF26B"/>
    <w:rsid w:val="3437B460"/>
    <w:rsid w:val="34494C8A"/>
    <w:rsid w:val="347D5FBB"/>
    <w:rsid w:val="355EB91B"/>
    <w:rsid w:val="35B7EE93"/>
    <w:rsid w:val="3930F487"/>
    <w:rsid w:val="39576B9E"/>
    <w:rsid w:val="39D5F79F"/>
    <w:rsid w:val="3B1F4CDA"/>
    <w:rsid w:val="3B5DAD7E"/>
    <w:rsid w:val="3BC40808"/>
    <w:rsid w:val="3C49C59C"/>
    <w:rsid w:val="3CC13062"/>
    <w:rsid w:val="3EC26603"/>
    <w:rsid w:val="3F441BBD"/>
    <w:rsid w:val="400AA070"/>
    <w:rsid w:val="411F8857"/>
    <w:rsid w:val="44156563"/>
    <w:rsid w:val="456698A9"/>
    <w:rsid w:val="4566A80A"/>
    <w:rsid w:val="459D1EA8"/>
    <w:rsid w:val="46807077"/>
    <w:rsid w:val="470A79F8"/>
    <w:rsid w:val="4B02991A"/>
    <w:rsid w:val="4B122D13"/>
    <w:rsid w:val="4BA016E4"/>
    <w:rsid w:val="4BC5B590"/>
    <w:rsid w:val="4CE5016B"/>
    <w:rsid w:val="4D085910"/>
    <w:rsid w:val="4D0AE01B"/>
    <w:rsid w:val="4D10B03C"/>
    <w:rsid w:val="4E2AFA3B"/>
    <w:rsid w:val="4F300869"/>
    <w:rsid w:val="4F9F5B79"/>
    <w:rsid w:val="4FF89DE2"/>
    <w:rsid w:val="502E94CB"/>
    <w:rsid w:val="505CEF4B"/>
    <w:rsid w:val="526653A6"/>
    <w:rsid w:val="528FFCA9"/>
    <w:rsid w:val="53A2C323"/>
    <w:rsid w:val="54727A15"/>
    <w:rsid w:val="549D2A3A"/>
    <w:rsid w:val="54AF762B"/>
    <w:rsid w:val="54E4372D"/>
    <w:rsid w:val="56064EF9"/>
    <w:rsid w:val="560CD47F"/>
    <w:rsid w:val="56C27C0A"/>
    <w:rsid w:val="578B868F"/>
    <w:rsid w:val="59CCB0DB"/>
    <w:rsid w:val="5A4C51AE"/>
    <w:rsid w:val="5A77A7EC"/>
    <w:rsid w:val="5AC5E6F2"/>
    <w:rsid w:val="5BAE68CC"/>
    <w:rsid w:val="5C47117E"/>
    <w:rsid w:val="5CE1ECE7"/>
    <w:rsid w:val="617E935D"/>
    <w:rsid w:val="63343930"/>
    <w:rsid w:val="638991D0"/>
    <w:rsid w:val="63A4F65D"/>
    <w:rsid w:val="63D05035"/>
    <w:rsid w:val="63E3E269"/>
    <w:rsid w:val="640DB6F1"/>
    <w:rsid w:val="645A64AB"/>
    <w:rsid w:val="65D85B14"/>
    <w:rsid w:val="66235B68"/>
    <w:rsid w:val="66C2C42B"/>
    <w:rsid w:val="6746BF8E"/>
    <w:rsid w:val="67E7BDF4"/>
    <w:rsid w:val="6825CCB3"/>
    <w:rsid w:val="68433459"/>
    <w:rsid w:val="684AA372"/>
    <w:rsid w:val="68A0C06E"/>
    <w:rsid w:val="68EA0672"/>
    <w:rsid w:val="69A8D9D0"/>
    <w:rsid w:val="6A6DBE50"/>
    <w:rsid w:val="6B3D7C4D"/>
    <w:rsid w:val="6BBB5263"/>
    <w:rsid w:val="6C040BF0"/>
    <w:rsid w:val="6C2B461F"/>
    <w:rsid w:val="6C8AD19C"/>
    <w:rsid w:val="6D829866"/>
    <w:rsid w:val="6DB81769"/>
    <w:rsid w:val="6DF8DCC2"/>
    <w:rsid w:val="6F788A8C"/>
    <w:rsid w:val="7021609D"/>
    <w:rsid w:val="70DBD5C1"/>
    <w:rsid w:val="71B156CF"/>
    <w:rsid w:val="7316866D"/>
    <w:rsid w:val="742517F4"/>
    <w:rsid w:val="74EAE514"/>
    <w:rsid w:val="76812036"/>
    <w:rsid w:val="79058A68"/>
    <w:rsid w:val="79227FA8"/>
    <w:rsid w:val="796B6BD3"/>
    <w:rsid w:val="79919A26"/>
    <w:rsid w:val="7A484280"/>
    <w:rsid w:val="7A6310E1"/>
    <w:rsid w:val="7BC2717C"/>
    <w:rsid w:val="7D00F8FD"/>
    <w:rsid w:val="7D788B16"/>
    <w:rsid w:val="7F0F0229"/>
    <w:rsid w:val="7F16C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4065F"/>
  <w15:chartTrackingRefBased/>
  <w15:docId w15:val="{5A553055-BEAB-4245-86F0-F13CFB807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uiPriority w:val="9"/>
    <w:unhideWhenUsed/>
    <w:qFormat/>
    <w:rsid w:val="3BC40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3BC40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3BC40808"/>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BC40808"/>
    <w:pPr>
      <w:ind w:left="720"/>
      <w:contextualSpacing/>
    </w:p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79227FA8"/>
    <w:rPr>
      <w:color w:val="467886"/>
      <w:u w:val="single"/>
    </w:rPr>
  </w:style>
  <w:style w:type="paragraph" w:styleId="TOC3">
    <w:name w:val="toc 3"/>
    <w:basedOn w:val="Normal"/>
    <w:next w:val="Normal"/>
    <w:uiPriority w:val="39"/>
    <w:unhideWhenUsed/>
    <w:rsid w:val="79227FA8"/>
    <w:pPr>
      <w:spacing w:after="100"/>
      <w:ind w:left="440"/>
    </w:pPr>
  </w:style>
  <w:style w:type="paragraph" w:styleId="TOC2">
    <w:name w:val="toc 2"/>
    <w:basedOn w:val="Normal"/>
    <w:next w:val="Normal"/>
    <w:uiPriority w:val="39"/>
    <w:unhideWhenUsed/>
    <w:rsid w:val="79227FA8"/>
    <w:pPr>
      <w:spacing w:after="100"/>
      <w:ind w:left="220"/>
    </w:pPr>
  </w:style>
  <w:style w:type="paragraph" w:styleId="TOC4">
    <w:name w:val="toc 4"/>
    <w:basedOn w:val="Normal"/>
    <w:next w:val="Normal"/>
    <w:uiPriority w:val="39"/>
    <w:unhideWhenUsed/>
    <w:rsid w:val="79227FA8"/>
    <w:pPr>
      <w:spacing w:after="100"/>
      <w:ind w:left="660"/>
    </w:pPr>
  </w:style>
  <w:style w:type="table" w:styleId="PlainTable2">
    <w:name w:val="Plain Table 2"/>
    <w:basedOn w:val="TableNormal"/>
    <w:uiPriority w:val="42"/>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1C0A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0AA6"/>
  </w:style>
  <w:style w:type="paragraph" w:styleId="Footer">
    <w:name w:val="footer"/>
    <w:basedOn w:val="Normal"/>
    <w:link w:val="FooterChar"/>
    <w:uiPriority w:val="99"/>
    <w:unhideWhenUsed/>
    <w:rsid w:val="001C0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0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FD830-BD14-4E18-8506-11DAB8E44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35</Pages>
  <Words>6941</Words>
  <Characters>39570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nabigha Faheem'S</dc:creator>
  <cp:keywords/>
  <dc:description/>
  <cp:lastModifiedBy>Admin</cp:lastModifiedBy>
  <cp:revision>3</cp:revision>
  <dcterms:created xsi:type="dcterms:W3CDTF">2025-11-24T00:52:00Z</dcterms:created>
  <dcterms:modified xsi:type="dcterms:W3CDTF">2025-11-24T00:59:00Z</dcterms:modified>
</cp:coreProperties>
</file>