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ind w:firstLine="0"/>
        <w:jc w:val="center"/>
        <w:rPr>
          <w:rFonts w:ascii="Calibri" w:hAnsi="Calibri" w:cs="Calibri"/>
          <w:b/>
          <w:bCs/>
          <w:sz w:val="32"/>
          <w:szCs w:val="32"/>
        </w:rPr>
      </w:pPr>
    </w:p>
    <w:p>
      <w:pPr>
        <w:ind w:firstLine="0"/>
        <w:jc w:val="center"/>
        <w:rPr>
          <w:rFonts w:ascii="Calibri" w:hAnsi="Calibri" w:cs="Calibri"/>
          <w:b/>
          <w:bCs/>
          <w:sz w:val="32"/>
          <w:szCs w:val="32"/>
        </w:rPr>
      </w:pPr>
    </w:p>
    <w:p>
      <w:pPr>
        <w:ind w:firstLine="0"/>
        <w:jc w:val="center"/>
        <w:rPr>
          <w:rFonts w:ascii="Calibri" w:hAnsi="Calibri" w:cs="Calibri"/>
          <w:b/>
          <w:bCs/>
          <w:sz w:val="32"/>
          <w:szCs w:val="32"/>
        </w:rPr>
      </w:pPr>
    </w:p>
    <w:p>
      <w:pPr>
        <w:ind w:firstLine="0"/>
        <w:jc w:val="center"/>
        <w:rPr>
          <w:rFonts w:ascii="Calibri" w:hAnsi="Calibri" w:cs="Calibri"/>
          <w:b/>
          <w:bCs/>
          <w:sz w:val="32"/>
          <w:szCs w:val="32"/>
        </w:rPr>
      </w:pPr>
    </w:p>
    <w:p>
      <w:pPr>
        <w:ind w:firstLine="0"/>
        <w:jc w:val="both"/>
        <w:rPr>
          <w:rFonts w:ascii="Calibri" w:hAnsi="Calibri" w:cs="Calibri"/>
          <w:b/>
          <w:bCs/>
          <w:sz w:val="32"/>
          <w:szCs w:val="32"/>
        </w:rPr>
      </w:pPr>
    </w:p>
    <w:p>
      <w:pPr>
        <w:ind w:firstLine="0"/>
        <w:jc w:val="center"/>
        <w:rPr>
          <w:rFonts w:ascii="Calibri" w:hAnsi="Calibri" w:cs="Calibri"/>
          <w:b/>
          <w:bCs/>
          <w:sz w:val="32"/>
          <w:szCs w:val="32"/>
        </w:rPr>
      </w:pPr>
    </w:p>
    <w:p>
      <w:pPr>
        <w:ind w:firstLine="0"/>
        <w:jc w:val="center"/>
        <w:rPr>
          <w:rFonts w:ascii="Calibri" w:hAnsi="Calibri" w:cs="Calibri"/>
          <w:b/>
          <w:bCs/>
          <w:sz w:val="32"/>
          <w:szCs w:val="32"/>
        </w:rPr>
      </w:pPr>
      <w:r>
        <w:rPr>
          <w:rFonts w:ascii="Calibri" w:hAnsi="Calibri" w:cs="Calibri"/>
          <w:b/>
          <w:bCs/>
          <w:sz w:val="32"/>
          <w:szCs w:val="32"/>
        </w:rPr>
        <w:t>Human Resouce on Performance Mangement At Walmart Inc.</w:t>
      </w:r>
    </w:p>
    <w:p>
      <w:pPr>
        <w:ind w:firstLine="0"/>
        <w:jc w:val="center"/>
        <w:rPr>
          <w:rFonts w:hint="default" w:ascii="Calibri" w:hAnsi="Calibri" w:cs="Calibri"/>
          <w:b/>
          <w:bCs/>
          <w:sz w:val="32"/>
          <w:szCs w:val="32"/>
          <w:lang w:val="en-US"/>
        </w:rPr>
      </w:pPr>
      <w:r>
        <w:rPr>
          <w:rFonts w:ascii="Calibri" w:hAnsi="Calibri" w:cs="Calibri"/>
          <w:b/>
          <w:bCs/>
          <w:sz w:val="32"/>
          <w:szCs w:val="32"/>
          <w:lang w:val="en-US" w:eastAsia="zh-CN"/>
        </w:rPr>
        <w:t>Programme: MBA</w:t>
      </w:r>
      <w:r>
        <w:rPr>
          <w:rFonts w:hint="eastAsia" w:ascii="Calibri" w:hAnsi="Calibri" w:cs="Calibri"/>
          <w:b/>
          <w:bCs/>
          <w:sz w:val="32"/>
          <w:szCs w:val="32"/>
          <w:lang w:val="en-US" w:eastAsia="zh-CN"/>
        </w:rPr>
        <w:t>-</w:t>
      </w:r>
      <w:r>
        <w:rPr>
          <w:rFonts w:hAnsi="宋体" w:eastAsia="宋体" w:cs="宋体"/>
          <w:b/>
          <w:sz w:val="32"/>
          <w:szCs w:val="32"/>
        </w:rPr>
        <w:t>BMMB7007</w:t>
      </w:r>
    </w:p>
    <w:p>
      <w:pPr>
        <w:ind w:firstLine="0"/>
        <w:jc w:val="both"/>
        <w:rPr>
          <w:rFonts w:ascii="Calibri" w:hAnsi="Calibri" w:cs="Calibri"/>
          <w:b/>
          <w:bCs/>
          <w:lang w:val="en-US" w:eastAsia="zh-CN"/>
        </w:rPr>
      </w:pPr>
    </w:p>
    <w:p>
      <w:pPr>
        <w:ind w:firstLine="0"/>
        <w:jc w:val="both"/>
        <w:rPr>
          <w:rFonts w:ascii="Calibri" w:hAnsi="Calibri" w:cs="Calibri"/>
          <w:b/>
          <w:bCs/>
          <w:lang w:val="en-US" w:eastAsia="zh-CN"/>
        </w:rPr>
      </w:pPr>
    </w:p>
    <w:p>
      <w:pPr>
        <w:ind w:firstLine="0"/>
        <w:jc w:val="both"/>
        <w:rPr>
          <w:rFonts w:ascii="Calibri" w:hAnsi="Calibri" w:cs="Calibri"/>
          <w:b/>
          <w:bCs/>
          <w:lang w:val="en-US" w:eastAsia="zh-CN"/>
        </w:rPr>
      </w:pPr>
    </w:p>
    <w:p>
      <w:pPr>
        <w:ind w:firstLine="0"/>
        <w:jc w:val="both"/>
        <w:rPr>
          <w:rFonts w:ascii="Calibri" w:hAnsi="Calibri" w:cs="Calibri"/>
          <w:b/>
          <w:bCs/>
          <w:lang w:val="en-US" w:eastAsia="zh-CN"/>
        </w:rPr>
      </w:pPr>
    </w:p>
    <w:p>
      <w:pPr>
        <w:ind w:firstLine="0"/>
        <w:jc w:val="center"/>
        <w:rPr>
          <w:rFonts w:hint="default" w:hAnsi="宋体" w:eastAsia="宋体" w:cs="宋体"/>
          <w:b/>
          <w:sz w:val="22"/>
          <w:szCs w:val="22"/>
          <w:lang w:val="en-US" w:eastAsia="zh-CN"/>
        </w:rPr>
      </w:pPr>
      <w:r>
        <w:rPr>
          <w:rFonts w:cs="Arial"/>
          <w:b/>
          <w:sz w:val="22"/>
          <w:szCs w:val="22"/>
        </w:rPr>
        <w:t>Student name:</w:t>
      </w:r>
      <w:r>
        <w:rPr>
          <w:rFonts w:hint="eastAsia" w:eastAsia="宋体" w:cs="Arial"/>
          <w:b/>
          <w:sz w:val="22"/>
          <w:szCs w:val="22"/>
          <w:lang w:val="en-US" w:eastAsia="zh-CN"/>
        </w:rPr>
        <w:t>Yuanjun Peng</w:t>
      </w:r>
    </w:p>
    <w:p>
      <w:pPr>
        <w:ind w:firstLine="0"/>
        <w:jc w:val="center"/>
        <w:rPr>
          <w:rFonts w:hint="default" w:eastAsia="宋体" w:cs="Arial"/>
          <w:b/>
          <w:sz w:val="22"/>
          <w:szCs w:val="22"/>
          <w:lang w:val="en-US" w:eastAsia="zh-CN"/>
        </w:rPr>
      </w:pPr>
      <w:r>
        <w:rPr>
          <w:rFonts w:cs="Arial"/>
          <w:b/>
          <w:sz w:val="22"/>
          <w:szCs w:val="22"/>
        </w:rPr>
        <w:t>Student ID number:</w:t>
      </w:r>
      <w:r>
        <w:rPr>
          <w:rFonts w:hint="eastAsia" w:eastAsia="宋体" w:cs="Arial"/>
          <w:b/>
          <w:sz w:val="22"/>
          <w:szCs w:val="22"/>
          <w:lang w:val="en-US" w:eastAsia="zh-CN"/>
        </w:rPr>
        <w:t>2232843</w:t>
      </w:r>
    </w:p>
    <w:p>
      <w:pPr>
        <w:ind w:firstLine="0"/>
        <w:rPr>
          <w:rFonts w:ascii="Calibri" w:hAnsi="Calibri" w:cs="Calibri"/>
          <w:b/>
          <w:bCs/>
          <w:lang w:val="en-GB" w:eastAsia="en-GB"/>
        </w:rPr>
      </w:pPr>
    </w:p>
    <w:p>
      <w:pPr>
        <w:ind w:firstLine="0"/>
        <w:rPr>
          <w:rFonts w:ascii="Calibri" w:hAnsi="Calibri" w:cs="Calibri"/>
          <w:b/>
          <w:bCs/>
          <w:lang w:val="en-GB" w:eastAsia="en-GB"/>
        </w:rPr>
      </w:pPr>
    </w:p>
    <w:p>
      <w:pPr>
        <w:ind w:firstLine="0"/>
        <w:rPr>
          <w:rFonts w:ascii="Calibri" w:hAnsi="Calibri" w:cs="Calibri"/>
          <w:b/>
          <w:bCs/>
          <w:lang w:val="en-GB" w:eastAsia="en-GB"/>
        </w:rPr>
      </w:pPr>
    </w:p>
    <w:p>
      <w:pPr>
        <w:ind w:firstLine="0"/>
        <w:rPr>
          <w:rFonts w:ascii="Calibri" w:hAnsi="Calibri" w:cs="Calibri"/>
          <w:b/>
          <w:bCs/>
          <w:lang w:val="en-GB" w:eastAsia="en-GB"/>
        </w:rPr>
      </w:pPr>
    </w:p>
    <w:p>
      <w:pPr>
        <w:ind w:firstLine="0"/>
        <w:rPr>
          <w:rFonts w:ascii="Calibri" w:hAnsi="Calibri" w:cs="Calibri"/>
          <w:b/>
          <w:bCs/>
          <w:lang w:val="en-GB" w:eastAsia="en-GB"/>
        </w:rPr>
      </w:pPr>
    </w:p>
    <w:p>
      <w:pPr>
        <w:ind w:firstLine="0"/>
        <w:rPr>
          <w:rFonts w:ascii="Calibri" w:hAnsi="Calibri" w:cs="Calibri"/>
          <w:b/>
          <w:bCs/>
          <w:lang w:val="en-GB" w:eastAsia="en-GB"/>
        </w:rPr>
      </w:pPr>
    </w:p>
    <w:p>
      <w:pPr>
        <w:pStyle w:val="2"/>
        <w:numPr>
          <w:ilvl w:val="0"/>
          <w:numId w:val="0"/>
        </w:numPr>
        <w:jc w:val="center"/>
      </w:pPr>
      <w:bookmarkStart w:id="0" w:name="_Toc9824"/>
      <w:r>
        <w:t>Executive summary</w:t>
      </w:r>
      <w:bookmarkEnd w:id="0"/>
    </w:p>
    <w:p>
      <w:pPr>
        <w:spacing w:line="360" w:lineRule="auto"/>
        <w:jc w:val="both"/>
        <w:rPr>
          <w:rFonts w:ascii="Calibri" w:hAnsi="Calibri" w:cs="Calibri"/>
          <w:sz w:val="22"/>
          <w:szCs w:val="22"/>
          <w:lang w:val="en-GB" w:eastAsia="en-GB"/>
        </w:rPr>
      </w:pPr>
      <w:r>
        <w:rPr>
          <w:rFonts w:ascii="Calibri" w:hAnsi="Calibri" w:cs="Calibri"/>
          <w:sz w:val="22"/>
          <w:szCs w:val="22"/>
          <w:lang w:val="en-GB" w:eastAsia="en-GB"/>
        </w:rPr>
        <w:t xml:space="preserve">Throughout time, there have been considerable developments in performance management. Performance management now considers employee welfare, regular training feedback, and artificial intelligence used to increase performance productivity. Performance management includes ongoing communication and interaction between employees and managers to boost productivity and foster a positive work environment </w:t>
      </w:r>
      <w:r>
        <w:rPr>
          <w:rFonts w:ascii="Calibri" w:hAnsi="Calibri" w:cs="Calibri"/>
          <w:sz w:val="22"/>
          <w:szCs w:val="22"/>
          <w:lang w:eastAsia="en-GB"/>
        </w:rPr>
        <w:t>(Barua &amp; Bhattacharya, 2023)</w:t>
      </w:r>
      <w:r>
        <w:rPr>
          <w:rFonts w:ascii="Calibri" w:hAnsi="Calibri" w:cs="Calibri"/>
          <w:sz w:val="22"/>
          <w:szCs w:val="22"/>
          <w:lang w:val="en-GB" w:eastAsia="en-GB"/>
        </w:rPr>
        <w:t>. Periodic evaluations are done to see whether the organizational objectives are being met, and when necessary, these evaluations are shared with the staff. This essay evaluates Walmart's performance management, one of the largest American retailers with locations across 15 different countries. The first section describes the current situation and includes an analysis of the company's market and environmental factors. The following performance management system diagnostic involves analyzing the present performance management system and highlighting systemic issues. The benefits and drawbacks of Walmart's performance management approach are also current. Improvement choices are presented based on the concerns found. The best solution is then suggested to assist the firm in retaining its existing competitive edge and market share.</w:t>
      </w:r>
    </w:p>
    <w:p>
      <w:pPr>
        <w:spacing w:line="360" w:lineRule="auto"/>
        <w:rPr>
          <w:rFonts w:ascii="Calibri" w:hAnsi="Calibri" w:cs="Calibri"/>
          <w:sz w:val="22"/>
          <w:szCs w:val="22"/>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pStyle w:val="24"/>
        <w:keepNext/>
        <w:keepLines/>
        <w:pageBreakBefore w:val="0"/>
        <w:widowControl/>
        <w:kinsoku/>
        <w:wordWrap/>
        <w:overflowPunct/>
        <w:topLinePunct w:val="0"/>
        <w:autoSpaceDE/>
        <w:autoSpaceDN/>
        <w:bidi w:val="0"/>
        <w:adjustRightInd/>
        <w:snapToGrid/>
        <w:spacing w:line="260" w:lineRule="auto"/>
        <w:ind w:left="277" w:leftChars="0" w:hanging="277" w:hangingChars="126"/>
        <w:jc w:val="center"/>
        <w:textAlignment w:val="auto"/>
        <w:rPr>
          <w:b/>
          <w:bCs/>
          <w:color w:val="auto"/>
          <w:sz w:val="22"/>
          <w:szCs w:val="22"/>
        </w:rPr>
      </w:pPr>
      <w:r>
        <w:rPr>
          <w:b/>
          <w:bCs/>
          <w:color w:val="auto"/>
          <w:sz w:val="22"/>
          <w:szCs w:val="22"/>
        </w:rPr>
        <w:t>Table of Contents</w:t>
      </w:r>
    </w:p>
    <w:p>
      <w:pPr>
        <w:pStyle w:val="8"/>
        <w:tabs>
          <w:tab w:val="right" w:leader="dot" w:pos="9360"/>
        </w:tabs>
        <w:spacing w:after="0" w:line="360" w:lineRule="auto"/>
        <w:ind w:firstLine="0"/>
        <w:rPr>
          <w:rFonts w:ascii="Calibri" w:hAnsi="Calibri" w:cs="Calibri"/>
          <w:sz w:val="22"/>
          <w:szCs w:val="22"/>
        </w:rPr>
      </w:pPr>
      <w:r>
        <w:rPr>
          <w:rFonts w:ascii="Calibri" w:hAnsi="Calibri" w:cs="Calibri"/>
          <w:sz w:val="22"/>
          <w:szCs w:val="22"/>
        </w:rPr>
        <w:fldChar w:fldCharType="begin"/>
      </w:r>
      <w:r>
        <w:rPr>
          <w:rFonts w:ascii="Calibri" w:hAnsi="Calibri" w:cs="Calibri"/>
          <w:sz w:val="22"/>
          <w:szCs w:val="22"/>
        </w:rPr>
        <w:instrText xml:space="preserve"> TOC \o "1-3" \h \z \u </w:instrText>
      </w:r>
      <w:r>
        <w:rPr>
          <w:rFonts w:ascii="Calibri" w:hAnsi="Calibri" w:cs="Calibri"/>
          <w:sz w:val="22"/>
          <w:szCs w:val="22"/>
        </w:rPr>
        <w:fldChar w:fldCharType="separate"/>
      </w:r>
      <w:r>
        <w:fldChar w:fldCharType="begin"/>
      </w:r>
      <w:r>
        <w:instrText xml:space="preserve"> HYPERLINK \l "_Toc9824" </w:instrText>
      </w:r>
      <w:r>
        <w:fldChar w:fldCharType="separate"/>
      </w:r>
      <w:r>
        <w:rPr>
          <w:rFonts w:ascii="Calibri" w:hAnsi="Calibri" w:cs="Calibri"/>
          <w:sz w:val="22"/>
          <w:szCs w:val="22"/>
        </w:rPr>
        <w:t>Executive summary</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_Toc9824 \h </w:instrText>
      </w:r>
      <w:r>
        <w:rPr>
          <w:rFonts w:ascii="Calibri" w:hAnsi="Calibri" w:cs="Calibri"/>
          <w:sz w:val="22"/>
          <w:szCs w:val="22"/>
        </w:rPr>
        <w:fldChar w:fldCharType="separate"/>
      </w:r>
      <w:r>
        <w:rPr>
          <w:rFonts w:ascii="Calibri" w:hAnsi="Calibri" w:cs="Calibri"/>
          <w:sz w:val="22"/>
          <w:szCs w:val="22"/>
        </w:rPr>
        <w:t>2</w:t>
      </w:r>
      <w:r>
        <w:rPr>
          <w:rFonts w:ascii="Calibri" w:hAnsi="Calibri" w:cs="Calibri"/>
          <w:sz w:val="22"/>
          <w:szCs w:val="22"/>
        </w:rPr>
        <w:fldChar w:fldCharType="end"/>
      </w:r>
      <w:r>
        <w:fldChar w:fldCharType="end"/>
      </w:r>
    </w:p>
    <w:p>
      <w:pPr>
        <w:pStyle w:val="8"/>
        <w:tabs>
          <w:tab w:val="right" w:leader="dot" w:pos="9360"/>
        </w:tabs>
        <w:spacing w:after="0" w:line="360" w:lineRule="auto"/>
        <w:ind w:firstLine="0"/>
        <w:rPr>
          <w:rFonts w:ascii="Calibri" w:hAnsi="Calibri" w:cs="Calibri"/>
          <w:sz w:val="22"/>
          <w:szCs w:val="22"/>
        </w:rPr>
      </w:pPr>
      <w:r>
        <w:fldChar w:fldCharType="begin"/>
      </w:r>
      <w:r>
        <w:instrText xml:space="preserve"> HYPERLINK \l "_Toc22107" </w:instrText>
      </w:r>
      <w:r>
        <w:fldChar w:fldCharType="separate"/>
      </w:r>
      <w:r>
        <w:rPr>
          <w:rFonts w:ascii="Calibri" w:hAnsi="Calibri" w:cs="Calibri"/>
          <w:sz w:val="22"/>
          <w:szCs w:val="22"/>
        </w:rPr>
        <w:t>1.0. Introduction</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_Toc22107 \h </w:instrText>
      </w:r>
      <w:r>
        <w:rPr>
          <w:rFonts w:ascii="Calibri" w:hAnsi="Calibri" w:cs="Calibri"/>
          <w:sz w:val="22"/>
          <w:szCs w:val="22"/>
        </w:rPr>
        <w:fldChar w:fldCharType="separate"/>
      </w:r>
      <w:r>
        <w:rPr>
          <w:rFonts w:ascii="Calibri" w:hAnsi="Calibri" w:cs="Calibri"/>
          <w:sz w:val="22"/>
          <w:szCs w:val="22"/>
        </w:rPr>
        <w:t>4</w:t>
      </w:r>
      <w:r>
        <w:rPr>
          <w:rFonts w:ascii="Calibri" w:hAnsi="Calibri" w:cs="Calibri"/>
          <w:sz w:val="22"/>
          <w:szCs w:val="22"/>
        </w:rPr>
        <w:fldChar w:fldCharType="end"/>
      </w:r>
      <w:r>
        <w:fldChar w:fldCharType="end"/>
      </w:r>
    </w:p>
    <w:p>
      <w:pPr>
        <w:pStyle w:val="8"/>
        <w:tabs>
          <w:tab w:val="right" w:leader="dot" w:pos="9360"/>
        </w:tabs>
        <w:spacing w:after="0" w:line="360" w:lineRule="auto"/>
        <w:ind w:firstLine="0"/>
        <w:rPr>
          <w:rFonts w:ascii="Calibri" w:hAnsi="Calibri" w:cs="Calibri"/>
          <w:sz w:val="22"/>
          <w:szCs w:val="22"/>
        </w:rPr>
      </w:pPr>
      <w:r>
        <w:fldChar w:fldCharType="begin"/>
      </w:r>
      <w:r>
        <w:instrText xml:space="preserve"> HYPERLINK \l "_Toc32761" </w:instrText>
      </w:r>
      <w:r>
        <w:fldChar w:fldCharType="separate"/>
      </w:r>
      <w:r>
        <w:rPr>
          <w:rFonts w:ascii="Calibri" w:hAnsi="Calibri" w:cs="Calibri"/>
          <w:sz w:val="22"/>
          <w:szCs w:val="22"/>
        </w:rPr>
        <w:t>2.0. Organizational Overview</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_Toc32761 \h </w:instrText>
      </w:r>
      <w:r>
        <w:rPr>
          <w:rFonts w:ascii="Calibri" w:hAnsi="Calibri" w:cs="Calibri"/>
          <w:sz w:val="22"/>
          <w:szCs w:val="22"/>
        </w:rPr>
        <w:fldChar w:fldCharType="separate"/>
      </w:r>
      <w:r>
        <w:rPr>
          <w:rFonts w:ascii="Calibri" w:hAnsi="Calibri" w:cs="Calibri"/>
          <w:sz w:val="22"/>
          <w:szCs w:val="22"/>
        </w:rPr>
        <w:t>4</w:t>
      </w:r>
      <w:r>
        <w:rPr>
          <w:rFonts w:ascii="Calibri" w:hAnsi="Calibri" w:cs="Calibri"/>
          <w:sz w:val="22"/>
          <w:szCs w:val="22"/>
        </w:rPr>
        <w:fldChar w:fldCharType="end"/>
      </w:r>
      <w:r>
        <w:fldChar w:fldCharType="end"/>
      </w:r>
    </w:p>
    <w:p>
      <w:pPr>
        <w:pStyle w:val="10"/>
        <w:tabs>
          <w:tab w:val="right" w:leader="dot" w:pos="9360"/>
        </w:tabs>
        <w:spacing w:after="0" w:line="360" w:lineRule="auto"/>
        <w:ind w:left="0" w:firstLine="240" w:firstLineChars="100"/>
        <w:rPr>
          <w:rFonts w:ascii="Calibri" w:hAnsi="Calibri" w:cs="Calibri"/>
          <w:sz w:val="22"/>
          <w:szCs w:val="22"/>
        </w:rPr>
      </w:pPr>
      <w:r>
        <w:fldChar w:fldCharType="begin"/>
      </w:r>
      <w:r>
        <w:instrText xml:space="preserve"> HYPERLINK \l "_Toc32480" </w:instrText>
      </w:r>
      <w:r>
        <w:fldChar w:fldCharType="separate"/>
      </w:r>
      <w:r>
        <w:rPr>
          <w:rFonts w:ascii="Calibri" w:hAnsi="Calibri" w:cs="Calibri"/>
          <w:sz w:val="22"/>
          <w:szCs w:val="22"/>
          <w:lang w:val="en-GB" w:eastAsia="en-GB"/>
        </w:rPr>
        <w:t>2.1. Background History of Walmart</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_Toc32480 \h </w:instrText>
      </w:r>
      <w:r>
        <w:rPr>
          <w:rFonts w:ascii="Calibri" w:hAnsi="Calibri" w:cs="Calibri"/>
          <w:sz w:val="22"/>
          <w:szCs w:val="22"/>
        </w:rPr>
        <w:fldChar w:fldCharType="separate"/>
      </w:r>
      <w:r>
        <w:rPr>
          <w:rFonts w:ascii="Calibri" w:hAnsi="Calibri" w:cs="Calibri"/>
          <w:sz w:val="22"/>
          <w:szCs w:val="22"/>
        </w:rPr>
        <w:t>4</w:t>
      </w:r>
      <w:r>
        <w:rPr>
          <w:rFonts w:ascii="Calibri" w:hAnsi="Calibri" w:cs="Calibri"/>
          <w:sz w:val="22"/>
          <w:szCs w:val="22"/>
        </w:rPr>
        <w:fldChar w:fldCharType="end"/>
      </w:r>
      <w:r>
        <w:fldChar w:fldCharType="end"/>
      </w:r>
    </w:p>
    <w:p>
      <w:pPr>
        <w:pStyle w:val="10"/>
        <w:tabs>
          <w:tab w:val="right" w:leader="dot" w:pos="9360"/>
        </w:tabs>
        <w:spacing w:after="0" w:line="360" w:lineRule="auto"/>
        <w:ind w:left="0" w:firstLine="240" w:firstLineChars="100"/>
        <w:rPr>
          <w:rFonts w:ascii="Calibri" w:hAnsi="Calibri" w:cs="Calibri"/>
          <w:sz w:val="22"/>
          <w:szCs w:val="22"/>
        </w:rPr>
      </w:pPr>
      <w:r>
        <w:fldChar w:fldCharType="begin"/>
      </w:r>
      <w:r>
        <w:instrText xml:space="preserve"> HYPERLINK \l "_Toc21909" </w:instrText>
      </w:r>
      <w:r>
        <w:fldChar w:fldCharType="separate"/>
      </w:r>
      <w:r>
        <w:rPr>
          <w:rFonts w:ascii="Calibri" w:hAnsi="Calibri" w:cs="Calibri"/>
          <w:sz w:val="22"/>
          <w:szCs w:val="22"/>
        </w:rPr>
        <w:t>2.2. HR Functions at Walmart</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_Toc21909 \h </w:instrText>
      </w:r>
      <w:r>
        <w:rPr>
          <w:rFonts w:ascii="Calibri" w:hAnsi="Calibri" w:cs="Calibri"/>
          <w:sz w:val="22"/>
          <w:szCs w:val="22"/>
        </w:rPr>
        <w:fldChar w:fldCharType="separate"/>
      </w:r>
      <w:r>
        <w:rPr>
          <w:rFonts w:ascii="Calibri" w:hAnsi="Calibri" w:cs="Calibri"/>
          <w:sz w:val="22"/>
          <w:szCs w:val="22"/>
        </w:rPr>
        <w:t>4</w:t>
      </w:r>
      <w:r>
        <w:rPr>
          <w:rFonts w:ascii="Calibri" w:hAnsi="Calibri" w:cs="Calibri"/>
          <w:sz w:val="22"/>
          <w:szCs w:val="22"/>
        </w:rPr>
        <w:fldChar w:fldCharType="end"/>
      </w:r>
      <w:r>
        <w:fldChar w:fldCharType="end"/>
      </w:r>
    </w:p>
    <w:p>
      <w:pPr>
        <w:pStyle w:val="8"/>
        <w:tabs>
          <w:tab w:val="right" w:leader="dot" w:pos="9360"/>
        </w:tabs>
        <w:spacing w:after="0" w:line="360" w:lineRule="auto"/>
        <w:ind w:firstLine="0"/>
        <w:rPr>
          <w:rFonts w:ascii="Calibri" w:hAnsi="Calibri" w:cs="Calibri"/>
          <w:sz w:val="22"/>
          <w:szCs w:val="22"/>
        </w:rPr>
      </w:pPr>
      <w:r>
        <w:fldChar w:fldCharType="begin"/>
      </w:r>
      <w:r>
        <w:instrText xml:space="preserve"> HYPERLINK \l "_Toc17191" </w:instrText>
      </w:r>
      <w:r>
        <w:fldChar w:fldCharType="separate"/>
      </w:r>
      <w:r>
        <w:rPr>
          <w:rFonts w:ascii="Calibri" w:hAnsi="Calibri" w:cs="Calibri"/>
          <w:sz w:val="22"/>
          <w:szCs w:val="22"/>
        </w:rPr>
        <w:t>3.0. Main Discussion</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_Toc17191 \h </w:instrText>
      </w:r>
      <w:r>
        <w:rPr>
          <w:rFonts w:ascii="Calibri" w:hAnsi="Calibri" w:cs="Calibri"/>
          <w:sz w:val="22"/>
          <w:szCs w:val="22"/>
        </w:rPr>
        <w:fldChar w:fldCharType="separate"/>
      </w:r>
      <w:r>
        <w:rPr>
          <w:rFonts w:ascii="Calibri" w:hAnsi="Calibri" w:cs="Calibri"/>
          <w:sz w:val="22"/>
          <w:szCs w:val="22"/>
        </w:rPr>
        <w:t>5</w:t>
      </w:r>
      <w:r>
        <w:rPr>
          <w:rFonts w:ascii="Calibri" w:hAnsi="Calibri" w:cs="Calibri"/>
          <w:sz w:val="22"/>
          <w:szCs w:val="22"/>
        </w:rPr>
        <w:fldChar w:fldCharType="end"/>
      </w:r>
      <w:r>
        <w:fldChar w:fldCharType="end"/>
      </w:r>
    </w:p>
    <w:p>
      <w:pPr>
        <w:pStyle w:val="10"/>
        <w:tabs>
          <w:tab w:val="right" w:leader="dot" w:pos="9360"/>
        </w:tabs>
        <w:spacing w:after="0" w:line="360" w:lineRule="auto"/>
        <w:ind w:left="0" w:firstLine="240" w:firstLineChars="100"/>
        <w:rPr>
          <w:rFonts w:ascii="Calibri" w:hAnsi="Calibri" w:cs="Calibri"/>
          <w:sz w:val="22"/>
          <w:szCs w:val="22"/>
        </w:rPr>
      </w:pPr>
      <w:r>
        <w:fldChar w:fldCharType="begin"/>
      </w:r>
      <w:r>
        <w:instrText xml:space="preserve"> HYPERLINK \l "_Toc8590" </w:instrText>
      </w:r>
      <w:r>
        <w:fldChar w:fldCharType="separate"/>
      </w:r>
      <w:r>
        <w:rPr>
          <w:rFonts w:ascii="Calibri" w:hAnsi="Calibri" w:cs="Calibri"/>
          <w:sz w:val="22"/>
          <w:szCs w:val="22"/>
        </w:rPr>
        <w:t>3.1. Performance Management System at Walmart</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_Toc8590 \h </w:instrText>
      </w:r>
      <w:r>
        <w:rPr>
          <w:rFonts w:ascii="Calibri" w:hAnsi="Calibri" w:cs="Calibri"/>
          <w:sz w:val="22"/>
          <w:szCs w:val="22"/>
        </w:rPr>
        <w:fldChar w:fldCharType="separate"/>
      </w:r>
      <w:r>
        <w:rPr>
          <w:rFonts w:ascii="Calibri" w:hAnsi="Calibri" w:cs="Calibri"/>
          <w:sz w:val="22"/>
          <w:szCs w:val="22"/>
        </w:rPr>
        <w:t>5</w:t>
      </w:r>
      <w:r>
        <w:rPr>
          <w:rFonts w:ascii="Calibri" w:hAnsi="Calibri" w:cs="Calibri"/>
          <w:sz w:val="22"/>
          <w:szCs w:val="22"/>
        </w:rPr>
        <w:fldChar w:fldCharType="end"/>
      </w:r>
      <w:r>
        <w:fldChar w:fldCharType="end"/>
      </w:r>
    </w:p>
    <w:p>
      <w:pPr>
        <w:pStyle w:val="10"/>
        <w:tabs>
          <w:tab w:val="right" w:leader="dot" w:pos="9360"/>
        </w:tabs>
        <w:spacing w:after="0" w:line="360" w:lineRule="auto"/>
        <w:ind w:left="0" w:firstLine="240" w:firstLineChars="100"/>
        <w:rPr>
          <w:rFonts w:ascii="Calibri" w:hAnsi="Calibri" w:cs="Calibri"/>
          <w:sz w:val="22"/>
          <w:szCs w:val="22"/>
        </w:rPr>
      </w:pPr>
      <w:r>
        <w:fldChar w:fldCharType="begin"/>
      </w:r>
      <w:r>
        <w:instrText xml:space="preserve"> HYPERLINK \l "_Toc23667" </w:instrText>
      </w:r>
      <w:r>
        <w:fldChar w:fldCharType="separate"/>
      </w:r>
      <w:r>
        <w:rPr>
          <w:rFonts w:ascii="Calibri" w:hAnsi="Calibri" w:cs="Calibri"/>
          <w:sz w:val="22"/>
          <w:szCs w:val="22"/>
        </w:rPr>
        <w:t>3.2. Benefits of Performance management at Walmart</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_Toc23667 \h </w:instrText>
      </w:r>
      <w:r>
        <w:rPr>
          <w:rFonts w:ascii="Calibri" w:hAnsi="Calibri" w:cs="Calibri"/>
          <w:sz w:val="22"/>
          <w:szCs w:val="22"/>
        </w:rPr>
        <w:fldChar w:fldCharType="separate"/>
      </w:r>
      <w:r>
        <w:rPr>
          <w:rFonts w:ascii="Calibri" w:hAnsi="Calibri" w:cs="Calibri"/>
          <w:sz w:val="22"/>
          <w:szCs w:val="22"/>
        </w:rPr>
        <w:t>6</w:t>
      </w:r>
      <w:r>
        <w:rPr>
          <w:rFonts w:ascii="Calibri" w:hAnsi="Calibri" w:cs="Calibri"/>
          <w:sz w:val="22"/>
          <w:szCs w:val="22"/>
        </w:rPr>
        <w:fldChar w:fldCharType="end"/>
      </w:r>
      <w:r>
        <w:fldChar w:fldCharType="end"/>
      </w:r>
    </w:p>
    <w:p>
      <w:pPr>
        <w:pStyle w:val="10"/>
        <w:tabs>
          <w:tab w:val="right" w:leader="dot" w:pos="9360"/>
        </w:tabs>
        <w:spacing w:after="0" w:line="360" w:lineRule="auto"/>
        <w:ind w:left="0" w:firstLine="240" w:firstLineChars="100"/>
        <w:rPr>
          <w:rFonts w:ascii="Calibri" w:hAnsi="Calibri" w:cs="Calibri"/>
          <w:sz w:val="22"/>
          <w:szCs w:val="22"/>
        </w:rPr>
      </w:pPr>
      <w:r>
        <w:fldChar w:fldCharType="begin"/>
      </w:r>
      <w:r>
        <w:instrText xml:space="preserve"> HYPERLINK \l "_Toc1826" </w:instrText>
      </w:r>
      <w:r>
        <w:fldChar w:fldCharType="separate"/>
      </w:r>
      <w:r>
        <w:rPr>
          <w:rFonts w:ascii="Calibri" w:hAnsi="Calibri" w:cs="Calibri"/>
          <w:sz w:val="22"/>
          <w:szCs w:val="22"/>
        </w:rPr>
        <w:t>3.3. Weaknesses of the Perfomance Management System</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_Toc1826 \h </w:instrText>
      </w:r>
      <w:r>
        <w:rPr>
          <w:rFonts w:ascii="Calibri" w:hAnsi="Calibri" w:cs="Calibri"/>
          <w:sz w:val="22"/>
          <w:szCs w:val="22"/>
        </w:rPr>
        <w:fldChar w:fldCharType="separate"/>
      </w:r>
      <w:r>
        <w:rPr>
          <w:rFonts w:ascii="Calibri" w:hAnsi="Calibri" w:cs="Calibri"/>
          <w:sz w:val="22"/>
          <w:szCs w:val="22"/>
        </w:rPr>
        <w:t>7</w:t>
      </w:r>
      <w:r>
        <w:rPr>
          <w:rFonts w:ascii="Calibri" w:hAnsi="Calibri" w:cs="Calibri"/>
          <w:sz w:val="22"/>
          <w:szCs w:val="22"/>
        </w:rPr>
        <w:fldChar w:fldCharType="end"/>
      </w:r>
      <w:r>
        <w:fldChar w:fldCharType="end"/>
      </w:r>
    </w:p>
    <w:p>
      <w:pPr>
        <w:pStyle w:val="8"/>
        <w:tabs>
          <w:tab w:val="right" w:leader="dot" w:pos="9360"/>
        </w:tabs>
        <w:spacing w:after="0" w:line="360" w:lineRule="auto"/>
        <w:ind w:firstLine="0"/>
        <w:rPr>
          <w:rFonts w:ascii="Calibri" w:hAnsi="Calibri" w:cs="Calibri"/>
          <w:sz w:val="22"/>
          <w:szCs w:val="22"/>
        </w:rPr>
      </w:pPr>
      <w:r>
        <w:fldChar w:fldCharType="begin"/>
      </w:r>
      <w:r>
        <w:instrText xml:space="preserve"> HYPERLINK \l "_Toc7151" </w:instrText>
      </w:r>
      <w:r>
        <w:fldChar w:fldCharType="separate"/>
      </w:r>
      <w:r>
        <w:rPr>
          <w:rFonts w:ascii="Calibri" w:hAnsi="Calibri" w:cs="Calibri"/>
          <w:sz w:val="22"/>
          <w:szCs w:val="22"/>
        </w:rPr>
        <w:t>4.0. Recommendations</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_Toc7151 \h </w:instrText>
      </w:r>
      <w:r>
        <w:rPr>
          <w:rFonts w:ascii="Calibri" w:hAnsi="Calibri" w:cs="Calibri"/>
          <w:sz w:val="22"/>
          <w:szCs w:val="22"/>
        </w:rPr>
        <w:fldChar w:fldCharType="separate"/>
      </w:r>
      <w:r>
        <w:rPr>
          <w:rFonts w:ascii="Calibri" w:hAnsi="Calibri" w:cs="Calibri"/>
          <w:sz w:val="22"/>
          <w:szCs w:val="22"/>
        </w:rPr>
        <w:t>8</w:t>
      </w:r>
      <w:r>
        <w:rPr>
          <w:rFonts w:ascii="Calibri" w:hAnsi="Calibri" w:cs="Calibri"/>
          <w:sz w:val="22"/>
          <w:szCs w:val="22"/>
        </w:rPr>
        <w:fldChar w:fldCharType="end"/>
      </w:r>
      <w:r>
        <w:fldChar w:fldCharType="end"/>
      </w:r>
    </w:p>
    <w:p>
      <w:pPr>
        <w:pStyle w:val="8"/>
        <w:tabs>
          <w:tab w:val="right" w:leader="dot" w:pos="9360"/>
        </w:tabs>
        <w:spacing w:after="0" w:line="360" w:lineRule="auto"/>
        <w:ind w:firstLine="0"/>
        <w:rPr>
          <w:rFonts w:ascii="Calibri" w:hAnsi="Calibri" w:cs="Calibri"/>
          <w:sz w:val="22"/>
          <w:szCs w:val="22"/>
        </w:rPr>
      </w:pPr>
      <w:r>
        <w:fldChar w:fldCharType="begin"/>
      </w:r>
      <w:r>
        <w:instrText xml:space="preserve"> HYPERLINK \l "_Toc27179" </w:instrText>
      </w:r>
      <w:r>
        <w:fldChar w:fldCharType="separate"/>
      </w:r>
      <w:r>
        <w:rPr>
          <w:rFonts w:ascii="Calibri" w:hAnsi="Calibri" w:cs="Calibri"/>
          <w:sz w:val="22"/>
          <w:szCs w:val="22"/>
        </w:rPr>
        <w:t>5.0. Conclusions</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_Toc27179 \h </w:instrText>
      </w:r>
      <w:r>
        <w:rPr>
          <w:rFonts w:ascii="Calibri" w:hAnsi="Calibri" w:cs="Calibri"/>
          <w:sz w:val="22"/>
          <w:szCs w:val="22"/>
        </w:rPr>
        <w:fldChar w:fldCharType="separate"/>
      </w:r>
      <w:r>
        <w:rPr>
          <w:rFonts w:ascii="Calibri" w:hAnsi="Calibri" w:cs="Calibri"/>
          <w:sz w:val="22"/>
          <w:szCs w:val="22"/>
        </w:rPr>
        <w:t>9</w:t>
      </w:r>
      <w:r>
        <w:rPr>
          <w:rFonts w:ascii="Calibri" w:hAnsi="Calibri" w:cs="Calibri"/>
          <w:sz w:val="22"/>
          <w:szCs w:val="22"/>
        </w:rPr>
        <w:fldChar w:fldCharType="end"/>
      </w:r>
      <w:r>
        <w:fldChar w:fldCharType="end"/>
      </w:r>
    </w:p>
    <w:p>
      <w:pPr>
        <w:pStyle w:val="8"/>
        <w:tabs>
          <w:tab w:val="right" w:leader="dot" w:pos="9360"/>
        </w:tabs>
        <w:spacing w:after="0" w:line="360" w:lineRule="auto"/>
        <w:ind w:firstLine="0"/>
        <w:rPr>
          <w:rFonts w:ascii="Calibri" w:hAnsi="Calibri" w:cs="Calibri"/>
          <w:sz w:val="22"/>
          <w:szCs w:val="22"/>
        </w:rPr>
      </w:pPr>
      <w:r>
        <w:fldChar w:fldCharType="begin"/>
      </w:r>
      <w:r>
        <w:instrText xml:space="preserve"> HYPERLINK \l "_Toc14330" </w:instrText>
      </w:r>
      <w:r>
        <w:fldChar w:fldCharType="separate"/>
      </w:r>
      <w:r>
        <w:rPr>
          <w:rFonts w:ascii="Calibri" w:hAnsi="Calibri" w:cs="Calibri"/>
          <w:sz w:val="22"/>
          <w:szCs w:val="22"/>
        </w:rPr>
        <w:t>6.0. References</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_Toc14330 \h </w:instrText>
      </w:r>
      <w:r>
        <w:rPr>
          <w:rFonts w:ascii="Calibri" w:hAnsi="Calibri" w:cs="Calibri"/>
          <w:sz w:val="22"/>
          <w:szCs w:val="22"/>
        </w:rPr>
        <w:fldChar w:fldCharType="separate"/>
      </w:r>
      <w:r>
        <w:rPr>
          <w:rFonts w:ascii="Calibri" w:hAnsi="Calibri" w:cs="Calibri"/>
          <w:sz w:val="22"/>
          <w:szCs w:val="22"/>
        </w:rPr>
        <w:t>11</w:t>
      </w:r>
      <w:r>
        <w:rPr>
          <w:rFonts w:ascii="Calibri" w:hAnsi="Calibri" w:cs="Calibri"/>
          <w:sz w:val="22"/>
          <w:szCs w:val="22"/>
        </w:rPr>
        <w:fldChar w:fldCharType="end"/>
      </w:r>
      <w:r>
        <w:fldChar w:fldCharType="end"/>
      </w:r>
    </w:p>
    <w:p>
      <w:pPr>
        <w:pStyle w:val="8"/>
        <w:tabs>
          <w:tab w:val="right" w:leader="dot" w:pos="9360"/>
        </w:tabs>
        <w:spacing w:after="0" w:line="360" w:lineRule="auto"/>
        <w:ind w:firstLine="0"/>
        <w:rPr>
          <w:rFonts w:ascii="Calibri" w:hAnsi="Calibri" w:cs="Calibri"/>
          <w:sz w:val="22"/>
          <w:szCs w:val="22"/>
        </w:rPr>
      </w:pPr>
      <w:r>
        <w:fldChar w:fldCharType="begin"/>
      </w:r>
      <w:r>
        <w:instrText xml:space="preserve"> HYPERLINK \l "_Toc18873" </w:instrText>
      </w:r>
      <w:r>
        <w:fldChar w:fldCharType="separate"/>
      </w:r>
      <w:r>
        <w:rPr>
          <w:rFonts w:ascii="Calibri" w:hAnsi="Calibri" w:cs="Calibri"/>
          <w:sz w:val="22"/>
          <w:szCs w:val="22"/>
        </w:rPr>
        <w:t>7.0. Appendix</w:t>
      </w:r>
      <w:r>
        <w:rPr>
          <w:rFonts w:ascii="Calibri" w:hAnsi="Calibri" w:cs="Calibri"/>
          <w:sz w:val="22"/>
          <w:szCs w:val="22"/>
        </w:rPr>
        <w:tab/>
      </w:r>
      <w:r>
        <w:rPr>
          <w:rFonts w:ascii="Calibri" w:hAnsi="Calibri" w:cs="Calibri"/>
          <w:sz w:val="22"/>
          <w:szCs w:val="22"/>
        </w:rPr>
        <w:fldChar w:fldCharType="begin"/>
      </w:r>
      <w:r>
        <w:rPr>
          <w:rFonts w:ascii="Calibri" w:hAnsi="Calibri" w:cs="Calibri"/>
          <w:sz w:val="22"/>
          <w:szCs w:val="22"/>
        </w:rPr>
        <w:instrText xml:space="preserve"> PAGEREF _Toc18873 \h </w:instrText>
      </w:r>
      <w:r>
        <w:rPr>
          <w:rFonts w:ascii="Calibri" w:hAnsi="Calibri" w:cs="Calibri"/>
          <w:sz w:val="22"/>
          <w:szCs w:val="22"/>
        </w:rPr>
        <w:fldChar w:fldCharType="separate"/>
      </w:r>
      <w:r>
        <w:rPr>
          <w:rFonts w:ascii="Calibri" w:hAnsi="Calibri" w:cs="Calibri"/>
          <w:sz w:val="22"/>
          <w:szCs w:val="22"/>
        </w:rPr>
        <w:t>14</w:t>
      </w:r>
      <w:r>
        <w:rPr>
          <w:rFonts w:ascii="Calibri" w:hAnsi="Calibri" w:cs="Calibri"/>
          <w:sz w:val="22"/>
          <w:szCs w:val="22"/>
        </w:rPr>
        <w:fldChar w:fldCharType="end"/>
      </w:r>
      <w:r>
        <w:fldChar w:fldCharType="end"/>
      </w:r>
    </w:p>
    <w:p>
      <w:pPr>
        <w:spacing w:line="360" w:lineRule="auto"/>
        <w:rPr>
          <w:rFonts w:ascii="Calibri" w:hAnsi="Calibri" w:cs="Calibri"/>
          <w:lang w:val="en-GB" w:eastAsia="en-GB"/>
        </w:rPr>
      </w:pPr>
      <w:r>
        <w:rPr>
          <w:rFonts w:ascii="Calibri" w:hAnsi="Calibri" w:cs="Calibri"/>
          <w:bCs/>
          <w:sz w:val="22"/>
          <w:szCs w:val="22"/>
        </w:rPr>
        <w:fldChar w:fldCharType="end"/>
      </w:r>
    </w:p>
    <w:p>
      <w:pPr>
        <w:rPr>
          <w:rFonts w:ascii="Calibri" w:hAnsi="Calibri" w:cs="Calibri"/>
          <w:lang w:val="en-GB" w:eastAsia="en-GB"/>
        </w:rPr>
      </w:pPr>
    </w:p>
    <w:p>
      <w:pPr>
        <w:rPr>
          <w:rFonts w:ascii="Calibri" w:hAnsi="Calibri" w:cs="Calibri"/>
          <w:lang w:val="en-GB" w:eastAsia="en-GB"/>
        </w:rPr>
      </w:pPr>
    </w:p>
    <w:p>
      <w:pPr>
        <w:rPr>
          <w:rFonts w:ascii="Calibri" w:hAnsi="Calibri" w:cs="Calibri"/>
          <w:lang w:val="en-GB" w:eastAsia="en-GB"/>
        </w:rPr>
      </w:pPr>
    </w:p>
    <w:p>
      <w:pPr>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ind w:firstLine="0"/>
        <w:rPr>
          <w:rFonts w:ascii="Calibri" w:hAnsi="Calibri" w:cs="Calibri"/>
          <w:lang w:val="en-GB" w:eastAsia="en-GB"/>
        </w:rPr>
      </w:pPr>
    </w:p>
    <w:p>
      <w:pPr>
        <w:pStyle w:val="2"/>
        <w:ind w:left="0" w:firstLine="0"/>
        <w:rPr>
          <w:sz w:val="22"/>
          <w:szCs w:val="22"/>
        </w:rPr>
      </w:pPr>
      <w:bookmarkStart w:id="1" w:name="_Toc22107"/>
      <w:r>
        <w:rPr>
          <w:sz w:val="22"/>
          <w:szCs w:val="22"/>
        </w:rPr>
        <w:t>Introduction</w:t>
      </w:r>
      <w:bookmarkEnd w:id="1"/>
    </w:p>
    <w:p>
      <w:pPr>
        <w:spacing w:line="360" w:lineRule="auto"/>
        <w:ind w:firstLine="277" w:firstLineChars="126"/>
        <w:jc w:val="both"/>
        <w:rPr>
          <w:rFonts w:ascii="Calibri" w:hAnsi="Calibri" w:cs="Calibri"/>
          <w:sz w:val="22"/>
          <w:szCs w:val="22"/>
        </w:rPr>
      </w:pPr>
      <w:r>
        <w:rPr>
          <w:rFonts w:ascii="Calibri" w:hAnsi="Calibri" w:cs="Calibri"/>
          <w:sz w:val="22"/>
          <w:szCs w:val="22"/>
        </w:rPr>
        <w:t>Performance management in a company is the coordination of the established goals with the workforce's shared competence requirements, capabilities, and result delivery. Enhancing employee learning and development is the primary goal in realizing the company plan and establishing a competent workforce (Steinbach, 2022), according to DeNisi and Murphy (2017). Companies have incorporated performance management as a tool for defending revenue and gauging performance since it was introduced 60 years ago. This has been successful in motivating workers who are motivated by financial incentives. However, the tool has not worked well for workers driven to learn and grow throughout their careers. Performance management was restructured into a complete framework that controls and rewards performance due to the misunderstanding between the requirement to defend compensation and the emphasis on career growth (Barbouletos, 2011). This is beneficial to the organization as well as the individual workers. Performance management is more thorough and complete, comprising objective-based management, progressive evaluation and review, and employee differentiation.</w:t>
      </w:r>
    </w:p>
    <w:p>
      <w:pPr>
        <w:pStyle w:val="2"/>
        <w:ind w:left="0" w:firstLine="0"/>
        <w:rPr>
          <w:sz w:val="22"/>
          <w:szCs w:val="22"/>
        </w:rPr>
      </w:pPr>
      <w:bookmarkStart w:id="2" w:name="_Toc32761"/>
      <w:r>
        <w:rPr>
          <w:sz w:val="22"/>
          <w:szCs w:val="22"/>
        </w:rPr>
        <w:t>Organizational Overview</w:t>
      </w:r>
      <w:bookmarkEnd w:id="2"/>
    </w:p>
    <w:p>
      <w:pPr>
        <w:pStyle w:val="3"/>
        <w:numPr>
          <w:ilvl w:val="1"/>
          <w:numId w:val="1"/>
        </w:numPr>
        <w:tabs>
          <w:tab w:val="clear" w:pos="720"/>
        </w:tabs>
        <w:spacing w:line="360" w:lineRule="auto"/>
        <w:ind w:left="0" w:firstLine="240" w:firstLineChars="109"/>
        <w:rPr>
          <w:rFonts w:ascii="Calibri" w:hAnsi="Calibri" w:cs="Calibri"/>
          <w:sz w:val="22"/>
          <w:szCs w:val="22"/>
          <w:lang w:val="en-GB" w:eastAsia="en-GB"/>
        </w:rPr>
      </w:pPr>
      <w:bookmarkStart w:id="3" w:name="_Toc32480"/>
      <w:r>
        <w:rPr>
          <w:rFonts w:ascii="Calibri" w:hAnsi="Calibri" w:cs="Calibri"/>
          <w:sz w:val="22"/>
          <w:szCs w:val="22"/>
          <w:lang w:val="en-GB" w:eastAsia="en-GB"/>
        </w:rPr>
        <w:t>Background History of Walmart</w:t>
      </w:r>
      <w:bookmarkEnd w:id="3"/>
      <w:r>
        <w:rPr>
          <w:rFonts w:ascii="Calibri" w:hAnsi="Calibri" w:cs="Calibri"/>
          <w:sz w:val="22"/>
          <w:szCs w:val="22"/>
          <w:lang w:val="en-GB" w:eastAsia="en-GB"/>
        </w:rPr>
        <w:t xml:space="preserve"> </w:t>
      </w:r>
    </w:p>
    <w:p>
      <w:pPr>
        <w:spacing w:line="360" w:lineRule="auto"/>
        <w:ind w:firstLine="277" w:firstLineChars="126"/>
        <w:jc w:val="both"/>
        <w:rPr>
          <w:rFonts w:ascii="Calibri" w:hAnsi="Calibri" w:cs="Calibri"/>
          <w:sz w:val="22"/>
          <w:szCs w:val="22"/>
        </w:rPr>
      </w:pPr>
      <w:r>
        <w:rPr>
          <w:rFonts w:ascii="Calibri" w:hAnsi="Calibri" w:cs="Calibri"/>
          <w:sz w:val="22"/>
          <w:szCs w:val="22"/>
        </w:rPr>
        <w:t>Walmart is one of the biggest retailers in the world, with over 2 million workers and 8,500 locations in 15 different countries that operate under 55 other company brands. Billions of clients have always chosen the company since its establishment. At least 100 million people visit Wal-Mart stores weekly (Chan, 2011; Xin et al., 2017; Yeager, 2014). The company's founder Sam Walton had a  straightforward mission of providing affordable rates to people globally. Although he passed away in 1992, Walmart's culture still strongly reflects his devotion and complex work principles. The organization's workers see their job as part of a global mission to lower the cost of living. According to the Wal-Mart ideology, everybody with sufficient financial means should be able to purchase goods that were previously exclusively accessible to the wealthy and those who could afford them. The business aims to be effective and utilize its purchasing power to negotiate lower prices with suppliers and then pass those savings to consumers through reduced pricing (Walmart Inc, 2020).</w:t>
      </w:r>
    </w:p>
    <w:p>
      <w:pPr>
        <w:pStyle w:val="3"/>
        <w:numPr>
          <w:ilvl w:val="1"/>
          <w:numId w:val="1"/>
        </w:numPr>
        <w:tabs>
          <w:tab w:val="clear" w:pos="720"/>
        </w:tabs>
        <w:spacing w:line="360" w:lineRule="auto"/>
        <w:ind w:left="0" w:firstLine="277" w:firstLineChars="126"/>
        <w:rPr>
          <w:rFonts w:ascii="Calibri" w:hAnsi="Calibri" w:cs="Calibri"/>
          <w:sz w:val="22"/>
          <w:szCs w:val="22"/>
        </w:rPr>
      </w:pPr>
      <w:bookmarkStart w:id="4" w:name="_Toc21909"/>
      <w:r>
        <w:rPr>
          <w:rFonts w:ascii="Calibri" w:hAnsi="Calibri" w:cs="Calibri"/>
          <w:sz w:val="22"/>
          <w:szCs w:val="22"/>
        </w:rPr>
        <w:t>HR Functions at Walmart</w:t>
      </w:r>
      <w:bookmarkEnd w:id="4"/>
      <w:r>
        <w:rPr>
          <w:rFonts w:ascii="Calibri" w:hAnsi="Calibri" w:cs="Calibri"/>
          <w:sz w:val="22"/>
          <w:szCs w:val="22"/>
        </w:rPr>
        <w:t xml:space="preserve"> </w:t>
      </w:r>
    </w:p>
    <w:p>
      <w:pPr>
        <w:spacing w:line="360" w:lineRule="auto"/>
        <w:ind w:firstLine="277" w:firstLineChars="126"/>
        <w:jc w:val="both"/>
        <w:rPr>
          <w:rFonts w:ascii="Calibri" w:hAnsi="Calibri" w:cs="Calibri"/>
          <w:sz w:val="22"/>
          <w:szCs w:val="22"/>
        </w:rPr>
      </w:pPr>
      <w:r>
        <w:rPr>
          <w:rFonts w:ascii="Calibri" w:hAnsi="Calibri" w:cs="Calibri"/>
          <w:sz w:val="22"/>
          <w:szCs w:val="22"/>
        </w:rPr>
        <w:t>Walmart has seized the top spot in the retail sector, and the organization's leadership constantly considers how important the HR department is to the organization's performance. The company's CEO claims that the HR department works tirelessly to fill positions with the right people, enabling the company to function effectively (Collings, Wood, and Szamosi,  2018). The authority claims that the business's HR department stabilizes the organization's functioning. It has become clear that Walmart is profitable enough to keep talented and long-term workers for its benefit (Cappelli &amp; Tavis, 2016). As a result, the HR department's influence on organizational operations is evident. Walmart hires new workers from the campuses and teaches its current workers to improve their qualifications (Alfes et al. l, 2013; Kotowski, 2022)). Walmart often transfers and promotes its employees based on their qualifications, which inspires workers. As a result, the HR department is crucial in this situation. Walmart values collaboration. In a retail company, one person can't significantly affect the firm (Khan, 2011). Teamwork is essential to how Walmart operates. According to Sam Walton, the HR department encourages workers to stick with one another to accomplish corporate goals, as shown by the firm's success (Bolman &amp; Deal,  2017).</w:t>
      </w:r>
    </w:p>
    <w:p>
      <w:pPr>
        <w:pStyle w:val="2"/>
        <w:tabs>
          <w:tab w:val="left" w:pos="720"/>
        </w:tabs>
        <w:ind w:left="-275" w:firstLine="277"/>
        <w:rPr>
          <w:sz w:val="22"/>
          <w:szCs w:val="22"/>
        </w:rPr>
      </w:pPr>
      <w:bookmarkStart w:id="5" w:name="_Toc17191"/>
      <w:r>
        <w:rPr>
          <w:sz w:val="22"/>
          <w:szCs w:val="22"/>
        </w:rPr>
        <w:t>Main Discussion</w:t>
      </w:r>
      <w:bookmarkEnd w:id="5"/>
    </w:p>
    <w:p>
      <w:pPr>
        <w:pStyle w:val="3"/>
        <w:numPr>
          <w:ilvl w:val="1"/>
          <w:numId w:val="1"/>
        </w:numPr>
        <w:spacing w:line="360" w:lineRule="auto"/>
        <w:ind w:left="0" w:firstLine="277" w:firstLineChars="126"/>
        <w:rPr>
          <w:rFonts w:ascii="Calibri" w:hAnsi="Calibri" w:cs="Calibri"/>
          <w:sz w:val="22"/>
          <w:szCs w:val="22"/>
        </w:rPr>
      </w:pPr>
      <w:bookmarkStart w:id="6" w:name="_Toc8590"/>
      <w:r>
        <w:rPr>
          <w:rFonts w:ascii="Calibri" w:hAnsi="Calibri" w:cs="Calibri"/>
          <w:sz w:val="22"/>
          <w:szCs w:val="22"/>
        </w:rPr>
        <w:t>Performance Management System at Walmart</w:t>
      </w:r>
      <w:bookmarkEnd w:id="6"/>
    </w:p>
    <w:p>
      <w:pPr>
        <w:spacing w:line="360" w:lineRule="auto"/>
        <w:ind w:firstLine="277" w:firstLineChars="126"/>
        <w:jc w:val="both"/>
        <w:rPr>
          <w:rFonts w:ascii="Calibri" w:hAnsi="Calibri" w:cs="Calibri"/>
          <w:sz w:val="22"/>
          <w:szCs w:val="22"/>
        </w:rPr>
      </w:pPr>
      <w:r>
        <w:rPr>
          <w:rFonts w:ascii="Calibri" w:hAnsi="Calibri" w:cs="Calibri"/>
          <w:sz w:val="22"/>
          <w:szCs w:val="22"/>
        </w:rPr>
        <w:t>Walmart has effectively utilized these pillars to implement a comprehensive performance management system. By focusing on these critical areas, the company's human resource management can establish a solid foundation for planning and ensuring optimal employee performance.</w:t>
      </w: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4788" w:type="dxa"/>
          </w:tcPr>
          <w:p>
            <w:pPr>
              <w:spacing w:line="360" w:lineRule="auto"/>
              <w:ind w:firstLine="0"/>
              <w:jc w:val="center"/>
              <w:rPr>
                <w:rFonts w:ascii="Calibri" w:hAnsi="Calibri" w:eastAsia="宋体" w:cs="Calibri"/>
                <w:sz w:val="22"/>
                <w:szCs w:val="22"/>
                <w:lang w:eastAsia="zh-CN"/>
              </w:rPr>
            </w:pPr>
            <w:r>
              <w:rPr>
                <w:rFonts w:ascii="Calibri" w:hAnsi="Calibri" w:cs="Calibri"/>
                <w:sz w:val="22"/>
                <w:szCs w:val="22"/>
              </w:rPr>
              <w:t>Pillar</w:t>
            </w:r>
            <w:r>
              <w:rPr>
                <w:rFonts w:ascii="Calibri" w:hAnsi="Calibri" w:eastAsia="宋体" w:cs="Calibri"/>
                <w:sz w:val="22"/>
                <w:szCs w:val="22"/>
                <w:lang w:eastAsia="zh-CN"/>
              </w:rPr>
              <w:t xml:space="preserve"> 1</w:t>
            </w:r>
          </w:p>
        </w:tc>
        <w:tc>
          <w:tcPr>
            <w:tcW w:w="4788" w:type="dxa"/>
          </w:tcPr>
          <w:p>
            <w:pPr>
              <w:spacing w:line="360" w:lineRule="auto"/>
              <w:ind w:firstLine="0"/>
              <w:jc w:val="center"/>
              <w:rPr>
                <w:rFonts w:ascii="Calibri" w:hAnsi="Calibri" w:cs="Calibri"/>
                <w:sz w:val="22"/>
                <w:szCs w:val="22"/>
              </w:rPr>
            </w:pPr>
            <w:r>
              <w:rPr>
                <w:rFonts w:ascii="Calibri" w:hAnsi="Calibri" w:cs="Calibri"/>
                <w:sz w:val="22"/>
                <w:szCs w:val="22"/>
              </w:rPr>
              <w:t>Role in the System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spacing w:line="360" w:lineRule="auto"/>
              <w:jc w:val="center"/>
              <w:rPr>
                <w:rFonts w:ascii="Calibri" w:hAnsi="Calibri" w:cs="Calibri"/>
                <w:sz w:val="22"/>
                <w:szCs w:val="22"/>
              </w:rPr>
            </w:pPr>
            <w:r>
              <w:rPr>
                <w:rFonts w:ascii="Calibri" w:hAnsi="Calibri" w:eastAsia="宋体" w:cs="Calibri"/>
                <w:sz w:val="22"/>
                <w:szCs w:val="22"/>
              </w:rPr>
              <w:t>Customer Service Orientation</w:t>
            </w: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Emphasize the importance of service quality in the retail industry (Thompson, 2010)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spacing w:line="360" w:lineRule="auto"/>
              <w:rPr>
                <w:rFonts w:ascii="Calibri" w:hAnsi="Calibri" w:cs="Calibri"/>
                <w:sz w:val="22"/>
                <w:szCs w:val="22"/>
              </w:rPr>
            </w:pP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Ensure consistent customer satisfaction</w:t>
            </w:r>
          </w:p>
        </w:tc>
      </w:tr>
    </w:tbl>
    <w:p>
      <w:pPr>
        <w:spacing w:line="360" w:lineRule="auto"/>
        <w:ind w:firstLine="0"/>
        <w:rPr>
          <w:rFonts w:ascii="Calibri" w:hAnsi="Calibri" w:cs="Calibri"/>
          <w:sz w:val="22"/>
          <w:szCs w:val="22"/>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spacing w:line="360" w:lineRule="auto"/>
              <w:ind w:firstLine="0"/>
              <w:jc w:val="center"/>
              <w:rPr>
                <w:rFonts w:ascii="Calibri" w:hAnsi="Calibri" w:eastAsia="宋体" w:cs="Calibri"/>
                <w:sz w:val="22"/>
                <w:szCs w:val="22"/>
                <w:lang w:eastAsia="zh-CN"/>
              </w:rPr>
            </w:pPr>
            <w:r>
              <w:rPr>
                <w:rFonts w:ascii="Calibri" w:hAnsi="Calibri" w:cs="Calibri"/>
                <w:sz w:val="22"/>
                <w:szCs w:val="22"/>
              </w:rPr>
              <w:t>Pillar</w:t>
            </w:r>
            <w:r>
              <w:rPr>
                <w:rFonts w:ascii="Calibri" w:hAnsi="Calibri" w:cs="Calibri"/>
                <w:sz w:val="22"/>
                <w:szCs w:val="22"/>
                <w:lang w:eastAsia="zh-CN"/>
              </w:rPr>
              <w:t xml:space="preserve"> 2</w:t>
            </w: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Align employee behavior with customer expectations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spacing w:line="360" w:lineRule="auto"/>
              <w:jc w:val="center"/>
              <w:rPr>
                <w:rFonts w:ascii="Calibri" w:hAnsi="Calibri" w:eastAsia="宋体" w:cs="Calibri"/>
                <w:sz w:val="22"/>
                <w:szCs w:val="22"/>
                <w:lang w:eastAsia="zh-CN"/>
              </w:rPr>
            </w:pPr>
            <w:r>
              <w:rPr>
                <w:rFonts w:ascii="Calibri" w:hAnsi="Calibri" w:eastAsia="宋体" w:cs="Calibri"/>
                <w:sz w:val="22"/>
                <w:szCs w:val="22"/>
              </w:rPr>
              <w:t>Analysis and Problem-Solving</w:t>
            </w: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Evaluate the success of management roles based on their impact on customer service (Demartini, 2014; Ranjan, 2022)</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spacing w:line="360" w:lineRule="auto"/>
              <w:rPr>
                <w:rFonts w:ascii="Calibri" w:hAnsi="Calibri" w:cs="Calibri"/>
                <w:sz w:val="22"/>
                <w:szCs w:val="22"/>
              </w:rPr>
            </w:pP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Identify areas for improvement in service delivery</w:t>
            </w:r>
            <w:r>
              <w:rPr>
                <w:rFonts w:hint="eastAsia" w:ascii="Calibri" w:hAnsi="Calibri" w:eastAsia="宋体" w:cs="Calibri"/>
                <w:sz w:val="22"/>
                <w:szCs w:val="22"/>
                <w:lang w:eastAsia="zh-CN"/>
              </w:rPr>
              <w:t xml:space="preserve"> </w:t>
            </w:r>
            <w:r>
              <w:rPr>
                <w:rFonts w:ascii="Calibri" w:hAnsi="Calibri" w:eastAsia="宋体" w:cs="Calibri"/>
                <w:sz w:val="22"/>
                <w:szCs w:val="22"/>
              </w:rPr>
              <w:t>satisfaction</w:t>
            </w:r>
          </w:p>
        </w:tc>
      </w:tr>
    </w:tbl>
    <w:p>
      <w:pPr>
        <w:spacing w:line="360" w:lineRule="auto"/>
        <w:ind w:firstLine="277" w:firstLineChars="126"/>
        <w:rPr>
          <w:rFonts w:ascii="Calibri" w:hAnsi="Calibri" w:cs="Calibri"/>
          <w:sz w:val="22"/>
          <w:szCs w:val="22"/>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788"/>
        <w:gridCol w:w="478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spacing w:line="360" w:lineRule="auto"/>
              <w:ind w:firstLine="0"/>
              <w:jc w:val="center"/>
              <w:rPr>
                <w:rFonts w:ascii="Calibri" w:hAnsi="Calibri" w:eastAsia="宋体" w:cs="Calibri"/>
                <w:sz w:val="22"/>
                <w:szCs w:val="22"/>
                <w:lang w:eastAsia="zh-CN"/>
              </w:rPr>
            </w:pPr>
            <w:r>
              <w:rPr>
                <w:rFonts w:ascii="Calibri" w:hAnsi="Calibri" w:cs="Calibri"/>
                <w:sz w:val="22"/>
                <w:szCs w:val="22"/>
              </w:rPr>
              <w:t>Pillar</w:t>
            </w:r>
            <w:r>
              <w:rPr>
                <w:rFonts w:ascii="Calibri" w:hAnsi="Calibri" w:eastAsia="宋体" w:cs="Calibri"/>
                <w:sz w:val="22"/>
                <w:szCs w:val="22"/>
                <w:lang w:eastAsia="zh-CN"/>
              </w:rPr>
              <w:t xml:space="preserve"> 3</w:t>
            </w: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Encourage data-driven decision-making</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spacing w:line="360" w:lineRule="auto"/>
              <w:jc w:val="center"/>
              <w:rPr>
                <w:rFonts w:ascii="Calibri" w:hAnsi="Calibri" w:cs="Calibri"/>
                <w:sz w:val="22"/>
                <w:szCs w:val="22"/>
              </w:rPr>
            </w:pPr>
            <w:r>
              <w:rPr>
                <w:rFonts w:ascii="Calibri" w:hAnsi="Calibri" w:eastAsia="宋体" w:cs="Calibri"/>
                <w:sz w:val="22"/>
                <w:szCs w:val="22"/>
              </w:rPr>
              <w:t>Decision-Making and Outcomes</w:t>
            </w: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Treat all jobs as performance-based (Hafiza, 2011)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vAlign w:val="center"/>
          </w:tcPr>
          <w:p>
            <w:pPr>
              <w:spacing w:line="360" w:lineRule="auto"/>
              <w:jc w:val="center"/>
              <w:rPr>
                <w:rFonts w:ascii="Calibri" w:hAnsi="Calibri" w:cs="Calibri"/>
                <w:sz w:val="22"/>
                <w:szCs w:val="22"/>
              </w:rPr>
            </w:pPr>
            <w:r>
              <w:rPr>
                <w:rFonts w:ascii="Calibri" w:hAnsi="Calibri" w:eastAsia="宋体" w:cs="Calibri"/>
                <w:sz w:val="22"/>
                <w:szCs w:val="22"/>
              </w:rPr>
              <w:t>Orientation</w:t>
            </w:r>
          </w:p>
        </w:tc>
        <w:tc>
          <w:tcPr>
            <w:tcW w:w="4788" w:type="dxa"/>
          </w:tcPr>
          <w:p>
            <w:pPr>
              <w:spacing w:line="360" w:lineRule="auto"/>
              <w:ind w:firstLine="0"/>
              <w:rPr>
                <w:rFonts w:ascii="Calibri" w:hAnsi="Calibri" w:cs="Calibri"/>
                <w:sz w:val="22"/>
                <w:szCs w:val="22"/>
              </w:rPr>
            </w:pPr>
            <w:r>
              <w:rPr>
                <w:rFonts w:ascii="Calibri" w:hAnsi="Calibri" w:eastAsia="宋体" w:cs="Calibri"/>
                <w:sz w:val="22"/>
                <w:szCs w:val="22"/>
              </w:rPr>
              <w:t>Ensure consistent customer satisfaction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788" w:type="dxa"/>
          </w:tcPr>
          <w:p>
            <w:pPr>
              <w:spacing w:line="360" w:lineRule="auto"/>
              <w:rPr>
                <w:rFonts w:ascii="Calibri" w:hAnsi="Calibri" w:eastAsia="宋体" w:cs="Calibri"/>
                <w:sz w:val="22"/>
                <w:szCs w:val="22"/>
              </w:rPr>
            </w:pPr>
          </w:p>
        </w:tc>
        <w:tc>
          <w:tcPr>
            <w:tcW w:w="4788" w:type="dxa"/>
          </w:tcPr>
          <w:p>
            <w:pPr>
              <w:tabs>
                <w:tab w:val="left" w:pos="4560"/>
              </w:tabs>
              <w:spacing w:line="360" w:lineRule="auto"/>
              <w:ind w:firstLine="0"/>
              <w:rPr>
                <w:rFonts w:ascii="Calibri" w:hAnsi="Calibri" w:eastAsia="宋体" w:cs="Calibri"/>
                <w:sz w:val="22"/>
                <w:szCs w:val="22"/>
              </w:rPr>
            </w:pPr>
            <w:r>
              <w:rPr>
                <w:rFonts w:ascii="Calibri" w:hAnsi="Calibri" w:eastAsia="宋体" w:cs="Calibri"/>
                <w:sz w:val="22"/>
                <w:szCs w:val="22"/>
              </w:rPr>
              <w:t>Align HR management objectives with organizational goals</w:t>
            </w:r>
          </w:p>
        </w:tc>
      </w:tr>
    </w:tbl>
    <w:p>
      <w:pPr>
        <w:spacing w:line="360" w:lineRule="auto"/>
        <w:ind w:firstLine="277" w:firstLineChars="126"/>
        <w:jc w:val="center"/>
        <w:rPr>
          <w:rFonts w:ascii="Calibri" w:hAnsi="Calibri" w:cs="Calibri"/>
          <w:sz w:val="22"/>
          <w:szCs w:val="22"/>
        </w:rPr>
      </w:pPr>
    </w:p>
    <w:p>
      <w:pPr>
        <w:spacing w:line="360" w:lineRule="auto"/>
        <w:ind w:firstLine="277" w:firstLineChars="126"/>
        <w:jc w:val="both"/>
        <w:rPr>
          <w:rFonts w:ascii="Calibri" w:hAnsi="Calibri" w:cs="Calibri"/>
          <w:sz w:val="22"/>
          <w:szCs w:val="22"/>
        </w:rPr>
      </w:pPr>
      <w:r>
        <w:rPr>
          <w:rFonts w:hint="eastAsia" w:ascii="Calibri" w:hAnsi="Calibri" w:eastAsia="宋体" w:cs="Calibri"/>
          <w:sz w:val="22"/>
          <w:szCs w:val="22"/>
          <w:lang w:eastAsia="zh-CN"/>
        </w:rPr>
        <w:t>The above</w:t>
      </w:r>
      <w:r>
        <w:rPr>
          <w:rFonts w:ascii="Calibri" w:hAnsi="Calibri" w:cs="Calibri"/>
          <w:sz w:val="22"/>
          <w:szCs w:val="22"/>
        </w:rPr>
        <w:t xml:space="preserve"> table</w:t>
      </w:r>
      <w:r>
        <w:rPr>
          <w:rFonts w:hint="eastAsia" w:ascii="Calibri" w:hAnsi="Calibri" w:eastAsia="宋体" w:cs="Calibri"/>
          <w:sz w:val="22"/>
          <w:szCs w:val="22"/>
          <w:lang w:eastAsia="zh-CN"/>
        </w:rPr>
        <w:t>s</w:t>
      </w:r>
      <w:r>
        <w:rPr>
          <w:rFonts w:ascii="Calibri" w:hAnsi="Calibri" w:cs="Calibri"/>
          <w:sz w:val="22"/>
          <w:szCs w:val="22"/>
        </w:rPr>
        <w:t xml:space="preserve"> summarize the three critical pillars of Walmart's performance management system and their respective roles in ensuring effective employee performance and customer satisfaction.</w:t>
      </w:r>
    </w:p>
    <w:p>
      <w:pPr>
        <w:pStyle w:val="3"/>
        <w:numPr>
          <w:ilvl w:val="1"/>
          <w:numId w:val="1"/>
        </w:numPr>
        <w:spacing w:line="360" w:lineRule="auto"/>
        <w:ind w:left="0" w:firstLine="277" w:firstLineChars="126"/>
        <w:rPr>
          <w:rFonts w:ascii="Calibri" w:hAnsi="Calibri" w:cs="Calibri"/>
          <w:sz w:val="22"/>
          <w:szCs w:val="22"/>
        </w:rPr>
      </w:pPr>
      <w:bookmarkStart w:id="7" w:name="_Toc23667"/>
      <w:r>
        <w:rPr>
          <w:rFonts w:ascii="Calibri" w:hAnsi="Calibri" w:cs="Calibri"/>
          <w:sz w:val="22"/>
          <w:szCs w:val="22"/>
        </w:rPr>
        <w:t>Benefits of Performance management at Walmart</w:t>
      </w:r>
      <w:bookmarkEnd w:id="7"/>
      <w:r>
        <w:rPr>
          <w:rFonts w:ascii="Calibri" w:hAnsi="Calibri" w:cs="Calibri"/>
          <w:sz w:val="22"/>
          <w:szCs w:val="22"/>
        </w:rPr>
        <w:t xml:space="preserve"> </w:t>
      </w:r>
    </w:p>
    <w:p>
      <w:pPr>
        <w:spacing w:line="360" w:lineRule="auto"/>
        <w:ind w:firstLine="277" w:firstLineChars="126"/>
        <w:jc w:val="both"/>
        <w:rPr>
          <w:rFonts w:ascii="Calibri" w:hAnsi="Calibri" w:cs="Calibri"/>
          <w:sz w:val="22"/>
          <w:szCs w:val="22"/>
        </w:rPr>
      </w:pPr>
      <w:r>
        <w:rPr>
          <w:rFonts w:ascii="Calibri" w:hAnsi="Calibri" w:cs="Calibri"/>
          <w:sz w:val="22"/>
          <w:szCs w:val="22"/>
        </w:rPr>
        <w:t>The benefit of the Performance Management System (PMS) at Walmart is to raise output levels while achieving the company's financial targets. Walmart strives to build its financial performance from its workers. An efficient workforce is a motivation to boost purchases and provide first-rate quality service to customers in America and globally. According to Phillips and  Rozworski (2019), Walmart managers achieve this by using metrics and criteria in performance evaluation, therefore,  performance assessment outline. These guidelines include profit margin, customer service standards, and product information. The efficacy of the company's operational processes, the productivity of its operations, the efficiency of the supply chain, the caliber of the customer experience, and the success of the sales workers are guidelines in the performance criteria.</w:t>
      </w:r>
    </w:p>
    <w:p>
      <w:pPr>
        <w:spacing w:line="360" w:lineRule="auto"/>
        <w:ind w:firstLine="277" w:firstLineChars="126"/>
        <w:jc w:val="both"/>
        <w:rPr>
          <w:rFonts w:ascii="Calibri" w:hAnsi="Calibri" w:cs="Calibri"/>
          <w:sz w:val="22"/>
          <w:szCs w:val="22"/>
        </w:rPr>
      </w:pPr>
      <w:r>
        <w:rPr>
          <w:rFonts w:ascii="Calibri" w:hAnsi="Calibri" w:cs="Calibri"/>
          <w:sz w:val="22"/>
          <w:szCs w:val="22"/>
        </w:rPr>
        <w:t>Performance calibration is conducted per a predetermined blueprint to help human resource managers perform objective and truthful performance appraisals. The department's customer service is calibrated on a scale based on repeat purchases and client feedback. On the contrary, managers at top-level performance are calibrated on a scale of 1-10, where 1 denotes poor performance, and 10 denotes excellent performance (Boateng, Akamavi &amp; Ndoro,  2015). The department of sales workforce is calibrated based on average or below average on the total company sales volume. These data are essential in increasing productivity and assisting companies in achieving their short- and long-term objectives (Almeida et al., 2018). Interviews on performance are held using the acquired data to provide extra assessment content and a proper understanding of the niches that distract from achieving Walmart's objectives (Daniels, 2014). The HR manager evaluates the growth and development of the workers throughout the interview and recommends potential areas of improvement to benefit the company and employees. The information is then used in the management of employees, career progress, and promotions.</w:t>
      </w:r>
    </w:p>
    <w:p>
      <w:pPr>
        <w:spacing w:line="360" w:lineRule="auto"/>
        <w:ind w:firstLine="277" w:firstLineChars="126"/>
        <w:jc w:val="both"/>
        <w:rPr>
          <w:rFonts w:ascii="Calibri" w:hAnsi="Calibri" w:cs="Calibri"/>
          <w:sz w:val="22"/>
          <w:szCs w:val="22"/>
        </w:rPr>
      </w:pPr>
      <w:r>
        <w:rPr>
          <w:rFonts w:ascii="Calibri" w:hAnsi="Calibri" w:cs="Calibri"/>
          <w:sz w:val="22"/>
          <w:szCs w:val="22"/>
        </w:rPr>
        <w:t>Performance at Walmart is assessed after the first 3 months and then once a year, often on the hiring anniversary date. While performance management at Walmart is synchronized with the overarching company plan, this system suits the larger business model. As a result, HR managers can plan and design frameworks for determining how successful employees are at their jobs. To fulfill performance management goals, Walmart HR managers and staff have constantly communicated to create an environment of trust, inspiration, and financial and social support. Building long-lasting relationships between employees and the business is necessary to boost productivity.</w:t>
      </w:r>
    </w:p>
    <w:p>
      <w:pPr>
        <w:spacing w:line="360" w:lineRule="auto"/>
        <w:ind w:firstLine="277" w:firstLineChars="126"/>
        <w:jc w:val="both"/>
        <w:rPr>
          <w:rFonts w:ascii="Calibri" w:hAnsi="Calibri" w:cs="Calibri"/>
          <w:sz w:val="22"/>
          <w:szCs w:val="22"/>
        </w:rPr>
      </w:pPr>
      <w:r>
        <w:rPr>
          <w:rFonts w:ascii="Calibri" w:hAnsi="Calibri" w:cs="Calibri"/>
          <w:sz w:val="22"/>
          <w:szCs w:val="22"/>
        </w:rPr>
        <w:t>Walmart's corporate goals are linked to performance management activities, metrics, and standards through sales performance. Optimizing sales profits is fundamentally what bothers the business. With its performance management activities, its human resource management ensures that worker productivity, especially among sales professionals, will boost sales performance. In order to determine if Walmart's human resource productivity meets standards, metrics are used (Demartini, 2014). The company has a benchmark for each performance evaluation. Several elements of the company use different human resource criteria.</w:t>
      </w:r>
    </w:p>
    <w:p>
      <w:pPr>
        <w:pStyle w:val="3"/>
        <w:numPr>
          <w:ilvl w:val="1"/>
          <w:numId w:val="1"/>
        </w:numPr>
        <w:spacing w:line="360" w:lineRule="auto"/>
        <w:ind w:left="0" w:firstLine="277" w:firstLineChars="126"/>
        <w:rPr>
          <w:rFonts w:ascii="Calibri" w:hAnsi="Calibri" w:cs="Calibri"/>
          <w:sz w:val="22"/>
          <w:szCs w:val="22"/>
        </w:rPr>
      </w:pPr>
      <w:bookmarkStart w:id="8" w:name="_Toc1826"/>
      <w:r>
        <w:rPr>
          <w:rFonts w:ascii="Calibri" w:hAnsi="Calibri" w:cs="Calibri"/>
          <w:sz w:val="22"/>
          <w:szCs w:val="22"/>
        </w:rPr>
        <w:t>Weaknesses of the Performance Management System</w:t>
      </w:r>
      <w:bookmarkEnd w:id="8"/>
    </w:p>
    <w:p>
      <w:pPr>
        <w:spacing w:line="360" w:lineRule="auto"/>
        <w:ind w:firstLine="277" w:firstLineChars="126"/>
        <w:jc w:val="both"/>
        <w:rPr>
          <w:rFonts w:ascii="Calibri" w:hAnsi="Calibri" w:cs="Calibri"/>
          <w:sz w:val="22"/>
          <w:szCs w:val="22"/>
        </w:rPr>
      </w:pPr>
      <w:r>
        <w:rPr>
          <w:rFonts w:ascii="Calibri" w:hAnsi="Calibri" w:cs="Calibri"/>
          <w:sz w:val="22"/>
          <w:szCs w:val="22"/>
        </w:rPr>
        <w:t>While Walmart's performance management system is said to be strong in several dimensions, it still falls short in many instances. The lack of talent assessment metrics is one of these areas. The performance system fails to recognize different skills, even though it is active and efficient in selecting the best input in the many worker areas (Copeland &amp; Labuski, 2013). This aspect is crucial since it drives the trend toward innovativeness and efficiency in offerings, particularly in the sector of the economy where Walmart is based. In combination with that, it boosts productivity by allowing workers to focus on the tasks they do best, which results in peak performance. Walmart has focused on repetitive scheduling, where several workers are expected to provide ideas while being watched by administrative sub-bodies.</w:t>
      </w:r>
    </w:p>
    <w:p>
      <w:pPr>
        <w:spacing w:line="360" w:lineRule="auto"/>
        <w:ind w:firstLine="277" w:firstLineChars="126"/>
        <w:jc w:val="both"/>
        <w:rPr>
          <w:rFonts w:ascii="Calibri" w:hAnsi="Calibri" w:cs="Calibri"/>
          <w:sz w:val="22"/>
          <w:szCs w:val="22"/>
        </w:rPr>
      </w:pPr>
      <w:r>
        <w:rPr>
          <w:rFonts w:ascii="Calibri" w:hAnsi="Calibri" w:cs="Calibri"/>
          <w:sz w:val="22"/>
          <w:szCs w:val="22"/>
        </w:rPr>
        <w:t>Another flaw is the absence of a workable feedback loop to gather essential information from the various managerial and supervisory roles per the performance management system. Getting feedback data is crucial, particularly regarding multiple company operations aspects. Also, it assists in identifying essential areas that need work, either via alterations or total changes to the same. Walmart is a well-known business with a sizable workforce base. Because there are so many, most have different opinions on how the company should be operated. Also, providing feedback on anything that affects their contribution or creates difficult working circumstances is crucial. If Walmart wants its performance management to be successful, it has to have this loop.</w:t>
      </w:r>
    </w:p>
    <w:p>
      <w:pPr>
        <w:spacing w:line="360" w:lineRule="auto"/>
        <w:ind w:firstLine="277" w:firstLineChars="126"/>
        <w:jc w:val="both"/>
        <w:rPr>
          <w:rFonts w:ascii="Calibri" w:hAnsi="Calibri" w:cs="Calibri"/>
          <w:sz w:val="22"/>
          <w:szCs w:val="22"/>
        </w:rPr>
      </w:pPr>
      <w:r>
        <w:rPr>
          <w:rFonts w:ascii="Calibri" w:hAnsi="Calibri" w:cs="Calibri"/>
          <w:sz w:val="22"/>
          <w:szCs w:val="22"/>
        </w:rPr>
        <w:t>Another significant shortcoming is the absence of rigorous and varied methods for how human resources assess performance from various management and supervisory roles. Walmart's performance system, as said, places a strong emphasis on the idea of feedback from different worker segments (Demartini, 2014; Daniels, 2014). In addition to the input, the system does not evaluate any performance indicators that may be added to the input to either improve it or limit its potential. In conjunction with that, Walmart disregards the philosophy of separating the assessment of information from individual performance. Such is perfect since it makes it simple to spot unproductive people and pinpoint the steps the system may take to drive out obstacles. Walmart should use this tool to improve the performance system's ability to give high-quality customer service.</w:t>
      </w:r>
    </w:p>
    <w:p>
      <w:pPr>
        <w:pStyle w:val="18"/>
        <w:numPr>
          <w:ilvl w:val="1"/>
          <w:numId w:val="1"/>
        </w:numPr>
        <w:spacing w:line="360" w:lineRule="auto"/>
        <w:ind w:left="0" w:firstLine="277" w:firstLineChars="126"/>
        <w:rPr>
          <w:rFonts w:ascii="Calibri" w:hAnsi="Calibri" w:cs="Calibri"/>
          <w:b/>
          <w:bCs/>
          <w:sz w:val="22"/>
          <w:szCs w:val="22"/>
        </w:rPr>
      </w:pPr>
      <w:r>
        <w:rPr>
          <w:rFonts w:ascii="Calibri" w:hAnsi="Calibri" w:cs="Calibri"/>
          <w:b/>
          <w:bCs/>
          <w:sz w:val="22"/>
          <w:szCs w:val="22"/>
        </w:rPr>
        <w:t xml:space="preserve">Negative Impact of Performance Management systems </w:t>
      </w:r>
    </w:p>
    <w:p>
      <w:pPr>
        <w:spacing w:line="360" w:lineRule="auto"/>
        <w:ind w:firstLine="277" w:firstLineChars="126"/>
        <w:jc w:val="both"/>
        <w:rPr>
          <w:rFonts w:ascii="Calibri" w:hAnsi="Calibri" w:cs="Calibri"/>
          <w:sz w:val="22"/>
          <w:szCs w:val="22"/>
        </w:rPr>
      </w:pPr>
      <w:r>
        <w:rPr>
          <w:rFonts w:ascii="Calibri" w:hAnsi="Calibri" w:cs="Calibri"/>
          <w:sz w:val="22"/>
          <w:szCs w:val="22"/>
        </w:rPr>
        <w:t>Despite the benefits mentioned above, Walmart's performance management program still has problematic issues. Firstly, it might be challenging to determine the relationship between employee performance and the company's success. This reveals that if the evaluation process is not held correctly, it may negatively affect the business. Secondly, it can be unsuccessful if the performance assessment procedure is unsuitable for the company's culture and structure, then the company may be unsuccessful. From Walmart's management system performance management, the following are adverse effects on the company, employees, and managers;</w:t>
      </w:r>
    </w:p>
    <w:p>
      <w:pPr>
        <w:pStyle w:val="18"/>
        <w:numPr>
          <w:ilvl w:val="0"/>
          <w:numId w:val="2"/>
        </w:numPr>
        <w:spacing w:line="360" w:lineRule="auto"/>
        <w:ind w:left="0" w:firstLine="277" w:firstLineChars="126"/>
        <w:rPr>
          <w:rFonts w:ascii="Calibri" w:hAnsi="Calibri" w:cs="Calibri"/>
          <w:sz w:val="22"/>
          <w:szCs w:val="22"/>
        </w:rPr>
      </w:pPr>
      <w:r>
        <w:rPr>
          <w:rFonts w:ascii="Calibri" w:hAnsi="Calibri" w:cs="Calibri"/>
          <w:sz w:val="22"/>
          <w:szCs w:val="22"/>
        </w:rPr>
        <w:t>Decreased  production due to absenteeism and tardiness</w:t>
      </w:r>
    </w:p>
    <w:p>
      <w:pPr>
        <w:pStyle w:val="18"/>
        <w:numPr>
          <w:ilvl w:val="0"/>
          <w:numId w:val="2"/>
        </w:numPr>
        <w:spacing w:line="360" w:lineRule="auto"/>
        <w:ind w:left="0" w:firstLine="277" w:firstLineChars="126"/>
        <w:rPr>
          <w:rFonts w:ascii="Calibri" w:hAnsi="Calibri" w:cs="Calibri"/>
          <w:sz w:val="22"/>
          <w:szCs w:val="22"/>
        </w:rPr>
      </w:pPr>
      <w:r>
        <w:rPr>
          <w:rFonts w:ascii="Calibri" w:hAnsi="Calibri" w:cs="Calibri"/>
          <w:sz w:val="22"/>
          <w:szCs w:val="22"/>
        </w:rPr>
        <w:t>Errors in the recording or reporting</w:t>
      </w:r>
    </w:p>
    <w:p>
      <w:pPr>
        <w:pStyle w:val="18"/>
        <w:numPr>
          <w:ilvl w:val="0"/>
          <w:numId w:val="2"/>
        </w:numPr>
        <w:spacing w:line="360" w:lineRule="auto"/>
        <w:ind w:left="0" w:firstLine="277" w:firstLineChars="126"/>
        <w:rPr>
          <w:rFonts w:ascii="Calibri" w:hAnsi="Calibri" w:cs="Calibri"/>
          <w:sz w:val="22"/>
          <w:szCs w:val="22"/>
        </w:rPr>
      </w:pPr>
      <w:r>
        <w:rPr>
          <w:rFonts w:ascii="Calibri" w:hAnsi="Calibri" w:cs="Calibri"/>
          <w:sz w:val="22"/>
          <w:szCs w:val="22"/>
        </w:rPr>
        <w:t>Skepticism about customer service</w:t>
      </w:r>
    </w:p>
    <w:p>
      <w:pPr>
        <w:spacing w:line="360" w:lineRule="auto"/>
        <w:ind w:firstLine="277" w:firstLineChars="126"/>
        <w:jc w:val="both"/>
        <w:rPr>
          <w:rFonts w:ascii="Calibri" w:hAnsi="Calibri" w:cs="Calibri"/>
          <w:sz w:val="22"/>
          <w:szCs w:val="22"/>
        </w:rPr>
      </w:pPr>
      <w:r>
        <w:rPr>
          <w:rFonts w:ascii="Calibri" w:hAnsi="Calibri" w:cs="Calibri"/>
          <w:sz w:val="22"/>
          <w:szCs w:val="22"/>
        </w:rPr>
        <w:t>At Walmart, performance problems associated with tardiness and absenteeism have been cited as grounds for dismissal. The supply chain and other relevant divisions in the firm may experience severe problems due to difficulties relating to reporting inconsistencies. Walmart endorses training initiatives that have boosted worker productivity and effectiveness in the workplace to lessen such problems. Skepticism has declined productivity because it results in incorrect feedback, compromising sales volumes  (Phillips &amp; Rozworski, 2019). By encouraging team building within the company and fostering a feeling of togetherness among the personnel, notwithstanding their differences, the problem is solved (Mohd Said et al. l, 2022). Nonetheless, the firm has a significant turnover rate due to poor compensation relative to other retail establishments.</w:t>
      </w:r>
    </w:p>
    <w:p>
      <w:pPr>
        <w:pStyle w:val="2"/>
        <w:ind w:left="0" w:firstLine="0"/>
        <w:rPr>
          <w:sz w:val="22"/>
          <w:szCs w:val="22"/>
        </w:rPr>
      </w:pPr>
      <w:bookmarkStart w:id="9" w:name="_Toc7151"/>
      <w:r>
        <w:rPr>
          <w:sz w:val="22"/>
          <w:szCs w:val="22"/>
        </w:rPr>
        <w:t>Recommendations</w:t>
      </w:r>
      <w:bookmarkEnd w:id="9"/>
    </w:p>
    <w:p>
      <w:pPr>
        <w:spacing w:line="360" w:lineRule="auto"/>
        <w:ind w:firstLine="277" w:firstLineChars="126"/>
        <w:jc w:val="both"/>
        <w:rPr>
          <w:rFonts w:ascii="Calibri" w:hAnsi="Calibri" w:cs="Calibri"/>
          <w:sz w:val="22"/>
          <w:szCs w:val="22"/>
        </w:rPr>
      </w:pPr>
      <w:r>
        <w:rPr>
          <w:rFonts w:ascii="Calibri" w:hAnsi="Calibri" w:cs="Calibri"/>
          <w:sz w:val="22"/>
          <w:szCs w:val="22"/>
        </w:rPr>
        <w:t>After assessing the many weaknesses in Walmart's performance system, it is crucial to develop workable solutions that would make it more useful. One is to include the custom of recognizing and valuing exceptional talents. Here, Walmart should focus on the workers' remarkable competencies and skills in the various management roles. Highly skilled people fall into this category; thus, compensating them for their exceptional talents helps to guarantee that a firm does not lose essential assets (Schleicher et al., 2018; Qureshi, Shams &amp; Kashif, 2019). Incorporating this aspect will help place workers or particular workforces in positions where they can best assist. Suppose a particular skill is chosen to provide feedback on what they understand and perform it to their best. In that case, it becomes a crucial trigger for ensuring the organization provides excellent services. One organization that successfully used this theory is the Apple Corporation. The founder, Steve Jobs, developed a culture where Apple periodically looked for exceptional talents (Lev-Ram, 2014;</w:t>
      </w:r>
      <w:r>
        <w:rPr>
          <w:sz w:val="22"/>
          <w:szCs w:val="22"/>
        </w:rPr>
        <w:t xml:space="preserve"> </w:t>
      </w:r>
      <w:r>
        <w:rPr>
          <w:rFonts w:ascii="Calibri" w:hAnsi="Calibri" w:cs="Calibri"/>
          <w:sz w:val="22"/>
          <w:szCs w:val="22"/>
        </w:rPr>
        <w:t>eAlbinus, 2022). This aims to foster innovation, improve customer service, and retain talented employees. Concerning that, identifying unique talent gives human resource managers a greater opportunity to use creativity in a working environment.</w:t>
      </w:r>
    </w:p>
    <w:p>
      <w:pPr>
        <w:spacing w:line="360" w:lineRule="auto"/>
        <w:ind w:firstLine="277" w:firstLineChars="126"/>
        <w:jc w:val="both"/>
        <w:rPr>
          <w:rFonts w:ascii="Calibri" w:hAnsi="Calibri" w:cs="Calibri"/>
          <w:sz w:val="22"/>
          <w:szCs w:val="22"/>
        </w:rPr>
      </w:pPr>
      <w:r>
        <w:rPr>
          <w:rFonts w:ascii="Calibri" w:hAnsi="Calibri" w:cs="Calibri"/>
          <w:sz w:val="22"/>
          <w:szCs w:val="22"/>
        </w:rPr>
        <w:t>Including several performance assessment metrics in the performance management system's dynamics is another significant improvement possibility. Preferably, using a repetitive technique of evaluating performance based on input and other accumulated factors might impede the system's capacity to assure high-quality services and the complete comprehension of worker input (Schleicher et al., 2018; Inamdar, 2022). So, Walmart needs to provide implementable features that thoroughly focus on distinct performance areas outside of what the system already involves. It is crucial to have a thorough assessment kit since it will enable Walmart, particularly the human resource department, to pinpoint systemic weaknesses. Even with the impact of competition in the supermarket sector, this variety of assessments will benefit in maintaining the effective delivery of excellent service.</w:t>
      </w:r>
    </w:p>
    <w:p>
      <w:pPr>
        <w:spacing w:line="360" w:lineRule="auto"/>
        <w:ind w:firstLine="277" w:firstLineChars="126"/>
        <w:jc w:val="both"/>
        <w:rPr>
          <w:rFonts w:ascii="Calibri" w:hAnsi="Calibri" w:cs="Calibri"/>
          <w:sz w:val="22"/>
          <w:szCs w:val="22"/>
        </w:rPr>
      </w:pPr>
      <w:r>
        <w:rPr>
          <w:rFonts w:ascii="Calibri" w:hAnsi="Calibri" w:cs="Calibri"/>
          <w:sz w:val="22"/>
          <w:szCs w:val="22"/>
        </w:rPr>
        <w:t>Allowing mentoring criteria to have a greater influence on the performance management system is another effective tactic. Mainly, the primary purpose of having such a performance system is to make sure all of the employees' efforts are directed toward the primary aim and target of the business. Since diverse workforce sectors work together to maintain this efficiency, the system must also ensure that activities go without too many setbacks (Pollitt, 2016). So, Walmart should aim to build various means of permitting mentoring in the different management and supervisory roles to experience a beneficial shift towards quality delivery. In other words, employees at higher levels up the management ladder should be permitted to mentor those below them in the management spectrum. This action is helpful since it contributes to diversifying how operations are carried out, and specified tasks are completed in a particular firm. The corporation should thus consider it in light of the growing advantages of this approach.</w:t>
      </w:r>
    </w:p>
    <w:p>
      <w:pPr>
        <w:pStyle w:val="2"/>
        <w:ind w:left="0" w:firstLine="0"/>
        <w:rPr>
          <w:sz w:val="22"/>
          <w:szCs w:val="22"/>
        </w:rPr>
      </w:pPr>
      <w:bookmarkStart w:id="10" w:name="_Toc27179"/>
      <w:r>
        <w:rPr>
          <w:sz w:val="22"/>
          <w:szCs w:val="22"/>
        </w:rPr>
        <w:t>Conclusions</w:t>
      </w:r>
      <w:bookmarkEnd w:id="10"/>
    </w:p>
    <w:p>
      <w:pPr>
        <w:spacing w:line="360" w:lineRule="auto"/>
        <w:ind w:firstLine="277" w:firstLineChars="126"/>
        <w:jc w:val="both"/>
        <w:rPr>
          <w:rFonts w:ascii="Calibri" w:hAnsi="Calibri" w:cs="Calibri"/>
          <w:sz w:val="22"/>
          <w:szCs w:val="22"/>
        </w:rPr>
      </w:pPr>
      <w:r>
        <w:rPr>
          <w:rFonts w:ascii="Calibri" w:hAnsi="Calibri" w:cs="Calibri"/>
          <w:sz w:val="22"/>
          <w:szCs w:val="22"/>
        </w:rPr>
        <w:t>Allowing mentoring is the most realistic and efficient implementation strategy from an excellent review and analysis of Walmart's various possibilities to improve performance management. Here, the system must let managers simultaneously perform their management responsibilities as coaches. Walmart should make this program a requirement of its business practices, particularly concerning management activities. One of the critical duties of managers should be coaching since it allows them to pass on knowledge to their subordinates about the best ways to boost customer service quality and overall business efficiency. Allowing managers and supervisors to take on the role of coaches means that workers are molded toward realizing their greatest capabilities thanks to the settings and dynamics of the performance system. Students may subsequently use this practical knowledge in the many input areas. It is also important to remember that enough resources may back up effective coaching should the need arise. This change would ideally serve the practical aim of reinventing the performance management system to assist staff members in improving their competence and dependability at work. The fact that managers spend less time leading their followers and more time reviewing their feedback and managing them while they execute their jobs is another noteworthy fact. As a result, taking all factors into account, Walmart can successfully implement this change.</w:t>
      </w:r>
    </w:p>
    <w:p>
      <w:pPr>
        <w:spacing w:line="360" w:lineRule="auto"/>
        <w:ind w:firstLine="302" w:firstLineChars="126"/>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rPr>
          <w:rFonts w:ascii="Calibri" w:hAnsi="Calibri" w:cs="Calibri"/>
        </w:rPr>
      </w:pPr>
    </w:p>
    <w:p>
      <w:pPr>
        <w:ind w:firstLine="0"/>
        <w:rPr>
          <w:rFonts w:ascii="Calibri" w:hAnsi="Calibri" w:cs="Calibri"/>
        </w:rPr>
      </w:pPr>
    </w:p>
    <w:p>
      <w:pPr>
        <w:pStyle w:val="2"/>
        <w:ind w:left="0" w:firstLine="277" w:firstLineChars="126"/>
        <w:rPr>
          <w:sz w:val="22"/>
          <w:szCs w:val="22"/>
        </w:rPr>
      </w:pPr>
      <w:bookmarkStart w:id="11" w:name="_Toc14330"/>
      <w:r>
        <w:rPr>
          <w:sz w:val="22"/>
          <w:szCs w:val="22"/>
        </w:rPr>
        <w:t>References</w:t>
      </w:r>
      <w:bookmarkEnd w:id="11"/>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277" w:hanging="277" w:hangingChars="126"/>
        <w:jc w:val="both"/>
        <w:textAlignment w:val="auto"/>
        <w:rPr>
          <w:rFonts w:ascii="Calibri" w:hAnsi="Calibri" w:cs="Calibri"/>
          <w:color w:val="auto"/>
          <w:sz w:val="22"/>
          <w:szCs w:val="22"/>
        </w:rPr>
      </w:pPr>
      <w:bookmarkStart w:id="14" w:name="_GoBack"/>
      <w:r>
        <w:rPr>
          <w:rFonts w:ascii="Calibri" w:hAnsi="Calibri" w:cs="Calibri"/>
          <w:color w:val="auto"/>
          <w:sz w:val="22"/>
          <w:szCs w:val="22"/>
        </w:rPr>
        <w:t xml:space="preserve">Albinus, P.,2022 </w:t>
      </w:r>
      <w:r>
        <w:rPr>
          <w:rFonts w:ascii="Calibri" w:hAnsi="Calibri" w:cs="Calibri"/>
          <w:i/>
          <w:iCs/>
          <w:color w:val="auto"/>
          <w:sz w:val="22"/>
          <w:szCs w:val="22"/>
        </w:rPr>
        <w:t>This tool aims to unite performance management and Talent Development</w:t>
      </w:r>
      <w:r>
        <w:rPr>
          <w:rFonts w:ascii="Calibri" w:hAnsi="Calibri" w:cs="Calibri"/>
          <w:color w:val="auto"/>
          <w:sz w:val="22"/>
          <w:szCs w:val="22"/>
        </w:rPr>
        <w:t xml:space="preserve">, </w:t>
      </w:r>
      <w:r>
        <w:rPr>
          <w:rFonts w:ascii="Calibri" w:hAnsi="Calibri" w:cs="Calibri"/>
          <w:i/>
          <w:iCs/>
          <w:color w:val="auto"/>
          <w:sz w:val="22"/>
          <w:szCs w:val="22"/>
        </w:rPr>
        <w:t>HR Executive</w:t>
      </w:r>
      <w:r>
        <w:rPr>
          <w:rFonts w:ascii="Calibri" w:hAnsi="Calibri" w:cs="Calibri"/>
          <w:color w:val="auto"/>
          <w:sz w:val="22"/>
          <w:szCs w:val="22"/>
        </w:rPr>
        <w:t xml:space="preserve">. Available at: https://hrexecutive.com/this-tool-aims-to-unite-performance-management-and-talent-development/ (Accessed: March 22, 2023). </w:t>
      </w:r>
    </w:p>
    <w:p>
      <w:pPr>
        <w:pStyle w:val="11"/>
        <w:keepNext w:val="0"/>
        <w:keepLines w:val="0"/>
        <w:pageBreakBefore w:val="0"/>
        <w:widowControl/>
        <w:suppressLineNumbers w:val="0"/>
        <w:kinsoku/>
        <w:wordWrap/>
        <w:overflowPunct/>
        <w:topLinePunct w:val="0"/>
        <w:autoSpaceDE/>
        <w:autoSpaceDN/>
        <w:bidi w:val="0"/>
        <w:adjustRightInd/>
        <w:snapToGrid/>
        <w:spacing w:beforeAutospacing="0" w:afterAutospacing="0" w:line="360" w:lineRule="auto"/>
        <w:ind w:left="277" w:leftChars="0" w:hanging="277" w:hangingChars="126"/>
        <w:textAlignment w:val="auto"/>
        <w:rPr>
          <w:rFonts w:ascii="Calibri" w:hAnsi="Calibri" w:eastAsia="Times New Roman" w:cs="Calibri"/>
          <w:color w:val="auto"/>
          <w:sz w:val="22"/>
          <w:szCs w:val="22"/>
          <w:lang w:val="en-US" w:eastAsia="en-US" w:bidi="ar-SA"/>
        </w:rPr>
      </w:pPr>
      <w:r>
        <w:rPr>
          <w:rFonts w:ascii="Calibri" w:hAnsi="Calibri" w:eastAsia="Times New Roman" w:cs="Calibri"/>
          <w:color w:val="auto"/>
          <w:sz w:val="22"/>
          <w:szCs w:val="22"/>
          <w:lang w:val="en-US" w:eastAsia="en-US" w:bidi="ar-SA"/>
        </w:rPr>
        <w:t xml:space="preserve">Alfes, K., Shantz, A. D., Truss, C., &amp; Soane, E. C. (2013). The link between perceived human resource management practices, engagement, and employee behavior: A moderated mediation model. The International Journal of Human Resource Management, 24(2), 330–351. https://doi.org/10.1080/09585192.2012.679950 </w:t>
      </w:r>
    </w:p>
    <w:p>
      <w:pPr>
        <w:keepNext w:val="0"/>
        <w:keepLines w:val="0"/>
        <w:pageBreakBefore w:val="0"/>
        <w:widowControl/>
        <w:tabs>
          <w:tab w:val="left" w:pos="1140"/>
        </w:tabs>
        <w:kinsoku/>
        <w:wordWrap/>
        <w:overflowPunct/>
        <w:topLinePunct w:val="0"/>
        <w:autoSpaceDE/>
        <w:autoSpaceDN/>
        <w:bidi w:val="0"/>
        <w:adjustRightInd/>
        <w:snapToGrid/>
        <w:spacing w:beforeAutospacing="0" w:afterAutospacing="0"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Armstrong, M., 2010. Armstrong's Handbook of Human Resource Management Practice. London: Kogan Page.</w:t>
      </w:r>
    </w:p>
    <w:p>
      <w:pPr>
        <w:keepNext w:val="0"/>
        <w:keepLines w:val="0"/>
        <w:pageBreakBefore w:val="0"/>
        <w:widowControl/>
        <w:kinsoku/>
        <w:wordWrap/>
        <w:overflowPunct/>
        <w:topLinePunct w:val="0"/>
        <w:autoSpaceDE/>
        <w:autoSpaceDN/>
        <w:bidi w:val="0"/>
        <w:adjustRightInd/>
        <w:snapToGrid/>
        <w:spacing w:beforeAutospacing="0" w:afterAutospacing="0"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Barua, T. and Bhattacharya, A.,2023). "Reimagining post-pandemic communication strategies at the workplace: A mindful shift," </w:t>
      </w:r>
      <w:r>
        <w:rPr>
          <w:rFonts w:ascii="Calibri" w:hAnsi="Calibri" w:cs="Calibri"/>
          <w:i/>
          <w:iCs/>
          <w:color w:val="auto"/>
          <w:sz w:val="22"/>
          <w:szCs w:val="22"/>
        </w:rPr>
        <w:t>Human Resource Management in a Post-Epidemic Global Environment</w:t>
      </w:r>
      <w:r>
        <w:rPr>
          <w:rFonts w:ascii="Calibri" w:hAnsi="Calibri" w:cs="Calibri"/>
          <w:color w:val="auto"/>
          <w:sz w:val="22"/>
          <w:szCs w:val="22"/>
        </w:rPr>
        <w:t xml:space="preserve">, pp. 35–52. Available at: https://doi.org/10.1201/9781003314844-3.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bookmarkStart w:id="12" w:name="_Hlk130304120"/>
      <w:r>
        <w:rPr>
          <w:rFonts w:ascii="Calibri" w:hAnsi="Calibri" w:cs="Calibri"/>
          <w:color w:val="auto"/>
          <w:sz w:val="22"/>
          <w:szCs w:val="22"/>
        </w:rPr>
        <w:t xml:space="preserve">Boateng, A., Akamavi, R. K., &amp; Ndoro, G., 2015. </w:t>
      </w:r>
      <w:bookmarkEnd w:id="12"/>
      <w:r>
        <w:rPr>
          <w:rFonts w:ascii="Calibri" w:hAnsi="Calibri" w:cs="Calibri"/>
          <w:color w:val="auto"/>
          <w:sz w:val="22"/>
          <w:szCs w:val="22"/>
        </w:rPr>
        <w:t xml:space="preserve">Measuring the performance of non-profit organizations: Evidence from large charities. </w:t>
      </w:r>
      <w:r>
        <w:rPr>
          <w:rFonts w:ascii="Calibri" w:hAnsi="Calibri" w:cs="Calibri"/>
          <w:i/>
          <w:iCs/>
          <w:color w:val="auto"/>
          <w:sz w:val="22"/>
          <w:szCs w:val="22"/>
        </w:rPr>
        <w:t>Business Ethics: A European Review</w:t>
      </w:r>
      <w:r>
        <w:rPr>
          <w:rFonts w:ascii="Calibri" w:hAnsi="Calibri" w:cs="Calibri"/>
          <w:color w:val="auto"/>
          <w:sz w:val="22"/>
          <w:szCs w:val="22"/>
        </w:rPr>
        <w:t xml:space="preserve">, </w:t>
      </w:r>
      <w:r>
        <w:rPr>
          <w:rFonts w:ascii="Calibri" w:hAnsi="Calibri" w:cs="Calibri"/>
          <w:i/>
          <w:iCs/>
          <w:color w:val="auto"/>
          <w:sz w:val="22"/>
          <w:szCs w:val="22"/>
        </w:rPr>
        <w:t>25</w:t>
      </w:r>
      <w:r>
        <w:rPr>
          <w:rFonts w:ascii="Calibri" w:hAnsi="Calibri" w:cs="Calibri"/>
          <w:color w:val="auto"/>
          <w:sz w:val="22"/>
          <w:szCs w:val="22"/>
        </w:rPr>
        <w:t xml:space="preserve">(1), 59–74. https://doi.org/10.1111/beer.12108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Boxall, P., &amp; Purcell, J., 2011. Strategy and Human Resource Management. Basingstoke: Palgrave Macmillan.</w:t>
      </w:r>
    </w:p>
    <w:p>
      <w:pPr>
        <w:keepNext w:val="0"/>
        <w:keepLines w:val="0"/>
        <w:pageBreakBefore w:val="0"/>
        <w:widowControl/>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i/>
          <w:iCs/>
          <w:color w:val="auto"/>
          <w:sz w:val="22"/>
          <w:szCs w:val="22"/>
        </w:rPr>
      </w:pPr>
      <w:r>
        <w:rPr>
          <w:rFonts w:ascii="Calibri" w:hAnsi="Calibri" w:cs="Calibri"/>
          <w:color w:val="auto"/>
          <w:sz w:val="22"/>
          <w:szCs w:val="22"/>
        </w:rPr>
        <w:t>Buttkus, M. and Eberenz, R., 2019. </w:t>
      </w:r>
      <w:r>
        <w:rPr>
          <w:rFonts w:ascii="Calibri" w:hAnsi="Calibri" w:cs="Calibri"/>
          <w:i/>
          <w:iCs/>
          <w:color w:val="auto"/>
          <w:sz w:val="22"/>
          <w:szCs w:val="22"/>
        </w:rPr>
        <w:t>Performance management in retail and the consumer goods industry</w:t>
      </w:r>
      <w:r>
        <w:rPr>
          <w:rFonts w:ascii="Calibri" w:hAnsi="Calibri" w:cs="Calibri"/>
          <w:color w:val="auto"/>
          <w:sz w:val="22"/>
          <w:szCs w:val="22"/>
        </w:rPr>
        <w:t>. Springer International Publishing.</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Cappelli, P., &amp; Tavis, A., 2022. </w:t>
      </w:r>
      <w:r>
        <w:rPr>
          <w:rFonts w:ascii="Calibri" w:hAnsi="Calibri" w:cs="Calibri"/>
          <w:i/>
          <w:iCs/>
          <w:color w:val="auto"/>
          <w:sz w:val="22"/>
          <w:szCs w:val="22"/>
        </w:rPr>
        <w:t>The Future of Performance Reviews</w:t>
      </w:r>
      <w:r>
        <w:rPr>
          <w:rFonts w:ascii="Calibri" w:hAnsi="Calibri" w:cs="Calibri"/>
          <w:color w:val="auto"/>
          <w:sz w:val="22"/>
          <w:szCs w:val="22"/>
        </w:rPr>
        <w:t xml:space="preserve">. Harvard Business Review. Retrieved March 21, 2023, from https://hbr.org/2016/10/the-performance-management-revolution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Demartini, C., 2013. Implementation, use, and diagnosis of the Performance Management System. </w:t>
      </w:r>
      <w:r>
        <w:rPr>
          <w:rFonts w:ascii="Calibri" w:hAnsi="Calibri" w:cs="Calibri"/>
          <w:i/>
          <w:iCs/>
          <w:color w:val="auto"/>
          <w:sz w:val="22"/>
          <w:szCs w:val="22"/>
        </w:rPr>
        <w:t>Performance Management Systems</w:t>
      </w:r>
      <w:r>
        <w:rPr>
          <w:rFonts w:ascii="Calibri" w:hAnsi="Calibri" w:cs="Calibri"/>
          <w:color w:val="auto"/>
          <w:sz w:val="22"/>
          <w:szCs w:val="22"/>
        </w:rPr>
        <w:t xml:space="preserve">, 197–215. https://doi.org/10.1007/978-3-642-36684-0_12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Ferguson, K. L., &amp; Reio, T. G., 2010. Human Resource Management Systems and firm performance. </w:t>
      </w:r>
      <w:r>
        <w:rPr>
          <w:rFonts w:ascii="Calibri" w:hAnsi="Calibri" w:cs="Calibri"/>
          <w:i/>
          <w:iCs/>
          <w:color w:val="auto"/>
          <w:sz w:val="22"/>
          <w:szCs w:val="22"/>
        </w:rPr>
        <w:t>Journal of Management Development</w:t>
      </w:r>
      <w:r>
        <w:rPr>
          <w:rFonts w:ascii="Calibri" w:hAnsi="Calibri" w:cs="Calibri"/>
          <w:color w:val="auto"/>
          <w:sz w:val="22"/>
          <w:szCs w:val="22"/>
        </w:rPr>
        <w:t xml:space="preserve">, </w:t>
      </w:r>
      <w:r>
        <w:rPr>
          <w:rFonts w:ascii="Calibri" w:hAnsi="Calibri" w:cs="Calibri"/>
          <w:i/>
          <w:iCs/>
          <w:color w:val="auto"/>
          <w:sz w:val="22"/>
          <w:szCs w:val="22"/>
        </w:rPr>
        <w:t>29</w:t>
      </w:r>
      <w:r>
        <w:rPr>
          <w:rFonts w:ascii="Calibri" w:hAnsi="Calibri" w:cs="Calibri"/>
          <w:color w:val="auto"/>
          <w:sz w:val="22"/>
          <w:szCs w:val="22"/>
        </w:rPr>
        <w:t xml:space="preserve">(5), 471–494. </w:t>
      </w:r>
      <w:r>
        <w:rPr>
          <w:color w:val="auto"/>
        </w:rPr>
        <w:fldChar w:fldCharType="begin"/>
      </w:r>
      <w:r>
        <w:rPr>
          <w:color w:val="auto"/>
        </w:rPr>
        <w:instrText xml:space="preserve"> HYPERLINK "https://doi.org/10.1108/02621711011039231" </w:instrText>
      </w:r>
      <w:r>
        <w:rPr>
          <w:color w:val="auto"/>
        </w:rPr>
        <w:fldChar w:fldCharType="separate"/>
      </w:r>
      <w:r>
        <w:rPr>
          <w:rStyle w:val="15"/>
          <w:rFonts w:ascii="Calibri" w:hAnsi="Calibri" w:cs="Calibri"/>
          <w:color w:val="auto"/>
          <w:sz w:val="22"/>
          <w:szCs w:val="22"/>
        </w:rPr>
        <w:t>https://doi.org/10.1108/02621711011039231</w:t>
      </w:r>
      <w:r>
        <w:rPr>
          <w:color w:val="auto"/>
        </w:rPr>
        <w:fldChar w:fldCharType="end"/>
      </w:r>
      <w:r>
        <w:rPr>
          <w:rFonts w:ascii="Calibri" w:hAnsi="Calibri" w:cs="Calibri"/>
          <w:color w:val="auto"/>
          <w:sz w:val="22"/>
          <w:szCs w:val="22"/>
        </w:rPr>
        <w:t xml:space="preserve"> </w:t>
      </w:r>
    </w:p>
    <w:p>
      <w:pPr>
        <w:keepNext w:val="0"/>
        <w:keepLines w:val="0"/>
        <w:pageBreakBefore w:val="0"/>
        <w:widowControl/>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Freedom Of Education (2023) </w:t>
      </w:r>
      <w:r>
        <w:rPr>
          <w:rFonts w:ascii="Calibri" w:hAnsi="Calibri" w:cs="Calibri"/>
          <w:i/>
          <w:iCs/>
          <w:color w:val="auto"/>
          <w:sz w:val="22"/>
          <w:szCs w:val="22"/>
        </w:rPr>
        <w:t>Performance management in the Digital age</w:t>
      </w:r>
      <w:r>
        <w:rPr>
          <w:rFonts w:ascii="Calibri" w:hAnsi="Calibri" w:cs="Calibri"/>
          <w:color w:val="auto"/>
          <w:sz w:val="22"/>
          <w:szCs w:val="22"/>
        </w:rPr>
        <w:t xml:space="preserve">. Available at: https://freedomofeducation.org/performance-management-in-the-digital-age/ (Accessed: March 22, 2023). </w:t>
      </w:r>
    </w:p>
    <w:p>
      <w:pPr>
        <w:keepNext w:val="0"/>
        <w:keepLines w:val="0"/>
        <w:pageBreakBefore w:val="0"/>
        <w:widowControl/>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Inamdar, A., 2022. </w:t>
      </w:r>
      <w:r>
        <w:rPr>
          <w:rFonts w:ascii="Calibri" w:hAnsi="Calibri" w:cs="Calibri"/>
          <w:i/>
          <w:iCs/>
          <w:color w:val="auto"/>
          <w:sz w:val="22"/>
          <w:szCs w:val="22"/>
        </w:rPr>
        <w:t>Council post: Improving employee performance during remote work</w:t>
      </w:r>
      <w:r>
        <w:rPr>
          <w:rFonts w:ascii="Calibri" w:hAnsi="Calibri" w:cs="Calibri"/>
          <w:color w:val="auto"/>
          <w:sz w:val="22"/>
          <w:szCs w:val="22"/>
        </w:rPr>
        <w:t xml:space="preserve">, </w:t>
      </w:r>
      <w:r>
        <w:rPr>
          <w:rFonts w:ascii="Calibri" w:hAnsi="Calibri" w:cs="Calibri"/>
          <w:i/>
          <w:iCs/>
          <w:color w:val="auto"/>
          <w:sz w:val="22"/>
          <w:szCs w:val="22"/>
        </w:rPr>
        <w:t>Forbes</w:t>
      </w:r>
      <w:r>
        <w:rPr>
          <w:rFonts w:ascii="Calibri" w:hAnsi="Calibri" w:cs="Calibri"/>
          <w:color w:val="auto"/>
          <w:sz w:val="22"/>
          <w:szCs w:val="22"/>
        </w:rPr>
        <w:t xml:space="preserve">. Forbes Magazine. Available at: https://www.forbes.com/sites/forbeshumanresourcescouncil/2022/05/03/improving-employee-performance-during-remote-work/?sh=c4ccdb3341f4 (Accessed: March 22, 2023). </w:t>
      </w:r>
    </w:p>
    <w:p>
      <w:pPr>
        <w:keepNext w:val="0"/>
        <w:keepLines w:val="0"/>
        <w:pageBreakBefore w:val="0"/>
        <w:widowControl/>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Kotowski, O., 2022. </w:t>
      </w:r>
      <w:r>
        <w:rPr>
          <w:rFonts w:ascii="Calibri" w:hAnsi="Calibri" w:cs="Calibri"/>
          <w:i/>
          <w:iCs/>
          <w:color w:val="auto"/>
          <w:sz w:val="22"/>
          <w:szCs w:val="22"/>
        </w:rPr>
        <w:t>The role of Performance Management in employee engagement</w:t>
      </w:r>
      <w:r>
        <w:rPr>
          <w:rFonts w:ascii="Calibri" w:hAnsi="Calibri" w:cs="Calibri"/>
          <w:color w:val="auto"/>
          <w:sz w:val="22"/>
          <w:szCs w:val="22"/>
        </w:rPr>
        <w:t xml:space="preserve">, </w:t>
      </w:r>
      <w:r>
        <w:rPr>
          <w:rFonts w:ascii="Calibri" w:hAnsi="Calibri" w:cs="Calibri"/>
          <w:i/>
          <w:iCs/>
          <w:color w:val="auto"/>
          <w:sz w:val="22"/>
          <w:szCs w:val="22"/>
        </w:rPr>
        <w:t>PrismHR</w:t>
      </w:r>
      <w:r>
        <w:rPr>
          <w:rFonts w:ascii="Calibri" w:hAnsi="Calibri" w:cs="Calibri"/>
          <w:color w:val="auto"/>
          <w:sz w:val="22"/>
          <w:szCs w:val="22"/>
        </w:rPr>
        <w:t xml:space="preserve">. Available at: https://www.prismhr.com/best-practices/the-role-of-performance-management-in-employee-engagement/ (Accessed: March 22, 2023). </w:t>
      </w:r>
    </w:p>
    <w:p>
      <w:pPr>
        <w:keepNext w:val="0"/>
        <w:keepLines w:val="0"/>
        <w:pageBreakBefore w:val="0"/>
        <w:widowControl/>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Lev-Ram, M., 2014. </w:t>
      </w:r>
      <w:r>
        <w:rPr>
          <w:rFonts w:ascii="Calibri" w:hAnsi="Calibri" w:cs="Calibri"/>
          <w:i/>
          <w:iCs/>
          <w:color w:val="auto"/>
          <w:sz w:val="22"/>
          <w:szCs w:val="22"/>
        </w:rPr>
        <w:t>Apple unveils new perks to attract talent</w:t>
      </w:r>
      <w:r>
        <w:rPr>
          <w:rFonts w:ascii="Calibri" w:hAnsi="Calibri" w:cs="Calibri"/>
          <w:color w:val="auto"/>
          <w:sz w:val="22"/>
          <w:szCs w:val="22"/>
        </w:rPr>
        <w:t xml:space="preserve">. Fortune. Accessed March 21, 2023, from https://fortune.com/2014/10/02/apple-employee-perks/ </w:t>
      </w:r>
    </w:p>
    <w:p>
      <w:pPr>
        <w:keepNext w:val="0"/>
        <w:keepLines w:val="0"/>
        <w:pageBreakBefore w:val="0"/>
        <w:widowControl/>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Mohd Said, N. S., Abd Halim, N. W., Abdul Manaf, S. M., &amp; Adenan, N. D., 2022. The impact of training and development on organizational performance. </w:t>
      </w:r>
      <w:r>
        <w:rPr>
          <w:rFonts w:ascii="Calibri" w:hAnsi="Calibri" w:cs="Calibri"/>
          <w:i/>
          <w:iCs/>
          <w:color w:val="auto"/>
          <w:sz w:val="22"/>
          <w:szCs w:val="22"/>
        </w:rPr>
        <w:t>Jurnal Intelek</w:t>
      </w:r>
      <w:r>
        <w:rPr>
          <w:rFonts w:ascii="Calibri" w:hAnsi="Calibri" w:cs="Calibri"/>
          <w:color w:val="auto"/>
          <w:sz w:val="22"/>
          <w:szCs w:val="22"/>
        </w:rPr>
        <w:t xml:space="preserve">, </w:t>
      </w:r>
      <w:r>
        <w:rPr>
          <w:rFonts w:ascii="Calibri" w:hAnsi="Calibri" w:cs="Calibri"/>
          <w:i/>
          <w:iCs/>
          <w:color w:val="auto"/>
          <w:sz w:val="22"/>
          <w:szCs w:val="22"/>
        </w:rPr>
        <w:t>17</w:t>
      </w:r>
      <w:r>
        <w:rPr>
          <w:rFonts w:ascii="Calibri" w:hAnsi="Calibri" w:cs="Calibri"/>
          <w:color w:val="auto"/>
          <w:sz w:val="22"/>
          <w:szCs w:val="22"/>
        </w:rPr>
        <w:t xml:space="preserve">(2), 113–123. https://doi.org/10.24191/ji.v17i2.18177 </w:t>
      </w:r>
    </w:p>
    <w:p>
      <w:pPr>
        <w:keepNext w:val="0"/>
        <w:keepLines w:val="0"/>
        <w:pageBreakBefore w:val="0"/>
        <w:widowControl/>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Pollitt, C., 2016. Performance Management in Practice: A Comparative Study of executive agencies. </w:t>
      </w:r>
      <w:r>
        <w:rPr>
          <w:rFonts w:ascii="Calibri" w:hAnsi="Calibri" w:cs="Calibri"/>
          <w:i/>
          <w:iCs/>
          <w:color w:val="auto"/>
          <w:sz w:val="22"/>
          <w:szCs w:val="22"/>
        </w:rPr>
        <w:t>Journal of Public Administration Research and Theory</w:t>
      </w:r>
      <w:r>
        <w:rPr>
          <w:rFonts w:ascii="Calibri" w:hAnsi="Calibri" w:cs="Calibri"/>
          <w:color w:val="auto"/>
          <w:sz w:val="22"/>
          <w:szCs w:val="22"/>
        </w:rPr>
        <w:t xml:space="preserve">, </w:t>
      </w:r>
      <w:r>
        <w:rPr>
          <w:rFonts w:ascii="Calibri" w:hAnsi="Calibri" w:cs="Calibri"/>
          <w:i/>
          <w:iCs/>
          <w:color w:val="auto"/>
          <w:sz w:val="22"/>
          <w:szCs w:val="22"/>
        </w:rPr>
        <w:t>16</w:t>
      </w:r>
      <w:r>
        <w:rPr>
          <w:rFonts w:ascii="Calibri" w:hAnsi="Calibri" w:cs="Calibri"/>
          <w:color w:val="auto"/>
          <w:sz w:val="22"/>
          <w:szCs w:val="22"/>
        </w:rPr>
        <w:t xml:space="preserve">(1), 25–44. https://doi.org/10.1093/jopart/mui045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Pulakos, E. D., Mueller-Hanson, R., &amp; Arad, S., 2019. The evolution of performance management: Searching for value. </w:t>
      </w:r>
      <w:r>
        <w:rPr>
          <w:rFonts w:ascii="Calibri" w:hAnsi="Calibri" w:cs="Calibri"/>
          <w:i/>
          <w:iCs/>
          <w:color w:val="auto"/>
          <w:sz w:val="22"/>
          <w:szCs w:val="22"/>
        </w:rPr>
        <w:t>Annual Review of Organizational Psychology and Organizational Behavior</w:t>
      </w:r>
      <w:r>
        <w:rPr>
          <w:rFonts w:ascii="Calibri" w:hAnsi="Calibri" w:cs="Calibri"/>
          <w:color w:val="auto"/>
          <w:sz w:val="22"/>
          <w:szCs w:val="22"/>
        </w:rPr>
        <w:t xml:space="preserve">, </w:t>
      </w:r>
      <w:r>
        <w:rPr>
          <w:rFonts w:ascii="Calibri" w:hAnsi="Calibri" w:cs="Calibri"/>
          <w:i/>
          <w:iCs/>
          <w:color w:val="auto"/>
          <w:sz w:val="22"/>
          <w:szCs w:val="22"/>
        </w:rPr>
        <w:t>6</w:t>
      </w:r>
      <w:r>
        <w:rPr>
          <w:rFonts w:ascii="Calibri" w:hAnsi="Calibri" w:cs="Calibri"/>
          <w:color w:val="auto"/>
          <w:sz w:val="22"/>
          <w:szCs w:val="22"/>
        </w:rPr>
        <w:t xml:space="preserve">(1), 249–271. https://doi.org/10.1146/annurev-orgpsych-012218-015009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Qureshi, M.I., Shams, T. and Kashif, D., 2019. Relationship between rewards and employees' performance. </w:t>
      </w:r>
      <w:r>
        <w:rPr>
          <w:rFonts w:ascii="Calibri" w:hAnsi="Calibri" w:cs="Calibri"/>
          <w:i/>
          <w:iCs/>
          <w:color w:val="auto"/>
          <w:sz w:val="22"/>
          <w:szCs w:val="22"/>
        </w:rPr>
        <w:t>Available at SSRN 1355823</w:t>
      </w:r>
      <w:r>
        <w:rPr>
          <w:rFonts w:ascii="Calibri" w:hAnsi="Calibri" w:cs="Calibri"/>
          <w:color w:val="auto"/>
          <w:sz w:val="22"/>
          <w:szCs w:val="22"/>
        </w:rPr>
        <w:t>.</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Ranjan, R. (2022) </w:t>
      </w:r>
      <w:r>
        <w:rPr>
          <w:rFonts w:ascii="Calibri" w:hAnsi="Calibri" w:cs="Calibri"/>
          <w:i/>
          <w:iCs/>
          <w:color w:val="auto"/>
          <w:sz w:val="22"/>
          <w:szCs w:val="22"/>
        </w:rPr>
        <w:t>Council post: Performance management: Six best practices in the new normal</w:t>
      </w:r>
      <w:r>
        <w:rPr>
          <w:rFonts w:ascii="Calibri" w:hAnsi="Calibri" w:cs="Calibri"/>
          <w:color w:val="auto"/>
          <w:sz w:val="22"/>
          <w:szCs w:val="22"/>
        </w:rPr>
        <w:t xml:space="preserve">, </w:t>
      </w:r>
      <w:r>
        <w:rPr>
          <w:rFonts w:ascii="Calibri" w:hAnsi="Calibri" w:cs="Calibri"/>
          <w:i/>
          <w:iCs/>
          <w:color w:val="auto"/>
          <w:sz w:val="22"/>
          <w:szCs w:val="22"/>
        </w:rPr>
        <w:t>Forbes</w:t>
      </w:r>
      <w:r>
        <w:rPr>
          <w:rFonts w:ascii="Calibri" w:hAnsi="Calibri" w:cs="Calibri"/>
          <w:color w:val="auto"/>
          <w:sz w:val="22"/>
          <w:szCs w:val="22"/>
        </w:rPr>
        <w:t xml:space="preserve">. Forbes Magazine. Available at: https://www.forbes.com/sites/forbesbusinesscouncil/2021/02/12/performance-management-six-best-practices-in-the-new-normal/ (Accessed: March 22, 2023).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Roberts, B. and Berg, N., 2012. </w:t>
      </w:r>
      <w:r>
        <w:rPr>
          <w:rFonts w:ascii="Calibri" w:hAnsi="Calibri" w:cs="Calibri"/>
          <w:i/>
          <w:iCs/>
          <w:color w:val="auto"/>
          <w:sz w:val="22"/>
          <w:szCs w:val="22"/>
        </w:rPr>
        <w:t>Walmart: key insights and practical lessons from the world's largest retailer</w:t>
      </w:r>
      <w:r>
        <w:rPr>
          <w:rFonts w:ascii="Calibri" w:hAnsi="Calibri" w:cs="Calibri"/>
          <w:color w:val="auto"/>
          <w:sz w:val="22"/>
          <w:szCs w:val="22"/>
        </w:rPr>
        <w:t>. Kogan Page Publishers.</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Schleicher, D. J., Baumann, H. M., Sullivan, D. W., Levy, P. E., Hargrove, D. C., &amp; Barros-Rivera, B. A., 2018. Putting the</w:t>
      </w:r>
      <w:r>
        <w:rPr>
          <w:rFonts w:ascii="Calibri" w:hAnsi="Calibri" w:cs="Calibri"/>
          <w:i/>
          <w:iCs/>
          <w:color w:val="auto"/>
          <w:sz w:val="22"/>
          <w:szCs w:val="22"/>
        </w:rPr>
        <w:t xml:space="preserve"> system </w:t>
      </w:r>
      <w:r>
        <w:rPr>
          <w:rFonts w:ascii="Calibri" w:hAnsi="Calibri" w:cs="Calibri"/>
          <w:color w:val="auto"/>
          <w:sz w:val="22"/>
          <w:szCs w:val="22"/>
        </w:rPr>
        <w:t xml:space="preserve">into performance management systems: A review and agenda for performance management research. </w:t>
      </w:r>
      <w:r>
        <w:rPr>
          <w:rFonts w:ascii="Calibri" w:hAnsi="Calibri" w:cs="Calibri"/>
          <w:i/>
          <w:iCs/>
          <w:color w:val="auto"/>
          <w:sz w:val="22"/>
          <w:szCs w:val="22"/>
        </w:rPr>
        <w:t>Journal of Management</w:t>
      </w:r>
      <w:r>
        <w:rPr>
          <w:rFonts w:ascii="Calibri" w:hAnsi="Calibri" w:cs="Calibri"/>
          <w:color w:val="auto"/>
          <w:sz w:val="22"/>
          <w:szCs w:val="22"/>
        </w:rPr>
        <w:t xml:space="preserve">, </w:t>
      </w:r>
      <w:r>
        <w:rPr>
          <w:rFonts w:ascii="Calibri" w:hAnsi="Calibri" w:cs="Calibri"/>
          <w:i/>
          <w:iCs/>
          <w:color w:val="auto"/>
          <w:sz w:val="22"/>
          <w:szCs w:val="22"/>
        </w:rPr>
        <w:t>44</w:t>
      </w:r>
      <w:r>
        <w:rPr>
          <w:rFonts w:ascii="Calibri" w:hAnsi="Calibri" w:cs="Calibri"/>
          <w:color w:val="auto"/>
          <w:sz w:val="22"/>
          <w:szCs w:val="22"/>
        </w:rPr>
        <w:t xml:space="preserve">(6), 2209–2245. https://doi.org/10.1177/0149206318755303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Schrage, M. (2020) </w:t>
      </w:r>
      <w:r>
        <w:rPr>
          <w:rFonts w:ascii="Calibri" w:hAnsi="Calibri" w:cs="Calibri"/>
          <w:i/>
          <w:iCs/>
          <w:color w:val="auto"/>
          <w:sz w:val="22"/>
          <w:szCs w:val="22"/>
        </w:rPr>
        <w:t>Rethinking Performance Management for post-pandemic success</w:t>
      </w:r>
      <w:r>
        <w:rPr>
          <w:rFonts w:ascii="Calibri" w:hAnsi="Calibri" w:cs="Calibri"/>
          <w:color w:val="auto"/>
          <w:sz w:val="22"/>
          <w:szCs w:val="22"/>
        </w:rPr>
        <w:t xml:space="preserve">, </w:t>
      </w:r>
      <w:r>
        <w:rPr>
          <w:rFonts w:ascii="Calibri" w:hAnsi="Calibri" w:cs="Calibri"/>
          <w:i/>
          <w:iCs/>
          <w:color w:val="auto"/>
          <w:sz w:val="22"/>
          <w:szCs w:val="22"/>
        </w:rPr>
        <w:t>MIT Sloan Management Review</w:t>
      </w:r>
      <w:r>
        <w:rPr>
          <w:rFonts w:ascii="Calibri" w:hAnsi="Calibri" w:cs="Calibri"/>
          <w:color w:val="auto"/>
          <w:sz w:val="22"/>
          <w:szCs w:val="22"/>
        </w:rPr>
        <w:t>. Available at: https://sloanreview.mit.edu/article/rethinking-performance-management-for-post-pandemic-success/ (Accessed: March 22, 2023).</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Steinbach, R., 2022. </w:t>
      </w:r>
      <w:r>
        <w:rPr>
          <w:rFonts w:ascii="Calibri" w:hAnsi="Calibri" w:cs="Calibri"/>
          <w:i/>
          <w:iCs/>
          <w:color w:val="auto"/>
          <w:sz w:val="22"/>
          <w:szCs w:val="22"/>
        </w:rPr>
        <w:t>Performance management trends in 2022</w:t>
      </w:r>
      <w:r>
        <w:rPr>
          <w:rFonts w:ascii="Calibri" w:hAnsi="Calibri" w:cs="Calibri"/>
          <w:color w:val="auto"/>
          <w:sz w:val="22"/>
          <w:szCs w:val="22"/>
        </w:rPr>
        <w:t xml:space="preserve">, </w:t>
      </w:r>
      <w:r>
        <w:rPr>
          <w:rFonts w:ascii="Calibri" w:hAnsi="Calibri" w:cs="Calibri"/>
          <w:i/>
          <w:iCs/>
          <w:color w:val="auto"/>
          <w:sz w:val="22"/>
          <w:szCs w:val="22"/>
        </w:rPr>
        <w:t>Pavestep</w:t>
      </w:r>
      <w:r>
        <w:rPr>
          <w:rFonts w:ascii="Calibri" w:hAnsi="Calibri" w:cs="Calibri"/>
          <w:color w:val="auto"/>
          <w:sz w:val="22"/>
          <w:szCs w:val="22"/>
        </w:rPr>
        <w:t xml:space="preserve">. Available at: https://pavestep.com/post/performance-management-trends-2022/ (Accessed: March 22, 2023).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Thomson, G. S., 2010. High-performance organizations: The Wal-Mart Stores Inc. Case Study. </w:t>
      </w:r>
      <w:r>
        <w:rPr>
          <w:rFonts w:ascii="Calibri" w:hAnsi="Calibri" w:cs="Calibri"/>
          <w:i/>
          <w:iCs/>
          <w:color w:val="auto"/>
          <w:sz w:val="22"/>
          <w:szCs w:val="22"/>
        </w:rPr>
        <w:t>SSRN Electronic Journal</w:t>
      </w:r>
      <w:r>
        <w:rPr>
          <w:rFonts w:ascii="Calibri" w:hAnsi="Calibri" w:cs="Calibri"/>
          <w:color w:val="auto"/>
          <w:sz w:val="22"/>
          <w:szCs w:val="22"/>
        </w:rPr>
        <w:t xml:space="preserve">. https://doi.org/10.2139/ssrn.1624245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Walmart Inc., 2010. </w:t>
      </w:r>
      <w:r>
        <w:rPr>
          <w:rFonts w:ascii="Calibri" w:hAnsi="Calibri" w:cs="Calibri"/>
          <w:i/>
          <w:iCs/>
          <w:color w:val="auto"/>
          <w:sz w:val="22"/>
          <w:szCs w:val="22"/>
        </w:rPr>
        <w:t>About</w:t>
      </w:r>
      <w:r>
        <w:rPr>
          <w:rFonts w:ascii="Calibri" w:hAnsi="Calibri" w:cs="Calibri"/>
          <w:color w:val="auto"/>
          <w:sz w:val="22"/>
          <w:szCs w:val="22"/>
        </w:rPr>
        <w:t xml:space="preserve">. Corporate. Retrieved March 21, 2023, from https://corporate.walmart.com/our-story/our-business </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Wright, P. M., &amp; McMahan, G. C. (2011). Exploring the role of strategic HRM in organizational performance. Human Resource Management Review, 21(1), 1-6. doi 10.1016/j.hrmr.2010.09.001</w:t>
      </w:r>
    </w:p>
    <w:p>
      <w:pPr>
        <w:keepNext w:val="0"/>
        <w:keepLines w:val="0"/>
        <w:pageBreakBefore w:val="0"/>
        <w:widowControl/>
        <w:tabs>
          <w:tab w:val="left" w:pos="1140"/>
        </w:tabs>
        <w:kinsoku/>
        <w:wordWrap/>
        <w:overflowPunct/>
        <w:topLinePunct w:val="0"/>
        <w:autoSpaceDE/>
        <w:autoSpaceDN/>
        <w:bidi w:val="0"/>
        <w:adjustRightInd/>
        <w:snapToGrid/>
        <w:spacing w:line="360" w:lineRule="auto"/>
        <w:ind w:left="277" w:hanging="277" w:hangingChars="126"/>
        <w:jc w:val="both"/>
        <w:textAlignment w:val="auto"/>
        <w:rPr>
          <w:rFonts w:ascii="Calibri" w:hAnsi="Calibri" w:cs="Calibri"/>
          <w:color w:val="auto"/>
          <w:sz w:val="22"/>
          <w:szCs w:val="22"/>
        </w:rPr>
      </w:pPr>
      <w:r>
        <w:rPr>
          <w:rFonts w:ascii="Calibri" w:hAnsi="Calibri" w:cs="Calibri"/>
          <w:color w:val="auto"/>
          <w:sz w:val="22"/>
          <w:szCs w:val="22"/>
        </w:rPr>
        <w:t xml:space="preserve">Xin, L., He, L., Bewli, J., Bowman, J., Feng, H., &amp; Qin, Z., 2017. On the performance of tailored base-surge policies: Theory and application at Walmart.com. </w:t>
      </w:r>
      <w:r>
        <w:rPr>
          <w:rFonts w:ascii="Calibri" w:hAnsi="Calibri" w:cs="Calibri"/>
          <w:i/>
          <w:iCs/>
          <w:color w:val="auto"/>
          <w:sz w:val="22"/>
          <w:szCs w:val="22"/>
        </w:rPr>
        <w:t>SSRN Electronic Journal</w:t>
      </w:r>
      <w:r>
        <w:rPr>
          <w:rFonts w:ascii="Calibri" w:hAnsi="Calibri" w:cs="Calibri"/>
          <w:color w:val="auto"/>
          <w:sz w:val="22"/>
          <w:szCs w:val="22"/>
        </w:rPr>
        <w:t xml:space="preserve">. https://doi.org/10.2139/ssrn.3090177 </w:t>
      </w:r>
    </w:p>
    <w:p>
      <w:pPr>
        <w:keepNext w:val="0"/>
        <w:keepLines w:val="0"/>
        <w:pageBreakBefore w:val="0"/>
        <w:widowControl/>
        <w:kinsoku/>
        <w:wordWrap/>
        <w:overflowPunct/>
        <w:topLinePunct w:val="0"/>
        <w:autoSpaceDE/>
        <w:autoSpaceDN/>
        <w:bidi w:val="0"/>
        <w:adjustRightInd/>
        <w:snapToGrid/>
        <w:spacing w:line="360" w:lineRule="auto"/>
        <w:ind w:left="277" w:hanging="302" w:hangingChars="126"/>
        <w:textAlignment w:val="auto"/>
        <w:rPr>
          <w:rFonts w:ascii="Calibri" w:hAnsi="Calibri" w:cs="Calibri"/>
          <w:color w:val="auto"/>
        </w:rPr>
      </w:pPr>
      <w:r>
        <w:rPr>
          <w:rFonts w:ascii="Calibri" w:hAnsi="Calibri" w:cs="Calibri"/>
          <w:color w:val="auto"/>
        </w:rPr>
        <w:br w:type="page"/>
      </w:r>
    </w:p>
    <w:bookmarkEnd w:id="14"/>
    <w:p>
      <w:pPr>
        <w:pStyle w:val="2"/>
        <w:ind w:left="0" w:firstLine="0"/>
        <w:rPr>
          <w:sz w:val="22"/>
          <w:szCs w:val="22"/>
        </w:rPr>
      </w:pPr>
      <w:bookmarkStart w:id="13" w:name="_Toc18873"/>
      <w:r>
        <w:rPr>
          <w:sz w:val="22"/>
          <w:szCs w:val="22"/>
        </w:rPr>
        <w:t>Appendix</w:t>
      </w:r>
      <w:bookmarkEnd w:id="13"/>
    </w:p>
    <w:p>
      <w:pPr>
        <w:tabs>
          <w:tab w:val="left" w:pos="1140"/>
        </w:tabs>
        <w:spacing w:line="360" w:lineRule="auto"/>
        <w:ind w:left="720" w:hanging="720"/>
        <w:rPr>
          <w:rFonts w:ascii="Calibri" w:hAnsi="Calibri" w:cs="Calibri"/>
        </w:rPr>
      </w:pPr>
      <w:r>
        <w:rPr>
          <w:rFonts w:ascii="Calibri" w:hAnsi="Calibri" w:cs="Calibri"/>
          <w:i/>
          <w:iCs/>
          <w:color w:val="44546A"/>
          <w:sz w:val="22"/>
          <w:szCs w:val="22"/>
        </w:rPr>
        <w:fldChar w:fldCharType="begin"/>
      </w:r>
      <w:r>
        <w:rPr>
          <w:rFonts w:ascii="Calibri" w:hAnsi="Calibri" w:cs="Calibri"/>
          <w:i/>
          <w:iCs/>
          <w:color w:val="44546A"/>
          <w:sz w:val="22"/>
          <w:szCs w:val="22"/>
        </w:rPr>
        <w:instrText xml:space="preserve"> TOC \h \z \c "Figure" </w:instrText>
      </w:r>
      <w:r>
        <w:rPr>
          <w:rFonts w:ascii="Calibri" w:hAnsi="Calibri" w:cs="Calibri"/>
          <w:i/>
          <w:iCs/>
          <w:color w:val="44546A"/>
          <w:sz w:val="22"/>
          <w:szCs w:val="22"/>
        </w:rPr>
        <w:fldChar w:fldCharType="separate"/>
      </w:r>
      <w:r>
        <w:rPr>
          <w:rFonts w:ascii="Calibri" w:hAnsi="Calibri" w:cs="Calibri"/>
          <w:b/>
          <w:bCs/>
          <w:i/>
          <w:iCs/>
          <w:color w:val="44546A"/>
          <w:sz w:val="22"/>
          <w:szCs w:val="22"/>
        </w:rPr>
        <w:t>Figure 1: Performance management system at</w:t>
      </w:r>
      <w:r>
        <w:rPr>
          <w:rFonts w:hint="eastAsia" w:ascii="Calibri" w:hAnsi="Calibri" w:eastAsia="宋体" w:cs="Calibri"/>
          <w:b/>
          <w:bCs/>
          <w:i/>
          <w:iCs/>
          <w:color w:val="44546A"/>
          <w:sz w:val="22"/>
          <w:szCs w:val="22"/>
          <w:lang w:eastAsia="zh-CN"/>
        </w:rPr>
        <w:t xml:space="preserve">  </w:t>
      </w:r>
      <w:r>
        <w:rPr>
          <w:rFonts w:ascii="Calibri" w:hAnsi="Calibri" w:cs="Calibri"/>
          <w:b/>
          <w:bCs/>
          <w:i/>
          <w:iCs/>
          <w:color w:val="44546A"/>
          <w:sz w:val="22"/>
          <w:szCs w:val="22"/>
        </w:rPr>
        <w:t xml:space="preserve">Walmart. </w:t>
      </w:r>
      <w:r>
        <w:rPr>
          <w:rFonts w:ascii="Calibri" w:hAnsi="Calibri" w:cs="Calibri"/>
          <w:i/>
          <w:iCs/>
          <w:color w:val="44546A"/>
          <w:sz w:val="22"/>
          <w:szCs w:val="22"/>
        </w:rPr>
        <w:fldChar w:fldCharType="end"/>
      </w:r>
    </w:p>
    <w:p>
      <w:pPr>
        <w:tabs>
          <w:tab w:val="left" w:pos="1140"/>
        </w:tabs>
        <w:rPr>
          <w:rFonts w:ascii="Calibri" w:hAnsi="Calibri" w:cs="Calibri"/>
        </w:rPr>
      </w:pPr>
      <w:r>
        <w:rPr>
          <w:rFonts w:ascii="Calibri" w:hAnsi="Calibri" w:cs="Calibri"/>
        </w:rPr>
        <w:drawing>
          <wp:anchor distT="0" distB="0" distL="0" distR="0" simplePos="0" relativeHeight="251659264" behindDoc="0" locked="0" layoutInCell="1" allowOverlap="1">
            <wp:simplePos x="0" y="0"/>
            <wp:positionH relativeFrom="column">
              <wp:posOffset>10160</wp:posOffset>
            </wp:positionH>
            <wp:positionV relativeFrom="paragraph">
              <wp:posOffset>15875</wp:posOffset>
            </wp:positionV>
            <wp:extent cx="5943600" cy="3336290"/>
            <wp:effectExtent l="0" t="0" r="0" b="0"/>
            <wp:wrapNone/>
            <wp:docPr id="1026" name="Picture 1"/>
            <wp:cNvGraphicFramePr/>
            <a:graphic xmlns:a="http://schemas.openxmlformats.org/drawingml/2006/main">
              <a:graphicData uri="http://schemas.openxmlformats.org/drawingml/2006/picture">
                <pic:pic xmlns:pic="http://schemas.openxmlformats.org/drawingml/2006/picture">
                  <pic:nvPicPr>
                    <pic:cNvPr id="1026" name="Picture 1"/>
                    <pic:cNvPicPr/>
                  </pic:nvPicPr>
                  <pic:blipFill>
                    <a:blip r:embed="rId7" cstate="print"/>
                    <a:srcRect/>
                    <a:stretch>
                      <a:fillRect/>
                    </a:stretch>
                  </pic:blipFill>
                  <pic:spPr>
                    <a:xfrm>
                      <a:off x="0" y="0"/>
                      <a:ext cx="5943600" cy="3336290"/>
                    </a:xfrm>
                    <a:prstGeom prst="rect">
                      <a:avLst/>
                    </a:prstGeom>
                    <a:ln>
                      <a:noFill/>
                    </a:ln>
                  </pic:spPr>
                </pic:pic>
              </a:graphicData>
            </a:graphic>
          </wp:anchor>
        </w:drawing>
      </w:r>
    </w:p>
    <w:p>
      <w:pPr>
        <w:tabs>
          <w:tab w:val="left" w:pos="1140"/>
        </w:tabs>
        <w:rPr>
          <w:rFonts w:ascii="Calibri" w:hAnsi="Calibri" w:cs="Calibri"/>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480" w:lineRule="auto"/>
      </w:pPr>
      <w:r>
        <w:separator/>
      </w:r>
    </w:p>
  </w:footnote>
  <w:footnote w:type="continuationSeparator" w:id="1">
    <w:p>
      <w:pPr>
        <w:spacing w:line="48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Calibri" w:hAnsi="Calibri" w:cs="Calibri"/>
      </w:rPr>
    </w:pPr>
    <w:r>
      <w:rPr>
        <w:rFonts w:ascii="Calibri" w:hAnsi="Calibri" w:cs="Calibri"/>
      </w:rPr>
      <w:fldChar w:fldCharType="begin"/>
    </w:r>
    <w:r>
      <w:rPr>
        <w:rFonts w:ascii="Calibri" w:hAnsi="Calibri" w:cs="Calibri"/>
      </w:rPr>
      <w:instrText xml:space="preserve"> PAGE   \* MERGEFORMAT </w:instrText>
    </w:r>
    <w:r>
      <w:rPr>
        <w:rFonts w:ascii="Calibri" w:hAnsi="Calibri" w:cs="Calibri"/>
      </w:rPr>
      <w:fldChar w:fldCharType="separate"/>
    </w:r>
    <w:r>
      <w:rPr>
        <w:rFonts w:ascii="Calibri" w:hAnsi="Calibri" w:cs="Calibri"/>
      </w:rPr>
      <w:t>2</w:t>
    </w:r>
    <w:r>
      <w:rPr>
        <w:rFonts w:ascii="Calibri" w:hAnsi="Calibri" w:cs="Calibri"/>
      </w:rPr>
      <w:fldChar w:fldCharType="end"/>
    </w:r>
  </w:p>
  <w:p>
    <w:pPr>
      <w:pStyle w:val="7"/>
      <w:tabs>
        <w:tab w:val="clear" w:pos="4680"/>
        <w:tab w:val="clear" w:pos="9360"/>
      </w:tabs>
      <w:rPr>
        <w:rFonts w:ascii="Calibri" w:hAnsi="Calibri" w:cs="Calibri"/>
      </w:rPr>
    </w:pPr>
    <w:r>
      <w:rPr>
        <w:rFonts w:ascii="Calibri" w:hAnsi="Calibri" w:cs="Calibri"/>
      </w:rP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00000000"/>
    <w:multiLevelType w:val="multilevel"/>
    <w:tmpl w:val="00000000"/>
    <w:lvl w:ilvl="0" w:tentative="0">
      <w:start w:val="1"/>
      <w:numFmt w:val="decimal"/>
      <w:pStyle w:val="2"/>
      <w:lvlText w:val="%1.0."/>
      <w:lvlJc w:val="left"/>
      <w:pPr>
        <w:ind w:left="1525" w:hanging="360"/>
      </w:pPr>
      <w:rPr>
        <w:rFonts w:hint="default"/>
      </w:rPr>
    </w:lvl>
    <w:lvl w:ilvl="1" w:tentative="0">
      <w:start w:val="1"/>
      <w:numFmt w:val="decimal"/>
      <w:lvlText w:val="%1.%2."/>
      <w:lvlJc w:val="left"/>
      <w:pPr>
        <w:ind w:left="2520" w:hanging="360"/>
      </w:pPr>
      <w:rPr>
        <w:rFonts w:hint="default"/>
      </w:rPr>
    </w:lvl>
    <w:lvl w:ilvl="2" w:tentative="0">
      <w:start w:val="1"/>
      <w:numFmt w:val="decimal"/>
      <w:lvlText w:val="%1.%2.%3."/>
      <w:lvlJc w:val="left"/>
      <w:pPr>
        <w:ind w:left="3600" w:hanging="720"/>
      </w:pPr>
      <w:rPr>
        <w:rFonts w:hint="default"/>
      </w:rPr>
    </w:lvl>
    <w:lvl w:ilvl="3" w:tentative="0">
      <w:start w:val="1"/>
      <w:numFmt w:val="decimal"/>
      <w:lvlText w:val="%1.%2.%3.%4."/>
      <w:lvlJc w:val="left"/>
      <w:pPr>
        <w:ind w:left="4320" w:hanging="720"/>
      </w:pPr>
      <w:rPr>
        <w:rFonts w:hint="default"/>
      </w:rPr>
    </w:lvl>
    <w:lvl w:ilvl="4" w:tentative="0">
      <w:start w:val="1"/>
      <w:numFmt w:val="decimal"/>
      <w:lvlText w:val="%1.%2.%3.%4.%5."/>
      <w:lvlJc w:val="left"/>
      <w:pPr>
        <w:ind w:left="5400" w:hanging="1080"/>
      </w:pPr>
      <w:rPr>
        <w:rFonts w:hint="default"/>
      </w:rPr>
    </w:lvl>
    <w:lvl w:ilvl="5" w:tentative="0">
      <w:start w:val="1"/>
      <w:numFmt w:val="decimal"/>
      <w:lvlText w:val="%1.%2.%3.%4.%5.%6."/>
      <w:lvlJc w:val="left"/>
      <w:pPr>
        <w:ind w:left="6120" w:hanging="1080"/>
      </w:pPr>
      <w:rPr>
        <w:rFonts w:hint="default"/>
      </w:rPr>
    </w:lvl>
    <w:lvl w:ilvl="6" w:tentative="0">
      <w:start w:val="1"/>
      <w:numFmt w:val="decimal"/>
      <w:lvlText w:val="%1.%2.%3.%4.%5.%6.%7."/>
      <w:lvlJc w:val="left"/>
      <w:pPr>
        <w:ind w:left="7200" w:hanging="1440"/>
      </w:pPr>
      <w:rPr>
        <w:rFonts w:hint="default"/>
      </w:rPr>
    </w:lvl>
    <w:lvl w:ilvl="7" w:tentative="0">
      <w:start w:val="1"/>
      <w:numFmt w:val="decimal"/>
      <w:lvlText w:val="%1.%2.%3.%4.%5.%6.%7.%8."/>
      <w:lvlJc w:val="left"/>
      <w:pPr>
        <w:ind w:left="7920" w:hanging="1440"/>
      </w:pPr>
      <w:rPr>
        <w:rFonts w:hint="default"/>
      </w:rPr>
    </w:lvl>
    <w:lvl w:ilvl="8" w:tentative="0">
      <w:start w:val="1"/>
      <w:numFmt w:val="decimal"/>
      <w:lvlText w:val="%1.%2.%3.%4.%5.%6.%7.%8.%9."/>
      <w:lvlJc w:val="left"/>
      <w:pPr>
        <w:ind w:left="9000" w:hanging="1800"/>
      </w:pPr>
      <w:rPr>
        <w:rFonts w:hint="default"/>
      </w:rPr>
    </w:lvl>
  </w:abstractNum>
  <w:abstractNum w:abstractNumId="1">
    <w:nsid w:val="00000001"/>
    <w:multiLevelType w:val="multilevel"/>
    <w:tmpl w:val="00000001"/>
    <w:lvl w:ilvl="0" w:tentative="0">
      <w:start w:val="1"/>
      <w:numFmt w:val="lowerRoman"/>
      <w:lvlText w:val="%1."/>
      <w:lvlJc w:val="righ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33"/>
  <w:bordersDoNotSurroundHeader w:val="0"/>
  <w:bordersDoNotSurroundFooter w:val="0"/>
  <w:documentProtection w:enforcement="0"/>
  <w:defaultTabStop w:val="720"/>
  <w:displayHorizontalDrawingGridEvery w:val="1"/>
  <w:displayVerticalDrawingGridEvery w:val="1"/>
  <w:noPunctuationKerning w:val="1"/>
  <w:characterSpacingControl w:val="doNotCompress"/>
  <w:footnotePr>
    <w:footnote w:id="0"/>
    <w:footnote w:id="1"/>
  </w:footnotePr>
  <w:endnotePr>
    <w:endnote w:id="0"/>
    <w:endnote w:id="1"/>
  </w:endnotePr>
  <w:compat>
    <w:doNotExpandShiftReturn/>
    <w:doNotWrapTextWithPunct/>
    <w:doNotUseEastAsianBreakRules/>
    <w:useFELayout/>
    <w:doNotUseIndentAsNumberingTabStop/>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commondata" w:val="eyJoZGlkIjoiM2QzZDMxOGRmMGI5YjhiYmY5MmE5NDI5ODk5ODZkMjMifQ=="/>
  </w:docVars>
  <w:rsids>
    <w:rsidRoot w:val="00000000"/>
    <w:rsid w:val="203942EC"/>
    <w:rsid w:val="6F7417DA"/>
    <w:rsid w:val="79FD0F1B"/>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nhideWhenUsed="0" w:uiPriority="9" w:semiHidden="0" w:name="heading 2"/>
    <w:lsdException w:qFormat="1" w:unhideWhenUsed="0" w:uiPriority="9"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39" w:semiHidden="0" w:name="toc 1"/>
    <w:lsdException w:qFormat="1" w:unhideWhenUsed="0" w:uiPriority="39"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99" w:semiHidden="0" w:name="header"/>
    <w:lsdException w:qFormat="1" w:unhideWhenUsed="0" w:uiPriority="99" w:semiHidden="0" w:name="footer"/>
    <w:lsdException w:unhideWhenUsed="0" w:uiPriority="0" w:semiHidden="0" w:name="index heading"/>
    <w:lsdException w:qFormat="1" w:unhideWhenUsed="0" w:uiPriority="35" w:semiHidden="0" w:name="caption"/>
    <w:lsdException w:qFormat="1" w:unhideWhenUsed="0" w:uiPriority="99"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1" w:semiHidden="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99"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qFormat="1"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99" w:semiHidden="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480" w:lineRule="auto"/>
      <w:ind w:firstLine="720"/>
    </w:pPr>
    <w:rPr>
      <w:rFonts w:ascii="Times New Roman" w:hAnsi="Times New Roman" w:eastAsia="Times New Roman" w:cs="Arial"/>
      <w:sz w:val="24"/>
      <w:szCs w:val="24"/>
      <w:lang w:val="en-US" w:eastAsia="en-US" w:bidi="ar-SA"/>
    </w:rPr>
  </w:style>
  <w:style w:type="paragraph" w:styleId="2">
    <w:name w:val="heading 1"/>
    <w:basedOn w:val="1"/>
    <w:next w:val="1"/>
    <w:link w:val="19"/>
    <w:qFormat/>
    <w:uiPriority w:val="9"/>
    <w:pPr>
      <w:numPr>
        <w:ilvl w:val="0"/>
        <w:numId w:val="1"/>
      </w:numPr>
      <w:spacing w:line="360" w:lineRule="auto"/>
      <w:outlineLvl w:val="0"/>
    </w:pPr>
    <w:rPr>
      <w:rFonts w:ascii="Calibri" w:hAnsi="Calibri" w:cs="Calibri"/>
      <w:b/>
      <w:bCs/>
      <w:iCs/>
      <w:szCs w:val="20"/>
      <w:shd w:val="clear" w:color="auto" w:fill="FFFFFF"/>
      <w:lang w:val="en-GB" w:eastAsia="en-GB"/>
    </w:rPr>
  </w:style>
  <w:style w:type="paragraph" w:styleId="3">
    <w:name w:val="heading 2"/>
    <w:basedOn w:val="1"/>
    <w:next w:val="1"/>
    <w:link w:val="20"/>
    <w:qFormat/>
    <w:uiPriority w:val="9"/>
    <w:pPr>
      <w:tabs>
        <w:tab w:val="left" w:pos="720"/>
      </w:tabs>
      <w:ind w:left="1440" w:hanging="360"/>
      <w:outlineLvl w:val="1"/>
    </w:pPr>
    <w:rPr>
      <w:b/>
    </w:rPr>
  </w:style>
  <w:style w:type="paragraph" w:styleId="4">
    <w:name w:val="heading 3"/>
    <w:basedOn w:val="1"/>
    <w:next w:val="1"/>
    <w:link w:val="21"/>
    <w:qFormat/>
    <w:uiPriority w:val="9"/>
    <w:pPr>
      <w:keepNext/>
      <w:keepLines/>
      <w:outlineLvl w:val="2"/>
    </w:pPr>
    <w:rPr>
      <w:rFonts w:eastAsia="宋体" w:cs="宋体"/>
      <w:b/>
    </w:rPr>
  </w:style>
  <w:style w:type="character" w:default="1" w:styleId="14">
    <w:name w:val="Default Paragraph Font"/>
    <w:uiPriority w:val="1"/>
  </w:style>
  <w:style w:type="table" w:default="1" w:styleId="12">
    <w:name w:val="Normal Table"/>
    <w:qFormat/>
    <w:uiPriority w:val="99"/>
    <w:tblPr>
      <w:tblCellMar>
        <w:top w:w="0" w:type="dxa"/>
        <w:left w:w="108" w:type="dxa"/>
        <w:bottom w:w="0" w:type="dxa"/>
        <w:right w:w="108" w:type="dxa"/>
      </w:tblCellMar>
    </w:tblPr>
  </w:style>
  <w:style w:type="paragraph" w:styleId="5">
    <w:name w:val="caption"/>
    <w:basedOn w:val="1"/>
    <w:next w:val="1"/>
    <w:qFormat/>
    <w:uiPriority w:val="35"/>
    <w:pPr>
      <w:spacing w:after="200" w:line="240" w:lineRule="auto"/>
    </w:pPr>
    <w:rPr>
      <w:i/>
      <w:iCs/>
      <w:color w:val="44546A"/>
      <w:sz w:val="18"/>
      <w:szCs w:val="18"/>
    </w:rPr>
  </w:style>
  <w:style w:type="paragraph" w:styleId="6">
    <w:name w:val="footer"/>
    <w:basedOn w:val="1"/>
    <w:link w:val="17"/>
    <w:qFormat/>
    <w:uiPriority w:val="99"/>
    <w:pPr>
      <w:tabs>
        <w:tab w:val="center" w:pos="4680"/>
        <w:tab w:val="right" w:pos="9360"/>
      </w:tabs>
      <w:spacing w:line="240" w:lineRule="auto"/>
    </w:pPr>
  </w:style>
  <w:style w:type="paragraph" w:styleId="7">
    <w:name w:val="header"/>
    <w:basedOn w:val="1"/>
    <w:link w:val="16"/>
    <w:qFormat/>
    <w:uiPriority w:val="99"/>
    <w:pPr>
      <w:tabs>
        <w:tab w:val="center" w:pos="4680"/>
        <w:tab w:val="right" w:pos="9360"/>
      </w:tabs>
      <w:spacing w:line="240" w:lineRule="auto"/>
    </w:pPr>
  </w:style>
  <w:style w:type="paragraph" w:styleId="8">
    <w:name w:val="toc 1"/>
    <w:basedOn w:val="1"/>
    <w:next w:val="1"/>
    <w:qFormat/>
    <w:uiPriority w:val="39"/>
    <w:pPr>
      <w:spacing w:after="100"/>
    </w:pPr>
  </w:style>
  <w:style w:type="paragraph" w:styleId="9">
    <w:name w:val="table of figures"/>
    <w:basedOn w:val="1"/>
    <w:next w:val="1"/>
    <w:qFormat/>
    <w:uiPriority w:val="99"/>
  </w:style>
  <w:style w:type="paragraph" w:styleId="10">
    <w:name w:val="toc 2"/>
    <w:basedOn w:val="1"/>
    <w:next w:val="1"/>
    <w:qFormat/>
    <w:uiPriority w:val="39"/>
    <w:pPr>
      <w:spacing w:after="100"/>
      <w:ind w:left="240"/>
    </w:pPr>
  </w:style>
  <w:style w:type="paragraph" w:styleId="11">
    <w:name w:val="Normal (Web)"/>
    <w:basedOn w:val="1"/>
    <w:qFormat/>
    <w:uiPriority w:val="0"/>
    <w:pPr>
      <w:spacing w:beforeAutospacing="1" w:afterAutospacing="1"/>
    </w:pPr>
    <w:rPr>
      <w:rFonts w:cs="Times New Roman"/>
      <w:lang w:eastAsia="zh-CN"/>
    </w:rPr>
  </w:style>
  <w:style w:type="table" w:styleId="13">
    <w:name w:val="Table Grid"/>
    <w:basedOn w:val="12"/>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qFormat/>
    <w:uiPriority w:val="99"/>
    <w:rPr>
      <w:color w:val="0563C1"/>
      <w:u w:val="single"/>
    </w:rPr>
  </w:style>
  <w:style w:type="character" w:customStyle="1" w:styleId="16">
    <w:name w:val="Header Char_656d9269-ec7a-4000-bec3-67793802aa99"/>
    <w:basedOn w:val="14"/>
    <w:link w:val="7"/>
    <w:qFormat/>
    <w:uiPriority w:val="99"/>
  </w:style>
  <w:style w:type="character" w:customStyle="1" w:styleId="17">
    <w:name w:val="Footer Char_fceb233a-6a0c-4b83-8148-6401eda24264"/>
    <w:basedOn w:val="14"/>
    <w:link w:val="6"/>
    <w:qFormat/>
    <w:uiPriority w:val="99"/>
  </w:style>
  <w:style w:type="paragraph" w:styleId="18">
    <w:name w:val="List Paragraph"/>
    <w:basedOn w:val="1"/>
    <w:qFormat/>
    <w:uiPriority w:val="34"/>
    <w:pPr>
      <w:ind w:left="720"/>
      <w:contextualSpacing/>
    </w:pPr>
  </w:style>
  <w:style w:type="character" w:customStyle="1" w:styleId="19">
    <w:name w:val="Heading 1 Char_41b6ea7e-bcfd-4133-850e-0c27bceba8d6"/>
    <w:basedOn w:val="14"/>
    <w:link w:val="2"/>
    <w:qFormat/>
    <w:uiPriority w:val="9"/>
    <w:rPr>
      <w:rFonts w:ascii="Calibri" w:hAnsi="Calibri" w:eastAsia="Times New Roman" w:cs="Calibri"/>
      <w:b/>
      <w:bCs/>
      <w:iCs/>
      <w:szCs w:val="20"/>
      <w:lang w:val="en-GB" w:eastAsia="en-GB"/>
    </w:rPr>
  </w:style>
  <w:style w:type="character" w:customStyle="1" w:styleId="20">
    <w:name w:val="Heading 2 Char_90b240b4-3fbc-41fe-b6bb-2fd0838d2970"/>
    <w:basedOn w:val="14"/>
    <w:link w:val="3"/>
    <w:qFormat/>
    <w:uiPriority w:val="9"/>
    <w:rPr>
      <w:b/>
    </w:rPr>
  </w:style>
  <w:style w:type="character" w:customStyle="1" w:styleId="21">
    <w:name w:val="Heading 3 Char_9fa5472f-78a1-4e5b-b85f-a6780ed7c6f2"/>
    <w:basedOn w:val="14"/>
    <w:link w:val="4"/>
    <w:qFormat/>
    <w:uiPriority w:val="9"/>
    <w:rPr>
      <w:rFonts w:ascii="Times New Roman" w:hAnsi="Times New Roman" w:eastAsia="宋体" w:cs="宋体"/>
      <w:b/>
    </w:rPr>
  </w:style>
  <w:style w:type="paragraph" w:styleId="22">
    <w:name w:val="No Spacing"/>
    <w:qFormat/>
    <w:uiPriority w:val="1"/>
    <w:pPr>
      <w:spacing w:line="480" w:lineRule="auto"/>
      <w:ind w:firstLine="720"/>
    </w:pPr>
    <w:rPr>
      <w:rFonts w:ascii="Times New Roman" w:hAnsi="Times New Roman" w:eastAsia="Times New Roman" w:cs="Arial"/>
      <w:sz w:val="24"/>
      <w:szCs w:val="24"/>
      <w:lang w:val="en-US" w:eastAsia="en-US" w:bidi="ar-SA"/>
    </w:rPr>
  </w:style>
  <w:style w:type="character" w:customStyle="1" w:styleId="23">
    <w:name w:val="Unresolved Mention1"/>
    <w:basedOn w:val="14"/>
    <w:qFormat/>
    <w:uiPriority w:val="99"/>
    <w:rPr>
      <w:color w:val="605E5C"/>
      <w:shd w:val="clear" w:color="auto" w:fill="E1DFDD"/>
    </w:rPr>
  </w:style>
  <w:style w:type="paragraph" w:customStyle="1" w:styleId="24">
    <w:name w:val="TOC Heading1"/>
    <w:basedOn w:val="2"/>
    <w:next w:val="1"/>
    <w:qFormat/>
    <w:uiPriority w:val="39"/>
    <w:pPr>
      <w:keepNext/>
      <w:keepLines/>
      <w:numPr>
        <w:ilvl w:val="0"/>
        <w:numId w:val="0"/>
      </w:numPr>
      <w:spacing w:before="240" w:line="259" w:lineRule="auto"/>
      <w:outlineLvl w:val="9"/>
    </w:pPr>
    <w:rPr>
      <w:b w:val="0"/>
      <w:bCs w:val="0"/>
      <w:iCs w:val="0"/>
      <w:color w:val="2F5496"/>
      <w:sz w:val="32"/>
      <w:szCs w:val="3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1.png"/><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0" Type="http://schemas.openxmlformats.org/officeDocument/2006/relationships/fontTable" Target="fontTable.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02F21-DF6D-4C98-9CAB-36A96190B326}">
  <ds:schemaRefs/>
</ds:datastoreItem>
</file>

<file path=docProps/app.xml><?xml version="1.0" encoding="utf-8"?>
<Properties xmlns="http://schemas.openxmlformats.org/officeDocument/2006/extended-properties" xmlns:vt="http://schemas.openxmlformats.org/officeDocument/2006/docPropsVTypes">
  <Template>Normal</Template>
  <Pages>14</Pages>
  <Words>3321</Words>
  <Characters>21110</Characters>
  <Paragraphs>159</Paragraphs>
  <TotalTime>48</TotalTime>
  <ScaleCrop>false</ScaleCrop>
  <LinksUpToDate>false</LinksUpToDate>
  <CharactersWithSpaces>24366</CharactersWithSpaces>
  <Application>WPS Office_11.1.0.13703_F1E327BC-269C-435d-A152-05C5408002CA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2023-03-23T20:30:00Z</dcterms:created>
  <dc:creator>Onesmus Iguku</dc:creator>
  <cp:lastModifiedBy>DK</cp:lastModifiedBy>
  <dcterms:modified xsi:type="dcterms:W3CDTF">2023-03-24T17:34:48Z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19f4e2c895f043e383d2c5209b0b24ac</vt:lpwstr>
  </property>
  <property fmtid="{D5CDD505-2E9C-101B-9397-08002B2CF9AE}" pid="3" name="KSOProductBuildVer">
    <vt:lpwstr>2052-11.1.0.13703</vt:lpwstr>
  </property>
</Properties>
</file>