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F3972" w14:textId="5A8A00D3" w:rsidR="00F150E0" w:rsidRPr="002751DB" w:rsidRDefault="00A156B5" w:rsidP="00315BC9">
      <w:pPr>
        <w:pStyle w:val="Title"/>
        <w:rPr>
          <w:u w:val="single"/>
        </w:rPr>
      </w:pPr>
      <w:r w:rsidRPr="002751DB">
        <w:rPr>
          <w:u w:val="single"/>
        </w:rPr>
        <w:t xml:space="preserve">Academic Assignment </w:t>
      </w:r>
      <w:r w:rsidR="002751DB" w:rsidRPr="002751DB">
        <w:rPr>
          <w:u w:val="single"/>
        </w:rPr>
        <w:t>DHEP 04/2021</w:t>
      </w:r>
    </w:p>
    <w:p w14:paraId="563E31BB" w14:textId="77777777" w:rsidR="00315BC9" w:rsidRPr="002751DB" w:rsidRDefault="00315BC9" w:rsidP="002751DB">
      <w:pPr>
        <w:pStyle w:val="Heading1"/>
      </w:pPr>
      <w:r w:rsidRPr="002751DB">
        <w:t xml:space="preserve">Name: </w:t>
      </w:r>
      <w:r w:rsidR="00A156B5" w:rsidRPr="002751DB">
        <w:t>Lloyd Williams</w:t>
      </w:r>
    </w:p>
    <w:p w14:paraId="5953B9EC" w14:textId="1CB64757" w:rsidR="00A156B5" w:rsidRPr="002751DB" w:rsidRDefault="00315BC9" w:rsidP="002751DB">
      <w:pPr>
        <w:pStyle w:val="Heading1"/>
      </w:pPr>
      <w:r w:rsidRPr="002751DB">
        <w:t>Student Number:</w:t>
      </w:r>
      <w:r w:rsidR="00A156B5" w:rsidRPr="002751DB">
        <w:t xml:space="preserve"> 211767</w:t>
      </w:r>
    </w:p>
    <w:p w14:paraId="13F64439" w14:textId="77777777" w:rsidR="00A156B5" w:rsidRPr="00BB00B8" w:rsidRDefault="00A156B5" w:rsidP="00A156B5">
      <w:pPr>
        <w:rPr>
          <w:rFonts w:cstheme="minorHAnsi"/>
          <w:sz w:val="28"/>
          <w:szCs w:val="28"/>
        </w:rPr>
      </w:pPr>
    </w:p>
    <w:p w14:paraId="5341BCBA" w14:textId="77777777" w:rsidR="00F2241B" w:rsidRDefault="00F2241B" w:rsidP="00F2241B">
      <w:pPr>
        <w:pStyle w:val="Heading2"/>
        <w:rPr>
          <w:rFonts w:asciiTheme="minorHAnsi" w:hAnsiTheme="minorHAnsi" w:cstheme="minorHAnsi"/>
          <w:sz w:val="28"/>
          <w:szCs w:val="28"/>
        </w:rPr>
      </w:pPr>
      <w:r w:rsidRPr="00BB00B8">
        <w:rPr>
          <w:rFonts w:asciiTheme="minorHAnsi" w:hAnsiTheme="minorHAnsi" w:cstheme="minorHAnsi"/>
          <w:sz w:val="28"/>
          <w:szCs w:val="28"/>
        </w:rPr>
        <w:t xml:space="preserve">Essay </w:t>
      </w:r>
      <w:r>
        <w:rPr>
          <w:rFonts w:asciiTheme="minorHAnsi" w:hAnsiTheme="minorHAnsi" w:cstheme="minorHAnsi"/>
          <w:sz w:val="28"/>
          <w:szCs w:val="28"/>
        </w:rPr>
        <w:t>1</w:t>
      </w:r>
      <w:r w:rsidRPr="00BB00B8">
        <w:rPr>
          <w:rFonts w:asciiTheme="minorHAnsi" w:hAnsiTheme="minorHAnsi" w:cstheme="minorHAnsi"/>
          <w:sz w:val="28"/>
          <w:szCs w:val="28"/>
        </w:rPr>
        <w:t xml:space="preserve"> </w:t>
      </w:r>
      <w:r>
        <w:rPr>
          <w:rFonts w:asciiTheme="minorHAnsi" w:hAnsiTheme="minorHAnsi" w:cstheme="minorHAnsi"/>
          <w:sz w:val="28"/>
          <w:szCs w:val="28"/>
        </w:rPr>
        <w:t>- Evaluate the effectiveness of crime prevention strategies (e.g</w:t>
      </w:r>
      <w:r w:rsidRPr="00BB00B8">
        <w:rPr>
          <w:rFonts w:asciiTheme="minorHAnsi" w:hAnsiTheme="minorHAnsi" w:cstheme="minorHAnsi"/>
          <w:sz w:val="28"/>
          <w:szCs w:val="28"/>
        </w:rPr>
        <w:t>.,</w:t>
      </w:r>
      <w:r>
        <w:rPr>
          <w:rFonts w:asciiTheme="minorHAnsi" w:hAnsiTheme="minorHAnsi" w:cstheme="minorHAnsi"/>
          <w:sz w:val="28"/>
          <w:szCs w:val="28"/>
        </w:rPr>
        <w:t xml:space="preserve"> problem-oriented policing, predictive policing, intelligence-led policing, reactive policing) in relation to a specific type of crime of your own choosing.</w:t>
      </w:r>
    </w:p>
    <w:p w14:paraId="30924A20" w14:textId="77777777" w:rsidR="00F2241B" w:rsidRDefault="00F2241B" w:rsidP="00F2241B">
      <w:pPr>
        <w:tabs>
          <w:tab w:val="left" w:pos="1123"/>
        </w:tabs>
        <w:rPr>
          <w:rFonts w:cstheme="minorHAnsi"/>
          <w:sz w:val="28"/>
          <w:szCs w:val="28"/>
        </w:rPr>
      </w:pPr>
    </w:p>
    <w:p w14:paraId="77327FD1" w14:textId="77777777" w:rsidR="00F2241B" w:rsidRDefault="00F2241B" w:rsidP="00F2241B">
      <w:pPr>
        <w:tabs>
          <w:tab w:val="left" w:pos="1123"/>
        </w:tabs>
        <w:ind w:firstLine="1123"/>
        <w:rPr>
          <w:rFonts w:cstheme="minorHAnsi"/>
          <w:sz w:val="28"/>
          <w:szCs w:val="28"/>
        </w:rPr>
      </w:pPr>
      <w:r>
        <w:rPr>
          <w:rFonts w:cstheme="minorHAnsi"/>
          <w:sz w:val="28"/>
          <w:szCs w:val="28"/>
        </w:rPr>
        <w:t xml:space="preserve">One crime prevention strategy used with Police forces across the world is the problem-oriented policing strategy (POPS).  This was originally created by </w:t>
      </w:r>
      <w:r w:rsidRPr="007C16CC">
        <w:rPr>
          <w:rFonts w:cstheme="minorHAnsi"/>
          <w:sz w:val="28"/>
          <w:szCs w:val="28"/>
        </w:rPr>
        <w:t>Herman Goldstein</w:t>
      </w:r>
      <w:r>
        <w:rPr>
          <w:rFonts w:cstheme="minorHAnsi"/>
          <w:sz w:val="28"/>
          <w:szCs w:val="28"/>
        </w:rPr>
        <w:t xml:space="preserve"> and basically works by identifying problems more than actual offences.  It focuses on an area whereby multiple incidents occur, for example a lot of anti-social behaviour in a location which result in criminal damage.  Once the area is identified as a problematic area and then researched as to what the root of the problem is.  Therefore, by highlighting and addressing the root of the problem by means of education or community engagement this leads to a reduced incidents with the hope of eradicating it in its entirety (Hinkle et al, 2020).  </w:t>
      </w:r>
    </w:p>
    <w:p w14:paraId="675E7F17" w14:textId="77777777" w:rsidR="00F2241B" w:rsidRDefault="00F2241B" w:rsidP="00F2241B">
      <w:pPr>
        <w:tabs>
          <w:tab w:val="left" w:pos="1123"/>
        </w:tabs>
        <w:ind w:firstLine="1123"/>
        <w:rPr>
          <w:rFonts w:cstheme="minorHAnsi"/>
          <w:sz w:val="28"/>
          <w:szCs w:val="28"/>
        </w:rPr>
      </w:pPr>
      <w:r>
        <w:rPr>
          <w:rFonts w:cstheme="minorHAnsi"/>
          <w:sz w:val="28"/>
          <w:szCs w:val="28"/>
        </w:rPr>
        <w:t xml:space="preserve">A number of studies have researched the effectiveness of POPS with one study in particular showing a significant decrease in anti-social behaviour at a location following this strategy (Weisburd et al, 2011).  Their control location continued with response policing instead and it illustrated that reactive response to ASB was not effective in stopping re-occurrences.  Cordner and Biebel, 2005 also found similar findings, whereby they explain how POPS hugely reduces the demand of reactive police response but not just for ASB.  This again is corroborated by Scott, 2010, stating that POPS was successful at reducing problems within an area and having more community engagement due to the increase of patrols and interaction between the public and police officers.  However, POPS requires significant resources which as we know isn’t a luxury many forces in the UK have currently (Stevelink et al., 2020).  It is worth noting that reactive response is the main source of policing due to the reduced police officers across forces resulting in POPS not being deployed across the country as much as it would be hoped (Braga et al., 1999).  </w:t>
      </w:r>
    </w:p>
    <w:p w14:paraId="2F3E9376" w14:textId="77777777" w:rsidR="00F2241B" w:rsidRDefault="00F2241B" w:rsidP="00F2241B">
      <w:pPr>
        <w:tabs>
          <w:tab w:val="left" w:pos="1123"/>
        </w:tabs>
        <w:ind w:firstLine="1123"/>
        <w:rPr>
          <w:rFonts w:cstheme="minorHAnsi"/>
          <w:sz w:val="28"/>
          <w:szCs w:val="28"/>
        </w:rPr>
      </w:pPr>
      <w:r>
        <w:rPr>
          <w:rFonts w:cstheme="minorHAnsi"/>
          <w:sz w:val="28"/>
          <w:szCs w:val="28"/>
        </w:rPr>
        <w:lastRenderedPageBreak/>
        <w:t>Another controversial strategy which is highly researched in relation to its effectiveness is predictive policing.  Predictive policing strategy involves using advanced software which analyses and scrutinises past historical data for specific types of crimes, it then ‘predicts’ in what area is there a chance of an increased criminal activity solely for the crime specified (</w:t>
      </w:r>
      <w:r w:rsidRPr="00DD4B47">
        <w:rPr>
          <w:rFonts w:cstheme="minorHAnsi"/>
          <w:sz w:val="28"/>
          <w:szCs w:val="28"/>
        </w:rPr>
        <w:t>Meijer</w:t>
      </w:r>
      <w:r>
        <w:rPr>
          <w:rFonts w:cstheme="minorHAnsi"/>
          <w:sz w:val="28"/>
          <w:szCs w:val="28"/>
        </w:rPr>
        <w:t xml:space="preserve"> &amp;</w:t>
      </w:r>
      <w:r w:rsidRPr="00DD4B47">
        <w:rPr>
          <w:rFonts w:cstheme="minorHAnsi"/>
          <w:sz w:val="28"/>
          <w:szCs w:val="28"/>
        </w:rPr>
        <w:t xml:space="preserve"> Wessels</w:t>
      </w:r>
      <w:r>
        <w:rPr>
          <w:rFonts w:cstheme="minorHAnsi"/>
          <w:sz w:val="28"/>
          <w:szCs w:val="28"/>
        </w:rPr>
        <w:t xml:space="preserve">, </w:t>
      </w:r>
      <w:r w:rsidRPr="00DD4B47">
        <w:rPr>
          <w:rFonts w:cstheme="minorHAnsi"/>
          <w:sz w:val="28"/>
          <w:szCs w:val="28"/>
        </w:rPr>
        <w:t>2019</w:t>
      </w:r>
      <w:r>
        <w:rPr>
          <w:rFonts w:cstheme="minorHAnsi"/>
          <w:sz w:val="28"/>
          <w:szCs w:val="28"/>
        </w:rPr>
        <w:t>). This is no means a replacement of other policing strategies such as POPS, however, using advanced technology tries to assist police in targeting and preventing crimes in an area such as ASB (Ratcliffe, 2008).    The controversy arises from studies such as Norton, 2013, whereby they have investigated into this strategy and find no to little evidence of the benefits from this. This subsequently raises questions in terms of the cost invested into this technology.   Innes et al, 2004 states that during their studies they found a serious negative effect, where they found that the reliance on statistical data alone alters the way Police see society.  The data does not take into consideration the context of why anti-social behaviour occurs, such as lack of opportunities in an area which results in boredom.  Findings also show that if anything this strategy is less effective and resulting in biases and discriminatory behaviour from officers, thus creating tension and worsening relationships between public and police (</w:t>
      </w:r>
      <w:r w:rsidRPr="00DD4B47">
        <w:rPr>
          <w:rFonts w:cstheme="minorHAnsi"/>
          <w:sz w:val="28"/>
          <w:szCs w:val="28"/>
        </w:rPr>
        <w:t>Andrejevic, 2017</w:t>
      </w:r>
      <w:r>
        <w:rPr>
          <w:rFonts w:cstheme="minorHAnsi"/>
          <w:sz w:val="28"/>
          <w:szCs w:val="28"/>
        </w:rPr>
        <w:t xml:space="preserve">).  </w:t>
      </w:r>
    </w:p>
    <w:p w14:paraId="0EABE43F" w14:textId="77777777" w:rsidR="00F2241B" w:rsidRDefault="00F2241B" w:rsidP="00F2241B">
      <w:pPr>
        <w:tabs>
          <w:tab w:val="left" w:pos="1123"/>
        </w:tabs>
        <w:ind w:firstLine="1123"/>
        <w:rPr>
          <w:rFonts w:cstheme="minorHAnsi"/>
          <w:sz w:val="28"/>
          <w:szCs w:val="28"/>
        </w:rPr>
      </w:pPr>
      <w:r>
        <w:rPr>
          <w:rFonts w:cstheme="minorHAnsi"/>
          <w:sz w:val="28"/>
          <w:szCs w:val="28"/>
        </w:rPr>
        <w:t xml:space="preserve"> However, other studies have collated data and found to be some benefits with this, such as a reduced anti-social behaviour such as criminal damage by identifying the area and preventing the crimes from happening (Pearsall, 2010).  Again, it needs to note that this strategy is not a replacement and that community interaction and engagement and educating people still require to be ongoing.  </w:t>
      </w:r>
    </w:p>
    <w:p w14:paraId="735FF836" w14:textId="77777777" w:rsidR="00F2241B" w:rsidRDefault="00F2241B" w:rsidP="00F2241B">
      <w:pPr>
        <w:tabs>
          <w:tab w:val="left" w:pos="1123"/>
        </w:tabs>
        <w:ind w:firstLine="1123"/>
        <w:rPr>
          <w:rFonts w:cstheme="minorHAnsi"/>
          <w:sz w:val="28"/>
          <w:szCs w:val="28"/>
        </w:rPr>
      </w:pPr>
    </w:p>
    <w:p w14:paraId="43C219B7" w14:textId="77777777" w:rsidR="00F2241B" w:rsidRDefault="00F2241B" w:rsidP="00F2241B">
      <w:pPr>
        <w:tabs>
          <w:tab w:val="left" w:pos="1123"/>
        </w:tabs>
        <w:ind w:firstLine="1123"/>
        <w:rPr>
          <w:rFonts w:cstheme="minorHAnsi"/>
          <w:sz w:val="28"/>
          <w:szCs w:val="28"/>
        </w:rPr>
      </w:pPr>
      <w:r>
        <w:rPr>
          <w:rFonts w:cstheme="minorHAnsi"/>
          <w:sz w:val="28"/>
          <w:szCs w:val="28"/>
        </w:rPr>
        <w:t>A third policy strategy used to reduce crimes such as anti-social behaviour and criminal damage is intelligence-led policing.  Intelligence-led policing was introduced to the UK as a mean of increasing effectiveness of the police force and do so in a cost-effective way (Ratcliffe, 2012).  This strategy is evaluated by studies, and it appears to be a mixed method of both POPS and predictive policing, intelligence-led policing works by using a intelligence team to gather information about offenders (via both covert and overt methods), managing criminal hotspot areas, look at any potential links between offences, highlighting any similar modus operandi and finally secure ways to prevent crimes such as criminal damage from occurring (</w:t>
      </w:r>
      <w:r w:rsidRPr="005F0570">
        <w:rPr>
          <w:rFonts w:cstheme="minorHAnsi"/>
          <w:sz w:val="28"/>
          <w:szCs w:val="28"/>
        </w:rPr>
        <w:t>Darroch</w:t>
      </w:r>
      <w:r>
        <w:rPr>
          <w:rFonts w:cstheme="minorHAnsi"/>
          <w:sz w:val="28"/>
          <w:szCs w:val="28"/>
        </w:rPr>
        <w:t xml:space="preserve"> &amp; </w:t>
      </w:r>
      <w:r w:rsidRPr="005F0570">
        <w:rPr>
          <w:rFonts w:cstheme="minorHAnsi"/>
          <w:sz w:val="28"/>
          <w:szCs w:val="28"/>
        </w:rPr>
        <w:t>Mazerolle,</w:t>
      </w:r>
      <w:r>
        <w:rPr>
          <w:rFonts w:cstheme="minorHAnsi"/>
          <w:sz w:val="28"/>
          <w:szCs w:val="28"/>
        </w:rPr>
        <w:t xml:space="preserve"> </w:t>
      </w:r>
      <w:r w:rsidRPr="005F0570">
        <w:rPr>
          <w:rFonts w:cstheme="minorHAnsi"/>
          <w:sz w:val="28"/>
          <w:szCs w:val="28"/>
        </w:rPr>
        <w:t>2012</w:t>
      </w:r>
      <w:r>
        <w:rPr>
          <w:rFonts w:cstheme="minorHAnsi"/>
          <w:sz w:val="28"/>
          <w:szCs w:val="28"/>
        </w:rPr>
        <w:t xml:space="preserve">).  </w:t>
      </w:r>
      <w:r>
        <w:rPr>
          <w:rFonts w:cstheme="minorHAnsi"/>
          <w:sz w:val="28"/>
          <w:szCs w:val="28"/>
        </w:rPr>
        <w:lastRenderedPageBreak/>
        <w:t xml:space="preserve">This strategy has recently been adopted over the world due to the effectiveness a number of studies have shown.  However, there are drawbacks with using this and one main issue is the technology.  Maguire, 2000 explains that for this strategy to be successful, we require a lot of intelligence, and this quantity of intelligence is needed to be stored on computer systems.  As we know, technology is not always reliable and it is costly to ensure security, capacity and to avoid any technical issues.  Therefore, extremely expensive on that basis alone.  However, all intelligence collected needs to be collated, analysed, and disseminated and thus requiring more staff / officers to do so (Ratcliffe, 2002).  What more is that analysing the data is extremely time consuming and it is imperative that the intelligence that has been collected is reliable, accurate and used / shared correctly.  This leads us to question, what intelligence do we need to record for the purpose of this strategy to be successful?  Studies have shown that in the UK, overall, there appears to be an agreement on the types of intelligence collected to allow this strategy to work at its optimum, however, this needs to be kept in mind for other forces across the world that may adopt this strategy (Carter et al., 2014) </w:t>
      </w:r>
    </w:p>
    <w:p w14:paraId="0861631E" w14:textId="77777777" w:rsidR="00F2241B" w:rsidRPr="00113A4B" w:rsidRDefault="00F2241B" w:rsidP="00F2241B">
      <w:pPr>
        <w:tabs>
          <w:tab w:val="left" w:pos="1123"/>
        </w:tabs>
        <w:rPr>
          <w:rFonts w:cstheme="minorHAnsi"/>
          <w:sz w:val="28"/>
          <w:szCs w:val="28"/>
        </w:rPr>
      </w:pPr>
      <w:r>
        <w:rPr>
          <w:rFonts w:cstheme="minorHAnsi"/>
          <w:sz w:val="28"/>
          <w:szCs w:val="28"/>
        </w:rPr>
        <w:t>WORD COUNT: 912</w:t>
      </w:r>
    </w:p>
    <w:p w14:paraId="0A30E7A1" w14:textId="17DBA54E" w:rsidR="00113A4B" w:rsidRDefault="00113A4B" w:rsidP="00113A4B">
      <w:pPr>
        <w:tabs>
          <w:tab w:val="left" w:pos="1123"/>
        </w:tabs>
        <w:rPr>
          <w:rFonts w:cstheme="minorHAnsi"/>
          <w:sz w:val="28"/>
          <w:szCs w:val="28"/>
        </w:rPr>
      </w:pPr>
    </w:p>
    <w:p w14:paraId="45F9DBE3" w14:textId="77777777" w:rsidR="00F2241B" w:rsidRDefault="00F2241B" w:rsidP="00F2241B">
      <w:pPr>
        <w:pStyle w:val="Heading2"/>
        <w:rPr>
          <w:rFonts w:asciiTheme="minorHAnsi" w:hAnsiTheme="minorHAnsi" w:cstheme="minorHAnsi"/>
          <w:sz w:val="28"/>
          <w:szCs w:val="28"/>
        </w:rPr>
      </w:pPr>
      <w:r w:rsidRPr="00BB00B8">
        <w:rPr>
          <w:rFonts w:asciiTheme="minorHAnsi" w:hAnsiTheme="minorHAnsi" w:cstheme="minorHAnsi"/>
          <w:sz w:val="28"/>
          <w:szCs w:val="28"/>
        </w:rPr>
        <w:t xml:space="preserve">Essay </w:t>
      </w:r>
      <w:r>
        <w:rPr>
          <w:rFonts w:asciiTheme="minorHAnsi" w:hAnsiTheme="minorHAnsi" w:cstheme="minorHAnsi"/>
          <w:sz w:val="28"/>
          <w:szCs w:val="28"/>
        </w:rPr>
        <w:t>2 –</w:t>
      </w:r>
      <w:r w:rsidRPr="00BB00B8">
        <w:rPr>
          <w:rFonts w:asciiTheme="minorHAnsi" w:hAnsiTheme="minorHAnsi" w:cstheme="minorHAnsi"/>
          <w:sz w:val="28"/>
          <w:szCs w:val="28"/>
        </w:rPr>
        <w:t xml:space="preserve"> </w:t>
      </w:r>
      <w:r>
        <w:rPr>
          <w:rFonts w:asciiTheme="minorHAnsi" w:hAnsiTheme="minorHAnsi" w:cstheme="minorHAnsi"/>
          <w:sz w:val="28"/>
          <w:szCs w:val="28"/>
        </w:rPr>
        <w:t>Assess the role of specialist units investigating cybercrime.</w:t>
      </w:r>
    </w:p>
    <w:p w14:paraId="1D757433" w14:textId="77777777" w:rsidR="00F2241B" w:rsidRPr="00987971" w:rsidRDefault="00F2241B" w:rsidP="00F2241B"/>
    <w:p w14:paraId="3DF78F1C" w14:textId="77777777" w:rsidR="00F2241B" w:rsidRDefault="00F2241B" w:rsidP="00F2241B">
      <w:pPr>
        <w:tabs>
          <w:tab w:val="left" w:pos="1123"/>
        </w:tabs>
        <w:ind w:firstLine="1123"/>
        <w:rPr>
          <w:rFonts w:cstheme="minorHAnsi"/>
          <w:sz w:val="28"/>
          <w:szCs w:val="28"/>
        </w:rPr>
      </w:pPr>
      <w:r>
        <w:rPr>
          <w:rFonts w:cstheme="minorHAnsi"/>
          <w:sz w:val="28"/>
          <w:szCs w:val="28"/>
        </w:rPr>
        <w:t>Technology has advanced massively since the 2000’s, whereby social media, emails, texts, and phone calls are allowing people to contact each other across the world instantly (Wall and Williams, 2013).  Technology has assisted humanity greatly such as modern advanced medical practice, whereby an increased use of virtual and augmented reality to allow complex procedures being planned prior to operation on a victim (</w:t>
      </w:r>
      <w:r w:rsidRPr="000363C8">
        <w:rPr>
          <w:rFonts w:cstheme="minorHAnsi"/>
          <w:sz w:val="28"/>
          <w:szCs w:val="28"/>
        </w:rPr>
        <w:t>Sutherland</w:t>
      </w:r>
      <w:r>
        <w:rPr>
          <w:rFonts w:cstheme="minorHAnsi"/>
          <w:sz w:val="28"/>
          <w:szCs w:val="28"/>
        </w:rPr>
        <w:t xml:space="preserve"> </w:t>
      </w:r>
      <w:r w:rsidRPr="000363C8">
        <w:rPr>
          <w:rFonts w:cstheme="minorHAnsi"/>
          <w:sz w:val="28"/>
          <w:szCs w:val="28"/>
        </w:rPr>
        <w:t>et al</w:t>
      </w:r>
      <w:r>
        <w:rPr>
          <w:rFonts w:cstheme="minorHAnsi"/>
          <w:sz w:val="28"/>
          <w:szCs w:val="28"/>
        </w:rPr>
        <w:t>.,</w:t>
      </w:r>
      <w:r w:rsidRPr="000363C8">
        <w:rPr>
          <w:rFonts w:cstheme="minorHAnsi"/>
          <w:sz w:val="28"/>
          <w:szCs w:val="28"/>
        </w:rPr>
        <w:t xml:space="preserve"> 2018</w:t>
      </w:r>
      <w:r>
        <w:rPr>
          <w:rFonts w:cstheme="minorHAnsi"/>
          <w:sz w:val="28"/>
          <w:szCs w:val="28"/>
        </w:rPr>
        <w:t>)  However, with the positives of the advantages from ever developing technology comes the negativity of online crimes, cybercrime.</w:t>
      </w:r>
    </w:p>
    <w:p w14:paraId="5D3A030E" w14:textId="77777777" w:rsidR="00F2241B" w:rsidRDefault="00F2241B" w:rsidP="00F2241B">
      <w:pPr>
        <w:tabs>
          <w:tab w:val="left" w:pos="1123"/>
        </w:tabs>
        <w:ind w:firstLine="1123"/>
        <w:rPr>
          <w:rFonts w:cstheme="minorHAnsi"/>
          <w:sz w:val="28"/>
          <w:szCs w:val="28"/>
        </w:rPr>
      </w:pPr>
      <w:r>
        <w:rPr>
          <w:rFonts w:cstheme="minorHAnsi"/>
          <w:sz w:val="28"/>
          <w:szCs w:val="28"/>
        </w:rPr>
        <w:t>Cybercrime is a very large and complex issue; it is also the same when trying to define ‘cybercrime’ as many researchers are conflicted into what actually comes under cybercrime (Moon et al</w:t>
      </w:r>
      <w:r w:rsidRPr="00802368">
        <w:rPr>
          <w:rFonts w:cstheme="minorHAnsi"/>
          <w:sz w:val="28"/>
          <w:szCs w:val="28"/>
        </w:rPr>
        <w:t>, 201</w:t>
      </w:r>
      <w:r>
        <w:rPr>
          <w:rFonts w:cstheme="minorHAnsi"/>
          <w:sz w:val="28"/>
          <w:szCs w:val="28"/>
        </w:rPr>
        <w:t xml:space="preserve">0).  There is a severe lack of agreement on defining cybercrime.  However, generally, cybercrime is separated into two categories.  This creates it easier for experts and researchers to study and evaluate the way we police cybercrimes.  One </w:t>
      </w:r>
      <w:r>
        <w:rPr>
          <w:rFonts w:cstheme="minorHAnsi"/>
          <w:sz w:val="28"/>
          <w:szCs w:val="28"/>
        </w:rPr>
        <w:lastRenderedPageBreak/>
        <w:t>category explains cybercrime as being similar to traditional crime whereby technology is used to assist a crime taking place. For example, stalking and harassment incident which continues through the use of technology or is conducted solely via a mobile phone (</w:t>
      </w:r>
      <w:r w:rsidRPr="00A02E04">
        <w:rPr>
          <w:rFonts w:cstheme="minorHAnsi"/>
          <w:sz w:val="28"/>
          <w:szCs w:val="28"/>
        </w:rPr>
        <w:t>Helms &amp; Gutierrez, 2007</w:t>
      </w:r>
      <w:r>
        <w:rPr>
          <w:rFonts w:cstheme="minorHAnsi"/>
          <w:sz w:val="28"/>
          <w:szCs w:val="28"/>
        </w:rPr>
        <w:t>).</w:t>
      </w:r>
    </w:p>
    <w:p w14:paraId="159420C8" w14:textId="77777777" w:rsidR="00F2241B" w:rsidRDefault="00F2241B" w:rsidP="00F2241B">
      <w:pPr>
        <w:tabs>
          <w:tab w:val="left" w:pos="1123"/>
        </w:tabs>
        <w:ind w:firstLine="1123"/>
        <w:rPr>
          <w:rFonts w:cstheme="minorHAnsi"/>
          <w:sz w:val="28"/>
          <w:szCs w:val="28"/>
        </w:rPr>
      </w:pPr>
      <w:r>
        <w:rPr>
          <w:rFonts w:cstheme="minorHAnsi"/>
          <w:sz w:val="28"/>
          <w:szCs w:val="28"/>
        </w:rPr>
        <w:t>The other category is viewed as crimes that are now in existence solely due to the presence of technology, thus creating a new type of offence in essence.  For example, hacking or company espionage whereby offenders use malware (trojan) which access other peoples’/companies’ computers and from there hack into their data (</w:t>
      </w:r>
      <w:r w:rsidRPr="00A02E04">
        <w:rPr>
          <w:rFonts w:cstheme="minorHAnsi"/>
          <w:sz w:val="28"/>
          <w:szCs w:val="28"/>
        </w:rPr>
        <w:t>Rege‐Patwardhan, 2009</w:t>
      </w:r>
      <w:r>
        <w:rPr>
          <w:rFonts w:cstheme="minorHAnsi"/>
          <w:sz w:val="28"/>
          <w:szCs w:val="28"/>
        </w:rPr>
        <w:t>).  However, there are other researchers that argue to the contrary, stating cybercrime is difficult to categorise as there are some offences which do not fit into either of those categories.  An example here is online radicalisation, this extreme offence can and often cause catastrophic consequences should individuals be radicalised into committing terrorist attacks (</w:t>
      </w:r>
      <w:r w:rsidRPr="00802368">
        <w:rPr>
          <w:rFonts w:cstheme="minorHAnsi"/>
          <w:sz w:val="28"/>
          <w:szCs w:val="28"/>
        </w:rPr>
        <w:t>Marcum et al., 2010</w:t>
      </w:r>
      <w:r>
        <w:rPr>
          <w:rFonts w:cstheme="minorHAnsi"/>
          <w:sz w:val="28"/>
          <w:szCs w:val="28"/>
        </w:rPr>
        <w:t xml:space="preserve">).  </w:t>
      </w:r>
    </w:p>
    <w:p w14:paraId="6EBA5353" w14:textId="77777777" w:rsidR="00F2241B" w:rsidRDefault="00F2241B" w:rsidP="00F2241B">
      <w:pPr>
        <w:tabs>
          <w:tab w:val="left" w:pos="1123"/>
        </w:tabs>
        <w:ind w:firstLine="1123"/>
        <w:rPr>
          <w:rFonts w:cstheme="minorHAnsi"/>
          <w:sz w:val="28"/>
          <w:szCs w:val="28"/>
        </w:rPr>
      </w:pPr>
      <w:r>
        <w:rPr>
          <w:rFonts w:cstheme="minorHAnsi"/>
          <w:sz w:val="28"/>
          <w:szCs w:val="28"/>
        </w:rPr>
        <w:t>This highlights the difficult task officers and specialist units have when investigating all types of cybercrime as which will be discussed throughout this essay.</w:t>
      </w:r>
    </w:p>
    <w:p w14:paraId="7D1B799B" w14:textId="77777777" w:rsidR="00F2241B" w:rsidRDefault="00F2241B" w:rsidP="00F2241B">
      <w:pPr>
        <w:tabs>
          <w:tab w:val="left" w:pos="1123"/>
        </w:tabs>
        <w:ind w:firstLine="1123"/>
        <w:rPr>
          <w:rFonts w:cstheme="minorHAnsi"/>
          <w:sz w:val="28"/>
          <w:szCs w:val="28"/>
        </w:rPr>
      </w:pPr>
    </w:p>
    <w:p w14:paraId="2215233A" w14:textId="77777777" w:rsidR="00F2241B" w:rsidRDefault="00F2241B" w:rsidP="00F2241B">
      <w:pPr>
        <w:tabs>
          <w:tab w:val="left" w:pos="1123"/>
        </w:tabs>
        <w:ind w:firstLine="1123"/>
        <w:rPr>
          <w:rFonts w:cstheme="minorHAnsi"/>
          <w:sz w:val="28"/>
          <w:szCs w:val="28"/>
        </w:rPr>
      </w:pPr>
      <w:r>
        <w:rPr>
          <w:rFonts w:cstheme="minorHAnsi"/>
          <w:sz w:val="28"/>
          <w:szCs w:val="28"/>
        </w:rPr>
        <w:t xml:space="preserve">In their 2021 research paper, Collier et al examined and evaluated the way the police carry out criminal investigations into cybercrime and similarly to the previous categories, separated their investigations into two strategies: first being infrastructural policing, second being influencing policing.  Infrastructural policing was focusing more on infrastructure of the internet which allowed criminals ‘further up the chain’ to conduct criminal activities.  Influencing policing focused more on the online radicalisation and global terrorism offences.  They found that both strategies were successful investigating cybercrime and were suitable adapted for each type of cybercrime.  However, it remains largely under researched and again due to the complexity requires more academic evaluation into broader types of cybercrime and this study was largely focused on two types of cybercrime (Marcum et al., 2010).  </w:t>
      </w:r>
    </w:p>
    <w:p w14:paraId="1FF51B8C" w14:textId="77777777" w:rsidR="00F2241B" w:rsidRDefault="00F2241B" w:rsidP="00F2241B">
      <w:pPr>
        <w:tabs>
          <w:tab w:val="left" w:pos="1123"/>
        </w:tabs>
        <w:ind w:firstLine="1123"/>
        <w:rPr>
          <w:rFonts w:cstheme="minorHAnsi"/>
          <w:sz w:val="28"/>
          <w:szCs w:val="28"/>
        </w:rPr>
      </w:pPr>
    </w:p>
    <w:p w14:paraId="192E9B89" w14:textId="77777777" w:rsidR="00F2241B" w:rsidRDefault="00F2241B" w:rsidP="00F2241B">
      <w:pPr>
        <w:tabs>
          <w:tab w:val="left" w:pos="1123"/>
        </w:tabs>
        <w:ind w:firstLine="1123"/>
        <w:rPr>
          <w:rFonts w:cstheme="minorHAnsi"/>
          <w:sz w:val="28"/>
          <w:szCs w:val="28"/>
        </w:rPr>
      </w:pPr>
      <w:r w:rsidRPr="003844AC">
        <w:rPr>
          <w:rFonts w:cstheme="minorHAnsi"/>
          <w:sz w:val="28"/>
          <w:szCs w:val="28"/>
        </w:rPr>
        <w:t>Willits</w:t>
      </w:r>
      <w:r>
        <w:rPr>
          <w:rFonts w:cstheme="minorHAnsi"/>
          <w:sz w:val="28"/>
          <w:szCs w:val="28"/>
        </w:rPr>
        <w:t xml:space="preserve"> </w:t>
      </w:r>
      <w:r w:rsidRPr="003844AC">
        <w:rPr>
          <w:rFonts w:cstheme="minorHAnsi"/>
          <w:sz w:val="28"/>
          <w:szCs w:val="28"/>
        </w:rPr>
        <w:t>and Nowacki</w:t>
      </w:r>
      <w:r>
        <w:rPr>
          <w:rFonts w:cstheme="minorHAnsi"/>
          <w:sz w:val="28"/>
          <w:szCs w:val="28"/>
        </w:rPr>
        <w:t xml:space="preserve"> (2016), investigated the use of specialised cyber units within police forces to tackle cybercrime.  They based their studies on the definition of cybercrime being categorised into three groups (Furnell, 2008).  Furnell states that the first category is where crime is collected electronically, </w:t>
      </w:r>
      <w:r>
        <w:rPr>
          <w:rFonts w:cstheme="minorHAnsi"/>
          <w:sz w:val="28"/>
          <w:szCs w:val="28"/>
        </w:rPr>
        <w:lastRenderedPageBreak/>
        <w:t xml:space="preserve">however, without technology the crime would still exist.  Secondly, he describes ‘true’ cybercrime whereby this only exists with technology, and without it there would be no crime.  Thirdly are the hybrid offences which basically uses technology to aid or ease the crime to be committed.  Willits and Nowacki evaluated the use of specialised units and found that the police were far better investigating these three categories by using focussed teams.  The technology alone to allow officers to investigate the criminal activities, thus allowing them to gather sufficient evidence to produce for court.  They also noted that larger more extreme cases such as child exploitation and organised drug gangs required multiple specialised teams, which when used assisted in the criminal investigation significantly.    </w:t>
      </w:r>
    </w:p>
    <w:p w14:paraId="2C1189CC" w14:textId="77777777" w:rsidR="00F2241B" w:rsidRDefault="00F2241B" w:rsidP="00F2241B">
      <w:pPr>
        <w:tabs>
          <w:tab w:val="left" w:pos="1123"/>
        </w:tabs>
        <w:ind w:firstLine="1123"/>
        <w:rPr>
          <w:rFonts w:cstheme="minorHAnsi"/>
          <w:sz w:val="28"/>
          <w:szCs w:val="28"/>
        </w:rPr>
      </w:pPr>
    </w:p>
    <w:p w14:paraId="37E02556" w14:textId="77777777" w:rsidR="00F2241B" w:rsidRDefault="00F2241B" w:rsidP="00F2241B">
      <w:pPr>
        <w:tabs>
          <w:tab w:val="left" w:pos="1123"/>
        </w:tabs>
        <w:ind w:firstLine="1123"/>
        <w:rPr>
          <w:rFonts w:cstheme="minorHAnsi"/>
          <w:sz w:val="28"/>
          <w:szCs w:val="28"/>
        </w:rPr>
      </w:pPr>
      <w:r>
        <w:rPr>
          <w:rFonts w:cstheme="minorHAnsi"/>
          <w:sz w:val="28"/>
          <w:szCs w:val="28"/>
        </w:rPr>
        <w:t xml:space="preserve">Similarly, </w:t>
      </w:r>
      <w:r w:rsidRPr="005E3F31">
        <w:rPr>
          <w:rFonts w:cstheme="minorHAnsi"/>
          <w:sz w:val="28"/>
          <w:szCs w:val="28"/>
        </w:rPr>
        <w:t>A</w:t>
      </w:r>
      <w:r>
        <w:rPr>
          <w:rFonts w:cstheme="minorHAnsi"/>
          <w:sz w:val="28"/>
          <w:szCs w:val="28"/>
        </w:rPr>
        <w:t xml:space="preserve">kdemir et al, (2020) researched into policing cybercrime in the UK and found mainly that police officers were significantly lack the technical skills required to investigate criminal activities online.  They stated that few officers were confident in investigating these types of crimes, however, the confident officers were more inclined to reach out to external agencies for their assistance and expertise in gathering the evidence needed for court.  It was also apparent that another issue with investigating cybercrime was due to the under-reporting (Lee et al., 2019).  Therefore, officers were less often investigating cybercrime offences and not gaining skill or knowledge for doing so as is the case with ‘normal’ criminal activities.  Lee et al (2019) findings criticised police response to dealing with cybercrime, stating it was significantly slower responding time compared to other offences.  However, this was all due to officers feeling completely out of depth and not having the adequate training or expertise in dealing with these complex activities.  As per many of the studies already discussed, it appeared only when a specialised team was assisting in the investigations were there relatively good outcomes at court.  </w:t>
      </w:r>
    </w:p>
    <w:p w14:paraId="2D051FFF" w14:textId="77777777" w:rsidR="00F2241B" w:rsidRDefault="00F2241B" w:rsidP="00F2241B">
      <w:pPr>
        <w:tabs>
          <w:tab w:val="left" w:pos="1123"/>
        </w:tabs>
        <w:ind w:firstLine="1123"/>
        <w:rPr>
          <w:rFonts w:cstheme="minorHAnsi"/>
          <w:sz w:val="28"/>
          <w:szCs w:val="28"/>
        </w:rPr>
      </w:pPr>
      <w:r>
        <w:rPr>
          <w:rFonts w:cstheme="minorHAnsi"/>
          <w:sz w:val="28"/>
          <w:szCs w:val="28"/>
        </w:rPr>
        <w:t xml:space="preserve">Many of the studies highlight the complexity of cybercrime, starting with the basic definition disputes up to the technological aspect and information sharing from other private companies (Cross, 2015).  It appears that police officers alone cannot tackle and investigate cybercrime alone, therefore highlighting the importance of multiagency approach for all cybercrime offences.  Further discussions and research are required so that a standardised network is adapted to assist victims of cybercrimes as there is a </w:t>
      </w:r>
      <w:r>
        <w:rPr>
          <w:rFonts w:cstheme="minorHAnsi"/>
          <w:sz w:val="28"/>
          <w:szCs w:val="28"/>
        </w:rPr>
        <w:lastRenderedPageBreak/>
        <w:t xml:space="preserve">low standard of victim satisfaction, thus also resulting in further under-reporting of cybercrimes (Harkin et al., 2018). </w:t>
      </w:r>
    </w:p>
    <w:p w14:paraId="38A9459D" w14:textId="77777777" w:rsidR="00F2241B" w:rsidRPr="00BB00B8" w:rsidRDefault="00F2241B" w:rsidP="00F2241B">
      <w:pPr>
        <w:tabs>
          <w:tab w:val="left" w:pos="1123"/>
        </w:tabs>
        <w:rPr>
          <w:rFonts w:cstheme="minorHAnsi"/>
          <w:sz w:val="28"/>
          <w:szCs w:val="28"/>
        </w:rPr>
      </w:pPr>
      <w:r>
        <w:rPr>
          <w:rFonts w:cstheme="minorHAnsi"/>
          <w:sz w:val="28"/>
          <w:szCs w:val="28"/>
        </w:rPr>
        <w:t>WORD COUNT: 904</w:t>
      </w:r>
    </w:p>
    <w:p w14:paraId="3D98AC08" w14:textId="77777777" w:rsidR="00315BC9" w:rsidRDefault="00315BC9" w:rsidP="00113A4B">
      <w:pPr>
        <w:tabs>
          <w:tab w:val="left" w:pos="1123"/>
        </w:tabs>
        <w:rPr>
          <w:rFonts w:cstheme="minorHAnsi"/>
          <w:sz w:val="28"/>
          <w:szCs w:val="28"/>
        </w:rPr>
      </w:pPr>
    </w:p>
    <w:p w14:paraId="4EAFDEB4" w14:textId="77777777" w:rsidR="00F2241B" w:rsidRDefault="00F2241B" w:rsidP="00F2241B">
      <w:pPr>
        <w:pStyle w:val="Heading2"/>
        <w:rPr>
          <w:rFonts w:asciiTheme="minorHAnsi" w:hAnsiTheme="minorHAnsi" w:cstheme="minorHAnsi"/>
          <w:sz w:val="28"/>
          <w:szCs w:val="28"/>
        </w:rPr>
      </w:pPr>
      <w:r w:rsidRPr="00BB00B8">
        <w:rPr>
          <w:rFonts w:asciiTheme="minorHAnsi" w:hAnsiTheme="minorHAnsi" w:cstheme="minorHAnsi"/>
          <w:sz w:val="28"/>
          <w:szCs w:val="28"/>
        </w:rPr>
        <w:t xml:space="preserve">Essay </w:t>
      </w:r>
      <w:r>
        <w:rPr>
          <w:rFonts w:asciiTheme="minorHAnsi" w:hAnsiTheme="minorHAnsi" w:cstheme="minorHAnsi"/>
          <w:sz w:val="28"/>
          <w:szCs w:val="28"/>
        </w:rPr>
        <w:t>3</w:t>
      </w:r>
      <w:r w:rsidRPr="00BB00B8">
        <w:rPr>
          <w:rFonts w:asciiTheme="minorHAnsi" w:hAnsiTheme="minorHAnsi" w:cstheme="minorHAnsi"/>
          <w:sz w:val="28"/>
          <w:szCs w:val="28"/>
        </w:rPr>
        <w:t xml:space="preserve">  - </w:t>
      </w:r>
      <w:r>
        <w:rPr>
          <w:rFonts w:asciiTheme="minorHAnsi" w:hAnsiTheme="minorHAnsi" w:cstheme="minorHAnsi"/>
          <w:sz w:val="28"/>
          <w:szCs w:val="28"/>
        </w:rPr>
        <w:t>Critically evaluate methods used to communicate information and intelligence both within individual police forces and more widely.  Are current methods effective and how might they be improved?</w:t>
      </w:r>
    </w:p>
    <w:p w14:paraId="4BFF873E" w14:textId="77777777" w:rsidR="00F2241B" w:rsidRDefault="00F2241B" w:rsidP="00F2241B">
      <w:pPr>
        <w:rPr>
          <w:rFonts w:eastAsiaTheme="majorEastAsia" w:cstheme="minorHAnsi"/>
          <w:color w:val="2F5496" w:themeColor="accent1" w:themeShade="BF"/>
          <w:sz w:val="28"/>
          <w:szCs w:val="28"/>
        </w:rPr>
      </w:pPr>
    </w:p>
    <w:p w14:paraId="24F425EC" w14:textId="77777777" w:rsidR="00F2241B" w:rsidRPr="002A3B78" w:rsidRDefault="00F2241B" w:rsidP="00F2241B">
      <w:pPr>
        <w:ind w:firstLine="720"/>
        <w:rPr>
          <w:sz w:val="28"/>
          <w:szCs w:val="28"/>
        </w:rPr>
      </w:pPr>
      <w:r w:rsidRPr="002A3B78">
        <w:rPr>
          <w:sz w:val="28"/>
          <w:szCs w:val="28"/>
        </w:rPr>
        <w:t>Due to an increase of serious and organised crime groups operating in the UK, UK police forces has adopted a strategy of policing known as Intelligence Led Policing (ILP).  Studies show that the method of ILP can and has reduced certain criminal activity from taking place due to actively gathering intelligence and information (Ratcliffe, 2012).  This highlights the importance of intelligence and information gather to allow decision makers to analyse and scrutinise what has been collected and to then disseminate accordingly so that ILP can work effectively (Carter et al., 2014).  Unlike many other European countries, the UK has fragmented the forces into a total of 43 (Lumsden, 2016) and therefore, it has been identified there are several issues amongst intelligence and information sharing within forces and further afield.  For example, in the tragic case of Soham Murders, catastrophic consequences occurred due to a severe failure in information sharing across forces (BBC, 2022).  Therefore, it is paramount that the key information we collate is shared correctly and adequately for the sake of saving life and limb.</w:t>
      </w:r>
    </w:p>
    <w:p w14:paraId="455FA4C1" w14:textId="77777777" w:rsidR="00F2241B" w:rsidRPr="002A3B78" w:rsidRDefault="00F2241B" w:rsidP="00F2241B">
      <w:pPr>
        <w:ind w:firstLine="720"/>
        <w:rPr>
          <w:sz w:val="28"/>
          <w:szCs w:val="28"/>
        </w:rPr>
      </w:pPr>
      <w:r w:rsidRPr="002A3B78">
        <w:rPr>
          <w:sz w:val="28"/>
          <w:szCs w:val="28"/>
        </w:rPr>
        <w:t xml:space="preserve">A major study has been undertaken by Sheptycki, 2004 into the effectiveness of information sharing and has since been scrutinised by many other studies due to the importance of this topic.  Sheptycki has identified 11 pathologies into information sharing and throughout this essay, I will evaluate the effectiveness of some of these pathologies.  </w:t>
      </w:r>
    </w:p>
    <w:p w14:paraId="014047AD" w14:textId="77777777" w:rsidR="00F2241B" w:rsidRPr="002A3B78" w:rsidRDefault="00F2241B" w:rsidP="00F2241B">
      <w:pPr>
        <w:ind w:firstLine="720"/>
        <w:rPr>
          <w:sz w:val="28"/>
          <w:szCs w:val="28"/>
        </w:rPr>
      </w:pPr>
      <w:r w:rsidRPr="002A3B78">
        <w:rPr>
          <w:sz w:val="28"/>
          <w:szCs w:val="28"/>
        </w:rPr>
        <w:t xml:space="preserve">The main source of intelligence and information sharing is via digital communication.  All information and intelligence collated are stored on digital devices (Maguire, 2000) and technology alone has it deficits in terms of it being expensive to maintain, avoiding any technical glitches, expensive for increase storage capacity. However, majority of the forces use their own legacy system and these systems do not (or cannot) communicate with one and another.  For example, in South Wales Police the system NICHE is used as the main legacy </w:t>
      </w:r>
      <w:r w:rsidRPr="002A3B78">
        <w:rPr>
          <w:sz w:val="28"/>
          <w:szCs w:val="28"/>
        </w:rPr>
        <w:lastRenderedPageBreak/>
        <w:t xml:space="preserve">system, this holds tremendous amount of information from witness details who call in, up to suspect details including arrest records. Gwent Police also use NICHE and subsequently both forces have immediate access to the other’s information held on the system.  However, Dyfed Powys Police and North Wales Police both have separate legacy systems, which NICHE is unable to view in real time.  This then cause significant delays which in some cases are life threatening, but even in non-life-threatening scenarios it is slow time and requires communication between different teams and units, therefore costing more money.  (Ratcliffe, 2002).  In contrast to UK legacy system, UK forces all have access to the Police National Database (PND) and Police National Computer (PNC). These systems are used across England, Wales, Scotland, and Northern Ireland but it is also linked in with Republic of Ireland when doing certain searches (Baldwin, 2019).  This allows for a significant more effective way of communication methods between forces as it includes vital information such as offenders, offending history, DNA records (Phythian &amp; Kirby, 2022).  The PNC and PND systems also communicate with agencies outside of the police forces such as the DVLA, therefore providing more information and intelligence on vehicles, particularly who the registered keeper is, and any insurance details held. This illustrates the great potential of using technology for information sharing, however, there needs to be more research and investigation into the 43 forces’ systems to ensure continuity and ease of access. </w:t>
      </w:r>
    </w:p>
    <w:p w14:paraId="1A0A56DF" w14:textId="77777777" w:rsidR="00F2241B" w:rsidRPr="002A3B78" w:rsidRDefault="00F2241B" w:rsidP="00F2241B">
      <w:pPr>
        <w:ind w:firstLine="720"/>
        <w:rPr>
          <w:rFonts w:cstheme="minorHAnsi"/>
          <w:color w:val="222222"/>
          <w:sz w:val="28"/>
          <w:szCs w:val="28"/>
          <w:shd w:val="clear" w:color="auto" w:fill="FFFFFF"/>
        </w:rPr>
      </w:pPr>
      <w:r w:rsidRPr="002A3B78">
        <w:rPr>
          <w:sz w:val="28"/>
          <w:szCs w:val="28"/>
        </w:rPr>
        <w:t xml:space="preserve"> As aforementioned, the consequences of failing to share vital information both within forces and external forces, including external agencies have proven to be catastrophic, as per the case of Ian Huntley and the ‘Soham Murders’.  Due to the failure of information sharing on Ian Huntley, he was allowed to work with children despite having allegations of serious sexual assaults and sexual assaults on children in other forces.  As a result, Huntley was given the opportunity to abduct both Jessica and Holly Chapman and murder them before disposing their bodies in a ditch and setting alight (Armagh, 2021).  Following this tragic incident, research has been conducted into the efficiency of communications between forces and generally an improvement has been </w:t>
      </w:r>
      <w:r w:rsidRPr="002A3B78">
        <w:rPr>
          <w:rFonts w:cstheme="minorHAnsi"/>
          <w:sz w:val="28"/>
          <w:szCs w:val="28"/>
        </w:rPr>
        <w:t>seen (</w:t>
      </w:r>
      <w:r w:rsidRPr="002A3B78">
        <w:rPr>
          <w:rFonts w:cstheme="minorHAnsi"/>
          <w:color w:val="222222"/>
          <w:sz w:val="28"/>
          <w:szCs w:val="28"/>
          <w:shd w:val="clear" w:color="auto" w:fill="FFFFFF"/>
        </w:rPr>
        <w:t xml:space="preserve">Cairns et al., 2011).  However, the effectiveness of communication sharing of both information and intelligence relies on the reliability and accuracy of those collated.  It also needs to be kept in mind the legislation which protects data sharing under GDPR and DPA (Data Protection Act 2018. Factsheet -Overview, 2018) which can make information sharing more difficult.  Sheptycki highlighted this in his studies whereby he explains </w:t>
      </w:r>
      <w:r w:rsidRPr="002A3B78">
        <w:rPr>
          <w:rFonts w:cstheme="minorHAnsi"/>
          <w:color w:val="222222"/>
          <w:sz w:val="28"/>
          <w:szCs w:val="28"/>
          <w:shd w:val="clear" w:color="auto" w:fill="FFFFFF"/>
        </w:rPr>
        <w:lastRenderedPageBreak/>
        <w:t xml:space="preserve">factors that weaken the way we share information is due to ‘linkage blindness’ and intelligence overload.  Some forces are better equipped than others at collecting and analysing data that is more beneficial to  use to increase efficiency of policing, whereby some forces unfortunately miss out key facts and figures, thus resulting in a skewed information shared and subsequently police resources and expenses being wasted (Stanier, 2013).  </w:t>
      </w:r>
    </w:p>
    <w:p w14:paraId="19B36422" w14:textId="77777777" w:rsidR="00F2241B" w:rsidRPr="002A3B78" w:rsidRDefault="00F2241B" w:rsidP="00F2241B">
      <w:pPr>
        <w:ind w:firstLine="720"/>
        <w:rPr>
          <w:rFonts w:cstheme="minorHAnsi"/>
          <w:color w:val="222222"/>
          <w:sz w:val="28"/>
          <w:szCs w:val="28"/>
          <w:shd w:val="clear" w:color="auto" w:fill="FFFFFF"/>
        </w:rPr>
      </w:pPr>
    </w:p>
    <w:p w14:paraId="12153765" w14:textId="77777777" w:rsidR="00F2241B" w:rsidRPr="002A3B78" w:rsidRDefault="00F2241B" w:rsidP="00F2241B">
      <w:pPr>
        <w:ind w:firstLine="720"/>
        <w:rPr>
          <w:rFonts w:cstheme="minorHAnsi"/>
          <w:color w:val="222222"/>
          <w:sz w:val="28"/>
          <w:szCs w:val="28"/>
          <w:shd w:val="clear" w:color="auto" w:fill="FFFFFF"/>
        </w:rPr>
      </w:pPr>
      <w:r w:rsidRPr="002A3B78">
        <w:rPr>
          <w:rFonts w:cstheme="minorHAnsi"/>
          <w:color w:val="222222"/>
          <w:sz w:val="28"/>
          <w:szCs w:val="28"/>
          <w:shd w:val="clear" w:color="auto" w:fill="FFFFFF"/>
        </w:rPr>
        <w:t xml:space="preserve">It is evidence that information and intelligence communications are done internally and externally with different forces and that there have been disastrous consequences when this has failed to be communicated or communicated incorrectly. It seems from the studies mentioned that there have been some improvements in the methods of effectively communicating, however, still remains partially understudied.  More research is required on this topic for both internal forces and external forces.  I do, however, believe that there needs to be more emphasis on communication methods not solely with police forces but other external agencies, as so much assistant and specialities are relied upon to allow sufficient and optimal safeguarding for those at risk and the general population.  </w:t>
      </w:r>
    </w:p>
    <w:p w14:paraId="7D9724F0" w14:textId="77777777" w:rsidR="00F2241B" w:rsidRPr="002A3B78" w:rsidRDefault="00F2241B" w:rsidP="00F2241B">
      <w:pPr>
        <w:rPr>
          <w:rFonts w:cstheme="minorHAnsi"/>
          <w:sz w:val="28"/>
          <w:szCs w:val="28"/>
        </w:rPr>
      </w:pPr>
      <w:r w:rsidRPr="002A3B78">
        <w:rPr>
          <w:rFonts w:cstheme="minorHAnsi"/>
          <w:sz w:val="28"/>
          <w:szCs w:val="28"/>
        </w:rPr>
        <w:t>WORD COUNT</w:t>
      </w:r>
      <w:r>
        <w:rPr>
          <w:rFonts w:cstheme="minorHAnsi"/>
          <w:sz w:val="28"/>
          <w:szCs w:val="28"/>
        </w:rPr>
        <w:t>:</w:t>
      </w:r>
      <w:r w:rsidRPr="002A3B78">
        <w:rPr>
          <w:rFonts w:cstheme="minorHAnsi"/>
          <w:sz w:val="28"/>
          <w:szCs w:val="28"/>
        </w:rPr>
        <w:t xml:space="preserve"> 923</w:t>
      </w:r>
    </w:p>
    <w:p w14:paraId="57F1E5C0" w14:textId="77777777" w:rsidR="00315BC9" w:rsidRDefault="00315BC9" w:rsidP="00113A4B">
      <w:pPr>
        <w:tabs>
          <w:tab w:val="left" w:pos="1123"/>
        </w:tabs>
        <w:rPr>
          <w:rFonts w:cstheme="minorHAnsi"/>
          <w:sz w:val="28"/>
          <w:szCs w:val="28"/>
        </w:rPr>
      </w:pPr>
    </w:p>
    <w:p w14:paraId="6BA4EB72" w14:textId="77777777" w:rsidR="00F2241B" w:rsidRPr="00BB00B8" w:rsidRDefault="00F2241B" w:rsidP="00F2241B">
      <w:pPr>
        <w:pStyle w:val="Heading2"/>
        <w:rPr>
          <w:rFonts w:asciiTheme="minorHAnsi" w:hAnsiTheme="minorHAnsi" w:cstheme="minorHAnsi"/>
          <w:sz w:val="28"/>
          <w:szCs w:val="28"/>
        </w:rPr>
      </w:pPr>
      <w:r w:rsidRPr="00BB00B8">
        <w:rPr>
          <w:rFonts w:asciiTheme="minorHAnsi" w:hAnsiTheme="minorHAnsi" w:cstheme="minorHAnsi"/>
          <w:sz w:val="28"/>
          <w:szCs w:val="28"/>
        </w:rPr>
        <w:t>Essay 5  - What characteristics or factors increase the risk of exploitation by Serious or Organised Crime Gangs? Your answer should examine both the psychological and socio-economic characteristics of victims of exploitation. 1000 words (900 or 1100)</w:t>
      </w:r>
    </w:p>
    <w:p w14:paraId="30E95932" w14:textId="77777777" w:rsidR="00F2241B" w:rsidRPr="00BB00B8" w:rsidRDefault="00F2241B" w:rsidP="00F2241B">
      <w:pPr>
        <w:rPr>
          <w:rFonts w:eastAsiaTheme="majorEastAsia" w:cstheme="minorHAnsi"/>
          <w:color w:val="2F5496" w:themeColor="accent1" w:themeShade="BF"/>
          <w:sz w:val="28"/>
          <w:szCs w:val="28"/>
        </w:rPr>
      </w:pPr>
    </w:p>
    <w:p w14:paraId="030F927C" w14:textId="77777777" w:rsidR="00F2241B" w:rsidRPr="00BB00B8" w:rsidRDefault="00F2241B" w:rsidP="00F2241B">
      <w:pPr>
        <w:ind w:firstLine="720"/>
        <w:rPr>
          <w:rFonts w:cstheme="minorHAnsi"/>
          <w:sz w:val="28"/>
          <w:szCs w:val="28"/>
        </w:rPr>
      </w:pPr>
      <w:r w:rsidRPr="00BB00B8">
        <w:rPr>
          <w:rFonts w:cstheme="minorHAnsi"/>
          <w:sz w:val="28"/>
          <w:szCs w:val="28"/>
        </w:rPr>
        <w:t xml:space="preserve">Serious and organised crime gangs are on a rise and are more prevalent now that ever (Billingham &amp; Irwin-Rogers, 2022).  It is noted across Great Britain that more victims are being used to carry out offences on behalf of the gangs, mainly due to them prying on young people and vulnerable adults; factors including mental disorders, poor economic background, disrupted family life etc (Annan et al., 2021).  There is no singular definition for serious and organised crime gangs, but HM Government, 2016 explains these organised gangs are now well hidden amongst community and no longer identify with the traditional clothing, brands, or postcode.  It appears now the organised gangs is a large complex network of people across the nation used to </w:t>
      </w:r>
      <w:r w:rsidRPr="00BB00B8">
        <w:rPr>
          <w:rFonts w:cstheme="minorHAnsi"/>
          <w:sz w:val="28"/>
          <w:szCs w:val="28"/>
        </w:rPr>
        <w:lastRenderedPageBreak/>
        <w:t xml:space="preserve">commit violent offences and largely involved in various criminality.   Serious and organised crime gangs are ambiguous in their types of offences, ranging from large drug offences to sexual rings.  However, research shows the factors and characteristics for being a victim of exploitation by these gangs are similar and will be discussed throughout this essay.  </w:t>
      </w:r>
    </w:p>
    <w:p w14:paraId="07733ED2" w14:textId="77777777" w:rsidR="00F2241B" w:rsidRPr="00BB00B8" w:rsidRDefault="00F2241B" w:rsidP="00F2241B">
      <w:pPr>
        <w:ind w:firstLine="720"/>
        <w:rPr>
          <w:rFonts w:cstheme="minorHAnsi"/>
          <w:sz w:val="28"/>
          <w:szCs w:val="28"/>
        </w:rPr>
      </w:pPr>
    </w:p>
    <w:p w14:paraId="6B3DB25D" w14:textId="77777777" w:rsidR="00F2241B" w:rsidRPr="00BB00B8" w:rsidRDefault="00F2241B" w:rsidP="00F2241B">
      <w:pPr>
        <w:ind w:firstLine="720"/>
        <w:rPr>
          <w:rFonts w:cstheme="minorHAnsi"/>
          <w:sz w:val="28"/>
          <w:szCs w:val="28"/>
        </w:rPr>
      </w:pPr>
      <w:r w:rsidRPr="00BB00B8">
        <w:rPr>
          <w:rFonts w:cstheme="minorHAnsi"/>
          <w:sz w:val="28"/>
          <w:szCs w:val="28"/>
        </w:rPr>
        <w:t xml:space="preserve">Multiple studies investigate biological, psychological, and socio-economic factors and characteristics which are believed to play a part in the involvement (or lack of) with gang memberships.  These include correlation between delinquency, recklessness behaviours, and a perceived lower social value within the community (Kissner and David, 2019).  Other studies have identified a predisposition for involvement with gang membership due to their genetic makeup and hereditary factors (Gard, 2019).  </w:t>
      </w:r>
    </w:p>
    <w:p w14:paraId="38F093D6" w14:textId="77777777" w:rsidR="00F2241B" w:rsidRPr="00BB00B8" w:rsidRDefault="00F2241B" w:rsidP="00F2241B">
      <w:pPr>
        <w:ind w:firstLine="720"/>
        <w:rPr>
          <w:rFonts w:cstheme="minorHAnsi"/>
          <w:sz w:val="28"/>
          <w:szCs w:val="28"/>
        </w:rPr>
      </w:pPr>
      <w:r w:rsidRPr="00BB00B8">
        <w:rPr>
          <w:rFonts w:cstheme="minorHAnsi"/>
          <w:sz w:val="28"/>
          <w:szCs w:val="28"/>
        </w:rPr>
        <w:t xml:space="preserve">One study has researched gender as a factor (Spicer, 2018).  They have identified males are more susceptible to be exploited by OCGs which are involved in ‘County Lines’;  drug dealing across counties in England and Wales.  However, young girls are exploited by an OCG in relation to sexual predatory rings.  This highlights that we do not have a good enough understanding of how these OCG’s target or exploit their victims.   </w:t>
      </w:r>
    </w:p>
    <w:p w14:paraId="00643F41" w14:textId="77777777" w:rsidR="00F2241B" w:rsidRPr="00BB00B8" w:rsidRDefault="00F2241B" w:rsidP="00F2241B">
      <w:pPr>
        <w:ind w:firstLine="720"/>
        <w:rPr>
          <w:rFonts w:cstheme="minorHAnsi"/>
          <w:sz w:val="28"/>
          <w:szCs w:val="28"/>
        </w:rPr>
      </w:pPr>
      <w:r w:rsidRPr="00BB00B8">
        <w:rPr>
          <w:rFonts w:cstheme="minorHAnsi"/>
          <w:sz w:val="28"/>
          <w:szCs w:val="28"/>
        </w:rPr>
        <w:t xml:space="preserve">Another factor researched within this field is age.  Similar between the gender, it was shown that children were more susceptible.  This may explain or assist in clarifying why there are an increased number of young males ages 15 – 17 years old identified as victims of exploitation with serious and organised gangs (Moyle, 2019).  However, it is also known that it is not just children or adolescence that are exploited as part of OCGs.  Studies indicate adults are also exploited for several reasons.  One of the main ones identified are mental disorders and/or physical disabilities (Coliandris, 2015).  The term ‘cuckooing’ explains how vulnerable adults are exploited by gang members whereby the befriend the lonely and subsequently gain their trust before taking over their home address to use as a base for criminal activities (Coomber &amp; Moyle, 2017).  It also been seen that vulnerable adults are being taken advantage of by their benefit money going to the gangs instead of the victim.  Once again, highlighting the complexity (another word but basically so clever and deep) of these gangs attacking certain factors and characteristic of those unable to defend themselves from harm via exploitation.  </w:t>
      </w:r>
    </w:p>
    <w:p w14:paraId="20DB512B" w14:textId="77777777" w:rsidR="00F2241B" w:rsidRPr="00BB00B8" w:rsidRDefault="00F2241B" w:rsidP="00F2241B">
      <w:pPr>
        <w:ind w:firstLine="720"/>
        <w:rPr>
          <w:rFonts w:cstheme="minorHAnsi"/>
          <w:sz w:val="28"/>
          <w:szCs w:val="28"/>
        </w:rPr>
      </w:pPr>
    </w:p>
    <w:p w14:paraId="18C5AD13" w14:textId="77777777" w:rsidR="00F2241B" w:rsidRPr="00BB00B8" w:rsidRDefault="00F2241B" w:rsidP="00F2241B">
      <w:pPr>
        <w:ind w:firstLine="720"/>
        <w:rPr>
          <w:rFonts w:cstheme="minorHAnsi"/>
          <w:sz w:val="28"/>
          <w:szCs w:val="28"/>
        </w:rPr>
      </w:pPr>
      <w:r w:rsidRPr="00BB00B8">
        <w:rPr>
          <w:rFonts w:cstheme="minorHAnsi"/>
          <w:sz w:val="28"/>
          <w:szCs w:val="28"/>
        </w:rPr>
        <w:t xml:space="preserve">Psychological factors have also been identified as a means of exploitation, this has been researched and links in with the aforementioned mental disorders and physical disabilities (Ashton et al, 2020).  Members of society with psychological ailments such as depression, neurological disorder or drug and alcohol dependency are targeted by gangs (Braun &amp; Clarke, 2006).  Gang members who supply drugs to users who cannot afford the drugs are identified and then exploited by different means.  Offering discount for selling drugs on their behalf, using their home for packaging, or allowing them to accumulate a ‘bill’ therefore gaining control through debt owing (Coomber &amp; Moyle, 2018).  In contrast to those who are vulnerable through mental disorders, another psychological factor is blackmail.  Broad &amp; Turnbull, 2018 have researched into the Modern Slavery Act 2015, whereby criminals gain control and exploit victims by threatening to harm their families.  This is particularly seen with immigrants who come to the United Kingdom with belief of having a better quality of life but are then threatened of harm to their families should they leave or contact authorities.  </w:t>
      </w:r>
    </w:p>
    <w:p w14:paraId="728D7A94" w14:textId="77777777" w:rsidR="00F2241B" w:rsidRPr="00BB00B8" w:rsidRDefault="00F2241B" w:rsidP="00F2241B">
      <w:pPr>
        <w:ind w:firstLine="720"/>
        <w:rPr>
          <w:rFonts w:cstheme="minorHAnsi"/>
          <w:sz w:val="28"/>
          <w:szCs w:val="28"/>
        </w:rPr>
      </w:pPr>
    </w:p>
    <w:p w14:paraId="38A48750" w14:textId="77777777" w:rsidR="00F2241B" w:rsidRPr="00BB00B8" w:rsidRDefault="00F2241B" w:rsidP="00F2241B">
      <w:pPr>
        <w:ind w:firstLine="720"/>
        <w:rPr>
          <w:rFonts w:cstheme="minorHAnsi"/>
          <w:sz w:val="28"/>
          <w:szCs w:val="28"/>
        </w:rPr>
      </w:pPr>
      <w:r w:rsidRPr="00BB00B8">
        <w:rPr>
          <w:rFonts w:cstheme="minorHAnsi"/>
          <w:sz w:val="28"/>
          <w:szCs w:val="28"/>
        </w:rPr>
        <w:t xml:space="preserve">Finally, socio-economic status is a high factor whereby people are exploited (or not) by these gangs.  Studies shows young people in particular with a disruptive family life is seen to be more influenced by gangs to join in the illicit activities (Hayden et al, 2006).  It was also studied that not only is the disruptive lifestyle a factor but working-class families whereby the parent/s require to work multiple jobs to afford day to day life.  This suggests that the young people have less affectionate care and subsequently when ‘sold’ the dream of money by the gangs feel obliged to participate to help the family and being able to afford the new technology, best brand clothing etc (Hughes, 2011).  However, these studies aren’t suggesting it is only the poorer families that fall victims by these gangs as it is known and noted that young people from wealthy families are exploited.  Similar to the parent/s that work multiple jobs, it is believed the wealthy parents who work long hours or work away often have the same result of a lack of affectionate care to the young person (Kleemans, 2012). </w:t>
      </w:r>
    </w:p>
    <w:p w14:paraId="1AE7D22B" w14:textId="77777777" w:rsidR="00F2241B" w:rsidRPr="00BB00B8" w:rsidRDefault="00F2241B" w:rsidP="00F2241B">
      <w:pPr>
        <w:ind w:firstLine="720"/>
        <w:rPr>
          <w:rFonts w:cstheme="minorHAnsi"/>
          <w:sz w:val="28"/>
          <w:szCs w:val="28"/>
        </w:rPr>
      </w:pPr>
    </w:p>
    <w:p w14:paraId="4A7687BF" w14:textId="77777777" w:rsidR="00F2241B" w:rsidRPr="00BB00B8" w:rsidRDefault="00F2241B" w:rsidP="00F2241B">
      <w:pPr>
        <w:ind w:firstLine="720"/>
        <w:rPr>
          <w:rFonts w:cstheme="minorHAnsi"/>
          <w:sz w:val="28"/>
          <w:szCs w:val="28"/>
        </w:rPr>
      </w:pPr>
      <w:r w:rsidRPr="00BB00B8">
        <w:rPr>
          <w:rFonts w:cstheme="minorHAnsi"/>
          <w:sz w:val="28"/>
          <w:szCs w:val="28"/>
        </w:rPr>
        <w:lastRenderedPageBreak/>
        <w:t xml:space="preserve">It is clear how complex serious and organised crime gangs work and exploit various victims, all for several reasons.  It is imperative that further research is done to protect and safeguard these victims and future victims.  It appears that some factors and characteristics are more likely to be targeted, however, it seems to be a mixture of the factors that contribute their vulnerabilities.  </w:t>
      </w:r>
    </w:p>
    <w:p w14:paraId="40429935" w14:textId="77777777" w:rsidR="00F2241B" w:rsidRDefault="00F2241B" w:rsidP="00F2241B">
      <w:pPr>
        <w:tabs>
          <w:tab w:val="left" w:pos="1123"/>
        </w:tabs>
        <w:rPr>
          <w:rFonts w:cstheme="minorHAnsi"/>
          <w:sz w:val="28"/>
          <w:szCs w:val="28"/>
        </w:rPr>
      </w:pPr>
      <w:r>
        <w:rPr>
          <w:rFonts w:cstheme="minorHAnsi"/>
          <w:sz w:val="28"/>
          <w:szCs w:val="28"/>
        </w:rPr>
        <w:t>WORD COUNT: 933</w:t>
      </w:r>
    </w:p>
    <w:p w14:paraId="4888E127" w14:textId="77777777" w:rsidR="00315BC9" w:rsidRDefault="00315BC9" w:rsidP="00113A4B">
      <w:pPr>
        <w:tabs>
          <w:tab w:val="left" w:pos="1123"/>
        </w:tabs>
        <w:rPr>
          <w:rFonts w:cstheme="minorHAnsi"/>
          <w:sz w:val="28"/>
          <w:szCs w:val="28"/>
        </w:rPr>
      </w:pPr>
    </w:p>
    <w:p w14:paraId="07A8E402" w14:textId="2A920D4E" w:rsidR="00315BC9" w:rsidRPr="00113A4B" w:rsidRDefault="00315BC9" w:rsidP="00315BC9">
      <w:pPr>
        <w:pStyle w:val="Heading2"/>
        <w:rPr>
          <w:rFonts w:cstheme="minorHAnsi"/>
          <w:sz w:val="28"/>
          <w:szCs w:val="28"/>
        </w:rPr>
      </w:pPr>
      <w:r>
        <w:rPr>
          <w:rFonts w:asciiTheme="minorHAnsi" w:hAnsiTheme="minorHAnsi" w:cstheme="minorHAnsi"/>
          <w:sz w:val="28"/>
          <w:szCs w:val="28"/>
        </w:rPr>
        <w:t xml:space="preserve">Bibliography </w:t>
      </w:r>
      <w:r w:rsidRPr="00BB00B8">
        <w:rPr>
          <w:rFonts w:asciiTheme="minorHAnsi" w:hAnsiTheme="minorHAnsi" w:cstheme="minorHAnsi"/>
          <w:sz w:val="28"/>
          <w:szCs w:val="28"/>
        </w:rPr>
        <w:t xml:space="preserve"> </w:t>
      </w:r>
      <w:r>
        <w:rPr>
          <w:rFonts w:asciiTheme="minorHAnsi" w:hAnsiTheme="minorHAnsi" w:cstheme="minorHAnsi"/>
          <w:sz w:val="28"/>
          <w:szCs w:val="28"/>
        </w:rPr>
        <w:t xml:space="preserve">- </w:t>
      </w:r>
    </w:p>
    <w:p w14:paraId="724CCEDD" w14:textId="77777777" w:rsidR="00315BC9" w:rsidRDefault="00315BC9" w:rsidP="00113A4B">
      <w:pPr>
        <w:tabs>
          <w:tab w:val="left" w:pos="1123"/>
        </w:tabs>
        <w:rPr>
          <w:rFonts w:cstheme="minorHAnsi"/>
          <w:sz w:val="28"/>
          <w:szCs w:val="28"/>
        </w:rPr>
      </w:pPr>
    </w:p>
    <w:p w14:paraId="5533525D"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A</w:t>
      </w:r>
      <w:r>
        <w:rPr>
          <w:rFonts w:asciiTheme="minorHAnsi" w:hAnsiTheme="minorHAnsi" w:cstheme="minorHAnsi"/>
        </w:rPr>
        <w:t>kdemir</w:t>
      </w:r>
      <w:r w:rsidRPr="00175EEA">
        <w:rPr>
          <w:rFonts w:asciiTheme="minorHAnsi" w:hAnsiTheme="minorHAnsi" w:cstheme="minorHAnsi"/>
        </w:rPr>
        <w:t>, N., S</w:t>
      </w:r>
      <w:r>
        <w:rPr>
          <w:rFonts w:asciiTheme="minorHAnsi" w:hAnsiTheme="minorHAnsi" w:cstheme="minorHAnsi"/>
        </w:rPr>
        <w:t>ungur</w:t>
      </w:r>
      <w:r w:rsidRPr="00175EEA">
        <w:rPr>
          <w:rFonts w:asciiTheme="minorHAnsi" w:hAnsiTheme="minorHAnsi" w:cstheme="minorHAnsi"/>
        </w:rPr>
        <w:t>, B. and B</w:t>
      </w:r>
      <w:r>
        <w:rPr>
          <w:rFonts w:asciiTheme="minorHAnsi" w:hAnsiTheme="minorHAnsi" w:cstheme="minorHAnsi"/>
        </w:rPr>
        <w:t>asaranel</w:t>
      </w:r>
      <w:r w:rsidRPr="00175EEA">
        <w:rPr>
          <w:rFonts w:asciiTheme="minorHAnsi" w:hAnsiTheme="minorHAnsi" w:cstheme="minorHAnsi"/>
        </w:rPr>
        <w:t xml:space="preserve">, B. (2020) ‘Examining the challenges of policing economic cybercrime in the UK’, </w:t>
      </w:r>
      <w:r w:rsidRPr="00175EEA">
        <w:rPr>
          <w:rFonts w:asciiTheme="minorHAnsi" w:hAnsiTheme="minorHAnsi" w:cstheme="minorHAnsi"/>
          <w:i/>
          <w:iCs/>
        </w:rPr>
        <w:t>Güvenlik Bilimleri Dergisi</w:t>
      </w:r>
      <w:r w:rsidRPr="00175EEA">
        <w:rPr>
          <w:rFonts w:asciiTheme="minorHAnsi" w:hAnsiTheme="minorHAnsi" w:cstheme="minorHAnsi"/>
        </w:rPr>
        <w:t xml:space="preserve">, pp. 111–132. doi:10.28956/gbd.695956. </w:t>
      </w:r>
    </w:p>
    <w:p w14:paraId="2CEB9559" w14:textId="77777777" w:rsidR="00483F10" w:rsidRPr="00175EEA" w:rsidRDefault="00483F10" w:rsidP="00483F10">
      <w:pPr>
        <w:ind w:left="720" w:hanging="720"/>
        <w:rPr>
          <w:rFonts w:cstheme="minorHAnsi"/>
          <w:sz w:val="24"/>
          <w:szCs w:val="24"/>
          <w:lang w:eastAsia="en-GB"/>
        </w:rPr>
      </w:pPr>
      <w:bookmarkStart w:id="0" w:name="_Hlk136436824"/>
      <w:r w:rsidRPr="00175EEA">
        <w:rPr>
          <w:rFonts w:cstheme="minorHAnsi"/>
          <w:sz w:val="24"/>
          <w:szCs w:val="24"/>
          <w:lang w:eastAsia="en-GB"/>
        </w:rPr>
        <w:t>Andrejevic, M. (2017</w:t>
      </w:r>
      <w:bookmarkEnd w:id="0"/>
      <w:r w:rsidRPr="00175EEA">
        <w:rPr>
          <w:rFonts w:cstheme="minorHAnsi"/>
          <w:sz w:val="24"/>
          <w:szCs w:val="24"/>
          <w:lang w:eastAsia="en-GB"/>
        </w:rPr>
        <w:t>). To Pre-Empt A Thief. International Journal of Communication, 8, 879–896.</w:t>
      </w:r>
    </w:p>
    <w:p w14:paraId="64CD4FD2"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Annan, L.G. </w:t>
      </w:r>
      <w:r w:rsidRPr="00175EEA">
        <w:rPr>
          <w:rFonts w:asciiTheme="minorHAnsi" w:hAnsiTheme="minorHAnsi" w:cstheme="minorHAnsi"/>
          <w:i/>
          <w:iCs/>
        </w:rPr>
        <w:t>et al.</w:t>
      </w:r>
      <w:r w:rsidRPr="00175EEA">
        <w:rPr>
          <w:rFonts w:asciiTheme="minorHAnsi" w:hAnsiTheme="minorHAnsi" w:cstheme="minorHAnsi"/>
        </w:rPr>
        <w:t xml:space="preserve"> (2021) ‘What makes young people get involved with street gangs in London? A study of the perceived risk factors’, </w:t>
      </w:r>
      <w:r w:rsidRPr="00175EEA">
        <w:rPr>
          <w:rFonts w:asciiTheme="minorHAnsi" w:hAnsiTheme="minorHAnsi" w:cstheme="minorHAnsi"/>
          <w:i/>
          <w:iCs/>
        </w:rPr>
        <w:t>Journal of Community Psychology</w:t>
      </w:r>
      <w:r w:rsidRPr="00175EEA">
        <w:rPr>
          <w:rFonts w:asciiTheme="minorHAnsi" w:hAnsiTheme="minorHAnsi" w:cstheme="minorHAnsi"/>
        </w:rPr>
        <w:t xml:space="preserve">, 50(5), pp. 2198–2213. doi:10.1002/jcop.22767. </w:t>
      </w:r>
    </w:p>
    <w:p w14:paraId="337C18FC"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Armagh, J. (2021) </w:t>
      </w:r>
      <w:r w:rsidRPr="00175EEA">
        <w:rPr>
          <w:rFonts w:asciiTheme="minorHAnsi" w:hAnsiTheme="minorHAnsi" w:cstheme="minorHAnsi"/>
          <w:i/>
          <w:iCs/>
        </w:rPr>
        <w:t>The soham murders: 20 Years on</w:t>
      </w:r>
      <w:r w:rsidRPr="00175EEA">
        <w:rPr>
          <w:rFonts w:asciiTheme="minorHAnsi" w:hAnsiTheme="minorHAnsi" w:cstheme="minorHAnsi"/>
        </w:rPr>
        <w:t xml:space="preserve">, </w:t>
      </w:r>
      <w:r w:rsidRPr="00175EEA">
        <w:rPr>
          <w:rFonts w:asciiTheme="minorHAnsi" w:hAnsiTheme="minorHAnsi" w:cstheme="minorHAnsi"/>
          <w:i/>
          <w:iCs/>
        </w:rPr>
        <w:t>Crime + Investigation UK</w:t>
      </w:r>
      <w:r w:rsidRPr="00175EEA">
        <w:rPr>
          <w:rFonts w:asciiTheme="minorHAnsi" w:hAnsiTheme="minorHAnsi" w:cstheme="minorHAnsi"/>
        </w:rPr>
        <w:t xml:space="preserve">. Available at: https://www.crimeandinvestigation.co.uk/articles/soham-murders-crime-rocked-close-knit-town (Accessed: 01 June 2023). </w:t>
      </w:r>
    </w:p>
    <w:p w14:paraId="3AD75264"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Ashton, S. </w:t>
      </w:r>
      <w:r w:rsidRPr="00175EEA">
        <w:rPr>
          <w:rFonts w:asciiTheme="minorHAnsi" w:hAnsiTheme="minorHAnsi" w:cstheme="minorHAnsi"/>
          <w:i/>
          <w:iCs/>
        </w:rPr>
        <w:t>et al.</w:t>
      </w:r>
      <w:r w:rsidRPr="00175EEA">
        <w:rPr>
          <w:rFonts w:asciiTheme="minorHAnsi" w:hAnsiTheme="minorHAnsi" w:cstheme="minorHAnsi"/>
        </w:rPr>
        <w:t xml:space="preserve"> (2020) ‘The relationship of offending style to psychological and social risk factors in a sample of adolescent males’, </w:t>
      </w:r>
      <w:r w:rsidRPr="00175EEA">
        <w:rPr>
          <w:rFonts w:asciiTheme="minorHAnsi" w:hAnsiTheme="minorHAnsi" w:cstheme="minorHAnsi"/>
          <w:i/>
          <w:iCs/>
        </w:rPr>
        <w:t>Journal of Investigative Psychology and Offender Profiling</w:t>
      </w:r>
      <w:r w:rsidRPr="00175EEA">
        <w:rPr>
          <w:rFonts w:asciiTheme="minorHAnsi" w:hAnsiTheme="minorHAnsi" w:cstheme="minorHAnsi"/>
        </w:rPr>
        <w:t xml:space="preserve">, 17(2), pp. 76–92. doi:10.1002/jip.1548. </w:t>
      </w:r>
    </w:p>
    <w:p w14:paraId="71808DCF" w14:textId="77777777" w:rsidR="00483F10" w:rsidRPr="00175EEA" w:rsidRDefault="00483F10" w:rsidP="00483F10">
      <w:pPr>
        <w:ind w:left="720" w:hanging="720"/>
        <w:rPr>
          <w:rFonts w:cstheme="minorHAnsi"/>
          <w:sz w:val="24"/>
          <w:szCs w:val="24"/>
          <w:lang w:eastAsia="en-GB"/>
        </w:rPr>
      </w:pPr>
      <w:r w:rsidRPr="00175EEA">
        <w:rPr>
          <w:rFonts w:cstheme="minorHAnsi"/>
          <w:sz w:val="24"/>
          <w:szCs w:val="24"/>
          <w:shd w:val="clear" w:color="auto" w:fill="FFFFFF"/>
        </w:rPr>
        <w:t>Assets.publishing.service.gov.uk. 2018. </w:t>
      </w:r>
      <w:r w:rsidRPr="00175EEA">
        <w:rPr>
          <w:rFonts w:cstheme="minorHAnsi"/>
          <w:i/>
          <w:iCs/>
          <w:sz w:val="24"/>
          <w:szCs w:val="24"/>
          <w:shd w:val="clear" w:color="auto" w:fill="FFFFFF"/>
        </w:rPr>
        <w:t>Data Protection Act 2018. Factsheet -Overview</w:t>
      </w:r>
      <w:r w:rsidRPr="00175EEA">
        <w:rPr>
          <w:rFonts w:cstheme="minorHAnsi"/>
          <w:sz w:val="24"/>
          <w:szCs w:val="24"/>
          <w:shd w:val="clear" w:color="auto" w:fill="FFFFFF"/>
        </w:rPr>
        <w:t>. [online] Available at: &lt;https://assets.publishing.service.gov.uk/government/uploads/system/uploads/attachment_data/file/711162/2018-05-23_Factsheet_1_-_Act_overview.pdf&gt; [Accessed 7 July 2021].</w:t>
      </w:r>
    </w:p>
    <w:p w14:paraId="6BCD22FA" w14:textId="77777777" w:rsidR="00483F10" w:rsidRPr="00175EEA" w:rsidRDefault="00483F10" w:rsidP="00483F10">
      <w:pPr>
        <w:ind w:left="720" w:hanging="720"/>
        <w:rPr>
          <w:rFonts w:cstheme="minorHAnsi"/>
          <w:sz w:val="24"/>
          <w:szCs w:val="24"/>
          <w:shd w:val="clear" w:color="auto" w:fill="FFFFFF"/>
        </w:rPr>
      </w:pPr>
      <w:r w:rsidRPr="00175EEA">
        <w:rPr>
          <w:rFonts w:cstheme="minorHAnsi"/>
          <w:sz w:val="24"/>
          <w:szCs w:val="24"/>
          <w:shd w:val="clear" w:color="auto" w:fill="FFFFFF"/>
        </w:rPr>
        <w:t>Baldwin, C., 2019. </w:t>
      </w:r>
      <w:r w:rsidRPr="00175EEA">
        <w:rPr>
          <w:rFonts w:cstheme="minorHAnsi"/>
          <w:i/>
          <w:iCs/>
          <w:sz w:val="24"/>
          <w:szCs w:val="24"/>
          <w:shd w:val="clear" w:color="auto" w:fill="FFFFFF"/>
        </w:rPr>
        <w:t>Protection from harm or more harm than good? A critical evaluation of the PHOENIX Police National Computer application and concurrent police compliance with applicable data protection legislation</w:t>
      </w:r>
      <w:r w:rsidRPr="00175EEA">
        <w:rPr>
          <w:rFonts w:cstheme="minorHAnsi"/>
          <w:sz w:val="24"/>
          <w:szCs w:val="24"/>
          <w:shd w:val="clear" w:color="auto" w:fill="FFFFFF"/>
        </w:rPr>
        <w:t> (Doctoral dissertation, University of Sunderland).</w:t>
      </w:r>
    </w:p>
    <w:p w14:paraId="37C3B680"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Billingham, L. and Irwin-Rogers, K. (2022) </w:t>
      </w:r>
      <w:r w:rsidRPr="00175EEA">
        <w:rPr>
          <w:rFonts w:asciiTheme="minorHAnsi" w:hAnsiTheme="minorHAnsi" w:cstheme="minorHAnsi"/>
          <w:i/>
          <w:iCs/>
        </w:rPr>
        <w:t>Against youth violence</w:t>
      </w:r>
      <w:r w:rsidRPr="00175EEA">
        <w:rPr>
          <w:rFonts w:asciiTheme="minorHAnsi" w:hAnsiTheme="minorHAnsi" w:cstheme="minorHAnsi"/>
        </w:rPr>
        <w:t xml:space="preserve"> [Preprint]. doi:10.2307/j.ctv2z861b6. </w:t>
      </w:r>
    </w:p>
    <w:p w14:paraId="6A3D12B5"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lastRenderedPageBreak/>
        <w:t xml:space="preserve">Braga, A.A. </w:t>
      </w:r>
      <w:r w:rsidRPr="00175EEA">
        <w:rPr>
          <w:rFonts w:asciiTheme="minorHAnsi" w:hAnsiTheme="minorHAnsi" w:cstheme="minorHAnsi"/>
          <w:i/>
          <w:iCs/>
        </w:rPr>
        <w:t>et al.</w:t>
      </w:r>
      <w:r w:rsidRPr="00175EEA">
        <w:rPr>
          <w:rFonts w:asciiTheme="minorHAnsi" w:hAnsiTheme="minorHAnsi" w:cstheme="minorHAnsi"/>
        </w:rPr>
        <w:t xml:space="preserve"> (1999) ‘Problem-oriented policing in violent crime places: A randomized controlled experiment*’, </w:t>
      </w:r>
      <w:r w:rsidRPr="00175EEA">
        <w:rPr>
          <w:rFonts w:asciiTheme="minorHAnsi" w:hAnsiTheme="minorHAnsi" w:cstheme="minorHAnsi"/>
          <w:i/>
          <w:iCs/>
        </w:rPr>
        <w:t>Criminology</w:t>
      </w:r>
      <w:r w:rsidRPr="00175EEA">
        <w:rPr>
          <w:rFonts w:asciiTheme="minorHAnsi" w:hAnsiTheme="minorHAnsi" w:cstheme="minorHAnsi"/>
        </w:rPr>
        <w:t xml:space="preserve">, 37(3), pp. 541–580. doi:10.1111/j.1745-9125.1999.tb00496.x. </w:t>
      </w:r>
    </w:p>
    <w:p w14:paraId="44038B29"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Braun, V. and Clarke, V. (2006) ‘Using thematic analysis in psychology’, </w:t>
      </w:r>
      <w:r w:rsidRPr="00175EEA">
        <w:rPr>
          <w:rFonts w:asciiTheme="minorHAnsi" w:hAnsiTheme="minorHAnsi" w:cstheme="minorHAnsi"/>
          <w:i/>
          <w:iCs/>
        </w:rPr>
        <w:t>Qualitative Research in Psychology</w:t>
      </w:r>
      <w:r w:rsidRPr="00175EEA">
        <w:rPr>
          <w:rFonts w:asciiTheme="minorHAnsi" w:hAnsiTheme="minorHAnsi" w:cstheme="minorHAnsi"/>
        </w:rPr>
        <w:t xml:space="preserve">, 3(2), pp. 77–101. doi:10.1191/1478088706qp063oa. </w:t>
      </w:r>
    </w:p>
    <w:p w14:paraId="56FE82D4"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Broad, R. and Turnbull, N. (2018) ‘From human trafficking to modern slavery: The development of anti-trafficking policy in the UK’, </w:t>
      </w:r>
      <w:r w:rsidRPr="00175EEA">
        <w:rPr>
          <w:rFonts w:asciiTheme="minorHAnsi" w:hAnsiTheme="minorHAnsi" w:cstheme="minorHAnsi"/>
          <w:i/>
          <w:iCs/>
        </w:rPr>
        <w:t>European Journal on Criminal Policy and Research</w:t>
      </w:r>
      <w:r w:rsidRPr="00175EEA">
        <w:rPr>
          <w:rFonts w:asciiTheme="minorHAnsi" w:hAnsiTheme="minorHAnsi" w:cstheme="minorHAnsi"/>
        </w:rPr>
        <w:t xml:space="preserve">, 25(2), pp. 119–133. doi:10.1007/s10610-018-9375-4. </w:t>
      </w:r>
    </w:p>
    <w:p w14:paraId="7CEDDE2C" w14:textId="77777777" w:rsidR="00483F10" w:rsidRPr="00175EEA" w:rsidRDefault="00483F10" w:rsidP="00483F10">
      <w:pPr>
        <w:ind w:left="720" w:hanging="720"/>
        <w:rPr>
          <w:rFonts w:cstheme="minorHAnsi"/>
          <w:sz w:val="24"/>
          <w:szCs w:val="24"/>
          <w:shd w:val="clear" w:color="auto" w:fill="FFFFFF"/>
        </w:rPr>
      </w:pPr>
      <w:bookmarkStart w:id="1" w:name="_Hlk136509598"/>
      <w:r w:rsidRPr="00175EEA">
        <w:rPr>
          <w:rFonts w:cstheme="minorHAnsi"/>
          <w:sz w:val="24"/>
          <w:szCs w:val="24"/>
          <w:shd w:val="clear" w:color="auto" w:fill="FFFFFF"/>
        </w:rPr>
        <w:t>Cairns, A., Jackson, T. and Cooke, L</w:t>
      </w:r>
      <w:bookmarkEnd w:id="1"/>
      <w:r w:rsidRPr="00175EEA">
        <w:rPr>
          <w:rFonts w:cstheme="minorHAnsi"/>
          <w:sz w:val="24"/>
          <w:szCs w:val="24"/>
          <w:shd w:val="clear" w:color="auto" w:fill="FFFFFF"/>
        </w:rPr>
        <w:t>., 2011. The factors involved in sharing information between public agencies.</w:t>
      </w:r>
    </w:p>
    <w:p w14:paraId="4C71320C"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Carter, J.G., Phillips, S.W. and Gayadeen, S.M. (2014) ‘Implementing intelligence-led policing: An application of loose-coupling theory’, </w:t>
      </w:r>
      <w:r w:rsidRPr="00175EEA">
        <w:rPr>
          <w:rFonts w:asciiTheme="minorHAnsi" w:hAnsiTheme="minorHAnsi" w:cstheme="minorHAnsi"/>
          <w:i/>
          <w:iCs/>
        </w:rPr>
        <w:t>Journal of Criminal Justice</w:t>
      </w:r>
      <w:r w:rsidRPr="00175EEA">
        <w:rPr>
          <w:rFonts w:asciiTheme="minorHAnsi" w:hAnsiTheme="minorHAnsi" w:cstheme="minorHAnsi"/>
        </w:rPr>
        <w:t xml:space="preserve">, 42(6), pp. 433–442. doi:10.1016/j.jcrimjus.2014.08.002. </w:t>
      </w:r>
    </w:p>
    <w:p w14:paraId="2D99DE23" w14:textId="77777777" w:rsidR="00483F10" w:rsidRPr="00175EEA" w:rsidRDefault="00483F10" w:rsidP="00483F10">
      <w:pPr>
        <w:ind w:left="720" w:hanging="720"/>
        <w:rPr>
          <w:rFonts w:cstheme="minorHAnsi"/>
          <w:sz w:val="24"/>
          <w:szCs w:val="24"/>
        </w:rPr>
      </w:pPr>
      <w:r w:rsidRPr="00175EEA">
        <w:rPr>
          <w:rFonts w:cstheme="minorHAnsi"/>
          <w:sz w:val="24"/>
          <w:szCs w:val="24"/>
        </w:rPr>
        <w:t xml:space="preserve">Coliandris G. 2015. County Lines and Wicked Problems: Exploring the need for improved  policing approaches to vulnerability and early intervention. </w:t>
      </w:r>
      <w:r w:rsidRPr="00175EEA">
        <w:rPr>
          <w:rFonts w:cstheme="minorHAnsi"/>
          <w:i/>
          <w:iCs/>
          <w:sz w:val="24"/>
          <w:szCs w:val="24"/>
        </w:rPr>
        <w:t xml:space="preserve">Australasian Policing </w:t>
      </w:r>
      <w:r w:rsidRPr="00175EEA">
        <w:rPr>
          <w:rFonts w:cstheme="minorHAnsi"/>
          <w:sz w:val="24"/>
          <w:szCs w:val="24"/>
        </w:rPr>
        <w:t>7(2): 25–35.</w:t>
      </w:r>
    </w:p>
    <w:p w14:paraId="02EBAE26"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Collier, B. </w:t>
      </w:r>
      <w:r w:rsidRPr="00175EEA">
        <w:rPr>
          <w:rFonts w:asciiTheme="minorHAnsi" w:hAnsiTheme="minorHAnsi" w:cstheme="minorHAnsi"/>
          <w:i/>
          <w:iCs/>
        </w:rPr>
        <w:t>et al.</w:t>
      </w:r>
      <w:r w:rsidRPr="00175EEA">
        <w:rPr>
          <w:rFonts w:asciiTheme="minorHAnsi" w:hAnsiTheme="minorHAnsi" w:cstheme="minorHAnsi"/>
        </w:rPr>
        <w:t xml:space="preserve"> (2021) ‘Influence, infrastructure, and recentering cybercrime policing: Evaluating emerging approaches to online law enforcement through a market for cybercrime services’, </w:t>
      </w:r>
      <w:r w:rsidRPr="00175EEA">
        <w:rPr>
          <w:rFonts w:asciiTheme="minorHAnsi" w:hAnsiTheme="minorHAnsi" w:cstheme="minorHAnsi"/>
          <w:i/>
          <w:iCs/>
        </w:rPr>
        <w:t>Policing and Society</w:t>
      </w:r>
      <w:r w:rsidRPr="00175EEA">
        <w:rPr>
          <w:rFonts w:asciiTheme="minorHAnsi" w:hAnsiTheme="minorHAnsi" w:cstheme="minorHAnsi"/>
        </w:rPr>
        <w:t xml:space="preserve">, 32(1), pp. 103–124. doi:10.1080/10439463.2021.1883608. </w:t>
      </w:r>
    </w:p>
    <w:p w14:paraId="26849B95"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Coomber, R. and Moyle, L. (2017) ‘The changing shape of street-level heroin and crack supply in England: Commuting, holidaying and cuckooing drug dealers across “county lines”’, </w:t>
      </w:r>
      <w:r w:rsidRPr="00175EEA">
        <w:rPr>
          <w:rFonts w:asciiTheme="minorHAnsi" w:hAnsiTheme="minorHAnsi" w:cstheme="minorHAnsi"/>
          <w:i/>
          <w:iCs/>
        </w:rPr>
        <w:t>The British Journal of Criminology</w:t>
      </w:r>
      <w:r w:rsidRPr="00175EEA">
        <w:rPr>
          <w:rFonts w:asciiTheme="minorHAnsi" w:hAnsiTheme="minorHAnsi" w:cstheme="minorHAnsi"/>
        </w:rPr>
        <w:t xml:space="preserve">, 58(6), pp. 1323–1342. doi:10.1093/bjc/azx068. </w:t>
      </w:r>
    </w:p>
    <w:p w14:paraId="48516A50"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Cordner, G. and Biebel, E.P. (2005) ‘Problem-oriented policing in practice*’, </w:t>
      </w:r>
      <w:r w:rsidRPr="00175EEA">
        <w:rPr>
          <w:rFonts w:asciiTheme="minorHAnsi" w:hAnsiTheme="minorHAnsi" w:cstheme="minorHAnsi"/>
          <w:i/>
          <w:iCs/>
        </w:rPr>
        <w:t>Criminology &amp; Public Policy</w:t>
      </w:r>
      <w:r w:rsidRPr="00175EEA">
        <w:rPr>
          <w:rFonts w:asciiTheme="minorHAnsi" w:hAnsiTheme="minorHAnsi" w:cstheme="minorHAnsi"/>
        </w:rPr>
        <w:t xml:space="preserve">, 4(2), pp. 155–180. doi:10.1111/j.1745-9133.2005.00013.x. </w:t>
      </w:r>
    </w:p>
    <w:p w14:paraId="76685EF8"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Cross, C. (2015) ‘No laughing matter’, </w:t>
      </w:r>
      <w:r w:rsidRPr="00175EEA">
        <w:rPr>
          <w:rFonts w:asciiTheme="minorHAnsi" w:hAnsiTheme="minorHAnsi" w:cstheme="minorHAnsi"/>
          <w:i/>
          <w:iCs/>
        </w:rPr>
        <w:t>International Review of Victimology</w:t>
      </w:r>
      <w:r w:rsidRPr="00175EEA">
        <w:rPr>
          <w:rFonts w:asciiTheme="minorHAnsi" w:hAnsiTheme="minorHAnsi" w:cstheme="minorHAnsi"/>
        </w:rPr>
        <w:t xml:space="preserve">, 21(2), pp. 187–204. doi:10.1177/0269758015571471. </w:t>
      </w:r>
    </w:p>
    <w:p w14:paraId="1D103D1E" w14:textId="77777777" w:rsidR="00483F10" w:rsidRPr="00175EEA" w:rsidRDefault="00483F10" w:rsidP="00483F10">
      <w:pPr>
        <w:pStyle w:val="NormalWeb"/>
        <w:ind w:left="567" w:hanging="567"/>
        <w:rPr>
          <w:rFonts w:asciiTheme="minorHAnsi" w:hAnsiTheme="minorHAnsi" w:cstheme="minorHAnsi"/>
        </w:rPr>
      </w:pPr>
      <w:bookmarkStart w:id="2" w:name="_Hlk136449950"/>
      <w:r w:rsidRPr="00175EEA">
        <w:rPr>
          <w:rFonts w:asciiTheme="minorHAnsi" w:hAnsiTheme="minorHAnsi" w:cstheme="minorHAnsi"/>
        </w:rPr>
        <w:t>Darroch, S. and Mazerolle, L. (2012</w:t>
      </w:r>
      <w:bookmarkEnd w:id="2"/>
      <w:r w:rsidRPr="00175EEA">
        <w:rPr>
          <w:rFonts w:asciiTheme="minorHAnsi" w:hAnsiTheme="minorHAnsi" w:cstheme="minorHAnsi"/>
        </w:rPr>
        <w:t xml:space="preserve">) ‘Intelligence-led policing’, </w:t>
      </w:r>
      <w:r w:rsidRPr="00175EEA">
        <w:rPr>
          <w:rFonts w:asciiTheme="minorHAnsi" w:hAnsiTheme="minorHAnsi" w:cstheme="minorHAnsi"/>
          <w:i/>
          <w:iCs/>
        </w:rPr>
        <w:t>Police Quarterly</w:t>
      </w:r>
      <w:r w:rsidRPr="00175EEA">
        <w:rPr>
          <w:rFonts w:asciiTheme="minorHAnsi" w:hAnsiTheme="minorHAnsi" w:cstheme="minorHAnsi"/>
        </w:rPr>
        <w:t xml:space="preserve">, 16(1), pp. 3–37. doi:10.1177/1098611112467411. </w:t>
      </w:r>
    </w:p>
    <w:p w14:paraId="13056677"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Furnell, S. (2008) ‘Cybercrime: The transformation of crime in the information age – by D.S. Wall’, </w:t>
      </w:r>
      <w:r w:rsidRPr="00175EEA">
        <w:rPr>
          <w:rFonts w:asciiTheme="minorHAnsi" w:hAnsiTheme="minorHAnsi" w:cstheme="minorHAnsi"/>
          <w:i/>
          <w:iCs/>
        </w:rPr>
        <w:t>The British Journal of Sociology</w:t>
      </w:r>
      <w:r w:rsidRPr="00175EEA">
        <w:rPr>
          <w:rFonts w:asciiTheme="minorHAnsi" w:hAnsiTheme="minorHAnsi" w:cstheme="minorHAnsi"/>
        </w:rPr>
        <w:t xml:space="preserve">, 59(1), pp. 177–179. doi:10.1111/j.1468-4446.2007.00187_8.x. </w:t>
      </w:r>
    </w:p>
    <w:p w14:paraId="5138B068"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lastRenderedPageBreak/>
        <w:t xml:space="preserve">Harkin, D., Whelan, C. and Chang, L. (2018) ‘The challenges facing specialist police cyber-crime units: An empirical analysis’, </w:t>
      </w:r>
      <w:r w:rsidRPr="00175EEA">
        <w:rPr>
          <w:rFonts w:asciiTheme="minorHAnsi" w:hAnsiTheme="minorHAnsi" w:cstheme="minorHAnsi"/>
          <w:i/>
          <w:iCs/>
        </w:rPr>
        <w:t>Police Practice and Research</w:t>
      </w:r>
      <w:r w:rsidRPr="00175EEA">
        <w:rPr>
          <w:rFonts w:asciiTheme="minorHAnsi" w:hAnsiTheme="minorHAnsi" w:cstheme="minorHAnsi"/>
        </w:rPr>
        <w:t xml:space="preserve">, 19(6), pp. 519–536. doi:10.1080/15614263.2018.1507889. </w:t>
      </w:r>
    </w:p>
    <w:p w14:paraId="06D46312"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Hayden, C., Williamson, T. and Webber, R. (2006) ‘Schools, pupil behaviour and young offenders’, </w:t>
      </w:r>
      <w:r w:rsidRPr="00175EEA">
        <w:rPr>
          <w:rFonts w:asciiTheme="minorHAnsi" w:hAnsiTheme="minorHAnsi" w:cstheme="minorHAnsi"/>
          <w:i/>
          <w:iCs/>
        </w:rPr>
        <w:t>The British Journal of Criminology</w:t>
      </w:r>
      <w:r w:rsidRPr="00175EEA">
        <w:rPr>
          <w:rFonts w:asciiTheme="minorHAnsi" w:hAnsiTheme="minorHAnsi" w:cstheme="minorHAnsi"/>
        </w:rPr>
        <w:t xml:space="preserve">, 47(2), pp. 293–310. doi:10.1093/bjc/azl053. </w:t>
      </w:r>
    </w:p>
    <w:p w14:paraId="1CE9627D"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Helms, R. and Gutierrez, R.S. (2007) ‘Federal subsidies and evidence of Progressive Change’, </w:t>
      </w:r>
      <w:r w:rsidRPr="00175EEA">
        <w:rPr>
          <w:rFonts w:asciiTheme="minorHAnsi" w:hAnsiTheme="minorHAnsi" w:cstheme="minorHAnsi"/>
          <w:i/>
          <w:iCs/>
        </w:rPr>
        <w:t>Police Quarterly</w:t>
      </w:r>
      <w:r w:rsidRPr="00175EEA">
        <w:rPr>
          <w:rFonts w:asciiTheme="minorHAnsi" w:hAnsiTheme="minorHAnsi" w:cstheme="minorHAnsi"/>
        </w:rPr>
        <w:t xml:space="preserve">, 10(1), pp. 87–107. doi:10.1177/1098611106296480. </w:t>
      </w:r>
    </w:p>
    <w:p w14:paraId="40740AAF"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Hinkle, J.C. </w:t>
      </w:r>
      <w:r w:rsidRPr="00175EEA">
        <w:rPr>
          <w:rFonts w:asciiTheme="minorHAnsi" w:hAnsiTheme="minorHAnsi" w:cstheme="minorHAnsi"/>
          <w:i/>
          <w:iCs/>
        </w:rPr>
        <w:t>et al.</w:t>
      </w:r>
      <w:r w:rsidRPr="00175EEA">
        <w:rPr>
          <w:rFonts w:asciiTheme="minorHAnsi" w:hAnsiTheme="minorHAnsi" w:cstheme="minorHAnsi"/>
        </w:rPr>
        <w:t xml:space="preserve"> (2020) ‘Problem‐oriented policing for reducing crime and disorder: An updated systematic review and meta‐analysis’, </w:t>
      </w:r>
      <w:r w:rsidRPr="00175EEA">
        <w:rPr>
          <w:rFonts w:asciiTheme="minorHAnsi" w:hAnsiTheme="minorHAnsi" w:cstheme="minorHAnsi"/>
          <w:i/>
          <w:iCs/>
        </w:rPr>
        <w:t>Campbell Systematic Reviews</w:t>
      </w:r>
      <w:r w:rsidRPr="00175EEA">
        <w:rPr>
          <w:rFonts w:asciiTheme="minorHAnsi" w:hAnsiTheme="minorHAnsi" w:cstheme="minorHAnsi"/>
        </w:rPr>
        <w:t xml:space="preserve">, 16(2). doi:10.1002/cl2.1089. </w:t>
      </w:r>
    </w:p>
    <w:p w14:paraId="3ECABB09"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HM Government. (2016) </w:t>
      </w:r>
      <w:r w:rsidRPr="00175EEA">
        <w:rPr>
          <w:rFonts w:asciiTheme="minorHAnsi" w:hAnsiTheme="minorHAnsi" w:cstheme="minorHAnsi"/>
          <w:i/>
          <w:iCs/>
        </w:rPr>
        <w:t>Ending gang violence and exploitation</w:t>
      </w:r>
      <w:r w:rsidRPr="00175EEA">
        <w:rPr>
          <w:rFonts w:asciiTheme="minorHAnsi" w:hAnsiTheme="minorHAnsi" w:cstheme="minorHAnsi"/>
        </w:rPr>
        <w:t xml:space="preserve">, </w:t>
      </w:r>
      <w:r w:rsidRPr="00175EEA">
        <w:rPr>
          <w:rFonts w:asciiTheme="minorHAnsi" w:hAnsiTheme="minorHAnsi" w:cstheme="minorHAnsi"/>
          <w:i/>
          <w:iCs/>
        </w:rPr>
        <w:t>GOV.UK</w:t>
      </w:r>
      <w:r w:rsidRPr="00175EEA">
        <w:rPr>
          <w:rFonts w:asciiTheme="minorHAnsi" w:hAnsiTheme="minorHAnsi" w:cstheme="minorHAnsi"/>
        </w:rPr>
        <w:t xml:space="preserve">. Available at: https://www.gov.uk/government/publications/ending-gang-violence-and-exploitation (Accessed: 29 May 2023). </w:t>
      </w:r>
    </w:p>
    <w:p w14:paraId="02760B7C" w14:textId="77777777" w:rsidR="00483F10" w:rsidRPr="00175EEA" w:rsidRDefault="00483F10" w:rsidP="00483F10">
      <w:pPr>
        <w:autoSpaceDE w:val="0"/>
        <w:autoSpaceDN w:val="0"/>
        <w:adjustRightInd w:val="0"/>
        <w:spacing w:after="0" w:line="240" w:lineRule="auto"/>
        <w:ind w:left="720" w:hanging="720"/>
        <w:rPr>
          <w:rFonts w:cstheme="minorHAnsi"/>
          <w:kern w:val="0"/>
          <w:sz w:val="24"/>
          <w:szCs w:val="24"/>
        </w:rPr>
      </w:pPr>
      <w:r w:rsidRPr="00175EEA">
        <w:rPr>
          <w:rFonts w:cstheme="minorHAnsi"/>
          <w:kern w:val="0"/>
          <w:sz w:val="24"/>
          <w:szCs w:val="24"/>
        </w:rPr>
        <w:t xml:space="preserve">Hughes, N. (2011) ‘Young people “as risk” or young people “at risk”: Comparing discourses of antisocial behaviour in England and Victoria’. </w:t>
      </w:r>
      <w:r w:rsidRPr="00175EEA">
        <w:rPr>
          <w:rFonts w:cstheme="minorHAnsi"/>
          <w:i/>
          <w:iCs/>
          <w:kern w:val="0"/>
          <w:sz w:val="24"/>
          <w:szCs w:val="24"/>
        </w:rPr>
        <w:t xml:space="preserve">Critical Social Policy, </w:t>
      </w:r>
      <w:r w:rsidRPr="00175EEA">
        <w:rPr>
          <w:rFonts w:cstheme="minorHAnsi"/>
          <w:kern w:val="0"/>
          <w:sz w:val="24"/>
          <w:szCs w:val="24"/>
        </w:rPr>
        <w:t>31(3), 388-409.</w:t>
      </w:r>
    </w:p>
    <w:p w14:paraId="05A344E7"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Innes, M., Fielding, N. and Cope, N. (2004) ‘“the appliance of science?”: The theory and practice of crime intelligence analysis’, </w:t>
      </w:r>
      <w:r w:rsidRPr="00175EEA">
        <w:rPr>
          <w:rFonts w:asciiTheme="minorHAnsi" w:hAnsiTheme="minorHAnsi" w:cstheme="minorHAnsi"/>
          <w:i/>
          <w:iCs/>
        </w:rPr>
        <w:t>British Journal of Criminology</w:t>
      </w:r>
      <w:r w:rsidRPr="00175EEA">
        <w:rPr>
          <w:rFonts w:asciiTheme="minorHAnsi" w:hAnsiTheme="minorHAnsi" w:cstheme="minorHAnsi"/>
        </w:rPr>
        <w:t xml:space="preserve">, 45(1), pp. 39–57. doi:10.1093/bjc/azh053. </w:t>
      </w:r>
    </w:p>
    <w:p w14:paraId="639715E1" w14:textId="77777777" w:rsidR="00483F10" w:rsidRPr="00175EEA" w:rsidRDefault="00483F10" w:rsidP="00483F10">
      <w:pPr>
        <w:autoSpaceDE w:val="0"/>
        <w:autoSpaceDN w:val="0"/>
        <w:adjustRightInd w:val="0"/>
        <w:spacing w:after="0" w:line="240" w:lineRule="auto"/>
        <w:ind w:left="720" w:hanging="720"/>
        <w:rPr>
          <w:rFonts w:cstheme="minorHAnsi"/>
          <w:sz w:val="24"/>
          <w:szCs w:val="24"/>
        </w:rPr>
      </w:pPr>
      <w:r w:rsidRPr="00175EEA">
        <w:rPr>
          <w:rFonts w:cstheme="minorHAnsi"/>
          <w:kern w:val="0"/>
          <w:sz w:val="24"/>
          <w:szCs w:val="24"/>
        </w:rPr>
        <w:t xml:space="preserve">Kleemans, E. R. (2012) ‘Organized crime and the visible hand: A theoretical critique on the economic analysis of organized crime’ </w:t>
      </w:r>
      <w:r w:rsidRPr="00175EEA">
        <w:rPr>
          <w:rFonts w:cstheme="minorHAnsi"/>
          <w:i/>
          <w:iCs/>
          <w:kern w:val="0"/>
          <w:sz w:val="24"/>
          <w:szCs w:val="24"/>
        </w:rPr>
        <w:t xml:space="preserve">Criminology &amp; Criminal Justice </w:t>
      </w:r>
      <w:r w:rsidRPr="00175EEA">
        <w:rPr>
          <w:rFonts w:cstheme="minorHAnsi"/>
          <w:kern w:val="0"/>
          <w:sz w:val="24"/>
          <w:szCs w:val="24"/>
        </w:rPr>
        <w:t>13(5) 615 –629.</w:t>
      </w:r>
    </w:p>
    <w:p w14:paraId="362F3FE8"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Lee, J.R. </w:t>
      </w:r>
      <w:r w:rsidRPr="00175EEA">
        <w:rPr>
          <w:rFonts w:asciiTheme="minorHAnsi" w:hAnsiTheme="minorHAnsi" w:cstheme="minorHAnsi"/>
          <w:i/>
          <w:iCs/>
        </w:rPr>
        <w:t>et al.</w:t>
      </w:r>
      <w:r w:rsidRPr="00175EEA">
        <w:rPr>
          <w:rFonts w:asciiTheme="minorHAnsi" w:hAnsiTheme="minorHAnsi" w:cstheme="minorHAnsi"/>
        </w:rPr>
        <w:t xml:space="preserve"> (2019) ‘Examining English and welsh detectives’ views of online crime’, </w:t>
      </w:r>
      <w:r w:rsidRPr="00175EEA">
        <w:rPr>
          <w:rFonts w:asciiTheme="minorHAnsi" w:hAnsiTheme="minorHAnsi" w:cstheme="minorHAnsi"/>
          <w:i/>
          <w:iCs/>
        </w:rPr>
        <w:t>International Criminal Justice Review</w:t>
      </w:r>
      <w:r w:rsidRPr="00175EEA">
        <w:rPr>
          <w:rFonts w:asciiTheme="minorHAnsi" w:hAnsiTheme="minorHAnsi" w:cstheme="minorHAnsi"/>
        </w:rPr>
        <w:t xml:space="preserve">, 31(1), pp. 20–39. doi:10.1177/1057567719846224. </w:t>
      </w:r>
    </w:p>
    <w:p w14:paraId="4DB37668"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Lumsden, K. (2016) ‘Police officer and civilian staff receptivity to research and evidence-based policing in the UK: Providing a contextual understanding through qualitative interviews’, </w:t>
      </w:r>
      <w:r w:rsidRPr="00175EEA">
        <w:rPr>
          <w:rFonts w:asciiTheme="minorHAnsi" w:hAnsiTheme="minorHAnsi" w:cstheme="minorHAnsi"/>
          <w:i/>
          <w:iCs/>
        </w:rPr>
        <w:t>Policing</w:t>
      </w:r>
      <w:r w:rsidRPr="00175EEA">
        <w:rPr>
          <w:rFonts w:asciiTheme="minorHAnsi" w:hAnsiTheme="minorHAnsi" w:cstheme="minorHAnsi"/>
        </w:rPr>
        <w:t xml:space="preserve"> [Preprint]. doi:10.1093/police/paw036. </w:t>
      </w:r>
    </w:p>
    <w:p w14:paraId="78D2466D"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Maguire, M. (2000) ‘Policing by risks and targets: Some dimensions and implications of intelligence‐led crime control’, </w:t>
      </w:r>
      <w:r w:rsidRPr="00175EEA">
        <w:rPr>
          <w:rFonts w:asciiTheme="minorHAnsi" w:hAnsiTheme="minorHAnsi" w:cstheme="minorHAnsi"/>
          <w:i/>
          <w:iCs/>
        </w:rPr>
        <w:t>Policing and Society</w:t>
      </w:r>
      <w:r w:rsidRPr="00175EEA">
        <w:rPr>
          <w:rFonts w:asciiTheme="minorHAnsi" w:hAnsiTheme="minorHAnsi" w:cstheme="minorHAnsi"/>
        </w:rPr>
        <w:t xml:space="preserve">, 9(4), pp. 315–336. doi:10.1080/10439463.2000.9964821. </w:t>
      </w:r>
    </w:p>
    <w:p w14:paraId="35E4AADA"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Marcum, C.D. </w:t>
      </w:r>
      <w:r w:rsidRPr="00175EEA">
        <w:rPr>
          <w:rFonts w:asciiTheme="minorHAnsi" w:hAnsiTheme="minorHAnsi" w:cstheme="minorHAnsi"/>
          <w:i/>
          <w:iCs/>
        </w:rPr>
        <w:t>et al.</w:t>
      </w:r>
      <w:r w:rsidRPr="00175EEA">
        <w:rPr>
          <w:rFonts w:asciiTheme="minorHAnsi" w:hAnsiTheme="minorHAnsi" w:cstheme="minorHAnsi"/>
        </w:rPr>
        <w:t xml:space="preserve"> (2010) ‘Policing possession of child pornography online: Investigating the training and resources dedicated to the investigation of cybercrime’, </w:t>
      </w:r>
      <w:r w:rsidRPr="00175EEA">
        <w:rPr>
          <w:rFonts w:asciiTheme="minorHAnsi" w:hAnsiTheme="minorHAnsi" w:cstheme="minorHAnsi"/>
          <w:i/>
          <w:iCs/>
        </w:rPr>
        <w:t>International Journal of Police Science &amp; Management</w:t>
      </w:r>
      <w:r w:rsidRPr="00175EEA">
        <w:rPr>
          <w:rFonts w:asciiTheme="minorHAnsi" w:hAnsiTheme="minorHAnsi" w:cstheme="minorHAnsi"/>
        </w:rPr>
        <w:t xml:space="preserve">, 12(4), pp. 516–525. doi:10.1350/ijps.2010.12.4.201. </w:t>
      </w:r>
    </w:p>
    <w:p w14:paraId="207B2C5D" w14:textId="77777777" w:rsidR="00483F10" w:rsidRPr="00175EEA" w:rsidRDefault="00483F10" w:rsidP="00483F10">
      <w:pPr>
        <w:pStyle w:val="NormalWeb"/>
        <w:ind w:left="567" w:hanging="567"/>
        <w:rPr>
          <w:rFonts w:asciiTheme="minorHAnsi" w:hAnsiTheme="minorHAnsi" w:cstheme="minorHAnsi"/>
        </w:rPr>
      </w:pPr>
      <w:bookmarkStart w:id="3" w:name="_Hlk136436898"/>
      <w:r w:rsidRPr="00175EEA">
        <w:rPr>
          <w:rFonts w:asciiTheme="minorHAnsi" w:hAnsiTheme="minorHAnsi" w:cstheme="minorHAnsi"/>
        </w:rPr>
        <w:lastRenderedPageBreak/>
        <w:t>Meijer, A. and Wessels, M. (2019</w:t>
      </w:r>
      <w:bookmarkEnd w:id="3"/>
      <w:r w:rsidRPr="00175EEA">
        <w:rPr>
          <w:rFonts w:asciiTheme="minorHAnsi" w:hAnsiTheme="minorHAnsi" w:cstheme="minorHAnsi"/>
        </w:rPr>
        <w:t xml:space="preserve">) ‘Predictive policing: Review of benefits and drawbacks’, </w:t>
      </w:r>
      <w:r w:rsidRPr="00175EEA">
        <w:rPr>
          <w:rFonts w:asciiTheme="minorHAnsi" w:hAnsiTheme="minorHAnsi" w:cstheme="minorHAnsi"/>
          <w:i/>
          <w:iCs/>
        </w:rPr>
        <w:t>International Journal of Public Administration</w:t>
      </w:r>
      <w:r w:rsidRPr="00175EEA">
        <w:rPr>
          <w:rFonts w:asciiTheme="minorHAnsi" w:hAnsiTheme="minorHAnsi" w:cstheme="minorHAnsi"/>
        </w:rPr>
        <w:t xml:space="preserve">, 42(12), pp. 1031–1039. doi:10.1080/01900692.2019.1575664. </w:t>
      </w:r>
    </w:p>
    <w:p w14:paraId="3061A3FC"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Moon, B., McCluskey, J.D. and McCluskey, C.P. (2010) ‘A general theory of crime and computer crime: An empirical test’, </w:t>
      </w:r>
      <w:r w:rsidRPr="00175EEA">
        <w:rPr>
          <w:rFonts w:asciiTheme="minorHAnsi" w:hAnsiTheme="minorHAnsi" w:cstheme="minorHAnsi"/>
          <w:i/>
          <w:iCs/>
        </w:rPr>
        <w:t>Journal of Criminal Justice</w:t>
      </w:r>
      <w:r w:rsidRPr="00175EEA">
        <w:rPr>
          <w:rFonts w:asciiTheme="minorHAnsi" w:hAnsiTheme="minorHAnsi" w:cstheme="minorHAnsi"/>
        </w:rPr>
        <w:t xml:space="preserve">, 38(4), pp. 767–772. doi:10.1016/j.jcrimjus.2010.05.003. </w:t>
      </w:r>
    </w:p>
    <w:p w14:paraId="2CDCB6DE"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Moyle, L. (2019) ‘Situating vulnerability and exploitation in street-level drug markets: Cuckooing, commuting, and the “county lines” drug supply model’, </w:t>
      </w:r>
      <w:r w:rsidRPr="00175EEA">
        <w:rPr>
          <w:rFonts w:asciiTheme="minorHAnsi" w:hAnsiTheme="minorHAnsi" w:cstheme="minorHAnsi"/>
          <w:i/>
          <w:iCs/>
        </w:rPr>
        <w:t>Journal of Drug Issues</w:t>
      </w:r>
      <w:r w:rsidRPr="00175EEA">
        <w:rPr>
          <w:rFonts w:asciiTheme="minorHAnsi" w:hAnsiTheme="minorHAnsi" w:cstheme="minorHAnsi"/>
        </w:rPr>
        <w:t xml:space="preserve">, 49(4), pp. 739–755. doi:10.1177/0022042619861938. </w:t>
      </w:r>
    </w:p>
    <w:p w14:paraId="2A601E98"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Norton, A. (2013) ‘Predictive policing: The future of law enforcement in the Trinidad and Tobago Police Service (TTPS)’, </w:t>
      </w:r>
      <w:r w:rsidRPr="00175EEA">
        <w:rPr>
          <w:rFonts w:asciiTheme="minorHAnsi" w:hAnsiTheme="minorHAnsi" w:cstheme="minorHAnsi"/>
          <w:i/>
          <w:iCs/>
        </w:rPr>
        <w:t>International Journal of Computer Applications</w:t>
      </w:r>
      <w:r w:rsidRPr="00175EEA">
        <w:rPr>
          <w:rFonts w:asciiTheme="minorHAnsi" w:hAnsiTheme="minorHAnsi" w:cstheme="minorHAnsi"/>
        </w:rPr>
        <w:t xml:space="preserve">, 62(4), pp. 32–36. doi:10.5120/10070-4680. </w:t>
      </w:r>
    </w:p>
    <w:p w14:paraId="44826CAF"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Olver, K. and Cockbain, E. (2021) ‘Professionals’ views on responding to county lines‐related criminal exploitation in the West Midlands, UK’, </w:t>
      </w:r>
      <w:r w:rsidRPr="00175EEA">
        <w:rPr>
          <w:rFonts w:asciiTheme="minorHAnsi" w:hAnsiTheme="minorHAnsi" w:cstheme="minorHAnsi"/>
          <w:i/>
          <w:iCs/>
        </w:rPr>
        <w:t>Child Abuse Review</w:t>
      </w:r>
      <w:r w:rsidRPr="00175EEA">
        <w:rPr>
          <w:rFonts w:asciiTheme="minorHAnsi" w:hAnsiTheme="minorHAnsi" w:cstheme="minorHAnsi"/>
        </w:rPr>
        <w:t xml:space="preserve">, 30(4), pp. 347–362. doi:10.1002/car.2704. </w:t>
      </w:r>
    </w:p>
    <w:p w14:paraId="5A9049A4"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Pearsall, B. (2010) ‘Predictive policing: The future of law enforcement?’, </w:t>
      </w:r>
      <w:r w:rsidRPr="00175EEA">
        <w:rPr>
          <w:rFonts w:asciiTheme="minorHAnsi" w:hAnsiTheme="minorHAnsi" w:cstheme="minorHAnsi"/>
          <w:i/>
          <w:iCs/>
        </w:rPr>
        <w:t>PsycEXTRA Dataset</w:t>
      </w:r>
      <w:r w:rsidRPr="00175EEA">
        <w:rPr>
          <w:rFonts w:asciiTheme="minorHAnsi" w:hAnsiTheme="minorHAnsi" w:cstheme="minorHAnsi"/>
        </w:rPr>
        <w:t xml:space="preserve"> [Preprint]. doi:10.1037/e596372010-007. </w:t>
      </w:r>
    </w:p>
    <w:p w14:paraId="6C661123" w14:textId="77777777" w:rsidR="00483F10" w:rsidRPr="00175EEA" w:rsidRDefault="00483F10" w:rsidP="00483F10">
      <w:pPr>
        <w:pStyle w:val="NormalWeb"/>
        <w:ind w:left="567" w:hanging="567"/>
        <w:rPr>
          <w:rFonts w:asciiTheme="minorHAnsi" w:hAnsiTheme="minorHAnsi" w:cstheme="minorHAnsi"/>
        </w:rPr>
      </w:pPr>
      <w:bookmarkStart w:id="4" w:name="_Hlk136507252"/>
      <w:r w:rsidRPr="00175EEA">
        <w:rPr>
          <w:rFonts w:asciiTheme="minorHAnsi" w:hAnsiTheme="minorHAnsi" w:cstheme="minorHAnsi"/>
        </w:rPr>
        <w:t>Phythian, R. and Kirby, S. (2022</w:t>
      </w:r>
      <w:bookmarkEnd w:id="4"/>
      <w:r w:rsidRPr="00175EEA">
        <w:rPr>
          <w:rFonts w:asciiTheme="minorHAnsi" w:hAnsiTheme="minorHAnsi" w:cstheme="minorHAnsi"/>
        </w:rPr>
        <w:t xml:space="preserve">) ‘What does the UK police national database tell us about the future of police intelligence?’, </w:t>
      </w:r>
      <w:r w:rsidRPr="00175EEA">
        <w:rPr>
          <w:rFonts w:asciiTheme="minorHAnsi" w:hAnsiTheme="minorHAnsi" w:cstheme="minorHAnsi"/>
          <w:i/>
          <w:iCs/>
        </w:rPr>
        <w:t>Policing: A Journal of Policy and Practice</w:t>
      </w:r>
      <w:r w:rsidRPr="00175EEA">
        <w:rPr>
          <w:rFonts w:asciiTheme="minorHAnsi" w:hAnsiTheme="minorHAnsi" w:cstheme="minorHAnsi"/>
        </w:rPr>
        <w:t xml:space="preserve"> [Preprint]. doi:10.1093/police/paac074. </w:t>
      </w:r>
    </w:p>
    <w:p w14:paraId="22AC4F85"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Ratcliffe, J. (2008) ‘The hotspot matrix’, </w:t>
      </w:r>
      <w:r w:rsidRPr="00175EEA">
        <w:rPr>
          <w:rFonts w:asciiTheme="minorHAnsi" w:hAnsiTheme="minorHAnsi" w:cstheme="minorHAnsi"/>
          <w:i/>
          <w:iCs/>
        </w:rPr>
        <w:t>Contemporary Issues in Law Enforcement and Policing</w:t>
      </w:r>
      <w:r w:rsidRPr="00175EEA">
        <w:rPr>
          <w:rFonts w:asciiTheme="minorHAnsi" w:hAnsiTheme="minorHAnsi" w:cstheme="minorHAnsi"/>
        </w:rPr>
        <w:t xml:space="preserve">, pp. 125–144. doi:10.1201/9781420072327.ch7. </w:t>
      </w:r>
    </w:p>
    <w:p w14:paraId="4773790F"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Ratcliffe, J.H. (2012) ‘Intelligence-led policing’, </w:t>
      </w:r>
      <w:r w:rsidRPr="00175EEA">
        <w:rPr>
          <w:rFonts w:asciiTheme="minorHAnsi" w:hAnsiTheme="minorHAnsi" w:cstheme="minorHAnsi"/>
          <w:i/>
          <w:iCs/>
        </w:rPr>
        <w:t>Intelligence</w:t>
      </w:r>
      <w:r w:rsidRPr="00175EEA">
        <w:rPr>
          <w:rFonts w:asciiTheme="minorHAnsi" w:hAnsiTheme="minorHAnsi" w:cstheme="minorHAnsi"/>
        </w:rPr>
        <w:t xml:space="preserve"> [Preprint]. doi:10.4324/9780203118245. </w:t>
      </w:r>
    </w:p>
    <w:p w14:paraId="33F802D3"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Rege‐Patwardhan, A. (2009) ‘Cybercrimes against critical infrastructures: A study of online criminal organization and Techniques’, </w:t>
      </w:r>
      <w:r w:rsidRPr="00175EEA">
        <w:rPr>
          <w:rFonts w:asciiTheme="minorHAnsi" w:hAnsiTheme="minorHAnsi" w:cstheme="minorHAnsi"/>
          <w:i/>
          <w:iCs/>
        </w:rPr>
        <w:t>Criminal Justice Studies</w:t>
      </w:r>
      <w:r w:rsidRPr="00175EEA">
        <w:rPr>
          <w:rFonts w:asciiTheme="minorHAnsi" w:hAnsiTheme="minorHAnsi" w:cstheme="minorHAnsi"/>
        </w:rPr>
        <w:t xml:space="preserve">, 22(3), pp. 261–271. doi:10.1080/14786010903166965. </w:t>
      </w:r>
    </w:p>
    <w:p w14:paraId="4C913257"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 Scott, M.S. (2010) ‘Evaluating the effectiveness of problem-oriented policing’, Criminology &amp; Public Policy, 9(1), pp. 135–137. doi:10.1111/j.1745-9133.2010.00616.x.</w:t>
      </w:r>
    </w:p>
    <w:p w14:paraId="79451DB3"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i/>
          <w:iCs/>
        </w:rPr>
        <w:t>Soham Murders: Ian Huntley’s press interviews alerted police</w:t>
      </w:r>
      <w:r w:rsidRPr="00175EEA">
        <w:rPr>
          <w:rFonts w:asciiTheme="minorHAnsi" w:hAnsiTheme="minorHAnsi" w:cstheme="minorHAnsi"/>
        </w:rPr>
        <w:t xml:space="preserve"> (2022) </w:t>
      </w:r>
      <w:r w:rsidRPr="00175EEA">
        <w:rPr>
          <w:rFonts w:asciiTheme="minorHAnsi" w:hAnsiTheme="minorHAnsi" w:cstheme="minorHAnsi"/>
          <w:i/>
          <w:iCs/>
        </w:rPr>
        <w:t>BBC News</w:t>
      </w:r>
      <w:r w:rsidRPr="00175EEA">
        <w:rPr>
          <w:rFonts w:asciiTheme="minorHAnsi" w:hAnsiTheme="minorHAnsi" w:cstheme="minorHAnsi"/>
        </w:rPr>
        <w:t xml:space="preserve">. Available at: https://www.bbc.co.uk/news/uk-england-cambridgeshire-62335807 (Accessed: 01 June 2023). </w:t>
      </w:r>
    </w:p>
    <w:p w14:paraId="6B916405"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Spicer, J. (2018) ‘“that’s their brand, their business”: How police officers are Interpreting County Lines’, </w:t>
      </w:r>
      <w:r w:rsidRPr="00175EEA">
        <w:rPr>
          <w:rFonts w:asciiTheme="minorHAnsi" w:hAnsiTheme="minorHAnsi" w:cstheme="minorHAnsi"/>
          <w:i/>
          <w:iCs/>
        </w:rPr>
        <w:t>Policing and Society</w:t>
      </w:r>
      <w:r w:rsidRPr="00175EEA">
        <w:rPr>
          <w:rFonts w:asciiTheme="minorHAnsi" w:hAnsiTheme="minorHAnsi" w:cstheme="minorHAnsi"/>
        </w:rPr>
        <w:t xml:space="preserve">, 29(8), pp. 873–886. doi:10.1080/10439463.2018.1445742. </w:t>
      </w:r>
    </w:p>
    <w:p w14:paraId="43B707BB" w14:textId="77777777" w:rsidR="00483F10" w:rsidRPr="00175EEA" w:rsidRDefault="00483F10" w:rsidP="00483F10">
      <w:pPr>
        <w:ind w:left="720" w:hanging="720"/>
        <w:rPr>
          <w:rFonts w:cstheme="minorHAnsi"/>
          <w:sz w:val="24"/>
          <w:szCs w:val="24"/>
          <w:shd w:val="clear" w:color="auto" w:fill="FFFFFF"/>
        </w:rPr>
      </w:pPr>
      <w:bookmarkStart w:id="5" w:name="_Hlk136510751"/>
      <w:r w:rsidRPr="00175EEA">
        <w:rPr>
          <w:rFonts w:cstheme="minorHAnsi"/>
          <w:sz w:val="24"/>
          <w:szCs w:val="24"/>
          <w:shd w:val="clear" w:color="auto" w:fill="FFFFFF"/>
        </w:rPr>
        <w:lastRenderedPageBreak/>
        <w:t>Stanier, I.P., 2013. </w:t>
      </w:r>
      <w:bookmarkEnd w:id="5"/>
      <w:r w:rsidRPr="00175EEA">
        <w:rPr>
          <w:rFonts w:cstheme="minorHAnsi"/>
          <w:i/>
          <w:iCs/>
          <w:sz w:val="24"/>
          <w:szCs w:val="24"/>
          <w:shd w:val="clear" w:color="auto" w:fill="FFFFFF"/>
        </w:rPr>
        <w:t>Contemporary organisational pathologies in police information sharing: new contributions to Sheptycki's lexicon of intelligence in policing</w:t>
      </w:r>
      <w:r w:rsidRPr="00175EEA">
        <w:rPr>
          <w:rFonts w:cstheme="minorHAnsi"/>
          <w:sz w:val="24"/>
          <w:szCs w:val="24"/>
          <w:shd w:val="clear" w:color="auto" w:fill="FFFFFF"/>
        </w:rPr>
        <w:t> (Doctoral dissertation, London Metropolitan University).</w:t>
      </w:r>
    </w:p>
    <w:p w14:paraId="5FB06AC5"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Stevelink, S.A. </w:t>
      </w:r>
      <w:r w:rsidRPr="00175EEA">
        <w:rPr>
          <w:rFonts w:asciiTheme="minorHAnsi" w:hAnsiTheme="minorHAnsi" w:cstheme="minorHAnsi"/>
          <w:i/>
          <w:iCs/>
        </w:rPr>
        <w:t>et al.</w:t>
      </w:r>
      <w:r w:rsidRPr="00175EEA">
        <w:rPr>
          <w:rFonts w:asciiTheme="minorHAnsi" w:hAnsiTheme="minorHAnsi" w:cstheme="minorHAnsi"/>
        </w:rPr>
        <w:t xml:space="preserve"> (2020) ‘Probable PTSD, depression and anxiety in 40,299 UK police officers and staff: Prevalence, risk factors and associations with blood pressure’, </w:t>
      </w:r>
      <w:r w:rsidRPr="00175EEA">
        <w:rPr>
          <w:rFonts w:asciiTheme="minorHAnsi" w:hAnsiTheme="minorHAnsi" w:cstheme="minorHAnsi"/>
          <w:i/>
          <w:iCs/>
        </w:rPr>
        <w:t>PLOS ONE</w:t>
      </w:r>
      <w:r w:rsidRPr="00175EEA">
        <w:rPr>
          <w:rFonts w:asciiTheme="minorHAnsi" w:hAnsiTheme="minorHAnsi" w:cstheme="minorHAnsi"/>
        </w:rPr>
        <w:t xml:space="preserve">, 15(11). doi:10.1371/journal.pone.0240902. </w:t>
      </w:r>
    </w:p>
    <w:p w14:paraId="0DFCFF9B" w14:textId="77777777" w:rsidR="00483F10" w:rsidRPr="00175EEA" w:rsidRDefault="00483F10" w:rsidP="00483F10">
      <w:pPr>
        <w:pStyle w:val="NormalWeb"/>
        <w:ind w:left="567" w:hanging="567"/>
        <w:rPr>
          <w:rFonts w:asciiTheme="minorHAnsi" w:hAnsiTheme="minorHAnsi" w:cstheme="minorHAnsi"/>
        </w:rPr>
      </w:pPr>
      <w:bookmarkStart w:id="6" w:name="_Hlk136855469"/>
      <w:r w:rsidRPr="00175EEA">
        <w:rPr>
          <w:rFonts w:asciiTheme="minorHAnsi" w:hAnsiTheme="minorHAnsi" w:cstheme="minorHAnsi"/>
        </w:rPr>
        <w:t xml:space="preserve">Sutherland, J. </w:t>
      </w:r>
      <w:r w:rsidRPr="00175EEA">
        <w:rPr>
          <w:rFonts w:asciiTheme="minorHAnsi" w:hAnsiTheme="minorHAnsi" w:cstheme="minorHAnsi"/>
          <w:i/>
          <w:iCs/>
        </w:rPr>
        <w:t>et al.</w:t>
      </w:r>
      <w:r w:rsidRPr="00175EEA">
        <w:rPr>
          <w:rFonts w:asciiTheme="minorHAnsi" w:hAnsiTheme="minorHAnsi" w:cstheme="minorHAnsi"/>
        </w:rPr>
        <w:t xml:space="preserve"> (2018</w:t>
      </w:r>
      <w:bookmarkEnd w:id="6"/>
      <w:r w:rsidRPr="00175EEA">
        <w:rPr>
          <w:rFonts w:asciiTheme="minorHAnsi" w:hAnsiTheme="minorHAnsi" w:cstheme="minorHAnsi"/>
        </w:rPr>
        <w:t xml:space="preserve">) ‘Applying modern virtual and augmented reality technologies to medical images and models’, </w:t>
      </w:r>
      <w:r w:rsidRPr="00175EEA">
        <w:rPr>
          <w:rFonts w:asciiTheme="minorHAnsi" w:hAnsiTheme="minorHAnsi" w:cstheme="minorHAnsi"/>
          <w:i/>
          <w:iCs/>
        </w:rPr>
        <w:t>Journal of Digital Imaging</w:t>
      </w:r>
      <w:r w:rsidRPr="00175EEA">
        <w:rPr>
          <w:rFonts w:asciiTheme="minorHAnsi" w:hAnsiTheme="minorHAnsi" w:cstheme="minorHAnsi"/>
        </w:rPr>
        <w:t xml:space="preserve">, 32(1), pp. 38–53. doi:10.1007/s10278-018-0122-7. </w:t>
      </w:r>
    </w:p>
    <w:p w14:paraId="3DE69056"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Taylor, R.W. and Russell, A.L. (2012) ‘The failure of police “fusion” centers and the concept of a national intelligence sharing plan’, </w:t>
      </w:r>
      <w:r w:rsidRPr="00175EEA">
        <w:rPr>
          <w:rFonts w:asciiTheme="minorHAnsi" w:hAnsiTheme="minorHAnsi" w:cstheme="minorHAnsi"/>
          <w:i/>
          <w:iCs/>
        </w:rPr>
        <w:t>Police Practice and Research</w:t>
      </w:r>
      <w:r w:rsidRPr="00175EEA">
        <w:rPr>
          <w:rFonts w:asciiTheme="minorHAnsi" w:hAnsiTheme="minorHAnsi" w:cstheme="minorHAnsi"/>
        </w:rPr>
        <w:t xml:space="preserve">, 13(2), pp. 184–200. doi:10.1080/15614263.2011.581448. </w:t>
      </w:r>
    </w:p>
    <w:p w14:paraId="513C0177"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Wall, D.S. and Williams, M.L. (2013) ‘Policing cybercrime: Networked and social media technologies and the challenges for policing’, </w:t>
      </w:r>
      <w:r w:rsidRPr="00175EEA">
        <w:rPr>
          <w:rFonts w:asciiTheme="minorHAnsi" w:hAnsiTheme="minorHAnsi" w:cstheme="minorHAnsi"/>
          <w:i/>
          <w:iCs/>
        </w:rPr>
        <w:t>Policing and Society</w:t>
      </w:r>
      <w:r w:rsidRPr="00175EEA">
        <w:rPr>
          <w:rFonts w:asciiTheme="minorHAnsi" w:hAnsiTheme="minorHAnsi" w:cstheme="minorHAnsi"/>
        </w:rPr>
        <w:t xml:space="preserve">, 23(4), pp. 409–412. doi:10.1080/10439463.2013.780222. </w:t>
      </w:r>
    </w:p>
    <w:p w14:paraId="0611245A" w14:textId="77777777" w:rsidR="00483F10" w:rsidRPr="00175EEA" w:rsidRDefault="00483F10" w:rsidP="00483F10">
      <w:pPr>
        <w:pStyle w:val="NormalWeb"/>
        <w:ind w:left="567" w:hanging="567"/>
        <w:rPr>
          <w:rFonts w:asciiTheme="minorHAnsi" w:hAnsiTheme="minorHAnsi" w:cstheme="minorHAnsi"/>
        </w:rPr>
      </w:pPr>
      <w:r w:rsidRPr="00175EEA">
        <w:rPr>
          <w:rFonts w:asciiTheme="minorHAnsi" w:hAnsiTheme="minorHAnsi" w:cstheme="minorHAnsi"/>
        </w:rPr>
        <w:t xml:space="preserve">Weisburd, D. </w:t>
      </w:r>
      <w:r w:rsidRPr="00175EEA">
        <w:rPr>
          <w:rFonts w:asciiTheme="minorHAnsi" w:hAnsiTheme="minorHAnsi" w:cstheme="minorHAnsi"/>
          <w:i/>
          <w:iCs/>
        </w:rPr>
        <w:t>et al.</w:t>
      </w:r>
      <w:r w:rsidRPr="00175EEA">
        <w:rPr>
          <w:rFonts w:asciiTheme="minorHAnsi" w:hAnsiTheme="minorHAnsi" w:cstheme="minorHAnsi"/>
        </w:rPr>
        <w:t xml:space="preserve"> (2011) ‘Systematic review of the effects of problem-oriented policing on crime and disorder, 1985-2006’, </w:t>
      </w:r>
      <w:r w:rsidRPr="00175EEA">
        <w:rPr>
          <w:rFonts w:asciiTheme="minorHAnsi" w:hAnsiTheme="minorHAnsi" w:cstheme="minorHAnsi"/>
          <w:i/>
          <w:iCs/>
        </w:rPr>
        <w:t>ICPSR Data Holdings</w:t>
      </w:r>
      <w:r w:rsidRPr="00175EEA">
        <w:rPr>
          <w:rFonts w:asciiTheme="minorHAnsi" w:hAnsiTheme="minorHAnsi" w:cstheme="minorHAnsi"/>
        </w:rPr>
        <w:t xml:space="preserve"> [Preprint]. doi:10.3886/icpsr31701. </w:t>
      </w:r>
    </w:p>
    <w:p w14:paraId="5AAC364F" w14:textId="77777777" w:rsidR="00483F10" w:rsidRPr="00175EEA" w:rsidRDefault="00483F10" w:rsidP="00483F10">
      <w:pPr>
        <w:pStyle w:val="NormalWeb"/>
        <w:ind w:left="567" w:hanging="567"/>
        <w:rPr>
          <w:rFonts w:asciiTheme="minorHAnsi" w:hAnsiTheme="minorHAnsi" w:cstheme="minorHAnsi"/>
        </w:rPr>
      </w:pPr>
      <w:bookmarkStart w:id="7" w:name="_Hlk136781290"/>
      <w:r w:rsidRPr="00175EEA">
        <w:rPr>
          <w:rFonts w:asciiTheme="minorHAnsi" w:hAnsiTheme="minorHAnsi" w:cstheme="minorHAnsi"/>
        </w:rPr>
        <w:t>Willits, D. and Nowacki, J. (2016</w:t>
      </w:r>
      <w:bookmarkEnd w:id="7"/>
      <w:r w:rsidRPr="00175EEA">
        <w:rPr>
          <w:rFonts w:asciiTheme="minorHAnsi" w:hAnsiTheme="minorHAnsi" w:cstheme="minorHAnsi"/>
        </w:rPr>
        <w:t xml:space="preserve">) ‘The use of specialized cybercrime policing units: An organizational analysis’, </w:t>
      </w:r>
      <w:r w:rsidRPr="00175EEA">
        <w:rPr>
          <w:rFonts w:asciiTheme="minorHAnsi" w:hAnsiTheme="minorHAnsi" w:cstheme="minorHAnsi"/>
          <w:i/>
          <w:iCs/>
        </w:rPr>
        <w:t>Criminal Justice Studies</w:t>
      </w:r>
      <w:r w:rsidRPr="00175EEA">
        <w:rPr>
          <w:rFonts w:asciiTheme="minorHAnsi" w:hAnsiTheme="minorHAnsi" w:cstheme="minorHAnsi"/>
        </w:rPr>
        <w:t xml:space="preserve">, 29(2), pp. 105–124. doi:10.1080/1478601x.2016.1170282. </w:t>
      </w:r>
    </w:p>
    <w:p w14:paraId="5E434177" w14:textId="77777777" w:rsidR="00483F10" w:rsidRPr="00113A4B" w:rsidRDefault="00483F10" w:rsidP="00113A4B">
      <w:pPr>
        <w:tabs>
          <w:tab w:val="left" w:pos="1123"/>
        </w:tabs>
        <w:rPr>
          <w:rFonts w:cstheme="minorHAnsi"/>
          <w:sz w:val="28"/>
          <w:szCs w:val="28"/>
        </w:rPr>
      </w:pPr>
    </w:p>
    <w:sectPr w:rsidR="00483F10" w:rsidRPr="00113A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FB1216"/>
    <w:multiLevelType w:val="hybridMultilevel"/>
    <w:tmpl w:val="7EC234DA"/>
    <w:lvl w:ilvl="0" w:tplc="2C1450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E77D88"/>
    <w:multiLevelType w:val="hybridMultilevel"/>
    <w:tmpl w:val="90F45896"/>
    <w:lvl w:ilvl="0" w:tplc="D1EAA08C">
      <w:start w:val="1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0718160">
    <w:abstractNumId w:val="0"/>
  </w:num>
  <w:num w:numId="2" w16cid:durableId="528951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6B5"/>
    <w:rsid w:val="00113A4B"/>
    <w:rsid w:val="00195685"/>
    <w:rsid w:val="001B6353"/>
    <w:rsid w:val="001E37B6"/>
    <w:rsid w:val="001F09EF"/>
    <w:rsid w:val="00271287"/>
    <w:rsid w:val="002751DB"/>
    <w:rsid w:val="002948F6"/>
    <w:rsid w:val="002A190B"/>
    <w:rsid w:val="00315BC9"/>
    <w:rsid w:val="00325A9C"/>
    <w:rsid w:val="003F2BD3"/>
    <w:rsid w:val="00474770"/>
    <w:rsid w:val="00483F10"/>
    <w:rsid w:val="00496A51"/>
    <w:rsid w:val="004B5D40"/>
    <w:rsid w:val="004C1860"/>
    <w:rsid w:val="00503399"/>
    <w:rsid w:val="00547C0E"/>
    <w:rsid w:val="005B660C"/>
    <w:rsid w:val="005F0570"/>
    <w:rsid w:val="005F7984"/>
    <w:rsid w:val="006C7005"/>
    <w:rsid w:val="007B58D2"/>
    <w:rsid w:val="007C16CC"/>
    <w:rsid w:val="007F366C"/>
    <w:rsid w:val="00880A17"/>
    <w:rsid w:val="009007D6"/>
    <w:rsid w:val="009F1D3C"/>
    <w:rsid w:val="00A02A5C"/>
    <w:rsid w:val="00A156B5"/>
    <w:rsid w:val="00A61759"/>
    <w:rsid w:val="00A87A93"/>
    <w:rsid w:val="00B1309F"/>
    <w:rsid w:val="00B13BA8"/>
    <w:rsid w:val="00BB00B8"/>
    <w:rsid w:val="00BB086D"/>
    <w:rsid w:val="00CC2C88"/>
    <w:rsid w:val="00D20572"/>
    <w:rsid w:val="00DD4B47"/>
    <w:rsid w:val="00E06927"/>
    <w:rsid w:val="00E4517A"/>
    <w:rsid w:val="00F150E0"/>
    <w:rsid w:val="00F2241B"/>
    <w:rsid w:val="00F23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4477E"/>
  <w15:chartTrackingRefBased/>
  <w15:docId w15:val="{D346FFCC-5544-4FFD-B9E1-A1B34189B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56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56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156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56B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156B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156B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13BA8"/>
    <w:pPr>
      <w:ind w:left="720"/>
      <w:contextualSpacing/>
    </w:pPr>
  </w:style>
  <w:style w:type="character" w:styleId="CommentReference">
    <w:name w:val="annotation reference"/>
    <w:basedOn w:val="DefaultParagraphFont"/>
    <w:uiPriority w:val="99"/>
    <w:semiHidden/>
    <w:unhideWhenUsed/>
    <w:rsid w:val="00A61759"/>
    <w:rPr>
      <w:sz w:val="16"/>
      <w:szCs w:val="16"/>
    </w:rPr>
  </w:style>
  <w:style w:type="paragraph" w:styleId="CommentText">
    <w:name w:val="annotation text"/>
    <w:basedOn w:val="Normal"/>
    <w:link w:val="CommentTextChar"/>
    <w:uiPriority w:val="99"/>
    <w:unhideWhenUsed/>
    <w:rsid w:val="00A61759"/>
    <w:pPr>
      <w:spacing w:line="240" w:lineRule="auto"/>
    </w:pPr>
    <w:rPr>
      <w:sz w:val="20"/>
      <w:szCs w:val="20"/>
    </w:rPr>
  </w:style>
  <w:style w:type="character" w:customStyle="1" w:styleId="CommentTextChar">
    <w:name w:val="Comment Text Char"/>
    <w:basedOn w:val="DefaultParagraphFont"/>
    <w:link w:val="CommentText"/>
    <w:uiPriority w:val="99"/>
    <w:rsid w:val="00A61759"/>
    <w:rPr>
      <w:sz w:val="20"/>
      <w:szCs w:val="20"/>
    </w:rPr>
  </w:style>
  <w:style w:type="paragraph" w:styleId="CommentSubject">
    <w:name w:val="annotation subject"/>
    <w:basedOn w:val="CommentText"/>
    <w:next w:val="CommentText"/>
    <w:link w:val="CommentSubjectChar"/>
    <w:uiPriority w:val="99"/>
    <w:semiHidden/>
    <w:unhideWhenUsed/>
    <w:rsid w:val="00A61759"/>
    <w:rPr>
      <w:b/>
      <w:bCs/>
    </w:rPr>
  </w:style>
  <w:style w:type="character" w:customStyle="1" w:styleId="CommentSubjectChar">
    <w:name w:val="Comment Subject Char"/>
    <w:basedOn w:val="CommentTextChar"/>
    <w:link w:val="CommentSubject"/>
    <w:uiPriority w:val="99"/>
    <w:semiHidden/>
    <w:rsid w:val="00A61759"/>
    <w:rPr>
      <w:b/>
      <w:bCs/>
      <w:sz w:val="20"/>
      <w:szCs w:val="20"/>
    </w:rPr>
  </w:style>
  <w:style w:type="paragraph" w:styleId="NormalWeb">
    <w:name w:val="Normal (Web)"/>
    <w:basedOn w:val="Normal"/>
    <w:uiPriority w:val="99"/>
    <w:unhideWhenUsed/>
    <w:rsid w:val="00483F1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1474</TotalTime>
  <Pages>15</Pages>
  <Words>5206</Words>
  <Characters>29680</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Williams,Lloyd swp8059</dc:creator>
  <cp:keywords/>
  <dc:description/>
  <cp:lastModifiedBy>Williams,Lloyd swp8059</cp:lastModifiedBy>
  <cp:revision>18</cp:revision>
  <dcterms:created xsi:type="dcterms:W3CDTF">2023-05-30T09:00:00Z</dcterms:created>
  <dcterms:modified xsi:type="dcterms:W3CDTF">2023-06-05T10:22:00Z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2023-05-29T10:25:38Z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120c2a4f-9b84-43c7-9c61-eed97b833535</vt:lpwstr>
  </property>
  <property fmtid="{D5CDD505-2E9C-101B-9397-08002B2CF9AE}" pid="8" name="MSIP_Label_66cf8fe5-b7b7-4df7-b38d-1c61ac2f6639_ContentBits">
    <vt:lpwstr>0</vt:lpwstr>
  </property>
</Properties>
</file>